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nst-20230930x10q.htm"/>
        <w:bookmarkStart w:id="1" w:name="ksmnst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bookmarkStart w:id="2" w:name="_50f4cbfc_82f8_485b_ae02_1afe5a8da311"/>
      <w:bookmarkEnd w:id="2"/>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Quarterly</w:t>
      </w:r>
      <w:r>
        <w:rPr>
          <w:rFonts w:ascii="Times New Roman;Times;serif" w:hAnsi="Times New Roman;Times;serif"/>
          <w:sz w:val="24"/>
        </w:rPr>
        <w:t xml:space="preserve"> </w:t>
      </w:r>
      <w:r>
        <w:rPr>
          <w:rFonts w:ascii="Times New Roman;Times;serif" w:hAnsi="Times New Roman;Times;serif"/>
          <w:b/>
          <w:sz w:val="24"/>
        </w:rPr>
        <w:t>Report</w:t>
      </w:r>
      <w:r>
        <w:rPr>
          <w:rFonts w:ascii="Times New Roman;Times;serif" w:hAnsi="Times New Roman;Times;serif"/>
          <w:sz w:val="24"/>
        </w:rPr>
        <w:t xml:space="preserve"> </w:t>
      </w:r>
      <w:r>
        <w:rPr>
          <w:rFonts w:ascii="Times New Roman;Times;serif" w:hAnsi="Times New Roman;Times;serif"/>
          <w:b/>
          <w:sz w:val="24"/>
        </w:rPr>
        <w:t>Pursuant to Section 13 or 15(d)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of the Securities Exchange Act of 1934</w:t>
      </w:r>
    </w:p>
    <w:p>
      <w:pPr>
        <w:pStyle w:val="TextBody"/>
        <w:bidi w:val="0"/>
        <w:spacing w:before="0" w:after="0"/>
        <w:ind w:left="0" w:right="0" w:hanging="0"/>
        <w:jc w:val="center"/>
        <w:rPr/>
      </w:pPr>
      <w:r>
        <w:rPr/>
        <w:t>​</w:t>
      </w:r>
    </w:p>
    <w:tbl>
      <w:tblPr>
        <w:tblW w:w="7521" w:type="dxa"/>
        <w:jc w:val="left"/>
        <w:tblInd w:w="0" w:type="dxa"/>
        <w:tblLayout w:type="fixed"/>
        <w:tblCellMar>
          <w:top w:w="0" w:type="dxa"/>
          <w:left w:w="0" w:type="dxa"/>
          <w:bottom w:w="0" w:type="dxa"/>
          <w:right w:w="0" w:type="dxa"/>
        </w:tblCellMar>
      </w:tblPr>
      <w:tblGrid>
        <w:gridCol w:w="4246"/>
        <w:gridCol w:w="3121"/>
        <w:gridCol w:w="154"/>
      </w:tblGrid>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quarterly period ended September 30, 2023</w:t>
            </w:r>
          </w:p>
        </w:tc>
        <w:tc>
          <w:tcPr>
            <w:tcW w:w="31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Commission File Number 001-18761</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MONSTER BEVERAGE CORPORATION</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xAD3e9QOi0i0VA8yLoYRww_4_2"/>
      <w:bookmarkStart w:id="4" w:name="Tc_C3OmeQh5PEOtn9rDCLq6sA_4_0"/>
      <w:bookmarkStart w:id="5" w:name="Tc_bLF04nuwE0ulCXgWMK7K-A_3_2"/>
      <w:bookmarkStart w:id="6" w:name="Tc_SBETO0wYJEuNRojAlwPRQA_3_0"/>
      <w:bookmarkStart w:id="7" w:name="_7c34c122_80de_42ce_bdc9_cb651d4bdee5"/>
      <w:bookmarkStart w:id="8" w:name="Tc_xAD3e9QOi0i0VA8yLoYRww_4_2"/>
      <w:bookmarkStart w:id="9" w:name="Tc_C3OmeQh5PEOtn9rDCLq6sA_4_0"/>
      <w:bookmarkStart w:id="10" w:name="Tc_bLF04nuwE0ulCXgWMK7K-A_3_2"/>
      <w:bookmarkStart w:id="11" w:name="Tc_SBETO0wYJEuNRojAlwPRQA_3_0"/>
      <w:bookmarkStart w:id="12" w:name="_7c34c122_80de_42ce_bdc9_cb651d4bdee5"/>
      <w:bookmarkEnd w:id="8"/>
      <w:bookmarkEnd w:id="9"/>
      <w:bookmarkEnd w:id="10"/>
      <w:bookmarkEnd w:id="11"/>
      <w:bookmarkEnd w:id="12"/>
    </w:p>
    <w:tbl>
      <w:tblPr>
        <w:tblW w:w="4003" w:type="dxa"/>
        <w:jc w:val="left"/>
        <w:tblInd w:w="0" w:type="dxa"/>
        <w:tblLayout w:type="fixed"/>
        <w:tblCellMar>
          <w:top w:w="0" w:type="dxa"/>
          <w:left w:w="0" w:type="dxa"/>
          <w:bottom w:w="0" w:type="dxa"/>
          <w:right w:w="0" w:type="dxa"/>
        </w:tblCellMar>
      </w:tblPr>
      <w:tblGrid>
        <w:gridCol w:w="2236"/>
        <w:gridCol w:w="326"/>
        <w:gridCol w:w="1441"/>
      </w:tblGrid>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47-1809393</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incorporation or organization)</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Monster Way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Corona, California 92879</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(951) 739 - 6200</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 w:name="Tc_ZE46lCVxREmGNlJ25NZMQQ_1_2"/>
      <w:bookmarkStart w:id="14" w:name="Tc_-7seIm9Ep0OQAiCJNxOMOA_1_1"/>
      <w:bookmarkStart w:id="15" w:name="Tc_NJBDCVusDU-37HkhW73fUA_1_0"/>
      <w:bookmarkStart w:id="16" w:name="_fa178305_9a1f_42a6_93c4_acbfe5acb49e"/>
      <w:bookmarkStart w:id="17" w:name="Tc_ZE46lCVxREmGNlJ25NZMQQ_1_2"/>
      <w:bookmarkStart w:id="18" w:name="Tc_-7seIm9Ep0OQAiCJNxOMOA_1_1"/>
      <w:bookmarkStart w:id="19" w:name="Tc_NJBDCVusDU-37HkhW73fUA_1_0"/>
      <w:bookmarkStart w:id="20" w:name="_fa178305_9a1f_42a6_93c4_acbfe5acb49e"/>
      <w:bookmarkEnd w:id="17"/>
      <w:bookmarkEnd w:id="18"/>
      <w:bookmarkEnd w:id="19"/>
      <w:bookmarkEnd w:id="20"/>
    </w:p>
    <w:tbl>
      <w:tblPr>
        <w:tblW w:w="6903" w:type="dxa"/>
        <w:jc w:val="left"/>
        <w:tblInd w:w="0" w:type="dxa"/>
        <w:tblLayout w:type="fixed"/>
        <w:tblCellMar>
          <w:top w:w="0" w:type="dxa"/>
          <w:left w:w="0" w:type="dxa"/>
          <w:bottom w:w="0" w:type="dxa"/>
          <w:right w:w="0" w:type="dxa"/>
        </w:tblCellMar>
      </w:tblPr>
      <w:tblGrid>
        <w:gridCol w:w="1576"/>
        <w:gridCol w:w="1621"/>
        <w:gridCol w:w="370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MNST</w:t>
            </w:r>
          </w:p>
        </w:tc>
        <w:tc>
          <w:tcPr>
            <w:tcW w:w="370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X    No __</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X    No __</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pPr>
      <w:r>
        <w:rPr/>
        <w:t>​</w:t>
      </w:r>
    </w:p>
    <w:tbl>
      <w:tblPr>
        <w:tblW w:w="4725" w:type="dxa"/>
        <w:jc w:val="left"/>
        <w:tblInd w:w="0" w:type="dxa"/>
        <w:tblLayout w:type="fixed"/>
        <w:tblCellMar>
          <w:top w:w="0" w:type="dxa"/>
          <w:left w:w="0" w:type="dxa"/>
          <w:bottom w:w="0" w:type="dxa"/>
          <w:right w:w="0" w:type="dxa"/>
        </w:tblCellMar>
      </w:tblPr>
      <w:tblGrid>
        <w:gridCol w:w="1141"/>
        <w:gridCol w:w="1004"/>
        <w:gridCol w:w="1068"/>
        <w:gridCol w:w="1512"/>
      </w:tblGrid>
      <w:tr>
        <w:trPr/>
        <w:tc>
          <w:tcPr>
            <w:tcW w:w="1141"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left"/>
              <w:rPr/>
            </w:pPr>
            <w:r>
              <w:rPr/>
              <w:t>​</w:t>
            </w:r>
          </w:p>
        </w:tc>
        <w:tc>
          <w:tcPr>
            <w:tcW w:w="1512" w:type="dxa"/>
            <w:tcBorders/>
            <w:vAlign w:val="center"/>
          </w:tcPr>
          <w:p>
            <w:pPr>
              <w:pStyle w:val="TableContents"/>
              <w:bidi w:val="0"/>
              <w:spacing w:before="0" w:after="0"/>
              <w:ind w:left="0" w:right="0" w:hanging="0"/>
              <w:jc w:val="left"/>
              <w:rPr/>
            </w:pPr>
            <w:r>
              <w:rPr/>
              <w:t>​</w:t>
            </w:r>
          </w:p>
        </w:tc>
      </w:tr>
      <w:tr>
        <w:trPr/>
        <w:tc>
          <w:tcPr>
            <w:tcW w:w="21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45" w:type="dxa"/>
            <w:gridSpan w:val="2"/>
            <w:tcBorders/>
            <w:vAlign w:val="center"/>
          </w:tcPr>
          <w:p>
            <w:pPr>
              <w:pStyle w:val="TableContents"/>
              <w:bidi w:val="0"/>
              <w:spacing w:before="0" w:after="0"/>
              <w:ind w:left="0" w:right="0" w:hanging="0"/>
              <w:jc w:val="left"/>
              <w:rPr/>
            </w:pPr>
            <w:r>
              <w:rPr/>
              <w:t>​</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__    No X</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registrant had 1,040,441,348 shares of common stock, par value $0.005 per share, outstanding as of October 31, 2023.</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 w:name="_0b10d063_79c3_47e0_9b6d_0610845f5d07"/>
      <w:bookmarkEnd w:id="21"/>
      <w:r>
        <w:rPr>
          <w:rFonts w:ascii="Times New Roman;Times;serif" w:hAnsi="Times New Roman;Times;serif"/>
          <w:b/>
          <w:sz w:val="20"/>
        </w:rPr>
        <w:t>MONSTER BEVERAGE CORPORATION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25"/>
        <w:gridCol w:w="8341"/>
        <w:gridCol w:w="326"/>
        <w:gridCol w:w="813"/>
      </w:tblGrid>
      <w:tr>
        <w:trPr/>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0375" cy="175260"/>
                      <wp:effectExtent l="0" t="0" r="0" b="0"/>
                      <wp:wrapNone/>
                      <wp:docPr id="1" name="Frame1"/>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296535" cy="175260"/>
                      <wp:effectExtent l="0" t="0" r="0" b="0"/>
                      <wp:wrapNone/>
                      <wp:docPr id="2" name="Frame2"/>
                      <a:graphic xmlns:a="http://schemas.openxmlformats.org/drawingml/2006/main">
                        <a:graphicData uri="http://schemas.microsoft.com/office/word/2010/wordprocessingShape">
                          <wps:wsp>
                            <wps:cNvSpPr txBox="1"/>
                            <wps:spPr>
                              <a:xfrm>
                                <a:off x="0" y="0"/>
                                <a:ext cx="529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16255" cy="175260"/>
                      <wp:effectExtent l="0" t="0" r="0" b="0"/>
                      <wp:wrapNone/>
                      <wp:docPr id="3" name="Frame3"/>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5" w:type="dxa"/>
            <w:tcBorders/>
            <w:vAlign w:val="center"/>
          </w:tcPr>
          <w:p>
            <w:pPr>
              <w:pStyle w:val="TableContents"/>
              <w:pBdr/>
              <w:bidi w:val="0"/>
              <w:spacing w:before="0" w:after="0"/>
              <w:ind w:left="0" w:right="0" w:hanging="0"/>
              <w:jc w:val="left"/>
              <w:rPr/>
            </w:pPr>
            <w:hyperlink w:anchor="PARTIFINANCIALINFORMATION_555950">
              <w:r>
                <w:rPr>
                  <w:rStyle w:val="InternetLink"/>
                  <w:rFonts w:ascii="Times New Roman;Times;serif" w:hAnsi="Times New Roman;Times;serif"/>
                  <w:b/>
                  <w:i w:val="false"/>
                  <w:caps w:val="false"/>
                  <w:smallCaps w:val="false"/>
                  <w:sz w:val="20"/>
                </w:rPr>
                <w:t>Part I.</w:t>
              </w:r>
            </w:hyperlink>
          </w:p>
        </w:tc>
        <w:tc>
          <w:tcPr>
            <w:tcW w:w="8341" w:type="dxa"/>
            <w:tcBorders/>
            <w:vAlign w:val="center"/>
          </w:tcPr>
          <w:p>
            <w:pPr>
              <w:pStyle w:val="TableContents"/>
              <w:bidi w:val="0"/>
              <w:spacing w:before="0" w:after="0"/>
              <w:ind w:left="0" w:right="0" w:hanging="0"/>
              <w:jc w:val="both"/>
              <w:rPr/>
            </w:pPr>
            <w:hyperlink w:anchor="PARTIFINANCIALINFORMATION_555950">
              <w:r>
                <w:rPr>
                  <w:rStyle w:val="InternetLink"/>
                  <w:rFonts w:ascii="Times New Roman;Times;serif" w:hAnsi="Times New Roman;Times;serif"/>
                  <w:b/>
                  <w:i w:val="false"/>
                  <w:caps w:val="false"/>
                  <w:smallCaps w:val="false"/>
                  <w:sz w:val="20"/>
                </w:rPr>
                <w:t>FINANCIAL INFORMATION</w:t>
              </w:r>
            </w:hyperlink>
          </w:p>
        </w:tc>
        <w:tc>
          <w:tcPr>
            <w:tcW w:w="326" w:type="dxa"/>
            <w:tcBorders/>
            <w:vAlign w:val="center"/>
          </w:tcPr>
          <w:p>
            <w:pPr>
              <w:pStyle w:val="TableContents"/>
              <w:bidi w:val="0"/>
              <w:spacing w:before="0" w:after="0"/>
              <w:ind w:left="0" w:right="0" w:hanging="0"/>
              <w:jc w:val="center"/>
              <w:rPr/>
            </w:pPr>
            <w:r>
              <w:rPr/>
              <w:t>    </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8341" w:type="dxa"/>
            <w:tcBorders/>
            <w:vAlign w:val="center"/>
          </w:tcPr>
          <w:p>
            <w:pPr>
              <w:pStyle w:val="TableContents"/>
              <w:bidi w:val="0"/>
              <w:spacing w:before="0" w:after="0"/>
              <w:ind w:left="0" w:right="0" w:hanging="0"/>
              <w:jc w:val="both"/>
              <w:rPr/>
            </w:pPr>
            <w:hyperlink w:anchor="ITEM1CONDENSEDCONSOLIDATEDFINANCIALSTATE">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hyperlink w:anchor="CONDENSEDCONSOLIDATEDBALANCESHEETS_69653">
              <w:r>
                <w:rPr>
                  <w:rStyle w:val="InternetLink"/>
                  <w:rFonts w:ascii="Times New Roman;Times;serif" w:hAnsi="Times New Roman;Times;serif"/>
                  <w:b w:val="false"/>
                  <w:i w:val="false"/>
                  <w:caps w:val="false"/>
                  <w:smallCaps w:val="false"/>
                  <w:sz w:val="20"/>
                </w:rPr>
                <w:t>Condensed Consolidated Balance Sheets as of September 30, 2023 and December 31, 2022</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hyperlink w:anchor="STATEMENTSOFINCOME_393941">
              <w:r>
                <w:rPr>
                  <w:rStyle w:val="InternetLink"/>
                  <w:rFonts w:ascii="Times New Roman;Times;serif" w:hAnsi="Times New Roman;Times;serif"/>
                  <w:b w:val="false"/>
                  <w:i w:val="false"/>
                  <w:caps w:val="false"/>
                  <w:smallCaps w:val="false"/>
                  <w:sz w:val="20"/>
                </w:rPr>
                <w:t>Condensed Consolidated Statements of Income for the Three- and Nine-months ended September 30, 2023 and 2022</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hyperlink w:anchor="STATEMENTSOFCOMPREHENSIVEINCOME_19420">
              <w:r>
                <w:rPr>
                  <w:rStyle w:val="InternetLink"/>
                  <w:rFonts w:ascii="Times New Roman;Times;serif" w:hAnsi="Times New Roman;Times;serif"/>
                  <w:b w:val="false"/>
                  <w:i w:val="false"/>
                  <w:caps w:val="false"/>
                  <w:smallCaps w:val="false"/>
                  <w:sz w:val="20"/>
                </w:rPr>
                <w:t>Condensed</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Consolidated</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Statements</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of</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Comprehensive</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Income</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for the</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Three- and Nine-months</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ended</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September 30, 2023</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and</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2022</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hyperlink w:anchor="STATEMENTSOFSTOCKHOLDERSEQUITY_603690">
              <w:r>
                <w:rPr>
                  <w:rStyle w:val="InternetLink"/>
                  <w:rFonts w:ascii="Times New Roman;Times;serif" w:hAnsi="Times New Roman;Times;serif"/>
                  <w:b w:val="false"/>
                  <w:i w:val="false"/>
                  <w:caps w:val="false"/>
                  <w:smallCaps w:val="false"/>
                  <w:sz w:val="20"/>
                </w:rPr>
                <w:t>Condensed Consolidated Statements of Stockholders’ Equity for the Three- and Nine-months ended September 30, 2023 and 2022</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hyperlink w:anchor="STATEMENTSOFCASHFLOWS_392736">
              <w:r>
                <w:rPr>
                  <w:rStyle w:val="InternetLink"/>
                  <w:rFonts w:ascii="Times New Roman;Times;serif" w:hAnsi="Times New Roman;Times;serif"/>
                  <w:b w:val="false"/>
                  <w:i w:val="false"/>
                  <w:caps w:val="false"/>
                  <w:smallCaps w:val="false"/>
                  <w:sz w:val="20"/>
                </w:rPr>
                <w:t>Condensed Consolidated Statements of Cash Flows for the Nine-Months Ended September 30, 2023 and 2022</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hyperlink w:anchor="a1BASISOFPRESENTATION_156061">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ITEM2MANAGEMENTSDISCUSSIONANDANALYSIS_40">
              <w:r>
                <w:rPr>
                  <w:rStyle w:val="InternetLink"/>
                  <w:rFonts w:ascii="Times New Roman;Times;serif" w:hAnsi="Times New Roman;Times;serif"/>
                  <w:b w:val="false"/>
                  <w:i w:val="false"/>
                  <w:caps w:val="false"/>
                  <w:smallCaps w:val="false"/>
                  <w:sz w:val="20"/>
                </w:rPr>
                <w:t>Item 2.</w:t>
              </w:r>
            </w:hyperlink>
          </w:p>
        </w:tc>
        <w:tc>
          <w:tcPr>
            <w:tcW w:w="8341" w:type="dxa"/>
            <w:tcBorders/>
            <w:vAlign w:val="center"/>
          </w:tcPr>
          <w:p>
            <w:pPr>
              <w:pStyle w:val="TableContents"/>
              <w:bidi w:val="0"/>
              <w:spacing w:before="0" w:after="0"/>
              <w:ind w:left="0" w:right="0" w:hanging="0"/>
              <w:jc w:val="both"/>
              <w:rPr/>
            </w:pPr>
            <w:hyperlink w:anchor="ITEM2MANAGEMENTSDISCUSSIONANDANALYSIS_40">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341" w:type="dxa"/>
            <w:tcBorders/>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ITEM4CONTROLSANDPROCEDURES_270637">
              <w:r>
                <w:rPr>
                  <w:rStyle w:val="InternetLink"/>
                  <w:rFonts w:ascii="Times New Roman;Times;serif" w:hAnsi="Times New Roman;Times;serif"/>
                  <w:b w:val="false"/>
                  <w:i w:val="false"/>
                  <w:caps w:val="false"/>
                  <w:smallCaps w:val="false"/>
                  <w:sz w:val="20"/>
                </w:rPr>
                <w:t>Item 4.</w:t>
              </w:r>
            </w:hyperlink>
          </w:p>
        </w:tc>
        <w:tc>
          <w:tcPr>
            <w:tcW w:w="8341" w:type="dxa"/>
            <w:tcBorders/>
            <w:vAlign w:val="center"/>
          </w:tcPr>
          <w:p>
            <w:pPr>
              <w:pStyle w:val="TableContents"/>
              <w:bidi w:val="0"/>
              <w:spacing w:before="0" w:after="0"/>
              <w:ind w:left="0" w:right="0" w:hanging="0"/>
              <w:jc w:val="both"/>
              <w:rPr/>
            </w:pPr>
            <w:hyperlink w:anchor="ITEM4CONTROLSANDPROCEDURES_270637">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PARTIIOTHERINFORMATION_669833">
              <w:r>
                <w:rPr>
                  <w:rStyle w:val="InternetLink"/>
                  <w:rFonts w:ascii="Times New Roman;Times;serif" w:hAnsi="Times New Roman;Times;serif"/>
                  <w:b/>
                  <w:i w:val="false"/>
                  <w:caps w:val="false"/>
                  <w:smallCaps w:val="false"/>
                  <w:sz w:val="20"/>
                </w:rPr>
                <w:t>Part II.</w:t>
              </w:r>
            </w:hyperlink>
          </w:p>
        </w:tc>
        <w:tc>
          <w:tcPr>
            <w:tcW w:w="8341" w:type="dxa"/>
            <w:tcBorders/>
            <w:vAlign w:val="center"/>
          </w:tcPr>
          <w:p>
            <w:pPr>
              <w:pStyle w:val="TableContents"/>
              <w:bidi w:val="0"/>
              <w:spacing w:before="0" w:after="0"/>
              <w:ind w:left="0" w:right="0" w:hanging="0"/>
              <w:jc w:val="both"/>
              <w:rPr/>
            </w:pPr>
            <w:hyperlink w:anchor="PARTIIOTHERINFORMATION_669833">
              <w:r>
                <w:rPr>
                  <w:rStyle w:val="InternetLink"/>
                  <w:rFonts w:ascii="Times New Roman;Times;serif" w:hAnsi="Times New Roman;Times;serif"/>
                  <w:b/>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ITEM1LEGALPROCEEDINGS_448899">
              <w:r>
                <w:rPr>
                  <w:rStyle w:val="InternetLink"/>
                  <w:rFonts w:ascii="Times New Roman;Times;serif" w:hAnsi="Times New Roman;Times;serif"/>
                  <w:b w:val="false"/>
                  <w:i w:val="false"/>
                  <w:caps w:val="false"/>
                  <w:smallCaps w:val="false"/>
                  <w:sz w:val="20"/>
                </w:rPr>
                <w:t>Item 1.</w:t>
              </w:r>
            </w:hyperlink>
          </w:p>
        </w:tc>
        <w:tc>
          <w:tcPr>
            <w:tcW w:w="8341" w:type="dxa"/>
            <w:tcBorders/>
            <w:vAlign w:val="center"/>
          </w:tcPr>
          <w:p>
            <w:pPr>
              <w:pStyle w:val="TableContents"/>
              <w:bidi w:val="0"/>
              <w:spacing w:before="0" w:after="0"/>
              <w:ind w:left="0" w:right="0" w:hanging="0"/>
              <w:jc w:val="both"/>
              <w:rPr/>
            </w:pPr>
            <w:hyperlink w:anchor="ITEM1LEGALPROCEEDINGS_448899">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ITEM1ARISKFACTORS_609704">
              <w:r>
                <w:rPr>
                  <w:rStyle w:val="InternetLink"/>
                  <w:rFonts w:ascii="Times New Roman;Times;serif" w:hAnsi="Times New Roman;Times;serif"/>
                  <w:b w:val="false"/>
                  <w:i w:val="false"/>
                  <w:caps w:val="false"/>
                  <w:smallCaps w:val="false"/>
                  <w:sz w:val="20"/>
                </w:rPr>
                <w:t>Item 1A.</w:t>
              </w:r>
            </w:hyperlink>
          </w:p>
        </w:tc>
        <w:tc>
          <w:tcPr>
            <w:tcW w:w="8341" w:type="dxa"/>
            <w:tcBorders/>
            <w:vAlign w:val="center"/>
          </w:tcPr>
          <w:p>
            <w:pPr>
              <w:pStyle w:val="TableContents"/>
              <w:bidi w:val="0"/>
              <w:spacing w:before="0" w:after="0"/>
              <w:ind w:left="0" w:right="0" w:hanging="0"/>
              <w:jc w:val="both"/>
              <w:rPr/>
            </w:pPr>
            <w:hyperlink w:anchor="ITEM1ARISKFACTORS_609704">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ITEM2UNREGISTEREDSALESOFEQUITY_417570">
              <w:r>
                <w:rPr>
                  <w:rStyle w:val="InternetLink"/>
                  <w:rFonts w:ascii="Times New Roman;Times;serif" w:hAnsi="Times New Roman;Times;serif"/>
                  <w:b w:val="false"/>
                  <w:i w:val="false"/>
                  <w:caps w:val="false"/>
                  <w:smallCaps w:val="false"/>
                  <w:sz w:val="20"/>
                </w:rPr>
                <w:t>Item 2.</w:t>
              </w:r>
            </w:hyperlink>
          </w:p>
        </w:tc>
        <w:tc>
          <w:tcPr>
            <w:tcW w:w="8341" w:type="dxa"/>
            <w:tcBorders/>
            <w:vAlign w:val="center"/>
          </w:tcPr>
          <w:p>
            <w:pPr>
              <w:pStyle w:val="TableContents"/>
              <w:bidi w:val="0"/>
              <w:spacing w:before="0" w:after="0"/>
              <w:ind w:left="0" w:right="0" w:hanging="0"/>
              <w:jc w:val="both"/>
              <w:rPr/>
            </w:pPr>
            <w:hyperlink w:anchor="ITEM2UNREGISTEREDSALESOFEQUITY_417570">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ITEM3DEFAULTSUPONSENIORSECURITIES_753663">
              <w:r>
                <w:rPr>
                  <w:rStyle w:val="InternetLink"/>
                  <w:rFonts w:ascii="Times New Roman;Times;serif" w:hAnsi="Times New Roman;Times;serif"/>
                  <w:b w:val="false"/>
                  <w:i w:val="false"/>
                  <w:caps w:val="false"/>
                  <w:smallCaps w:val="false"/>
                  <w:sz w:val="20"/>
                </w:rPr>
                <w:t>Item 3.</w:t>
              </w:r>
            </w:hyperlink>
          </w:p>
        </w:tc>
        <w:tc>
          <w:tcPr>
            <w:tcW w:w="8341" w:type="dxa"/>
            <w:tcBorders/>
            <w:vAlign w:val="center"/>
          </w:tcPr>
          <w:p>
            <w:pPr>
              <w:pStyle w:val="TableContents"/>
              <w:bidi w:val="0"/>
              <w:spacing w:before="0" w:after="0"/>
              <w:ind w:left="0" w:right="0" w:hanging="0"/>
              <w:jc w:val="both"/>
              <w:rPr/>
            </w:pPr>
            <w:hyperlink w:anchor="ITEM3DEFAULTSUPONSENIORSECURITIES_753663">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ITEM4MINESAFETYDISCLOSURES_417702">
              <w:r>
                <w:rPr>
                  <w:rStyle w:val="InternetLink"/>
                  <w:rFonts w:ascii="Times New Roman;Times;serif" w:hAnsi="Times New Roman;Times;serif"/>
                  <w:b w:val="false"/>
                  <w:i w:val="false"/>
                  <w:caps w:val="false"/>
                  <w:smallCaps w:val="false"/>
                  <w:sz w:val="20"/>
                </w:rPr>
                <w:t>Item 4.</w:t>
              </w:r>
            </w:hyperlink>
          </w:p>
        </w:tc>
        <w:tc>
          <w:tcPr>
            <w:tcW w:w="8341" w:type="dxa"/>
            <w:tcBorders/>
            <w:vAlign w:val="center"/>
          </w:tcPr>
          <w:p>
            <w:pPr>
              <w:pStyle w:val="TableContents"/>
              <w:bidi w:val="0"/>
              <w:spacing w:before="0" w:after="0"/>
              <w:ind w:left="0" w:right="0" w:hanging="0"/>
              <w:jc w:val="both"/>
              <w:rPr/>
            </w:pPr>
            <w:hyperlink w:anchor="ITEM4MINESAFETYDISCLOSURES_417702">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ITEM5OTHERINFORMATION_353440">
              <w:r>
                <w:rPr>
                  <w:rStyle w:val="InternetLink"/>
                  <w:rFonts w:ascii="Times New Roman;Times;serif" w:hAnsi="Times New Roman;Times;serif"/>
                  <w:b w:val="false"/>
                  <w:i w:val="false"/>
                  <w:caps w:val="false"/>
                  <w:smallCaps w:val="false"/>
                  <w:sz w:val="20"/>
                </w:rPr>
                <w:t>Item 5.</w:t>
              </w:r>
            </w:hyperlink>
          </w:p>
        </w:tc>
        <w:tc>
          <w:tcPr>
            <w:tcW w:w="8341" w:type="dxa"/>
            <w:tcBorders/>
            <w:vAlign w:val="center"/>
          </w:tcPr>
          <w:p>
            <w:pPr>
              <w:pStyle w:val="TableContents"/>
              <w:bidi w:val="0"/>
              <w:spacing w:before="0" w:after="0"/>
              <w:ind w:left="0" w:right="0" w:hanging="0"/>
              <w:jc w:val="both"/>
              <w:rPr/>
            </w:pPr>
            <w:hyperlink w:anchor="ITEM5OTHERINFORMATION_353440">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pBdr/>
              <w:bidi w:val="0"/>
              <w:spacing w:before="0" w:after="0"/>
              <w:ind w:left="0" w:right="0" w:hanging="0"/>
              <w:jc w:val="left"/>
              <w:rPr/>
            </w:pPr>
            <w:hyperlink w:anchor="ITEM6EXHIBITS_20622">
              <w:r>
                <w:rPr>
                  <w:rStyle w:val="InternetLink"/>
                  <w:rFonts w:ascii="Times New Roman;Times;serif" w:hAnsi="Times New Roman;Times;serif"/>
                  <w:b w:val="false"/>
                  <w:i w:val="false"/>
                  <w:caps w:val="false"/>
                  <w:smallCaps w:val="false"/>
                  <w:sz w:val="20"/>
                </w:rPr>
                <w:t>Item 6.</w:t>
              </w:r>
            </w:hyperlink>
          </w:p>
        </w:tc>
        <w:tc>
          <w:tcPr>
            <w:tcW w:w="8341" w:type="dxa"/>
            <w:tcBorders/>
            <w:vAlign w:val="center"/>
          </w:tcPr>
          <w:p>
            <w:pPr>
              <w:pStyle w:val="TableContents"/>
              <w:bidi w:val="0"/>
              <w:spacing w:before="0" w:after="0"/>
              <w:ind w:left="0" w:right="0" w:hanging="0"/>
              <w:jc w:val="both"/>
              <w:rPr/>
            </w:pPr>
            <w:hyperlink w:anchor="ITEM6EXHIBITS_20622">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pPr>
            <w:r>
              <w:rPr/>
              <w:t>​</w:t>
            </w:r>
          </w:p>
        </w:tc>
      </w:tr>
      <w:tr>
        <w:trPr/>
        <w:tc>
          <w:tcPr>
            <w:tcW w:w="725"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pPr>
            <w:hyperlink w:anchor="SIGNATURES_652864">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3" w:name="PARTIFINANCIALINFORMATION_555950"/>
      <w:bookmarkStart w:id="24" w:name="_f72b051f_5fe4_4db7_968c_252a891a3c77"/>
      <w:bookmarkEnd w:id="23"/>
      <w:bookmarkEnd w:id="24"/>
      <w:r>
        <w:rPr>
          <w:rFonts w:ascii="Times New Roman;Times;serif" w:hAnsi="Times New Roman;Times;serif"/>
          <w:b/>
          <w:sz w:val="20"/>
        </w:rPr>
        <w:t>PART I – FINANCIAL INFORMATION</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25" w:name="ITEM1CONDENSEDCONSOLIDATEDFINANCIALSTATE"/>
      <w:bookmarkEnd w:id="25"/>
      <w:r>
        <w:rPr>
          <w:rFonts w:ascii="Times New Roman;Times;serif" w:hAnsi="Times New Roman;Times;serif"/>
          <w:b/>
          <w:sz w:val="20"/>
        </w:rPr>
        <w:t>ITEM 1. CONDENSED CONSOLIDATED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MONSTER BEVERAGE CORPORATION AND SUBSIDIARIES</w:t>
      </w:r>
      <w:r>
        <w:rPr>
          <w:rFonts w:ascii="Times New Roman;Times;serif" w:hAnsi="Times New Roman;Times;serif"/>
          <w:sz w:val="20"/>
        </w:rPr>
        <w:t xml:space="preserve"> </w:t>
      </w:r>
    </w:p>
    <w:p>
      <w:pPr>
        <w:pStyle w:val="TextBody"/>
        <w:bidi w:val="0"/>
        <w:spacing w:before="0" w:after="0"/>
        <w:ind w:left="0" w:right="0" w:hanging="0"/>
        <w:jc w:val="left"/>
        <w:rPr>
          <w:rFonts w:ascii="Times New Roman;Times;serif" w:hAnsi="Times New Roman;Times;serif"/>
          <w:b/>
          <w:sz w:val="20"/>
        </w:rPr>
      </w:pPr>
      <w:bookmarkStart w:id="26" w:name="CONDENSEDCONSOLIDATEDBALANCESHEETS_69653"/>
      <w:bookmarkEnd w:id="26"/>
      <w:r>
        <w:rPr>
          <w:rFonts w:ascii="Times New Roman;Times;serif" w:hAnsi="Times New Roman;Times;serif"/>
          <w:b/>
          <w:sz w:val="20"/>
        </w:rPr>
        <w:t>CONDENSED CONSOLIDATED BALANCE SHEETS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SEPTEMBER 30, 2023 AND DECEMBER 31, 2022</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 Thousands, Except Par Value)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FnrcCh3HHkmgeQJi4u6noQ_44_5"/>
      <w:bookmarkStart w:id="28" w:name="Tc_av7eo9Z0x0eyVgONJJFnrQ_44_2"/>
      <w:bookmarkStart w:id="29" w:name="Tc_rIG61dS33kmS5w9_ZiLWCw_44_0"/>
      <w:bookmarkStart w:id="30" w:name="Tc_nz-hVHauGUiaDj12ug6XVg_43_0"/>
      <w:bookmarkStart w:id="31" w:name="Tc_kW2uBsBTiku-_SoGlc-GLg_42_0"/>
      <w:bookmarkStart w:id="32" w:name="Tc_NtcHMhmhekOWkyDE76woKg_41_0"/>
      <w:bookmarkStart w:id="33" w:name="Tc_7pGbSEBIXkiD0CFVtL6Spg_40_0"/>
      <w:bookmarkStart w:id="34" w:name="Tc_idEL8eNfN06o6XNchC8c4Q_39_0"/>
      <w:bookmarkStart w:id="35" w:name="Tc_XKid5adWokmtte8fDTfDaw_38_0"/>
      <w:bookmarkStart w:id="36" w:name="Tc_i5cs-2pzzUSeZmLTbphimQ_37_0"/>
      <w:bookmarkStart w:id="37" w:name="Tc_i6BSacEMY0-UXqmvgFZNmw_35_0"/>
      <w:bookmarkStart w:id="38" w:name="Tc_gFm3BDceCUi9VyZDLxhIwA_33_0"/>
      <w:bookmarkStart w:id="39" w:name="Tc_VDEiEWYbx0G5ecsSKBiAOQ_31_0"/>
      <w:bookmarkStart w:id="40" w:name="Tc_MOx1UlR4nUaI432S1U8wZg_29_0"/>
      <w:bookmarkStart w:id="41" w:name="Tc__29z07Zuy02XZ3JnJWFjBg_28_0"/>
      <w:bookmarkStart w:id="42" w:name="Tc_U_Nu9t235kmnxczbbt5GOw_27_0"/>
      <w:bookmarkStart w:id="43" w:name="Tc_ptwfKsMysEK7sWg_Y9NV_w_26_0"/>
      <w:bookmarkStart w:id="44" w:name="Tc_ryDmEc-tRkyqI8U0Mn3HOQ_25_0"/>
      <w:bookmarkStart w:id="45" w:name="Tc_kaa9qL2oaE2tusU7g9UFsw_24_0"/>
      <w:bookmarkStart w:id="46" w:name="Tc_HhpphsJJ3kuAe0W0Ksw2Gg_23_5"/>
      <w:bookmarkStart w:id="47" w:name="Tc_0paWJcQhFk2F887jwd-aLA_23_2"/>
      <w:bookmarkStart w:id="48" w:name="Tc_qQp1ug9B2kq99dIdVweg7A_23_0"/>
      <w:bookmarkStart w:id="49" w:name="Tc_5Nqg9Ko4mU6IP5TXENoMcg_22_0"/>
      <w:bookmarkStart w:id="50" w:name="Tc_fKAAO0PHpE-C6q_B4XbT9g_21_0"/>
      <w:bookmarkStart w:id="51" w:name="Tc_hsHQbq2sgUOrjtATjAES_A_19_5"/>
      <w:bookmarkStart w:id="52" w:name="Tc_U--Qu_VCsEOQOhDdGedaLA_19_2"/>
      <w:bookmarkStart w:id="53" w:name="Tc_JS-0nqlxy0mZMlV1koF8uw_19_0"/>
      <w:bookmarkStart w:id="54" w:name="Tc_l_8J1dJon0iOkprH1m1Z6w_18_0"/>
      <w:bookmarkStart w:id="55" w:name="Tc_6nIO86b9h06BZctXbzm_xA_17_0"/>
      <w:bookmarkStart w:id="56" w:name="Tc_MRsd6tziRkqi_3g5Ewz7sw_16_0"/>
      <w:bookmarkStart w:id="57" w:name="Tc_dgPziUBTFUi6E7wcJRuCXA_15_0"/>
      <w:bookmarkStart w:id="58" w:name="Tc_zW56wFSky0CUtebl_lb82w_14_0"/>
      <w:bookmarkStart w:id="59" w:name="Tc_L2MkBmpOHEKOST8NSuKrxw_13_0"/>
      <w:bookmarkStart w:id="60" w:name="Tc_7JdT34QyXEOI0oMmW1jRYg_11_0"/>
      <w:bookmarkStart w:id="61" w:name="Tc_ZIZo2E3c3kW0pU12fRXpkA_10_0"/>
      <w:bookmarkStart w:id="62" w:name="Tc_GzPVQGeFlEqcphhPmQ60Wg_9_0"/>
      <w:bookmarkStart w:id="63" w:name="Tc_WJ9TrBRJ2kC3w-EuOCTpCg_8_0"/>
      <w:bookmarkStart w:id="64" w:name="Tc_gXYXbajNAkGSDJugm_R_0Q_7_0"/>
      <w:bookmarkStart w:id="65" w:name="Tc_h7Cn1mJewkGbA1ZaRXYPYg_6_0"/>
      <w:bookmarkStart w:id="66" w:name="Tc_OlPA0QauMEerVojG-HV-Lw_5_5"/>
      <w:bookmarkStart w:id="67" w:name="Tc_3uOPYsDI8UisuJvl90_kew_5_2"/>
      <w:bookmarkStart w:id="68" w:name="Tc_WbtiV1ymA0OuG5wZcCocnQ_5_0"/>
      <w:bookmarkStart w:id="69" w:name="Tc_nWHbYAwiCUa5I3dhktgX2g_4_0"/>
      <w:bookmarkStart w:id="70" w:name="Tc_Vs3b-Lm80kCvSqwwdPnwhA_3_0"/>
      <w:bookmarkStart w:id="71" w:name="Tc_jZe_AvXY6U2041kVC7Y1vA_2_5"/>
      <w:bookmarkStart w:id="72" w:name="Tc_C3Ruw8bFYkaCKH2nhhGGgw_2_2"/>
      <w:bookmarkStart w:id="73" w:name="Tc_Qgt1xXjlsE2HqJiE89jHZQ_1_5"/>
      <w:bookmarkStart w:id="74" w:name="Tc_IU6Bx2uJb0aaDMwF1ys_1w_1_2"/>
      <w:bookmarkStart w:id="75" w:name="_aa78ee75_a14b_4317_a4f4_2660b50578dd"/>
      <w:bookmarkStart w:id="76" w:name="Tc_FnrcCh3HHkmgeQJi4u6noQ_44_5"/>
      <w:bookmarkStart w:id="77" w:name="Tc_av7eo9Z0x0eyVgONJJFnrQ_44_2"/>
      <w:bookmarkStart w:id="78" w:name="Tc_rIG61dS33kmS5w9_ZiLWCw_44_0"/>
      <w:bookmarkStart w:id="79" w:name="Tc_nz-hVHauGUiaDj12ug6XVg_43_0"/>
      <w:bookmarkStart w:id="80" w:name="Tc_kW2uBsBTiku-_SoGlc-GLg_42_0"/>
      <w:bookmarkStart w:id="81" w:name="Tc_NtcHMhmhekOWkyDE76woKg_41_0"/>
      <w:bookmarkStart w:id="82" w:name="Tc_7pGbSEBIXkiD0CFVtL6Spg_40_0"/>
      <w:bookmarkStart w:id="83" w:name="Tc_idEL8eNfN06o6XNchC8c4Q_39_0"/>
      <w:bookmarkStart w:id="84" w:name="Tc_XKid5adWokmtte8fDTfDaw_38_0"/>
      <w:bookmarkStart w:id="85" w:name="Tc_i5cs-2pzzUSeZmLTbphimQ_37_0"/>
      <w:bookmarkStart w:id="86" w:name="Tc_i6BSacEMY0-UXqmvgFZNmw_35_0"/>
      <w:bookmarkStart w:id="87" w:name="Tc_gFm3BDceCUi9VyZDLxhIwA_33_0"/>
      <w:bookmarkStart w:id="88" w:name="Tc_VDEiEWYbx0G5ecsSKBiAOQ_31_0"/>
      <w:bookmarkStart w:id="89" w:name="Tc_MOx1UlR4nUaI432S1U8wZg_29_0"/>
      <w:bookmarkStart w:id="90" w:name="Tc__29z07Zuy02XZ3JnJWFjBg_28_0"/>
      <w:bookmarkStart w:id="91" w:name="Tc_U_Nu9t235kmnxczbbt5GOw_27_0"/>
      <w:bookmarkStart w:id="92" w:name="Tc_ptwfKsMysEK7sWg_Y9NV_w_26_0"/>
      <w:bookmarkStart w:id="93" w:name="Tc_ryDmEc-tRkyqI8U0Mn3HOQ_25_0"/>
      <w:bookmarkStart w:id="94" w:name="Tc_kaa9qL2oaE2tusU7g9UFsw_24_0"/>
      <w:bookmarkStart w:id="95" w:name="Tc_HhpphsJJ3kuAe0W0Ksw2Gg_23_5"/>
      <w:bookmarkStart w:id="96" w:name="Tc_0paWJcQhFk2F887jwd-aLA_23_2"/>
      <w:bookmarkStart w:id="97" w:name="Tc_qQp1ug9B2kq99dIdVweg7A_23_0"/>
      <w:bookmarkStart w:id="98" w:name="Tc_5Nqg9Ko4mU6IP5TXENoMcg_22_0"/>
      <w:bookmarkStart w:id="99" w:name="Tc_fKAAO0PHpE-C6q_B4XbT9g_21_0"/>
      <w:bookmarkStart w:id="100" w:name="Tc_hsHQbq2sgUOrjtATjAES_A_19_5"/>
      <w:bookmarkStart w:id="101" w:name="Tc_U--Qu_VCsEOQOhDdGedaLA_19_2"/>
      <w:bookmarkStart w:id="102" w:name="Tc_JS-0nqlxy0mZMlV1koF8uw_19_0"/>
      <w:bookmarkStart w:id="103" w:name="Tc_l_8J1dJon0iOkprH1m1Z6w_18_0"/>
      <w:bookmarkStart w:id="104" w:name="Tc_6nIO86b9h06BZctXbzm_xA_17_0"/>
      <w:bookmarkStart w:id="105" w:name="Tc_MRsd6tziRkqi_3g5Ewz7sw_16_0"/>
      <w:bookmarkStart w:id="106" w:name="Tc_dgPziUBTFUi6E7wcJRuCXA_15_0"/>
      <w:bookmarkStart w:id="107" w:name="Tc_zW56wFSky0CUtebl_lb82w_14_0"/>
      <w:bookmarkStart w:id="108" w:name="Tc_L2MkBmpOHEKOST8NSuKrxw_13_0"/>
      <w:bookmarkStart w:id="109" w:name="Tc_7JdT34QyXEOI0oMmW1jRYg_11_0"/>
      <w:bookmarkStart w:id="110" w:name="Tc_ZIZo2E3c3kW0pU12fRXpkA_10_0"/>
      <w:bookmarkStart w:id="111" w:name="Tc_GzPVQGeFlEqcphhPmQ60Wg_9_0"/>
      <w:bookmarkStart w:id="112" w:name="Tc_WJ9TrBRJ2kC3w-EuOCTpCg_8_0"/>
      <w:bookmarkStart w:id="113" w:name="Tc_gXYXbajNAkGSDJugm_R_0Q_7_0"/>
      <w:bookmarkStart w:id="114" w:name="Tc_h7Cn1mJewkGbA1ZaRXYPYg_6_0"/>
      <w:bookmarkStart w:id="115" w:name="Tc_OlPA0QauMEerVojG-HV-Lw_5_5"/>
      <w:bookmarkStart w:id="116" w:name="Tc_3uOPYsDI8UisuJvl90_kew_5_2"/>
      <w:bookmarkStart w:id="117" w:name="Tc_WbtiV1ymA0OuG5wZcCocnQ_5_0"/>
      <w:bookmarkStart w:id="118" w:name="Tc_nWHbYAwiCUa5I3dhktgX2g_4_0"/>
      <w:bookmarkStart w:id="119" w:name="Tc_Vs3b-Lm80kCvSqwwdPnwhA_3_0"/>
      <w:bookmarkStart w:id="120" w:name="Tc_jZe_AvXY6U2041kVC7Y1vA_2_5"/>
      <w:bookmarkStart w:id="121" w:name="Tc_C3Ruw8bFYkaCKH2nhhGGgw_2_2"/>
      <w:bookmarkStart w:id="122" w:name="Tc_Qgt1xXjlsE2HqJiE89jHZQ_1_5"/>
      <w:bookmarkStart w:id="123" w:name="Tc_IU6Bx2uJb0aaDMwF1ys_1w_1_2"/>
      <w:bookmarkStart w:id="124" w:name="_aa78ee75_a14b_4317_a4f4_2660b50578dd"/>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tbl>
      <w:tblPr>
        <w:tblW w:w="10205" w:type="dxa"/>
        <w:jc w:val="left"/>
        <w:tblInd w:w="0" w:type="dxa"/>
        <w:tblLayout w:type="fixed"/>
        <w:tblCellMar>
          <w:top w:w="0" w:type="dxa"/>
          <w:left w:w="0" w:type="dxa"/>
          <w:bottom w:w="0" w:type="dxa"/>
          <w:right w:w="0" w:type="dxa"/>
        </w:tblCellMar>
      </w:tblPr>
      <w:tblGrid>
        <w:gridCol w:w="7272"/>
        <w:gridCol w:w="326"/>
        <w:gridCol w:w="198"/>
        <w:gridCol w:w="931"/>
        <w:gridCol w:w="326"/>
        <w:gridCol w:w="196"/>
        <w:gridCol w:w="956"/>
      </w:tblGrid>
      <w:tr>
        <w:trPr/>
        <w:tc>
          <w:tcPr>
            <w:tcW w:w="7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5730" cy="175260"/>
                      <wp:effectExtent l="0" t="0" r="0" b="0"/>
                      <wp:wrapNone/>
                      <wp:docPr id="5" name="Frame5"/>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91185" cy="175260"/>
                      <wp:effectExtent l="0" t="0" r="0" b="0"/>
                      <wp:wrapNone/>
                      <wp:docPr id="6" name="Frame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4460" cy="175260"/>
                      <wp:effectExtent l="0" t="0" r="0" b="0"/>
                      <wp:wrapNone/>
                      <wp:docPr id="8"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07060" cy="175260"/>
                      <wp:effectExtent l="0" t="0" r="0" b="0"/>
                      <wp:wrapNone/>
                      <wp:docPr id="9" name="Frame9"/>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1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72"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1,773,849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1,307,141</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investments</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1,236,752</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1,362,314</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1,231,188</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1,016,203</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883,582</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935,631</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162,676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109,823</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income taxes</w:t>
            </w:r>
          </w:p>
        </w:tc>
        <w:tc>
          <w:tcPr>
            <w:tcW w:w="32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23,468</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33,785</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5,311,515</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4,764,897</w:t>
            </w:r>
          </w:p>
        </w:tc>
      </w:tr>
      <w:tr>
        <w:trPr/>
        <w:tc>
          <w:tcPr>
            <w:tcW w:w="7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52,636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61,443</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731,208</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516,897</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 net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176,724</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177,039</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1,417,941</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1,417,941</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1,459,447</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1,220,410</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164,867</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134,478</w:t>
            </w:r>
          </w:p>
        </w:tc>
      </w:tr>
      <w:tr>
        <w:trPr/>
        <w:tc>
          <w:tcPr>
            <w:tcW w:w="7272"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9,314,338</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8,293,105</w:t>
            </w:r>
          </w:p>
        </w:tc>
      </w:tr>
      <w:tr>
        <w:trPr/>
        <w:tc>
          <w:tcPr>
            <w:tcW w:w="72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7272"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539,892</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444,265</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207,727</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172,991</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296,577</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255,631</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40,127</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43,311</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76,835</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72,463</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32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17,644</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13,317</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1,178,802</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1,001,978</w:t>
            </w:r>
          </w:p>
        </w:tc>
      </w:tr>
      <w:tr>
        <w:trPr/>
        <w:tc>
          <w:tcPr>
            <w:tcW w:w="7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209,136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223,800</w:t>
            </w:r>
          </w:p>
        </w:tc>
      </w:tr>
      <w:tr>
        <w:trPr/>
        <w:tc>
          <w:tcPr>
            <w:tcW w:w="7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42,286</w:t>
            </w:r>
          </w:p>
        </w:tc>
      </w:tr>
      <w:tr>
        <w:trPr/>
        <w:tc>
          <w:tcPr>
            <w:tcW w:w="7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COMMITMENTS AND CONTINGENCIES (Note 12)</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r>
      <w:tr>
        <w:trPr/>
        <w:tc>
          <w:tcPr>
            <w:tcW w:w="7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7272"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STOCKHOLDERS’ EQUITY</w:t>
            </w:r>
            <w:r>
              <w:rPr>
                <w:rFonts w:ascii="Times New Roman;Times;serif" w:hAnsi="Times New Roman;Times;serif"/>
                <w:sz w:val="12"/>
              </w:rPr>
              <w:t>1</w:t>
            </w: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 $0.005 par value; 5,000,000 shares authorized; 1,118,498 shares issued and 1,040,420 shares outstanding as of September 30, 2023; 1,283,688 shares issued and 1,044,600 shares outstanding as of December 31, 2022</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5,592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6,418</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4,893,289</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4,776,804</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5,572,757</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9,001,173</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(198,033)</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(159,073)</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in treasury, at cost; 78,078 shares and 239,088 shares as of September 30, 2023 and December 31, 2022, respectively</w:t>
            </w:r>
          </w:p>
        </w:tc>
        <w:tc>
          <w:tcPr>
            <w:tcW w:w="32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(2,400,456)</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(6,600,281)</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7,873,149</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7,025,041</w:t>
            </w:r>
          </w:p>
        </w:tc>
      </w:tr>
      <w:tr>
        <w:trPr/>
        <w:tc>
          <w:tcPr>
            <w:tcW w:w="7272" w:type="dxa"/>
            <w:tcBorders/>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9,314,338</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8,293,105</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sz w:val="16"/>
        </w:rPr>
        <w:t xml:space="preserve"> </w:t>
      </w:r>
      <w:r>
        <w:rPr>
          <w:rFonts w:ascii="Times New Roman;Times;serif" w:hAnsi="Times New Roman;Times;serif"/>
          <w:i/>
          <w:sz w:val="18"/>
        </w:rPr>
        <w:t>Stock Split - On February 28, 2023, the Company announced a two-for-one stock split of its common stock to be effected in the form of a 100% stock dividend. The stock dividend was issued on March 27, 2023 (the “Stock Split”). The accompanying condensed consolidated financial statements and notes thereto have been retroactively updated to reflect the Stock Split. See Note 1 for additional information.</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5" w:name="_6b8b5815_8517_4908_b27d_134bbfdae448"/>
      <w:bookmarkEnd w:id="125"/>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bookmarkStart w:id="126" w:name="STATEMENTSOFINCOME_393941"/>
      <w:bookmarkEnd w:id="126"/>
      <w:r>
        <w:rPr>
          <w:rFonts w:ascii="Times New Roman;Times;serif" w:hAnsi="Times New Roman;Times;serif"/>
          <w:b/>
          <w:sz w:val="20"/>
        </w:rPr>
        <w:t>CONDENSED CONSOLIDATED STATEMENTS OF INCOME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THREE- AND NINE-MONTHS ENDED SEPTEMBER 30, 2023 AND 2022</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 Thousands, Except Per Share Amounts)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7" w:name="Tc_lXPLXHWOb0mfWvmmmpCdlA_29_0"/>
      <w:bookmarkStart w:id="128" w:name="Tc_gzb8xiE1N0O9vnbEGpvIwQ_28_0"/>
      <w:bookmarkStart w:id="129" w:name="Tc_0w5jgZkeCkqpbrC4NTRK3w_27_0"/>
      <w:bookmarkStart w:id="130" w:name="Tc_6ivnO0cEC0mttXiilBRBfg_25_11"/>
      <w:bookmarkStart w:id="131" w:name="Tc_zw3X6pcxn02DlV6tCK5lqw_25_8"/>
      <w:bookmarkStart w:id="132" w:name="Tc_EJefNBAIbkG9Y_oNtznyWg_25_5"/>
      <w:bookmarkStart w:id="133" w:name="Tc_9vERsAchpUykv-SdXbU-5A_25_2"/>
      <w:bookmarkStart w:id="134" w:name="Tc_BQSHvIuihkCzz5BUJvCx3w_25_0"/>
      <w:bookmarkStart w:id="135" w:name="Tc_bsonWmeIKkugpaMj-dBFgA_24_11"/>
      <w:bookmarkStart w:id="136" w:name="Tc_7x7zkvbIkU-4bfiqWTsVgw_24_8"/>
      <w:bookmarkStart w:id="137" w:name="Tc_BO5c-ungREa1zxo-UTFxXQ_24_5"/>
      <w:bookmarkStart w:id="138" w:name="Tc_ltk64LiaN0iTriwcueM6kA_24_2"/>
      <w:bookmarkStart w:id="139" w:name="Tc_NBRnjUfv50iCif4xoPbr2w_24_0"/>
      <w:bookmarkStart w:id="140" w:name="Tc_ISZlNsmDp0CB_WoVskv4uQ_23_0"/>
      <w:bookmarkStart w:id="141" w:name="Tc_X33sftHvukmmPtlfpaV1lg_21_11"/>
      <w:bookmarkStart w:id="142" w:name="Tc_2OLVtPf320GlWJVAMYcFiw_21_8"/>
      <w:bookmarkStart w:id="143" w:name="Tc_AhJ_Mv9WCEa2v88Oy3NMEw_21_5"/>
      <w:bookmarkStart w:id="144" w:name="Tc_qHjEuQZWlkGH2NiRnF1tow_21_3"/>
      <w:bookmarkStart w:id="145" w:name="Tc_jPqUSSruwkeOuChMCy3Yxg_21_2"/>
      <w:bookmarkStart w:id="146" w:name="Tc_cq7IKSwlOEOG6L8JiZ_UMQ_21_0"/>
      <w:bookmarkStart w:id="147" w:name="Tc_jPcdjHKI00iADgCAg2uhdA_19_0"/>
      <w:bookmarkStart w:id="148" w:name="Tc_FbWuB8JaokGFPN-Tjtyhww_17_0"/>
      <w:bookmarkStart w:id="149" w:name="Tc_Bbd5b2cwZEKDrJlxGJ28fA_15_0"/>
      <w:bookmarkStart w:id="150" w:name="Tc_1yv0Qv15-0e9FPFBFPnMlA_13_0"/>
      <w:bookmarkStart w:id="151" w:name="Tc_Cs6VHLT1mEGx7rKZpBAniw_11_0"/>
      <w:bookmarkStart w:id="152" w:name="Tc_sw0cioZomkGcdGZEjttv6w_9_0"/>
      <w:bookmarkStart w:id="153" w:name="Tc_Je-gG_kFkk-xKXSw-vVa5Q_7_0"/>
      <w:bookmarkStart w:id="154" w:name="Tc_eqxtqnu080yYALPyawPQdA_5_11"/>
      <w:bookmarkStart w:id="155" w:name="Tc_N8wwYqrmtkWhYR6uFULO_A_5_8"/>
      <w:bookmarkStart w:id="156" w:name="Tc_Y7muYuCrS0O_KPE7Rg3q1Q_5_5"/>
      <w:bookmarkStart w:id="157" w:name="Tc_BDTFZ1nhLE--H2Dsfzb8Aw_5_2"/>
      <w:bookmarkStart w:id="158" w:name="Tc_YjDzEiEegkml_e9NvpBxBw_5_0"/>
      <w:bookmarkStart w:id="159" w:name="Tc_d4I6jblI_k2IQ6YKdFpU-A_3_11"/>
      <w:bookmarkStart w:id="160" w:name="Tc_yg02WiDpu0ClfTBLp_W2rg_3_8"/>
      <w:bookmarkStart w:id="161" w:name="Tc_MXeScxgD_EerH4LXprzepQ_3_5"/>
      <w:bookmarkStart w:id="162" w:name="Tc_qhrGVrFSoUy5LLvWTGK6GQ_3_2"/>
      <w:bookmarkStart w:id="163" w:name="Tc_glUCqTnewU6F0eZnvrVg9A_2_8"/>
      <w:bookmarkStart w:id="164" w:name="Tc_8KfHCQaVbEyAf5MF2gzNeA_2_2"/>
      <w:bookmarkStart w:id="165" w:name="Tc_hTg50jR8V0-f-ysAjaqjoA_1_8"/>
      <w:bookmarkStart w:id="166" w:name="Tc_xoLR8qcI0k6OzniIfsm0jA_1_2"/>
      <w:bookmarkStart w:id="167" w:name="_e41ed53e_8063_4a6b_97b7_63b0959abaf8"/>
      <w:bookmarkStart w:id="168" w:name="Tc_lXPLXHWOb0mfWvmmmpCdlA_29_0"/>
      <w:bookmarkStart w:id="169" w:name="Tc_gzb8xiE1N0O9vnbEGpvIwQ_28_0"/>
      <w:bookmarkStart w:id="170" w:name="Tc_0w5jgZkeCkqpbrC4NTRK3w_27_0"/>
      <w:bookmarkStart w:id="171" w:name="Tc_6ivnO0cEC0mttXiilBRBfg_25_11"/>
      <w:bookmarkStart w:id="172" w:name="Tc_zw3X6pcxn02DlV6tCK5lqw_25_8"/>
      <w:bookmarkStart w:id="173" w:name="Tc_EJefNBAIbkG9Y_oNtznyWg_25_5"/>
      <w:bookmarkStart w:id="174" w:name="Tc_9vERsAchpUykv-SdXbU-5A_25_2"/>
      <w:bookmarkStart w:id="175" w:name="Tc_BQSHvIuihkCzz5BUJvCx3w_25_0"/>
      <w:bookmarkStart w:id="176" w:name="Tc_bsonWmeIKkugpaMj-dBFgA_24_11"/>
      <w:bookmarkStart w:id="177" w:name="Tc_7x7zkvbIkU-4bfiqWTsVgw_24_8"/>
      <w:bookmarkStart w:id="178" w:name="Tc_BO5c-ungREa1zxo-UTFxXQ_24_5"/>
      <w:bookmarkStart w:id="179" w:name="Tc_ltk64LiaN0iTriwcueM6kA_24_2"/>
      <w:bookmarkStart w:id="180" w:name="Tc_NBRnjUfv50iCif4xoPbr2w_24_0"/>
      <w:bookmarkStart w:id="181" w:name="Tc_ISZlNsmDp0CB_WoVskv4uQ_23_0"/>
      <w:bookmarkStart w:id="182" w:name="Tc_X33sftHvukmmPtlfpaV1lg_21_11"/>
      <w:bookmarkStart w:id="183" w:name="Tc_2OLVtPf320GlWJVAMYcFiw_21_8"/>
      <w:bookmarkStart w:id="184" w:name="Tc_AhJ_Mv9WCEa2v88Oy3NMEw_21_5"/>
      <w:bookmarkStart w:id="185" w:name="Tc_qHjEuQZWlkGH2NiRnF1tow_21_3"/>
      <w:bookmarkStart w:id="186" w:name="Tc_jPqUSSruwkeOuChMCy3Yxg_21_2"/>
      <w:bookmarkStart w:id="187" w:name="Tc_cq7IKSwlOEOG6L8JiZ_UMQ_21_0"/>
      <w:bookmarkStart w:id="188" w:name="Tc_jPcdjHKI00iADgCAg2uhdA_19_0"/>
      <w:bookmarkStart w:id="189" w:name="Tc_FbWuB8JaokGFPN-Tjtyhww_17_0"/>
      <w:bookmarkStart w:id="190" w:name="Tc_Bbd5b2cwZEKDrJlxGJ28fA_15_0"/>
      <w:bookmarkStart w:id="191" w:name="Tc_1yv0Qv15-0e9FPFBFPnMlA_13_0"/>
      <w:bookmarkStart w:id="192" w:name="Tc_Cs6VHLT1mEGx7rKZpBAniw_11_0"/>
      <w:bookmarkStart w:id="193" w:name="Tc_sw0cioZomkGcdGZEjttv6w_9_0"/>
      <w:bookmarkStart w:id="194" w:name="Tc_Je-gG_kFkk-xKXSw-vVa5Q_7_0"/>
      <w:bookmarkStart w:id="195" w:name="Tc_eqxtqnu080yYALPyawPQdA_5_11"/>
      <w:bookmarkStart w:id="196" w:name="Tc_N8wwYqrmtkWhYR6uFULO_A_5_8"/>
      <w:bookmarkStart w:id="197" w:name="Tc_Y7muYuCrS0O_KPE7Rg3q1Q_5_5"/>
      <w:bookmarkStart w:id="198" w:name="Tc_BDTFZ1nhLE--H2Dsfzb8Aw_5_2"/>
      <w:bookmarkStart w:id="199" w:name="Tc_YjDzEiEegkml_e9NvpBxBw_5_0"/>
      <w:bookmarkStart w:id="200" w:name="Tc_d4I6jblI_k2IQ6YKdFpU-A_3_11"/>
      <w:bookmarkStart w:id="201" w:name="Tc_yg02WiDpu0ClfTBLp_W2rg_3_8"/>
      <w:bookmarkStart w:id="202" w:name="Tc_MXeScxgD_EerH4LXprzepQ_3_5"/>
      <w:bookmarkStart w:id="203" w:name="Tc_qhrGVrFSoUy5LLvWTGK6GQ_3_2"/>
      <w:bookmarkStart w:id="204" w:name="Tc_glUCqTnewU6F0eZnvrVg9A_2_8"/>
      <w:bookmarkStart w:id="205" w:name="Tc_8KfHCQaVbEyAf5MF2gzNeA_2_2"/>
      <w:bookmarkStart w:id="206" w:name="Tc_hTg50jR8V0-f-ysAjaqjoA_1_8"/>
      <w:bookmarkStart w:id="207" w:name="Tc_xoLR8qcI0k6OzniIfsm0jA_1_2"/>
      <w:bookmarkStart w:id="208" w:name="_e41ed53e_8063_4a6b_97b7_63b0959abaf8"/>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tbl>
      <w:tblPr>
        <w:tblW w:w="10205" w:type="dxa"/>
        <w:jc w:val="left"/>
        <w:tblInd w:w="0" w:type="dxa"/>
        <w:tblLayout w:type="fixed"/>
        <w:tblCellMar>
          <w:top w:w="0" w:type="dxa"/>
          <w:left w:w="0" w:type="dxa"/>
          <w:bottom w:w="0" w:type="dxa"/>
          <w:right w:w="0" w:type="dxa"/>
        </w:tblCellMar>
      </w:tblPr>
      <w:tblGrid>
        <w:gridCol w:w="4708"/>
        <w:gridCol w:w="326"/>
        <w:gridCol w:w="196"/>
        <w:gridCol w:w="826"/>
        <w:gridCol w:w="326"/>
        <w:gridCol w:w="196"/>
        <w:gridCol w:w="826"/>
        <w:gridCol w:w="326"/>
        <w:gridCol w:w="196"/>
        <w:gridCol w:w="826"/>
        <w:gridCol w:w="326"/>
        <w:gridCol w:w="196"/>
        <w:gridCol w:w="931"/>
      </w:tblGrid>
      <w:tr>
        <w:trPr/>
        <w:tc>
          <w:tcPr>
            <w:tcW w:w="4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989580" cy="175260"/>
                      <wp:effectExtent l="0" t="0" r="0" b="0"/>
                      <wp:wrapNone/>
                      <wp:docPr id="10" name="Frame10"/>
                      <a:graphic xmlns:a="http://schemas.openxmlformats.org/drawingml/2006/main">
                        <a:graphicData uri="http://schemas.microsoft.com/office/word/2010/wordprocessingShape">
                          <wps:wsp>
                            <wps:cNvSpPr txBox="1"/>
                            <wps:spPr>
                              <a:xfrm>
                                <a:off x="0" y="0"/>
                                <a:ext cx="298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4460" cy="175260"/>
                      <wp:effectExtent l="0" t="0" r="0" b="0"/>
                      <wp:wrapNone/>
                      <wp:docPr id="12" name="Frame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24510" cy="175260"/>
                      <wp:effectExtent l="0" t="0" r="0" b="0"/>
                      <wp:wrapNone/>
                      <wp:docPr id="13" name="Frame1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4460" cy="175260"/>
                      <wp:effectExtent l="0" t="0" r="0" b="0"/>
                      <wp:wrapNone/>
                      <wp:docPr id="15" name="Frame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24510" cy="175260"/>
                      <wp:effectExtent l="0" t="0" r="0" b="0"/>
                      <wp:wrapNone/>
                      <wp:docPr id="16" name="Frame1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24510" cy="175260"/>
                      <wp:effectExtent l="0" t="0" r="0" b="0"/>
                      <wp:wrapNone/>
                      <wp:docPr id="19" name="Frame1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21" name="Frame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91185" cy="175260"/>
                      <wp:effectExtent l="0" t="0" r="0" b="0"/>
                      <wp:wrapNone/>
                      <wp:docPr id="22" name="Frame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70"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Three-Months Ended</w:t>
            </w:r>
          </w:p>
        </w:tc>
        <w:tc>
          <w:tcPr>
            <w:tcW w:w="326" w:type="dxa"/>
            <w:tcBorders/>
            <w:vAlign w:val="center"/>
          </w:tcPr>
          <w:p>
            <w:pPr>
              <w:pStyle w:val="TableContents"/>
              <w:bidi w:val="0"/>
              <w:spacing w:before="0" w:after="0"/>
              <w:ind w:left="0" w:right="0" w:hanging="0"/>
              <w:jc w:val="left"/>
              <w:rPr/>
            </w:pPr>
            <w:r>
              <w:rPr/>
              <w:t>​</w:t>
            </w:r>
          </w:p>
        </w:tc>
        <w:tc>
          <w:tcPr>
            <w:tcW w:w="2475"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Nine-Months Ended</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326" w:type="dxa"/>
            <w:tcBorders/>
            <w:vAlign w:val="center"/>
          </w:tcPr>
          <w:p>
            <w:pPr>
              <w:pStyle w:val="TableContents"/>
              <w:bidi w:val="0"/>
              <w:spacing w:before="0" w:after="0"/>
              <w:ind w:left="0" w:right="0" w:hanging="0"/>
              <w:jc w:val="left"/>
              <w:rPr/>
            </w:pPr>
            <w:r>
              <w:rPr/>
              <w:t>​</w:t>
            </w:r>
          </w:p>
        </w:tc>
        <w:tc>
          <w:tcPr>
            <w:tcW w:w="24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47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1,856,028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1,624,286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5,409,919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4,798,119</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872,265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790,561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2,554,086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2,407,867</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983,763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833,725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2,855,833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2,390,252</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47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473,236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415,795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1,336,437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1,199,883</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47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510,527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417,930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1,519,396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1,190,369</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47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and 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71,357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99,010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(11,932)</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581,884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420,079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1,618,406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1,178,437</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129,190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97,692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354,397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288,487</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452,694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322,387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1,264,009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889,950</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NET INCOME PER COMMON SHARE</w:t>
            </w:r>
            <w:r>
              <w:rPr>
                <w:rFonts w:ascii="Times New Roman;Times;serif" w:hAnsi="Times New Roman;Times;serif"/>
                <w:sz w:val="14"/>
              </w:rPr>
              <w:t>1</w:t>
            </w:r>
            <w:r>
              <w:rPr>
                <w:rFonts w:ascii="Times New Roman;Times;serif" w:hAnsi="Times New Roman;Times;serif"/>
                <w:sz w:val="18"/>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47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0.84</w:t>
            </w:r>
          </w:p>
        </w:tc>
      </w:tr>
      <w:tr>
        <w:trPr/>
        <w:tc>
          <w:tcPr>
            <w:tcW w:w="47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0.83</w:t>
            </w:r>
          </w:p>
        </w:tc>
      </w:tr>
      <w:tr>
        <w:trPr/>
        <w:tc>
          <w:tcPr>
            <w:tcW w:w="47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70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WEIGHTED AVERAGE NUMBER OF SHARES OF COMMON STOCK AND COMMON STOCK EQUIVALENTS</w:t>
            </w:r>
            <w:r>
              <w:rPr>
                <w:rFonts w:ascii="Times New Roman;Times;serif" w:hAnsi="Times New Roman;Times;serif"/>
                <w:sz w:val="14"/>
              </w:rPr>
              <w:t>1</w:t>
            </w:r>
            <w:r>
              <w:rPr>
                <w:rFonts w:ascii="Times New Roman;Times;serif" w:hAnsi="Times New Roman;Times;serif"/>
                <w:sz w:val="18"/>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47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1,047,015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1,053,594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1,046,337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1,056,526</w:t>
            </w:r>
          </w:p>
        </w:tc>
      </w:tr>
      <w:tr>
        <w:trPr/>
        <w:tc>
          <w:tcPr>
            <w:tcW w:w="47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1,059,966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1,066,600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1,059,809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1,069,198</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i/>
          <w:sz w:val="15"/>
        </w:rPr>
        <w:t>1</w:t>
      </w:r>
      <w:r>
        <w:rPr>
          <w:rFonts w:ascii="Times New Roman;Times;serif" w:hAnsi="Times New Roman;Times;serif"/>
          <w:sz w:val="18"/>
        </w:rPr>
        <w:t xml:space="preserve"> </w:t>
      </w:r>
      <w:r>
        <w:rPr>
          <w:rFonts w:ascii="Times New Roman;Times;serif" w:hAnsi="Times New Roman;Times;serif"/>
          <w:i/>
          <w:sz w:val="18"/>
        </w:rPr>
        <w:t>Stock Split - The accompanying condensed consolidated financial statements and notes thereto have been retroactively updated to reflect the Stock Split. See Note 1 for additional information.</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09" w:name="_dd21a01d_95d3_4a94_97eb_6005b390c3ba"/>
      <w:bookmarkEnd w:id="209"/>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bookmarkStart w:id="210" w:name="STATEMENTSOFCOMPREHENSIVEINCOME_19420"/>
      <w:bookmarkEnd w:id="210"/>
      <w:r>
        <w:rPr>
          <w:rFonts w:ascii="Times New Roman;Times;serif" w:hAnsi="Times New Roman;Times;serif"/>
          <w:b/>
          <w:sz w:val="20"/>
        </w:rPr>
        <w:t>CONDENSED CONSOLIDATED STATEMENTS OF COMPREHENSIVE INCOME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THREE- AND NINE-MONTHS ENDED SEPTEMBER 30, 2023 AND 2022</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 Thousands)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1" w:name="Tc_1zlfbae-l0Kv2d_vs0ty3Q_11_11"/>
      <w:bookmarkStart w:id="212" w:name="Tc_eLSaSMcNQUCxLd54wZYGdQ_11_8"/>
      <w:bookmarkStart w:id="213" w:name="Tc_hqi6nO-SPUeAEcquinyI4g_11_5"/>
      <w:bookmarkStart w:id="214" w:name="Tc_yraIoeMC10i0LYVwYMderg_11_2"/>
      <w:bookmarkStart w:id="215" w:name="Tc_7mXOSfJelke4ZYx1MLXpGQ_11_0"/>
      <w:bookmarkStart w:id="216" w:name="Tc_DNxihVGOE0CioXdOLJwO8g_10_0"/>
      <w:bookmarkStart w:id="217" w:name="Tc_QHVRDvJZi0GmN48SQsJRlw_9_3"/>
      <w:bookmarkStart w:id="218" w:name="Tc_80Nsp5f37kC5CJeOYmojfw_9_0"/>
      <w:bookmarkStart w:id="219" w:name="Tc_q4jhO8d8cEa8ka5K4B_8XA_8_3"/>
      <w:bookmarkStart w:id="220" w:name="Tc_iwuWkpuRFUiup8ayq1SAaw_8_0"/>
      <w:bookmarkStart w:id="221" w:name="Tc_2Roz1hrwO0G-ax4C5zxqFg_7_0"/>
      <w:bookmarkStart w:id="222" w:name="Tc_xpyz2xhVv0CohNCsQzaNPQ_6_0"/>
      <w:bookmarkStart w:id="223" w:name="Tc_6vm7h692KE6GGPF8lwp95g_5_0"/>
      <w:bookmarkStart w:id="224" w:name="Tc_vbhvMbtKgk6DeQwfMe8AVw_4_11"/>
      <w:bookmarkStart w:id="225" w:name="Tc_oA5T47JM5UCJY4ggtyzh6Q_4_8"/>
      <w:bookmarkStart w:id="226" w:name="Tc_UbUjwWSYYU2S8yuRIEilCQ_4_5"/>
      <w:bookmarkStart w:id="227" w:name="Tc_aN9ATZkQ6ESG2b95kk9SCA_4_3"/>
      <w:bookmarkStart w:id="228" w:name="Tc_YYLi-_scRkGQQezU28MEyw_4_2"/>
      <w:bookmarkStart w:id="229" w:name="Tc_8oym3aZbPkCHCFsHbhdTeA_4_0"/>
      <w:bookmarkStart w:id="230" w:name="Tc_gA_4O4BdAUS7n8XCFwaY_Q_3_11"/>
      <w:bookmarkStart w:id="231" w:name="Tc_SYlIteNyeEaY0I1H714CvA_3_8"/>
      <w:bookmarkStart w:id="232" w:name="Tc_29Ac5HCWek2Dp66FswGrhw_3_5"/>
      <w:bookmarkStart w:id="233" w:name="Tc_iV9tq42ySkaOiUEteW9D1w_3_2"/>
      <w:bookmarkStart w:id="234" w:name="Tc_-7XTFDRfckyk_jobnoXlUQ_2_8"/>
      <w:bookmarkStart w:id="235" w:name="Tc_Wd2y80nOI06F4-FCJp7FYQ_2_2"/>
      <w:bookmarkStart w:id="236" w:name="Tc_ojKUm8GOjUGbfjbJCWCiiA_1_8"/>
      <w:bookmarkStart w:id="237" w:name="Tc_Gd1YGjbTzkSMX8-2e5XGuQ_1_2"/>
      <w:bookmarkStart w:id="238" w:name="_573ee5ac_a9bc_4816_916d_45e1e2716977"/>
      <w:bookmarkStart w:id="239" w:name="Tc_1zlfbae-l0Kv2d_vs0ty3Q_11_11"/>
      <w:bookmarkStart w:id="240" w:name="Tc_eLSaSMcNQUCxLd54wZYGdQ_11_8"/>
      <w:bookmarkStart w:id="241" w:name="Tc_hqi6nO-SPUeAEcquinyI4g_11_5"/>
      <w:bookmarkStart w:id="242" w:name="Tc_yraIoeMC10i0LYVwYMderg_11_2"/>
      <w:bookmarkStart w:id="243" w:name="Tc_7mXOSfJelke4ZYx1MLXpGQ_11_0"/>
      <w:bookmarkStart w:id="244" w:name="Tc_DNxihVGOE0CioXdOLJwO8g_10_0"/>
      <w:bookmarkStart w:id="245" w:name="Tc_QHVRDvJZi0GmN48SQsJRlw_9_3"/>
      <w:bookmarkStart w:id="246" w:name="Tc_80Nsp5f37kC5CJeOYmojfw_9_0"/>
      <w:bookmarkStart w:id="247" w:name="Tc_q4jhO8d8cEa8ka5K4B_8XA_8_3"/>
      <w:bookmarkStart w:id="248" w:name="Tc_iwuWkpuRFUiup8ayq1SAaw_8_0"/>
      <w:bookmarkStart w:id="249" w:name="Tc_2Roz1hrwO0G-ax4C5zxqFg_7_0"/>
      <w:bookmarkStart w:id="250" w:name="Tc_xpyz2xhVv0CohNCsQzaNPQ_6_0"/>
      <w:bookmarkStart w:id="251" w:name="Tc_6vm7h692KE6GGPF8lwp95g_5_0"/>
      <w:bookmarkStart w:id="252" w:name="Tc_vbhvMbtKgk6DeQwfMe8AVw_4_11"/>
      <w:bookmarkStart w:id="253" w:name="Tc_oA5T47JM5UCJY4ggtyzh6Q_4_8"/>
      <w:bookmarkStart w:id="254" w:name="Tc_UbUjwWSYYU2S8yuRIEilCQ_4_5"/>
      <w:bookmarkStart w:id="255" w:name="Tc_aN9ATZkQ6ESG2b95kk9SCA_4_3"/>
      <w:bookmarkStart w:id="256" w:name="Tc_YYLi-_scRkGQQezU28MEyw_4_2"/>
      <w:bookmarkStart w:id="257" w:name="Tc_8oym3aZbPkCHCFsHbhdTeA_4_0"/>
      <w:bookmarkStart w:id="258" w:name="Tc_gA_4O4BdAUS7n8XCFwaY_Q_3_11"/>
      <w:bookmarkStart w:id="259" w:name="Tc_SYlIteNyeEaY0I1H714CvA_3_8"/>
      <w:bookmarkStart w:id="260" w:name="Tc_29Ac5HCWek2Dp66FswGrhw_3_5"/>
      <w:bookmarkStart w:id="261" w:name="Tc_iV9tq42ySkaOiUEteW9D1w_3_2"/>
      <w:bookmarkStart w:id="262" w:name="Tc_-7XTFDRfckyk_jobnoXlUQ_2_8"/>
      <w:bookmarkStart w:id="263" w:name="Tc_Wd2y80nOI06F4-FCJp7FYQ_2_2"/>
      <w:bookmarkStart w:id="264" w:name="Tc_ojKUm8GOjUGbfjbJCWCiiA_1_8"/>
      <w:bookmarkStart w:id="265" w:name="Tc_Gd1YGjbTzkSMX8-2e5XGuQ_1_2"/>
      <w:bookmarkStart w:id="266" w:name="_573ee5ac_a9bc_4816_916d_45e1e2716977"/>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tbl>
      <w:tblPr>
        <w:tblW w:w="9818" w:type="dxa"/>
        <w:jc w:val="left"/>
        <w:tblInd w:w="0" w:type="dxa"/>
        <w:tblLayout w:type="fixed"/>
        <w:tblCellMar>
          <w:top w:w="0" w:type="dxa"/>
          <w:left w:w="0" w:type="dxa"/>
          <w:bottom w:w="0" w:type="dxa"/>
          <w:right w:w="0" w:type="dxa"/>
        </w:tblCellMar>
      </w:tblPr>
      <w:tblGrid>
        <w:gridCol w:w="4201"/>
        <w:gridCol w:w="326"/>
        <w:gridCol w:w="211"/>
        <w:gridCol w:w="796"/>
        <w:gridCol w:w="326"/>
        <w:gridCol w:w="211"/>
        <w:gridCol w:w="796"/>
        <w:gridCol w:w="326"/>
        <w:gridCol w:w="211"/>
        <w:gridCol w:w="931"/>
        <w:gridCol w:w="326"/>
        <w:gridCol w:w="211"/>
        <w:gridCol w:w="946"/>
      </w:tblGrid>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05460" cy="175260"/>
                      <wp:effectExtent l="0" t="0" r="0" b="0"/>
                      <wp:wrapNone/>
                      <wp:docPr id="24" name="Frame2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05460" cy="175260"/>
                      <wp:effectExtent l="0" t="0" r="0" b="0"/>
                      <wp:wrapNone/>
                      <wp:docPr id="27" name="Frame2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91185" cy="175260"/>
                      <wp:effectExtent l="0" t="0" r="0" b="0"/>
                      <wp:wrapNone/>
                      <wp:docPr id="30" name="Frame3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00710" cy="175260"/>
                      <wp:effectExtent l="0" t="0" r="0" b="0"/>
                      <wp:wrapNone/>
                      <wp:docPr id="33" name="Frame3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Three-Months Ended</w:t>
            </w:r>
          </w:p>
        </w:tc>
        <w:tc>
          <w:tcPr>
            <w:tcW w:w="326" w:type="dxa"/>
            <w:tcBorders/>
            <w:vAlign w:val="center"/>
          </w:tcPr>
          <w:p>
            <w:pPr>
              <w:pStyle w:val="TableContents"/>
              <w:bidi w:val="0"/>
              <w:spacing w:before="0" w:after="0"/>
              <w:ind w:left="0" w:right="0" w:hanging="0"/>
              <w:jc w:val="center"/>
              <w:rPr/>
            </w:pPr>
            <w:r>
              <w:rPr/>
              <w:t>    </w:t>
            </w:r>
          </w:p>
        </w:tc>
        <w:tc>
          <w:tcPr>
            <w:tcW w:w="262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Nine-Months Ended</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0"/>
              <w:ind w:left="0" w:right="0" w:hanging="0"/>
              <w:jc w:val="left"/>
              <w:rPr/>
            </w:pPr>
            <w:r>
              <w:rPr/>
              <w:t>​</w:t>
            </w:r>
          </w:p>
        </w:tc>
        <w:tc>
          <w:tcPr>
            <w:tcW w:w="26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as reported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452,694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322,387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1,264,009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889,950</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(147,450)</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net unrealized gains (losses)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(7,840)</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gains on commodity derivatives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(155,290)</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Comprehensive income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410,386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250,890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1,225,049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734,660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0"/>
        <w:ind w:left="0" w:right="0" w:hanging="0"/>
        <w:jc w:val="left"/>
        <w:rPr>
          <w:rFonts w:ascii="Times New Roman;Times;serif" w:hAnsi="Times New Roman;Times;serif"/>
          <w:b/>
          <w:sz w:val="20"/>
        </w:rPr>
      </w:pPr>
      <w:bookmarkStart w:id="267" w:name="_a5c5486d_53ee_4714_95bb_68800d15cdcb"/>
      <w:bookmarkEnd w:id="267"/>
      <w:r>
        <w:rPr>
          <w:rFonts w:ascii="Times New Roman;Times;serif" w:hAnsi="Times New Roman;Times;serif"/>
          <w:b/>
          <w:sz w:val="20"/>
        </w:rPr>
        <w:t>MONSTER BEVERAGE CORPORATION AND SUBSIDIARIES</w:t>
      </w:r>
    </w:p>
    <w:p>
      <w:pPr>
        <w:pStyle w:val="TextBody"/>
        <w:bidi w:val="0"/>
        <w:spacing w:lineRule="atLeast" w:line="220" w:before="0" w:after="0"/>
        <w:ind w:left="0" w:right="0" w:hanging="0"/>
        <w:jc w:val="left"/>
        <w:rPr>
          <w:rFonts w:ascii="Times New Roman;Times;serif" w:hAnsi="Times New Roman;Times;serif"/>
          <w:b/>
          <w:sz w:val="20"/>
        </w:rPr>
      </w:pPr>
      <w:bookmarkStart w:id="268" w:name="STATEMENTSOFSTOCKHOLDERSEQUITY_603690"/>
      <w:bookmarkEnd w:id="268"/>
      <w:r>
        <w:rPr>
          <w:rFonts w:ascii="Times New Roman;Times;serif" w:hAnsi="Times New Roman;Times;serif"/>
          <w:b/>
          <w:sz w:val="20"/>
        </w:rPr>
        <w:t xml:space="preserve">CONDENSED CONSOLIDATED STATEMENTS OF STOCKHOLDERS’ EQUITY </w:t>
      </w:r>
    </w:p>
    <w:p>
      <w:pPr>
        <w:pStyle w:val="TextBody"/>
        <w:pBdr/>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FOR THE THREE- AND NINE-MONTHS ENDED SEPTEMBER 30, 2023 AND 2022</w:t>
      </w:r>
    </w:p>
    <w:p>
      <w:pPr>
        <w:pStyle w:val="TextBody"/>
        <w:pBdr>
          <w:bottom w:val="single" w:sz="12" w:space="1" w:color="000000"/>
        </w:pBdr>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(In Thousands)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69" w:name="Tc_F2yP16LA-EKEfMfVJPzYmw_34_22"/>
      <w:bookmarkStart w:id="270" w:name="Tc_OTRcDjqoPkenPnKYJcW9mA_34_21"/>
      <w:bookmarkStart w:id="271" w:name="Tc_bIVQhpTjRkKmmtzH4cXphg_34_19"/>
      <w:bookmarkStart w:id="272" w:name="Tc_f7UPkA1F7UKKixqGwhQHfw_34_18"/>
      <w:bookmarkStart w:id="273" w:name="Tc_v8y2kkzefE2U24K1kWG6ZA_34_16"/>
      <w:bookmarkStart w:id="274" w:name="Tc_GCKUuj9suE2H1hB7Ey2zZA_34_14"/>
      <w:bookmarkStart w:id="275" w:name="Tc_lLrXR660zEKkvamAbYXAww_34_13"/>
      <w:bookmarkStart w:id="276" w:name="Tc_7hjkEsI-DUe4hDgYslE9Xg_34_11"/>
      <w:bookmarkStart w:id="277" w:name="Tc_FNn7x6A8kk6i3apq-1wUkw_34_10"/>
      <w:bookmarkStart w:id="278" w:name="Tc_H6ghtB6Y9UWDMRbeiXFEYA_34_8"/>
      <w:bookmarkStart w:id="279" w:name="Tc_L6WaBO5oV0-md0R0ofI2mg_34_7"/>
      <w:bookmarkStart w:id="280" w:name="Tc_370XclKFGEKn774pEQXyew_34_5"/>
      <w:bookmarkStart w:id="281" w:name="Tc_zTBbqZZNmkyEMrf4GNebyQ_34_4"/>
      <w:bookmarkStart w:id="282" w:name="Tc_paSUtZwAWE-UqiXO_Tsvag_34_2"/>
      <w:bookmarkStart w:id="283" w:name="Tc_KNfTWYTu-kagMdnevJozDw_34_0"/>
      <w:bookmarkStart w:id="284" w:name="Tc_7pBFQ7eGK0CTgoYpYML1sQ_32_22"/>
      <w:bookmarkStart w:id="285" w:name="Tc_Znw_8dUuJkWR6SyVLIMuZw_32_19"/>
      <w:bookmarkStart w:id="286" w:name="Tc_daciYWhzy06HgY0jRsHITA_32_16"/>
      <w:bookmarkStart w:id="287" w:name="Tc_54G6K2ot5Ei_vxfD16UmXA_32_14"/>
      <w:bookmarkStart w:id="288" w:name="Tc_as_7xXt5_EGR-3HHGXzgpg_32_11"/>
      <w:bookmarkStart w:id="289" w:name="Tc_JnwdnogToUOsw6uXjbRVZQ_32_8"/>
      <w:bookmarkStart w:id="290" w:name="Tc_x7dvQdViGUm1azwFHp59sQ_32_5"/>
      <w:bookmarkStart w:id="291" w:name="Tc_QDHk2F8SU0qNGxXAiCwD3g_32_2"/>
      <w:bookmarkStart w:id="292" w:name="Tc_v0GSYlDDVEWBwObIAiQ_Vw_32_0"/>
      <w:bookmarkStart w:id="293" w:name="Tc_AjHsYVdvm0i-0b7hb9Quiw_31_22"/>
      <w:bookmarkStart w:id="294" w:name="Tc_EiPLkDfkRUuEmWHft1YRQw_31_19"/>
      <w:bookmarkStart w:id="295" w:name="Tc_f87DL-4YYECbdvvrzGERdQ_31_16"/>
      <w:bookmarkStart w:id="296" w:name="Tc_iZJ6a-Vvo0S9zZ9uYKgUrw_31_11"/>
      <w:bookmarkStart w:id="297" w:name="Tc_owvpdiAB30K5A-v5aGdVDA_31_8"/>
      <w:bookmarkStart w:id="298" w:name="Tc_GkFnlA-a0kS4ShfFBJRLjg_31_5"/>
      <w:bookmarkStart w:id="299" w:name="Tc_QcyTNkoFB0SLlorq5CLkVg_31_2"/>
      <w:bookmarkStart w:id="300" w:name="Tc_Qrr0QHlIE0-U4efT2XK-_g_31_0"/>
      <w:bookmarkStart w:id="301" w:name="Tc_E7EisS4YNU2JMm_2uRt0RA_30_22"/>
      <w:bookmarkStart w:id="302" w:name="Tc_VZ_-SbaVy0quwWn_L4m4HA_30_19"/>
      <w:bookmarkStart w:id="303" w:name="Tc_pff29hoMgkO5w2_St1VDZg_30_16"/>
      <w:bookmarkStart w:id="304" w:name="Tc_7ZJoH4VUnEKKo5j17knyKQ_30_11"/>
      <w:bookmarkStart w:id="305" w:name="Tc_1BzB6qNKLk6XQCq4TJQl-w_30_8"/>
      <w:bookmarkStart w:id="306" w:name="Tc_w2tT-CGbWUSxhtS8qGVOiA_30_5"/>
      <w:bookmarkStart w:id="307" w:name="Tc_G-9YeB7i50iknfMrgX0uMw_30_2"/>
      <w:bookmarkStart w:id="308" w:name="Tc_zGcJRTB-G0uAJ7kUSrbFrw_30_0"/>
      <w:bookmarkStart w:id="309" w:name="Tc_g-adtSxCEE2j10cPMRYmZA_29_19"/>
      <w:bookmarkStart w:id="310" w:name="Tc_GkA_5JdUvkWfYYb1bxGXMg_29_16"/>
      <w:bookmarkStart w:id="311" w:name="Tc_MvxJqa0m6E24cP7G8TGyAQ_29_14"/>
      <w:bookmarkStart w:id="312" w:name="Tc_ZFYj6n9cSE2KXYYoq1berQ_29_11"/>
      <w:bookmarkStart w:id="313" w:name="Tc_hibnM2bsR0mRj_6Cs4aPxg_29_8"/>
      <w:bookmarkStart w:id="314" w:name="Tc_zR5kNy3E1UeWM7v7B1n4vg_29_5"/>
      <w:bookmarkStart w:id="315" w:name="Tc_Dt_FWY3Vi0-Jb7SGo0Ilig_29_2"/>
      <w:bookmarkStart w:id="316" w:name="Tc_9x0vhP543kuedCO_dyVzyw_29_0"/>
      <w:bookmarkStart w:id="317" w:name="Tc_sXFKZf3llkSHUaf4zXkWWw_28_19"/>
      <w:bookmarkStart w:id="318" w:name="Tc_w7LGsAEQ7E-FXvd5mi7kug_28_16"/>
      <w:bookmarkStart w:id="319" w:name="Tc_BIO-3aiw0U6jgYL5MORUBg_28_11"/>
      <w:bookmarkStart w:id="320" w:name="Tc_lGd7XoelQkeDwmqjvF8eaA_28_8"/>
      <w:bookmarkStart w:id="321" w:name="Tc_rbMxrIL5VEWNyAkp1dG_Aw_28_5"/>
      <w:bookmarkStart w:id="322" w:name="Tc_7N1hPGm0eUy_eQyxkQlyvg_28_2"/>
      <w:bookmarkStart w:id="323" w:name="Tc_WXZum1OtqEOcfaaRw2TDDw_28_0"/>
      <w:bookmarkStart w:id="324" w:name="Tc_PxYr6N97CkunhTW3RyL4AQ_27_22"/>
      <w:bookmarkStart w:id="325" w:name="Tc__yUAppEShU6IymSVYGXDlA_27_19"/>
      <w:bookmarkStart w:id="326" w:name="Tc_dynRwDGlG0Se2Z1PTA4IDg_27_16"/>
      <w:bookmarkStart w:id="327" w:name="Tc_wcYs328nk0yGpHV8EjYl7Q_27_14"/>
      <w:bookmarkStart w:id="328" w:name="Tc_6jd4fC-S-0u_xzpTT-98UA_27_11"/>
      <w:bookmarkStart w:id="329" w:name="Tc_VDVTpeFa306n8t_Fdkiueg_27_5"/>
      <w:bookmarkStart w:id="330" w:name="Tc_7BZEEfLyjUmde2h6d9vGqQ_27_2"/>
      <w:bookmarkStart w:id="331" w:name="Tc_6T51txVcTkW_oYtr9GCgaw_27_0"/>
      <w:bookmarkStart w:id="332" w:name="Tc_ddD5nsMcyECL86C0aaXEiw_26_19"/>
      <w:bookmarkStart w:id="333" w:name="Tc_Y2Ye1FtIwUWrO71LUp_CNg_26_16"/>
      <w:bookmarkStart w:id="334" w:name="Tc_cRhIwxV6EUeMihqsIrjudw_26_14"/>
      <w:bookmarkStart w:id="335" w:name="Tc_4ieGZL6ln0irVU6qFMOhSA_26_11"/>
      <w:bookmarkStart w:id="336" w:name="Tc_Lw3UaT-_j0Wbc9QFrL9AVQ_26_5"/>
      <w:bookmarkStart w:id="337" w:name="Tc_f5k9SV-bH0SPzKj0eQX-qA_26_2"/>
      <w:bookmarkStart w:id="338" w:name="Tc_j8UneTTui0qZTKekXFcLEQ_26_0"/>
      <w:bookmarkStart w:id="339" w:name="Tc_HcrvGzxyDEmpqlDyDUOP2g_24_21"/>
      <w:bookmarkStart w:id="340" w:name="Tc_P0j1kuDJ40qZA6z9p4mVWw_24_18"/>
      <w:bookmarkStart w:id="341" w:name="Tc_nKpBBr2yC0yx8B_Cmr5qcg_24_13"/>
      <w:bookmarkStart w:id="342" w:name="Tc_nvIKL4m-h0qbezS6_885-Q_24_10"/>
      <w:bookmarkStart w:id="343" w:name="Tc_J2Fs7k7B9kCvf8whRGEf5Q_24_7"/>
      <w:bookmarkStart w:id="344" w:name="Tc_tNWWCuztg0uEOaObq9Od0Q_24_4"/>
      <w:bookmarkStart w:id="345" w:name="Tc_9Lm10shA9EKEdDWXrzr-UQ_24_0"/>
      <w:bookmarkStart w:id="346" w:name="Tc_Di5gK_QpNEG0y4pwNwGuiQ_22_19"/>
      <w:bookmarkStart w:id="347" w:name="Tc_JT1FfSXFyUmk8bFfBTtZlg_22_16"/>
      <w:bookmarkStart w:id="348" w:name="Tc__c4zCbh6f0GXG-ziLZajNw_22_14"/>
      <w:bookmarkStart w:id="349" w:name="Tc_60l6udrPSkiRogIwASETaw_22_8"/>
      <w:bookmarkStart w:id="350" w:name="Tc_b1r01EhwbkqUyzGjJazAqg_22_5"/>
      <w:bookmarkStart w:id="351" w:name="Tc_KLS7KxDbLEWhWVz78sObQQ_22_2"/>
      <w:bookmarkStart w:id="352" w:name="Tc_V8cX64LE8U-oD64otufUXQ_22_0"/>
      <w:bookmarkStart w:id="353" w:name="Tc_1HirHaDHakiL_51WknDNBQ_21_19"/>
      <w:bookmarkStart w:id="354" w:name="Tc_zTOw79iVD02wXvF0rzywKA_21_16"/>
      <w:bookmarkStart w:id="355" w:name="Tc_92p8aDTa906ioQZzeFUHDA_21_11"/>
      <w:bookmarkStart w:id="356" w:name="Tc_CATBut9s2k2TMHzYzLw9cA_21_8"/>
      <w:bookmarkStart w:id="357" w:name="Tc_xsAWgyyKY0mkpCi8oYhQDQ_21_5"/>
      <w:bookmarkStart w:id="358" w:name="Tc_6gJNsypbFUOzXllUuDFOIQ_21_2"/>
      <w:bookmarkStart w:id="359" w:name="Tc_vhgYJyFy80eEsPM7xJKxBg_21_0"/>
      <w:bookmarkStart w:id="360" w:name="Tc_pX7olCn-oka2MzJnevWGSw_20_19"/>
      <w:bookmarkStart w:id="361" w:name="Tc_mcdDUOS1fEK9Xw1_TQN3wg_20_16"/>
      <w:bookmarkStart w:id="362" w:name="Tc_55D0MQO_vEiOwC2Z4JJl6Q_20_11"/>
      <w:bookmarkStart w:id="363" w:name="Tc_aiT_vcqPjUmsqg3RFdb4-w_20_8"/>
      <w:bookmarkStart w:id="364" w:name="Tc_hA2d6Ffqck-FQD0CwPeUsw_20_5"/>
      <w:bookmarkStart w:id="365" w:name="Tc_WDLtnKhMpEC1JqO_PrSooQ_20_2"/>
      <w:bookmarkStart w:id="366" w:name="Tc_v-Izq1jhMkybD94DHy5uJg_20_0"/>
      <w:bookmarkStart w:id="367" w:name="Tc_ACZpTZA-tEewBrbLcYbVJw_19_14"/>
      <w:bookmarkStart w:id="368" w:name="Tc_N9yD4wwrhkC48cAkev6Nyg_19_11"/>
      <w:bookmarkStart w:id="369" w:name="Tc_6gmN6bm32EujFT6TX4MvrA_19_8"/>
      <w:bookmarkStart w:id="370" w:name="Tc_nblBaaG1NE2yxJTrGMxHcw_19_5"/>
      <w:bookmarkStart w:id="371" w:name="Tc_z1KP5K85oEaoUu5hxOHLHA_19_2"/>
      <w:bookmarkStart w:id="372" w:name="Tc_6PqtY7qaMEOk_MfXd6VtCw_19_0"/>
      <w:bookmarkStart w:id="373" w:name="Tc_Tr3JuSFUI0GOim6I_uXnjg_18_19"/>
      <w:bookmarkStart w:id="374" w:name="Tc_QSwEcF8eRUipj9gQJo6ZSg_18_16"/>
      <w:bookmarkStart w:id="375" w:name="Tc_8kPm7WsNnkuxqTX4pQWIzw_18_11"/>
      <w:bookmarkStart w:id="376" w:name="Tc_thiX-_jOF0-ABSKK8NuEQA_18_8"/>
      <w:bookmarkStart w:id="377" w:name="Tc_3w1nMaD100C-i7AjsUjolQ_18_5"/>
      <w:bookmarkStart w:id="378" w:name="Tc_zDfALGrB9kGjyOMWeCVhBg_18_2"/>
      <w:bookmarkStart w:id="379" w:name="Tc_ZAB_UBKeA0aq2tP_NYu5gg_18_0"/>
      <w:bookmarkStart w:id="380" w:name="Tc_e85ZKqDUskConvepR_HVpw_17_19"/>
      <w:bookmarkStart w:id="381" w:name="Tc_zkjedAe040uRLH-e4H9NCg_17_16"/>
      <w:bookmarkStart w:id="382" w:name="Tc_SB76QDetp0Su5Iiq9XhfVw_17_14"/>
      <w:bookmarkStart w:id="383" w:name="Tc_CR1PjDvP70-sj4s0y4Hpsg_17_11"/>
      <w:bookmarkStart w:id="384" w:name="Tc_ceYvVEdfp0KUDZP9zg2FyA_17_0"/>
      <w:bookmarkStart w:id="385" w:name="Tc_yKp0IRyjnk2Mi39DDGAh7g_16_19"/>
      <w:bookmarkStart w:id="386" w:name="Tc_Z6UAAIM9f0qwKL6VtEfSyQ_16_16"/>
      <w:bookmarkStart w:id="387" w:name="Tc_ehtkU0MKU0OREAJuO9EWfA_16_14"/>
      <w:bookmarkStart w:id="388" w:name="Tc_HvexUFyxV0yrPVouhjbtxw_16_11"/>
      <w:bookmarkStart w:id="389" w:name="Tc_ScI9g8O7IUmO_ZJxN_Y-tg_16_5"/>
      <w:bookmarkStart w:id="390" w:name="Tc_q8TCfRjy90GwkXfLXJIRNg_16_2"/>
      <w:bookmarkStart w:id="391" w:name="Tc_YTW97KjquUqyDhrHj6PlMg_16_0"/>
      <w:bookmarkStart w:id="392" w:name="Tc_CbmSY01RR0KjMHcH5UMNEw_14_21"/>
      <w:bookmarkStart w:id="393" w:name="Tc_t0QhnVN-xUWxBLGYOQgf1w_14_18"/>
      <w:bookmarkStart w:id="394" w:name="Tc_qPuzkjiE9U2RnujLqVAjzQ_14_13"/>
      <w:bookmarkStart w:id="395" w:name="Tc_HQBbspFrc0ateB2zGyvqJA_14_10"/>
      <w:bookmarkStart w:id="396" w:name="Tc_qAZoKpAIFU2ZzBI4w6dS4A_14_7"/>
      <w:bookmarkStart w:id="397" w:name="Tc_P6ajldDS5kyGPwzABhwKrQ_14_4"/>
      <w:bookmarkStart w:id="398" w:name="Tc_KWZm6wsZp0S40ihMODolsw_14_0"/>
      <w:bookmarkStart w:id="399" w:name="Tc_Gpm6icHeckqm4qDDZDcsBA_12_19"/>
      <w:bookmarkStart w:id="400" w:name="Tc_BJpMNiQT-0ailDPbORUDfA_12_16"/>
      <w:bookmarkStart w:id="401" w:name="Tc_KfVnehfoKkaYKxqjchk2vA_12_14"/>
      <w:bookmarkStart w:id="402" w:name="Tc_AfREcNS_HECabp5IyUZLTQ_12_8"/>
      <w:bookmarkStart w:id="403" w:name="Tc_Leh9HQwIL0ehuVFYPKbNWA_12_5"/>
      <w:bookmarkStart w:id="404" w:name="Tc_vj8cI9wqgkyHRLMe_caPIg_12_2"/>
      <w:bookmarkStart w:id="405" w:name="Tc_aLMsq7AVIEGTh7RL9Nefug_12_0"/>
      <w:bookmarkStart w:id="406" w:name="Tc_nmJs7SISc0ymdpcyoRruSQ_11_19"/>
      <w:bookmarkStart w:id="407" w:name="Tc_zu8JAUCvuk-4v3E1WvWNug_11_16"/>
      <w:bookmarkStart w:id="408" w:name="Tc_K7nvLvcHTkmI4LhgFWdpmw_11_11"/>
      <w:bookmarkStart w:id="409" w:name="Tc_MJ3iCkD060KF1sR81QqNuw_11_8"/>
      <w:bookmarkStart w:id="410" w:name="Tc_EK1luggLOE6z58RmyJmL_g_11_5"/>
      <w:bookmarkStart w:id="411" w:name="Tc_VDiNOnbp2UOfcn0jjI_aFA_11_2"/>
      <w:bookmarkStart w:id="412" w:name="Tc_OruDkZ8BV0-egYOYzq5adg_11_0"/>
      <w:bookmarkStart w:id="413" w:name="Tc_NyYLGhOeokWR-JLaGlDOGg_10_22"/>
      <w:bookmarkStart w:id="414" w:name="Tc_4IVeaOCryUOgF81rc-SIrA_10_14"/>
      <w:bookmarkStart w:id="415" w:name="Tc_LcxK-Cuz9UWZMNhYPExSHQ_10_0"/>
      <w:bookmarkStart w:id="416" w:name="Tc_Q6U_heZqu0GSeU4U1JX2tA_9_14"/>
      <w:bookmarkStart w:id="417" w:name="Tc_PGT52ApXwESYUcFJ0rBSiw_9_11"/>
      <w:bookmarkStart w:id="418" w:name="Tc_D7rtyFYTxUGOOXZHDbElEw_9_8"/>
      <w:bookmarkStart w:id="419" w:name="Tc_YBiURBXsREKvgBPyQywP5Q_9_5"/>
      <w:bookmarkStart w:id="420" w:name="Tc_cAnqqmHzwkOVlSxd_w1wmA_9_2"/>
      <w:bookmarkStart w:id="421" w:name="Tc_F6ngZlgmx0SdIsu51r3fcQ_9_0"/>
      <w:bookmarkStart w:id="422" w:name="Tc_r8Xw_-m40UCf-zf3k9nmfw_8_19"/>
      <w:bookmarkStart w:id="423" w:name="Tc_UqnN6YIj5k69h_xPvg21ng_8_16"/>
      <w:bookmarkStart w:id="424" w:name="Tc_R0wrNqnJUUGr_mOMunc8Qw_8_11"/>
      <w:bookmarkStart w:id="425" w:name="Tc_BwzJGQk6oUeqyj-LQoTywQ_8_8"/>
      <w:bookmarkStart w:id="426" w:name="Tc_trL-OOGxYUqjBy66Q-OcgA_8_5"/>
      <w:bookmarkStart w:id="427" w:name="Tc_BDYJVVhCukW08o6GwE6zOg_8_2"/>
      <w:bookmarkStart w:id="428" w:name="Tc_MBj34XL6UUKmCJhBeVBH8A_8_0"/>
      <w:bookmarkStart w:id="429" w:name="Tc_zdJchLR_HEOf6FXpjmzhfw_7_19"/>
      <w:bookmarkStart w:id="430" w:name="Tc_RXtQOg3ZxEiBHevLc2X2PQ_7_16"/>
      <w:bookmarkStart w:id="431" w:name="Tc_R4GIuy7i7kWWt3_3S2dzhw_7_14"/>
      <w:bookmarkStart w:id="432" w:name="Tc_krOj03iHdUeO3mVYyDyfFA_7_11"/>
      <w:bookmarkStart w:id="433" w:name="Tc_gCKMM994q0i3l1Mdb1VnyQ_7_0"/>
      <w:bookmarkStart w:id="434" w:name="Tc_1DlrFALXhUOIZqWA38rn0g_6_19"/>
      <w:bookmarkStart w:id="435" w:name="Tc_PIly-TIEtUy5LW4K3uYklQ_6_16"/>
      <w:bookmarkStart w:id="436" w:name="Tc_X5sNaGNzVkOlmGuF_KSeHA_6_14"/>
      <w:bookmarkStart w:id="437" w:name="Tc_a6X5D4nmOEu7NWdOC62nVA_6_11"/>
      <w:bookmarkStart w:id="438" w:name="Tc_ZTFLt6kyBUmELB-TpUgl6A_6_5"/>
      <w:bookmarkStart w:id="439" w:name="Tc_bZaqQXl29kaMPsbG8-wbyg_6_2"/>
      <w:bookmarkStart w:id="440" w:name="Tc_n2xwUFY7FEWVPsKoS9NcUw_6_0"/>
      <w:bookmarkStart w:id="441" w:name="Tc_0nMJEIhZtUWTzPBWkUJhag_4_21"/>
      <w:bookmarkStart w:id="442" w:name="Tc_PNaey_sSMUWLNp9tyB92kg_4_18"/>
      <w:bookmarkStart w:id="443" w:name="Tc__2bXqoV6u0eDmM_iMbtQfA_4_13"/>
      <w:bookmarkStart w:id="444" w:name="Tc_r404IqsNw0OEm13n4ZwFfQ_4_10"/>
      <w:bookmarkStart w:id="445" w:name="Tc_yxwKxstiQEqR5nKwGmomeA_4_7"/>
      <w:bookmarkStart w:id="446" w:name="Tc_NALX-aJx3E6JCSrkv6W0YQ_4_4"/>
      <w:bookmarkStart w:id="447" w:name="Tc_v3zhKUGb302LBzAfhFP5qA_4_0"/>
      <w:bookmarkStart w:id="448" w:name="Tc_nerY9LgvG0yQlVg7sYpAVQ_3_21"/>
      <w:bookmarkStart w:id="449" w:name="Tc_pbq5zwLtCEmIXJ3TVWBBiA_3_18"/>
      <w:bookmarkStart w:id="450" w:name="Tc_JcQv9owGakmWn183JtYM0A_3_16"/>
      <w:bookmarkStart w:id="451" w:name="Tc__VY3TpD0qEaUfJAgDvRn3g_3_13"/>
      <w:bookmarkStart w:id="452" w:name="Tc_NMgj8yMx5Eum1ebbH1fr9Q_3_10"/>
      <w:bookmarkStart w:id="453" w:name="Tc_SDKPgKCuGUuRLZdWjC2Y_g_3_7"/>
      <w:bookmarkStart w:id="454" w:name="Tc_gPN-tke5HEmcNeZSqPomEg_3_4"/>
      <w:bookmarkStart w:id="455" w:name="Tc_o3FIv0ge4k6uvQbOK5_nww_3_2"/>
      <w:bookmarkStart w:id="456" w:name="Tc_cs8eCoT_3EKMf9Wi_aoaoQ_2_21"/>
      <w:bookmarkStart w:id="457" w:name="Tc_KgOyj7XrMEyGil2kWCk_5w_2_16"/>
      <w:bookmarkStart w:id="458" w:name="Tc_Fp8-K-iWZUSgkGgKjEsoig_2_13"/>
      <w:bookmarkStart w:id="459" w:name="Tc_5_hsIV8bdku0gx_DDXjjYA_2_10"/>
      <w:bookmarkStart w:id="460" w:name="Tc_MI-H2cKAw0-g6ikyBm-7sg_2_7"/>
      <w:bookmarkStart w:id="461" w:name="Tc_VD44lvMbWEWI9coTOZd6CQ_2_2"/>
      <w:bookmarkStart w:id="462" w:name="Tc_A5qfL5kylEarIPWtzBJTlA_1_21"/>
      <w:bookmarkStart w:id="463" w:name="Tc_TzT_tS7gykSp4GXvFDWZkQ_1_13"/>
      <w:bookmarkStart w:id="464" w:name="_7a4560e4_7e00_4866_9e2e_3d3fd636dbde"/>
      <w:bookmarkStart w:id="465" w:name="Tc_F2yP16LA-EKEfMfVJPzYmw_34_22"/>
      <w:bookmarkStart w:id="466" w:name="Tc_OTRcDjqoPkenPnKYJcW9mA_34_21"/>
      <w:bookmarkStart w:id="467" w:name="Tc_bIVQhpTjRkKmmtzH4cXphg_34_19"/>
      <w:bookmarkStart w:id="468" w:name="Tc_f7UPkA1F7UKKixqGwhQHfw_34_18"/>
      <w:bookmarkStart w:id="469" w:name="Tc_v8y2kkzefE2U24K1kWG6ZA_34_16"/>
      <w:bookmarkStart w:id="470" w:name="Tc_GCKUuj9suE2H1hB7Ey2zZA_34_14"/>
      <w:bookmarkStart w:id="471" w:name="Tc_lLrXR660zEKkvamAbYXAww_34_13"/>
      <w:bookmarkStart w:id="472" w:name="Tc_7hjkEsI-DUe4hDgYslE9Xg_34_11"/>
      <w:bookmarkStart w:id="473" w:name="Tc_FNn7x6A8kk6i3apq-1wUkw_34_10"/>
      <w:bookmarkStart w:id="474" w:name="Tc_H6ghtB6Y9UWDMRbeiXFEYA_34_8"/>
      <w:bookmarkStart w:id="475" w:name="Tc_L6WaBO5oV0-md0R0ofI2mg_34_7"/>
      <w:bookmarkStart w:id="476" w:name="Tc_370XclKFGEKn774pEQXyew_34_5"/>
      <w:bookmarkStart w:id="477" w:name="Tc_zTBbqZZNmkyEMrf4GNebyQ_34_4"/>
      <w:bookmarkStart w:id="478" w:name="Tc_paSUtZwAWE-UqiXO_Tsvag_34_2"/>
      <w:bookmarkStart w:id="479" w:name="Tc_KNfTWYTu-kagMdnevJozDw_34_0"/>
      <w:bookmarkStart w:id="480" w:name="Tc_7pBFQ7eGK0CTgoYpYML1sQ_32_22"/>
      <w:bookmarkStart w:id="481" w:name="Tc_Znw_8dUuJkWR6SyVLIMuZw_32_19"/>
      <w:bookmarkStart w:id="482" w:name="Tc_daciYWhzy06HgY0jRsHITA_32_16"/>
      <w:bookmarkStart w:id="483" w:name="Tc_54G6K2ot5Ei_vxfD16UmXA_32_14"/>
      <w:bookmarkStart w:id="484" w:name="Tc_as_7xXt5_EGR-3HHGXzgpg_32_11"/>
      <w:bookmarkStart w:id="485" w:name="Tc_JnwdnogToUOsw6uXjbRVZQ_32_8"/>
      <w:bookmarkStart w:id="486" w:name="Tc_x7dvQdViGUm1azwFHp59sQ_32_5"/>
      <w:bookmarkStart w:id="487" w:name="Tc_QDHk2F8SU0qNGxXAiCwD3g_32_2"/>
      <w:bookmarkStart w:id="488" w:name="Tc_v0GSYlDDVEWBwObIAiQ_Vw_32_0"/>
      <w:bookmarkStart w:id="489" w:name="Tc_AjHsYVdvm0i-0b7hb9Quiw_31_22"/>
      <w:bookmarkStart w:id="490" w:name="Tc_EiPLkDfkRUuEmWHft1YRQw_31_19"/>
      <w:bookmarkStart w:id="491" w:name="Tc_f87DL-4YYECbdvvrzGERdQ_31_16"/>
      <w:bookmarkStart w:id="492" w:name="Tc_iZJ6a-Vvo0S9zZ9uYKgUrw_31_11"/>
      <w:bookmarkStart w:id="493" w:name="Tc_owvpdiAB30K5A-v5aGdVDA_31_8"/>
      <w:bookmarkStart w:id="494" w:name="Tc_GkFnlA-a0kS4ShfFBJRLjg_31_5"/>
      <w:bookmarkStart w:id="495" w:name="Tc_QcyTNkoFB0SLlorq5CLkVg_31_2"/>
      <w:bookmarkStart w:id="496" w:name="Tc_Qrr0QHlIE0-U4efT2XK-_g_31_0"/>
      <w:bookmarkStart w:id="497" w:name="Tc_E7EisS4YNU2JMm_2uRt0RA_30_22"/>
      <w:bookmarkStart w:id="498" w:name="Tc_VZ_-SbaVy0quwWn_L4m4HA_30_19"/>
      <w:bookmarkStart w:id="499" w:name="Tc_pff29hoMgkO5w2_St1VDZg_30_16"/>
      <w:bookmarkStart w:id="500" w:name="Tc_7ZJoH4VUnEKKo5j17knyKQ_30_11"/>
      <w:bookmarkStart w:id="501" w:name="Tc_1BzB6qNKLk6XQCq4TJQl-w_30_8"/>
      <w:bookmarkStart w:id="502" w:name="Tc_w2tT-CGbWUSxhtS8qGVOiA_30_5"/>
      <w:bookmarkStart w:id="503" w:name="Tc_G-9YeB7i50iknfMrgX0uMw_30_2"/>
      <w:bookmarkStart w:id="504" w:name="Tc_zGcJRTB-G0uAJ7kUSrbFrw_30_0"/>
      <w:bookmarkStart w:id="505" w:name="Tc_g-adtSxCEE2j10cPMRYmZA_29_19"/>
      <w:bookmarkStart w:id="506" w:name="Tc_GkA_5JdUvkWfYYb1bxGXMg_29_16"/>
      <w:bookmarkStart w:id="507" w:name="Tc_MvxJqa0m6E24cP7G8TGyAQ_29_14"/>
      <w:bookmarkStart w:id="508" w:name="Tc_ZFYj6n9cSE2KXYYoq1berQ_29_11"/>
      <w:bookmarkStart w:id="509" w:name="Tc_hibnM2bsR0mRj_6Cs4aPxg_29_8"/>
      <w:bookmarkStart w:id="510" w:name="Tc_zR5kNy3E1UeWM7v7B1n4vg_29_5"/>
      <w:bookmarkStart w:id="511" w:name="Tc_Dt_FWY3Vi0-Jb7SGo0Ilig_29_2"/>
      <w:bookmarkStart w:id="512" w:name="Tc_9x0vhP543kuedCO_dyVzyw_29_0"/>
      <w:bookmarkStart w:id="513" w:name="Tc_sXFKZf3llkSHUaf4zXkWWw_28_19"/>
      <w:bookmarkStart w:id="514" w:name="Tc_w7LGsAEQ7E-FXvd5mi7kug_28_16"/>
      <w:bookmarkStart w:id="515" w:name="Tc_BIO-3aiw0U6jgYL5MORUBg_28_11"/>
      <w:bookmarkStart w:id="516" w:name="Tc_lGd7XoelQkeDwmqjvF8eaA_28_8"/>
      <w:bookmarkStart w:id="517" w:name="Tc_rbMxrIL5VEWNyAkp1dG_Aw_28_5"/>
      <w:bookmarkStart w:id="518" w:name="Tc_7N1hPGm0eUy_eQyxkQlyvg_28_2"/>
      <w:bookmarkStart w:id="519" w:name="Tc_WXZum1OtqEOcfaaRw2TDDw_28_0"/>
      <w:bookmarkStart w:id="520" w:name="Tc_PxYr6N97CkunhTW3RyL4AQ_27_22"/>
      <w:bookmarkStart w:id="521" w:name="Tc__yUAppEShU6IymSVYGXDlA_27_19"/>
      <w:bookmarkStart w:id="522" w:name="Tc_dynRwDGlG0Se2Z1PTA4IDg_27_16"/>
      <w:bookmarkStart w:id="523" w:name="Tc_wcYs328nk0yGpHV8EjYl7Q_27_14"/>
      <w:bookmarkStart w:id="524" w:name="Tc_6jd4fC-S-0u_xzpTT-98UA_27_11"/>
      <w:bookmarkStart w:id="525" w:name="Tc_VDVTpeFa306n8t_Fdkiueg_27_5"/>
      <w:bookmarkStart w:id="526" w:name="Tc_7BZEEfLyjUmde2h6d9vGqQ_27_2"/>
      <w:bookmarkStart w:id="527" w:name="Tc_6T51txVcTkW_oYtr9GCgaw_27_0"/>
      <w:bookmarkStart w:id="528" w:name="Tc_ddD5nsMcyECL86C0aaXEiw_26_19"/>
      <w:bookmarkStart w:id="529" w:name="Tc_Y2Ye1FtIwUWrO71LUp_CNg_26_16"/>
      <w:bookmarkStart w:id="530" w:name="Tc_cRhIwxV6EUeMihqsIrjudw_26_14"/>
      <w:bookmarkStart w:id="531" w:name="Tc_4ieGZL6ln0irVU6qFMOhSA_26_11"/>
      <w:bookmarkStart w:id="532" w:name="Tc_Lw3UaT-_j0Wbc9QFrL9AVQ_26_5"/>
      <w:bookmarkStart w:id="533" w:name="Tc_f5k9SV-bH0SPzKj0eQX-qA_26_2"/>
      <w:bookmarkStart w:id="534" w:name="Tc_j8UneTTui0qZTKekXFcLEQ_26_0"/>
      <w:bookmarkStart w:id="535" w:name="Tc_HcrvGzxyDEmpqlDyDUOP2g_24_21"/>
      <w:bookmarkStart w:id="536" w:name="Tc_P0j1kuDJ40qZA6z9p4mVWw_24_18"/>
      <w:bookmarkStart w:id="537" w:name="Tc_nKpBBr2yC0yx8B_Cmr5qcg_24_13"/>
      <w:bookmarkStart w:id="538" w:name="Tc_nvIKL4m-h0qbezS6_885-Q_24_10"/>
      <w:bookmarkStart w:id="539" w:name="Tc_J2Fs7k7B9kCvf8whRGEf5Q_24_7"/>
      <w:bookmarkStart w:id="540" w:name="Tc_tNWWCuztg0uEOaObq9Od0Q_24_4"/>
      <w:bookmarkStart w:id="541" w:name="Tc_9Lm10shA9EKEdDWXrzr-UQ_24_0"/>
      <w:bookmarkStart w:id="542" w:name="Tc_Di5gK_QpNEG0y4pwNwGuiQ_22_19"/>
      <w:bookmarkStart w:id="543" w:name="Tc_JT1FfSXFyUmk8bFfBTtZlg_22_16"/>
      <w:bookmarkStart w:id="544" w:name="Tc__c4zCbh6f0GXG-ziLZajNw_22_14"/>
      <w:bookmarkStart w:id="545" w:name="Tc_60l6udrPSkiRogIwASETaw_22_8"/>
      <w:bookmarkStart w:id="546" w:name="Tc_b1r01EhwbkqUyzGjJazAqg_22_5"/>
      <w:bookmarkStart w:id="547" w:name="Tc_KLS7KxDbLEWhWVz78sObQQ_22_2"/>
      <w:bookmarkStart w:id="548" w:name="Tc_V8cX64LE8U-oD64otufUXQ_22_0"/>
      <w:bookmarkStart w:id="549" w:name="Tc_1HirHaDHakiL_51WknDNBQ_21_19"/>
      <w:bookmarkStart w:id="550" w:name="Tc_zTOw79iVD02wXvF0rzywKA_21_16"/>
      <w:bookmarkStart w:id="551" w:name="Tc_92p8aDTa906ioQZzeFUHDA_21_11"/>
      <w:bookmarkStart w:id="552" w:name="Tc_CATBut9s2k2TMHzYzLw9cA_21_8"/>
      <w:bookmarkStart w:id="553" w:name="Tc_xsAWgyyKY0mkpCi8oYhQDQ_21_5"/>
      <w:bookmarkStart w:id="554" w:name="Tc_6gJNsypbFUOzXllUuDFOIQ_21_2"/>
      <w:bookmarkStart w:id="555" w:name="Tc_vhgYJyFy80eEsPM7xJKxBg_21_0"/>
      <w:bookmarkStart w:id="556" w:name="Tc_pX7olCn-oka2MzJnevWGSw_20_19"/>
      <w:bookmarkStart w:id="557" w:name="Tc_mcdDUOS1fEK9Xw1_TQN3wg_20_16"/>
      <w:bookmarkStart w:id="558" w:name="Tc_55D0MQO_vEiOwC2Z4JJl6Q_20_11"/>
      <w:bookmarkStart w:id="559" w:name="Tc_aiT_vcqPjUmsqg3RFdb4-w_20_8"/>
      <w:bookmarkStart w:id="560" w:name="Tc_hA2d6Ffqck-FQD0CwPeUsw_20_5"/>
      <w:bookmarkStart w:id="561" w:name="Tc_WDLtnKhMpEC1JqO_PrSooQ_20_2"/>
      <w:bookmarkStart w:id="562" w:name="Tc_v-Izq1jhMkybD94DHy5uJg_20_0"/>
      <w:bookmarkStart w:id="563" w:name="Tc_ACZpTZA-tEewBrbLcYbVJw_19_14"/>
      <w:bookmarkStart w:id="564" w:name="Tc_N9yD4wwrhkC48cAkev6Nyg_19_11"/>
      <w:bookmarkStart w:id="565" w:name="Tc_6gmN6bm32EujFT6TX4MvrA_19_8"/>
      <w:bookmarkStart w:id="566" w:name="Tc_nblBaaG1NE2yxJTrGMxHcw_19_5"/>
      <w:bookmarkStart w:id="567" w:name="Tc_z1KP5K85oEaoUu5hxOHLHA_19_2"/>
      <w:bookmarkStart w:id="568" w:name="Tc_6PqtY7qaMEOk_MfXd6VtCw_19_0"/>
      <w:bookmarkStart w:id="569" w:name="Tc_Tr3JuSFUI0GOim6I_uXnjg_18_19"/>
      <w:bookmarkStart w:id="570" w:name="Tc_QSwEcF8eRUipj9gQJo6ZSg_18_16"/>
      <w:bookmarkStart w:id="571" w:name="Tc_8kPm7WsNnkuxqTX4pQWIzw_18_11"/>
      <w:bookmarkStart w:id="572" w:name="Tc_thiX-_jOF0-ABSKK8NuEQA_18_8"/>
      <w:bookmarkStart w:id="573" w:name="Tc_3w1nMaD100C-i7AjsUjolQ_18_5"/>
      <w:bookmarkStart w:id="574" w:name="Tc_zDfALGrB9kGjyOMWeCVhBg_18_2"/>
      <w:bookmarkStart w:id="575" w:name="Tc_ZAB_UBKeA0aq2tP_NYu5gg_18_0"/>
      <w:bookmarkStart w:id="576" w:name="Tc_e85ZKqDUskConvepR_HVpw_17_19"/>
      <w:bookmarkStart w:id="577" w:name="Tc_zkjedAe040uRLH-e4H9NCg_17_16"/>
      <w:bookmarkStart w:id="578" w:name="Tc_SB76QDetp0Su5Iiq9XhfVw_17_14"/>
      <w:bookmarkStart w:id="579" w:name="Tc_CR1PjDvP70-sj4s0y4Hpsg_17_11"/>
      <w:bookmarkStart w:id="580" w:name="Tc_ceYvVEdfp0KUDZP9zg2FyA_17_0"/>
      <w:bookmarkStart w:id="581" w:name="Tc_yKp0IRyjnk2Mi39DDGAh7g_16_19"/>
      <w:bookmarkStart w:id="582" w:name="Tc_Z6UAAIM9f0qwKL6VtEfSyQ_16_16"/>
      <w:bookmarkStart w:id="583" w:name="Tc_ehtkU0MKU0OREAJuO9EWfA_16_14"/>
      <w:bookmarkStart w:id="584" w:name="Tc_HvexUFyxV0yrPVouhjbtxw_16_11"/>
      <w:bookmarkStart w:id="585" w:name="Tc_ScI9g8O7IUmO_ZJxN_Y-tg_16_5"/>
      <w:bookmarkStart w:id="586" w:name="Tc_q8TCfRjy90GwkXfLXJIRNg_16_2"/>
      <w:bookmarkStart w:id="587" w:name="Tc_YTW97KjquUqyDhrHj6PlMg_16_0"/>
      <w:bookmarkStart w:id="588" w:name="Tc_CbmSY01RR0KjMHcH5UMNEw_14_21"/>
      <w:bookmarkStart w:id="589" w:name="Tc_t0QhnVN-xUWxBLGYOQgf1w_14_18"/>
      <w:bookmarkStart w:id="590" w:name="Tc_qPuzkjiE9U2RnujLqVAjzQ_14_13"/>
      <w:bookmarkStart w:id="591" w:name="Tc_HQBbspFrc0ateB2zGyvqJA_14_10"/>
      <w:bookmarkStart w:id="592" w:name="Tc_qAZoKpAIFU2ZzBI4w6dS4A_14_7"/>
      <w:bookmarkStart w:id="593" w:name="Tc_P6ajldDS5kyGPwzABhwKrQ_14_4"/>
      <w:bookmarkStart w:id="594" w:name="Tc_KWZm6wsZp0S40ihMODolsw_14_0"/>
      <w:bookmarkStart w:id="595" w:name="Tc_Gpm6icHeckqm4qDDZDcsBA_12_19"/>
      <w:bookmarkStart w:id="596" w:name="Tc_BJpMNiQT-0ailDPbORUDfA_12_16"/>
      <w:bookmarkStart w:id="597" w:name="Tc_KfVnehfoKkaYKxqjchk2vA_12_14"/>
      <w:bookmarkStart w:id="598" w:name="Tc_AfREcNS_HECabp5IyUZLTQ_12_8"/>
      <w:bookmarkStart w:id="599" w:name="Tc_Leh9HQwIL0ehuVFYPKbNWA_12_5"/>
      <w:bookmarkStart w:id="600" w:name="Tc_vj8cI9wqgkyHRLMe_caPIg_12_2"/>
      <w:bookmarkStart w:id="601" w:name="Tc_aLMsq7AVIEGTh7RL9Nefug_12_0"/>
      <w:bookmarkStart w:id="602" w:name="Tc_nmJs7SISc0ymdpcyoRruSQ_11_19"/>
      <w:bookmarkStart w:id="603" w:name="Tc_zu8JAUCvuk-4v3E1WvWNug_11_16"/>
      <w:bookmarkStart w:id="604" w:name="Tc_K7nvLvcHTkmI4LhgFWdpmw_11_11"/>
      <w:bookmarkStart w:id="605" w:name="Tc_MJ3iCkD060KF1sR81QqNuw_11_8"/>
      <w:bookmarkStart w:id="606" w:name="Tc_EK1luggLOE6z58RmyJmL_g_11_5"/>
      <w:bookmarkStart w:id="607" w:name="Tc_VDiNOnbp2UOfcn0jjI_aFA_11_2"/>
      <w:bookmarkStart w:id="608" w:name="Tc_OruDkZ8BV0-egYOYzq5adg_11_0"/>
      <w:bookmarkStart w:id="609" w:name="Tc_NyYLGhOeokWR-JLaGlDOGg_10_22"/>
      <w:bookmarkStart w:id="610" w:name="Tc_4IVeaOCryUOgF81rc-SIrA_10_14"/>
      <w:bookmarkStart w:id="611" w:name="Tc_LcxK-Cuz9UWZMNhYPExSHQ_10_0"/>
      <w:bookmarkStart w:id="612" w:name="Tc_Q6U_heZqu0GSeU4U1JX2tA_9_14"/>
      <w:bookmarkStart w:id="613" w:name="Tc_PGT52ApXwESYUcFJ0rBSiw_9_11"/>
      <w:bookmarkStart w:id="614" w:name="Tc_D7rtyFYTxUGOOXZHDbElEw_9_8"/>
      <w:bookmarkStart w:id="615" w:name="Tc_YBiURBXsREKvgBPyQywP5Q_9_5"/>
      <w:bookmarkStart w:id="616" w:name="Tc_cAnqqmHzwkOVlSxd_w1wmA_9_2"/>
      <w:bookmarkStart w:id="617" w:name="Tc_F6ngZlgmx0SdIsu51r3fcQ_9_0"/>
      <w:bookmarkStart w:id="618" w:name="Tc_r8Xw_-m40UCf-zf3k9nmfw_8_19"/>
      <w:bookmarkStart w:id="619" w:name="Tc_UqnN6YIj5k69h_xPvg21ng_8_16"/>
      <w:bookmarkStart w:id="620" w:name="Tc_R0wrNqnJUUGr_mOMunc8Qw_8_11"/>
      <w:bookmarkStart w:id="621" w:name="Tc_BwzJGQk6oUeqyj-LQoTywQ_8_8"/>
      <w:bookmarkStart w:id="622" w:name="Tc_trL-OOGxYUqjBy66Q-OcgA_8_5"/>
      <w:bookmarkStart w:id="623" w:name="Tc_BDYJVVhCukW08o6GwE6zOg_8_2"/>
      <w:bookmarkStart w:id="624" w:name="Tc_MBj34XL6UUKmCJhBeVBH8A_8_0"/>
      <w:bookmarkStart w:id="625" w:name="Tc_zdJchLR_HEOf6FXpjmzhfw_7_19"/>
      <w:bookmarkStart w:id="626" w:name="Tc_RXtQOg3ZxEiBHevLc2X2PQ_7_16"/>
      <w:bookmarkStart w:id="627" w:name="Tc_R4GIuy7i7kWWt3_3S2dzhw_7_14"/>
      <w:bookmarkStart w:id="628" w:name="Tc_krOj03iHdUeO3mVYyDyfFA_7_11"/>
      <w:bookmarkStart w:id="629" w:name="Tc_gCKMM994q0i3l1Mdb1VnyQ_7_0"/>
      <w:bookmarkStart w:id="630" w:name="Tc_1DlrFALXhUOIZqWA38rn0g_6_19"/>
      <w:bookmarkStart w:id="631" w:name="Tc_PIly-TIEtUy5LW4K3uYklQ_6_16"/>
      <w:bookmarkStart w:id="632" w:name="Tc_X5sNaGNzVkOlmGuF_KSeHA_6_14"/>
      <w:bookmarkStart w:id="633" w:name="Tc_a6X5D4nmOEu7NWdOC62nVA_6_11"/>
      <w:bookmarkStart w:id="634" w:name="Tc_ZTFLt6kyBUmELB-TpUgl6A_6_5"/>
      <w:bookmarkStart w:id="635" w:name="Tc_bZaqQXl29kaMPsbG8-wbyg_6_2"/>
      <w:bookmarkStart w:id="636" w:name="Tc_n2xwUFY7FEWVPsKoS9NcUw_6_0"/>
      <w:bookmarkStart w:id="637" w:name="Tc_0nMJEIhZtUWTzPBWkUJhag_4_21"/>
      <w:bookmarkStart w:id="638" w:name="Tc_PNaey_sSMUWLNp9tyB92kg_4_18"/>
      <w:bookmarkStart w:id="639" w:name="Tc__2bXqoV6u0eDmM_iMbtQfA_4_13"/>
      <w:bookmarkStart w:id="640" w:name="Tc_r404IqsNw0OEm13n4ZwFfQ_4_10"/>
      <w:bookmarkStart w:id="641" w:name="Tc_yxwKxstiQEqR5nKwGmomeA_4_7"/>
      <w:bookmarkStart w:id="642" w:name="Tc_NALX-aJx3E6JCSrkv6W0YQ_4_4"/>
      <w:bookmarkStart w:id="643" w:name="Tc_v3zhKUGb302LBzAfhFP5qA_4_0"/>
      <w:bookmarkStart w:id="644" w:name="Tc_nerY9LgvG0yQlVg7sYpAVQ_3_21"/>
      <w:bookmarkStart w:id="645" w:name="Tc_pbq5zwLtCEmIXJ3TVWBBiA_3_18"/>
      <w:bookmarkStart w:id="646" w:name="Tc_JcQv9owGakmWn183JtYM0A_3_16"/>
      <w:bookmarkStart w:id="647" w:name="Tc__VY3TpD0qEaUfJAgDvRn3g_3_13"/>
      <w:bookmarkStart w:id="648" w:name="Tc_NMgj8yMx5Eum1ebbH1fr9Q_3_10"/>
      <w:bookmarkStart w:id="649" w:name="Tc_SDKPgKCuGUuRLZdWjC2Y_g_3_7"/>
      <w:bookmarkStart w:id="650" w:name="Tc_gPN-tke5HEmcNeZSqPomEg_3_4"/>
      <w:bookmarkStart w:id="651" w:name="Tc_o3FIv0ge4k6uvQbOK5_nww_3_2"/>
      <w:bookmarkStart w:id="652" w:name="Tc_cs8eCoT_3EKMf9Wi_aoaoQ_2_21"/>
      <w:bookmarkStart w:id="653" w:name="Tc_KgOyj7XrMEyGil2kWCk_5w_2_16"/>
      <w:bookmarkStart w:id="654" w:name="Tc_Fp8-K-iWZUSgkGgKjEsoig_2_13"/>
      <w:bookmarkStart w:id="655" w:name="Tc_5_hsIV8bdku0gx_DDXjjYA_2_10"/>
      <w:bookmarkStart w:id="656" w:name="Tc_MI-H2cKAw0-g6ikyBm-7sg_2_7"/>
      <w:bookmarkStart w:id="657" w:name="Tc_VD44lvMbWEWI9coTOZd6CQ_2_2"/>
      <w:bookmarkStart w:id="658" w:name="Tc_A5qfL5kylEarIPWtzBJTlA_1_21"/>
      <w:bookmarkStart w:id="659" w:name="Tc_TzT_tS7gykSp4GXvFDWZkQ_1_13"/>
      <w:bookmarkStart w:id="660" w:name="_7a4560e4_7e00_4866_9e2e_3d3fd636dbde"/>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tbl>
      <w:tblPr>
        <w:tblW w:w="11936" w:type="dxa"/>
        <w:jc w:val="left"/>
        <w:tblInd w:w="0" w:type="dxa"/>
        <w:tblLayout w:type="fixed"/>
        <w:tblCellMar>
          <w:top w:w="0" w:type="dxa"/>
          <w:left w:w="0" w:type="dxa"/>
          <w:bottom w:w="0" w:type="dxa"/>
          <w:right w:w="0" w:type="dxa"/>
        </w:tblCellMar>
      </w:tblPr>
      <w:tblGrid>
        <w:gridCol w:w="1321"/>
        <w:gridCol w:w="326"/>
        <w:gridCol w:w="826"/>
        <w:gridCol w:w="326"/>
        <w:gridCol w:w="196"/>
        <w:gridCol w:w="511"/>
        <w:gridCol w:w="326"/>
        <w:gridCol w:w="233"/>
        <w:gridCol w:w="983"/>
        <w:gridCol w:w="326"/>
        <w:gridCol w:w="196"/>
        <w:gridCol w:w="886"/>
        <w:gridCol w:w="326"/>
        <w:gridCol w:w="316"/>
        <w:gridCol w:w="900"/>
        <w:gridCol w:w="326"/>
        <w:gridCol w:w="751"/>
        <w:gridCol w:w="326"/>
        <w:gridCol w:w="196"/>
        <w:gridCol w:w="886"/>
        <w:gridCol w:w="326"/>
        <w:gridCol w:w="196"/>
        <w:gridCol w:w="931"/>
      </w:tblGrid>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24510" cy="175260"/>
                      <wp:effectExtent l="0" t="0" r="0" b="0"/>
                      <wp:wrapNone/>
                      <wp:docPr id="35" name="Frame3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37" name="Frame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24485" cy="175260"/>
                      <wp:effectExtent l="0" t="0" r="0" b="0"/>
                      <wp:wrapNone/>
                      <wp:docPr id="38" name="Frame3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7955" cy="175260"/>
                      <wp:effectExtent l="0" t="0" r="0" b="0"/>
                      <wp:wrapNone/>
                      <wp:docPr id="40" name="Frame40"/>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24205" cy="175260"/>
                      <wp:effectExtent l="0" t="0" r="0" b="0"/>
                      <wp:wrapNone/>
                      <wp:docPr id="41" name="Frame41"/>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62610" cy="175260"/>
                      <wp:effectExtent l="0" t="0" r="0" b="0"/>
                      <wp:wrapNone/>
                      <wp:docPr id="44" name="Frame4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0660" cy="175260"/>
                      <wp:effectExtent l="0" t="0" r="0" b="0"/>
                      <wp:wrapNone/>
                      <wp:docPr id="46" name="Frame4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71500" cy="175260"/>
                      <wp:effectExtent l="0" t="0" r="0" b="0"/>
                      <wp:wrapNone/>
                      <wp:docPr id="47" name="Frame47"/>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76885" cy="175260"/>
                      <wp:effectExtent l="0" t="0" r="0" b="0"/>
                      <wp:wrapNone/>
                      <wp:docPr id="49" name="Frame4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51" name="Frame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62610" cy="175260"/>
                      <wp:effectExtent l="0" t="0" r="0" b="0"/>
                      <wp:wrapNone/>
                      <wp:docPr id="52" name="Frame5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91185" cy="175260"/>
                      <wp:effectExtent l="0" t="0" r="0" b="0"/>
                      <wp:wrapNone/>
                      <wp:docPr id="55" name="Frame5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21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1,283,688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6,418</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4,776,804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9,001,173</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(159,073)</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(239,088)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(6,600,281)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7,025,041</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15,743</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options/awards</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36,329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36,348</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net on available-for-sale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3,181</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3,181</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(90,378)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(90,378)</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Retirement of treasury stock</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(850)</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(4,692,425)</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4,692,850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7,981</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7,981</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397,444</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397,444</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March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1,117,392</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5,587</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4,829,301</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4,706,192</w:t>
            </w:r>
          </w:p>
        </w:tc>
        <w:tc>
          <w:tcPr>
            <w:tcW w:w="326" w:type="dxa"/>
            <w:tcBorders/>
            <w:shd w:fill="CCEEFF" w:val="clear"/>
            <w:vAlign w:val="center"/>
          </w:tcPr>
          <w:p>
            <w:pPr>
              <w:pStyle w:val="TableContents"/>
              <w:bidi w:val="0"/>
              <w:spacing w:before="0" w:after="0"/>
              <w:ind w:left="0" w:right="0" w:hanging="0"/>
              <w:jc w:val="left"/>
              <w:rPr/>
            </w:pPr>
            <w:r>
              <w:rPr/>
              <w:t>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(147,911)</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(70,776)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(1,997,809)</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7,395,360</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17,176</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options/awards</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23,318</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net on available-for-sale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(773)</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(773)</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(5,775)</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(5,775)</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losses on commodity derivatives</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(1,266)</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(1,266)</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413,871</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413,871</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1,118,269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5,591</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4,869,791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5,120,063</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(155,725)</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(1,998,256)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7,841,464</w:t>
            </w:r>
          </w:p>
        </w:tc>
      </w:tr>
      <w:tr>
        <w:trPr/>
        <w:tc>
          <w:tcPr>
            <w:tcW w:w="1321"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Stock-based compensation </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17,605</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options/awards</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5,894</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net on available-for-sale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1,272</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1,272</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Repurchase of common stock </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(7,294)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(402,200)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(402,200)</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Foreign currency translation </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(48,280)</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(48,280)</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gains on commodity derivatives </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4,700</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4,700</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452,694</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452,694</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Balance, September 30, 2023 </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1,118,498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5,592</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4,893,289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5,572,757</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(198,033)</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(2,400,456)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7,873,149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CONDENSED CONSOLIDATED STATEMENTS OF STOCKHOLDERS’ EQUITY </w:t>
      </w:r>
    </w:p>
    <w:p>
      <w:pPr>
        <w:pStyle w:val="TextBody"/>
        <w:pBdr/>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FOR THE THREE- AND NINE-MONTHS ENDED SEPTEMBER 30, 2023 AND 2022</w:t>
      </w:r>
    </w:p>
    <w:p>
      <w:pPr>
        <w:pStyle w:val="TextBody"/>
        <w:pBdr>
          <w:bottom w:val="single" w:sz="12" w:space="1" w:color="000000"/>
        </w:pBdr>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(In Thousands) (Unaudited) (Continued)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61" w:name="Tc_5vJt78kSLEqt7m8ap23lrw_31_21"/>
      <w:bookmarkStart w:id="662" w:name="Tc_5bB7UP910kCvn49k19Fv_A_31_18"/>
      <w:bookmarkStart w:id="663" w:name="Tc_Ob6ooqC680eJijRmPBjGKg_31_13"/>
      <w:bookmarkStart w:id="664" w:name="Tc_bryN8qbB90ma906XhVxaXg_31_10"/>
      <w:bookmarkStart w:id="665" w:name="Tc__iVRbhLzK0iZq7gZQAFnjw_31_7"/>
      <w:bookmarkStart w:id="666" w:name="Tc_xrmYoAiLYUeUI2Q_LefFPg_31_4"/>
      <w:bookmarkStart w:id="667" w:name="Tc_TBNSfN57PkaafFwdLYldlA_31_0"/>
      <w:bookmarkStart w:id="668" w:name="Tc_B26d4OqZrUSwSMoFYA0FNg_29_19"/>
      <w:bookmarkStart w:id="669" w:name="Tc_5r-bK8tgB0a5FJxxpTGemA_29_16"/>
      <w:bookmarkStart w:id="670" w:name="Tc_XeOij873TkqlIpBqb5wr6g_29_14"/>
      <w:bookmarkStart w:id="671" w:name="Tc_PU3GgAWL-kmvede3KAyZKQ_29_8"/>
      <w:bookmarkStart w:id="672" w:name="Tc_-DaLzwJAxUSgB-SH1vqjiA_29_5"/>
      <w:bookmarkStart w:id="673" w:name="Tc_i2ZpmsOsfECK0dhwprWNAA_29_2"/>
      <w:bookmarkStart w:id="674" w:name="Tc_mt8z3fTUZkyKH1wiEwr_ww_29_0"/>
      <w:bookmarkStart w:id="675" w:name="Tc_tRwrpnNPYU-mp-z4VwaztA_28_19"/>
      <w:bookmarkStart w:id="676" w:name="Tc_a3NSRSVs_k-1wIs8r18icA_28_16"/>
      <w:bookmarkStart w:id="677" w:name="Tc_4YM4WXE6I0uJXYWLGm5p6g_28_11"/>
      <w:bookmarkStart w:id="678" w:name="Tc_maRq74AIOE6HTfn270bJZg_28_8"/>
      <w:bookmarkStart w:id="679" w:name="Tc_O82BkRTmX0qBfzi9bw2lJg_28_5"/>
      <w:bookmarkStart w:id="680" w:name="Tc_ekGfX9_o30aZl9kUzykg0A_28_2"/>
      <w:bookmarkStart w:id="681" w:name="Tc_8ZJx4o2uLEq0r6dA3keTKw_28_0"/>
      <w:bookmarkStart w:id="682" w:name="Tc_DepW1PEisEibUEpt03Q-fg_27_14"/>
      <w:bookmarkStart w:id="683" w:name="Tc_bbBriS2pXka6WEgkcHccFg_27_11"/>
      <w:bookmarkStart w:id="684" w:name="Tc_N_LQJzpTrEeut70JdTRj5A_27_8"/>
      <w:bookmarkStart w:id="685" w:name="Tc_4Lg3hKfu20-XIUI7cQsiUQ_27_5"/>
      <w:bookmarkStart w:id="686" w:name="Tc_Rb46HUGCZkCnUA23gPZP9w_27_2"/>
      <w:bookmarkStart w:id="687" w:name="Tc_on2sTQ3AgEyKYTi7zlh71g_27_0"/>
      <w:bookmarkStart w:id="688" w:name="Tc_MGObhNDXOEO68K_usvA19A_26_19"/>
      <w:bookmarkStart w:id="689" w:name="Tc_W3NLFonjF0ybdOReBMqqug_26_16"/>
      <w:bookmarkStart w:id="690" w:name="Tc__DWtzyFXb0SdvV3dE-U08g_26_11"/>
      <w:bookmarkStart w:id="691" w:name="Tc_dZY3ePXz4EC_8ZzUXbJwxQ_26_8"/>
      <w:bookmarkStart w:id="692" w:name="Tc_smegLGmxPEOn-xxufWU3Qg_26_5"/>
      <w:bookmarkStart w:id="693" w:name="Tc_Ho-5QrhOdESVaJ36nodRyg_26_2"/>
      <w:bookmarkStart w:id="694" w:name="Tc_q4sUaRWt0k-5RNWqKLPIAA_26_0"/>
      <w:bookmarkStart w:id="695" w:name="Tc_5vfk4NawB0GSwk-7r-_4iA_25_19"/>
      <w:bookmarkStart w:id="696" w:name="Tc_cjvjUkpy_EKZWW5R3RtNQA_25_16"/>
      <w:bookmarkStart w:id="697" w:name="Tc_eb1IX_ohCEy68ygmcYmE5g_25_14"/>
      <w:bookmarkStart w:id="698" w:name="Tc_qSH3y3GrEkiNoOpqAPzj4w_25_11"/>
      <w:bookmarkStart w:id="699" w:name="Tc_7FSZoGoJzk6cCCAL1xsjUg_25_0"/>
      <w:bookmarkStart w:id="700" w:name="Tc_sHwxbX7SdkWaDYxbNU1cqg_24_19"/>
      <w:bookmarkStart w:id="701" w:name="Tc_MCK9GYo9dEybs0b3C1gNYw_24_16"/>
      <w:bookmarkStart w:id="702" w:name="Tc_mVkJ8Ye6E06x7Zg2-97KZQ_24_14"/>
      <w:bookmarkStart w:id="703" w:name="Tc_UZglkruekEOrKYnLigFHLQ_24_11"/>
      <w:bookmarkStart w:id="704" w:name="Tc_AY6o5HEJ50Cu8D-5BkqdaQ_24_5"/>
      <w:bookmarkStart w:id="705" w:name="Tc_ozNqb6dOxUKae7EjfaKDEw_24_2"/>
      <w:bookmarkStart w:id="706" w:name="Tc_Fcc78D2ZLU-10QTpN_GWfw_24_0"/>
      <w:bookmarkStart w:id="707" w:name="Tc_zhUZuM4v5kmBz5BaG1xAjQ_22_21"/>
      <w:bookmarkStart w:id="708" w:name="Tc_6BNr4eMzr0aUwWHFfbZdow_22_18"/>
      <w:bookmarkStart w:id="709" w:name="Tc_4KcrF4lUPkepdHtWOx46lQ_22_13"/>
      <w:bookmarkStart w:id="710" w:name="Tc_S4yznBJo6U6mqfXnu34ZLQ_22_10"/>
      <w:bookmarkStart w:id="711" w:name="Tc_vDRi_zxj5ESLMQwtnxusbQ_22_7"/>
      <w:bookmarkStart w:id="712" w:name="Tc_Az0dFWaAZ0CCTPoQFTaNEg_22_4"/>
      <w:bookmarkStart w:id="713" w:name="Tc_sEERtS_C5E2YHRSWgAb4YA_22_0"/>
      <w:bookmarkStart w:id="714" w:name="Tc_3vtAi2DnzEePwAKsvxodfA_20_19"/>
      <w:bookmarkStart w:id="715" w:name="Tc_SY0lPvQ9yEyP78ArO4RztQ_20_16"/>
      <w:bookmarkStart w:id="716" w:name="Tc_iqhcGEPd4UK8dWBFuhNjeQ_20_14"/>
      <w:bookmarkStart w:id="717" w:name="Tc_ix9Fx8lTO06utLoukysJhw_20_8"/>
      <w:bookmarkStart w:id="718" w:name="Tc_cMrOeSD2W0SHBNl_aWRJmA_20_5"/>
      <w:bookmarkStart w:id="719" w:name="Tc_EMaPLMWutky-jQCLXBWlCA_20_2"/>
      <w:bookmarkStart w:id="720" w:name="Tc_PMYGU-K4ckay3T1qk3bPDg_20_0"/>
      <w:bookmarkStart w:id="721" w:name="Tc_PnYUUptaNUSZlxfczYQ_NQ_19_19"/>
      <w:bookmarkStart w:id="722" w:name="Tc_rmPMZwqy10KbC2AqY_Qxpg_19_16"/>
      <w:bookmarkStart w:id="723" w:name="Tc_vXgrXM8x9UKQQ0yO9NgmgA_19_11"/>
      <w:bookmarkStart w:id="724" w:name="Tc_0JMhoHXWRE-Vf0ftUx5iNA_19_8"/>
      <w:bookmarkStart w:id="725" w:name="Tc_Bdua_IHfdUaZ8ApC8JdENQ_19_5"/>
      <w:bookmarkStart w:id="726" w:name="Tc_eCAJfjnWVEGjTafHAtRW5w_19_2"/>
      <w:bookmarkStart w:id="727" w:name="Tc_4b3orCiOFUOUANHOO70jPQ_19_0"/>
      <w:bookmarkStart w:id="728" w:name="Tc_KoDLEIZGWEal2COiz7gDUA_18_14"/>
      <w:bookmarkStart w:id="729" w:name="Tc_8_jBIW3B2k-RgL9mGUifEQ_18_11"/>
      <w:bookmarkStart w:id="730" w:name="Tc_TIkP84IKgkywyW1s9TGbqQ_18_8"/>
      <w:bookmarkStart w:id="731" w:name="Tc_yP8KTvNwIUavFg5oL7DkLQ_18_5"/>
      <w:bookmarkStart w:id="732" w:name="Tc_YZqemWExD0uWyLklp_OZVQ_18_2"/>
      <w:bookmarkStart w:id="733" w:name="Tc_v79tUjzamkOhucKvYh0tYA_18_0"/>
      <w:bookmarkStart w:id="734" w:name="Tc_0dEn_rOBbUKrtSIeJ-zZAg_17_19"/>
      <w:bookmarkStart w:id="735" w:name="Tc_aF_lD4HhhkqSnQVTtuCeqA_17_16"/>
      <w:bookmarkStart w:id="736" w:name="Tc_Lpb5YXuc9kmf1W5GOm6c2w_17_11"/>
      <w:bookmarkStart w:id="737" w:name="Tc_2q-447_YfUSPl3pi2toAoQ_17_8"/>
      <w:bookmarkStart w:id="738" w:name="Tc_bTqdZf55XkSimpaDnL-Gyw_17_5"/>
      <w:bookmarkStart w:id="739" w:name="Tc_---AModnfEmJ0o8XKEWVEw_17_2"/>
      <w:bookmarkStart w:id="740" w:name="Tc_e_g2ELu0eUWfSj5QgUc34A_17_0"/>
      <w:bookmarkStart w:id="741" w:name="Tc_heoQrCIJtke1FEttXxoU8g_16_19"/>
      <w:bookmarkStart w:id="742" w:name="Tc_rSTsTnPIXEqBRWXxdai8HA_16_16"/>
      <w:bookmarkStart w:id="743" w:name="Tc_SAiJdEIONU2zqHnKuDGlXA_16_14"/>
      <w:bookmarkStart w:id="744" w:name="Tc_A5QRp5uE3ke67UCfKKdDdw_16_11"/>
      <w:bookmarkStart w:id="745" w:name="Tc_M1b1J40LxUeBsTUxm6SMkA_16_0"/>
      <w:bookmarkStart w:id="746" w:name="Tc_MRkPjFlXoEuCyoXhBEqt_g_15_19"/>
      <w:bookmarkStart w:id="747" w:name="Tc_-0gB7UD05kOFKkfM_8aPnA_15_16"/>
      <w:bookmarkStart w:id="748" w:name="Tc_L5SjPpi4LE2gWvGUPazSvQ_15_14"/>
      <w:bookmarkStart w:id="749" w:name="Tc_689JIVqhUkqvg30KQqZbbg_15_11"/>
      <w:bookmarkStart w:id="750" w:name="Tc_jxs2h7xuxk-w6Q1l8iPzRw_15_5"/>
      <w:bookmarkStart w:id="751" w:name="Tc_8T2vcrvPaE6iGpHD_DvBIQ_15_2"/>
      <w:bookmarkStart w:id="752" w:name="Tc_AelEsqz0GkWW6uNLeb8aXw_15_0"/>
      <w:bookmarkStart w:id="753" w:name="Tc_Jex_z4qvD0iDhHuLycDw_A_13_21"/>
      <w:bookmarkStart w:id="754" w:name="Tc_21XvaL8ES0Wb__h6YWF40A_13_18"/>
      <w:bookmarkStart w:id="755" w:name="Tc_zUPZu6s03EiTIG3TGPJXPA_13_13"/>
      <w:bookmarkStart w:id="756" w:name="Tc_h8qmstF-R0uh9CMsyUTx0Q_13_10"/>
      <w:bookmarkStart w:id="757" w:name="Tc_j3UbXLx1XU6EIvNYtdR6QQ_13_7"/>
      <w:bookmarkStart w:id="758" w:name="Tc_94BLz1tcrkKboXoYUYAo0w_13_4"/>
      <w:bookmarkStart w:id="759" w:name="Tc_MKMMlUE7T0qvK5nv1Bzm5Q_13_0"/>
      <w:bookmarkStart w:id="760" w:name="Tc_9kORHGtNH0CjrgdESP3cQQ_11_19"/>
      <w:bookmarkStart w:id="761" w:name="Tc_I7huz3xmbUKDTkqPyoluGQ_11_16"/>
      <w:bookmarkStart w:id="762" w:name="Tc_9aEp9xoeu06IpLVZ6PXNXw_11_14"/>
      <w:bookmarkStart w:id="763" w:name="Tc_gtR5RZJ7tEWSAVt2DJrumw_11_8"/>
      <w:bookmarkStart w:id="764" w:name="Tc_Zc8aNxz8V0GXGvGIollCFg_11_5"/>
      <w:bookmarkStart w:id="765" w:name="Tc_cmaZaKNNwkyrzgACkHUHWg_11_2"/>
      <w:bookmarkStart w:id="766" w:name="Tc_TYfODBnlRku_wT0kuiToFw_11_0"/>
      <w:bookmarkStart w:id="767" w:name="Tc_efoIKqas0UemWARhuOrHrw_10_19"/>
      <w:bookmarkStart w:id="768" w:name="Tc_dKrCRTc59Eex5ZVC4lJKsQ_10_16"/>
      <w:bookmarkStart w:id="769" w:name="Tc_sq5k3D3SC0qHlFSbH_SbjA_10_11"/>
      <w:bookmarkStart w:id="770" w:name="Tc_DauvENWcSUmDs2QbKm45pQ_10_8"/>
      <w:bookmarkStart w:id="771" w:name="Tc_8zu39NFmIECZ8jA7uBy3_Q_10_5"/>
      <w:bookmarkStart w:id="772" w:name="Tc_gMytTF4Na0y9dEpXt-zqGQ_10_2"/>
      <w:bookmarkStart w:id="773" w:name="Tc_6ifMGYG6JkqyKsm29EyXEA_10_0"/>
      <w:bookmarkStart w:id="774" w:name="Tc_Z1YhRo9_3ky_ihZ0cCzidg_9_14"/>
      <w:bookmarkStart w:id="775" w:name="Tc_bZ1bgQq11kiMVbzVCkuyew_9_11"/>
      <w:bookmarkStart w:id="776" w:name="Tc_GHsfVSLlXU-71R0DKzFUPA_9_8"/>
      <w:bookmarkStart w:id="777" w:name="Tc__ipJYeX48kuswKGeBmbkVA_9_5"/>
      <w:bookmarkStart w:id="778" w:name="Tc_JCLQjMTGGUCBzLhwqNTO4g_9_2"/>
      <w:bookmarkStart w:id="779" w:name="Tc_lrTDMAOBm0KCNt3wk6vvjg_9_0"/>
      <w:bookmarkStart w:id="780" w:name="Tc_zeRDHqSmMke8X8o46mjr7A_8_19"/>
      <w:bookmarkStart w:id="781" w:name="Tc_KS8Cb-olgEaQdvMrqsVZuA_8_16"/>
      <w:bookmarkStart w:id="782" w:name="Tc_fJKn06j2xUyDkLKwWsiI7w_8_11"/>
      <w:bookmarkStart w:id="783" w:name="Tc_W8AE-AsV6EqxKp4pR5i3SQ_8_8"/>
      <w:bookmarkStart w:id="784" w:name="Tc_xUcT_klKIk6OEIo2bPNIxw_8_5"/>
      <w:bookmarkStart w:id="785" w:name="Tc_oA9wCqyqe02CguE6VMm67g_8_2"/>
      <w:bookmarkStart w:id="786" w:name="Tc_dhZqYCBv80CZdcGrkePx0w_8_0"/>
      <w:bookmarkStart w:id="787" w:name="Tc_6vKGK1_SYEG1m8pQIhf1eg_7_19"/>
      <w:bookmarkStart w:id="788" w:name="Tc_wxnOM819QkCDJBewPt63PQ_7_16"/>
      <w:bookmarkStart w:id="789" w:name="Tc_ekdZ7ZjFS0-ASpNcgPjI2Q_7_14"/>
      <w:bookmarkStart w:id="790" w:name="Tc_3W5TBq8m7ECYUC_vl4R2gw_7_11"/>
      <w:bookmarkStart w:id="791" w:name="Tc_x4K-jV2HDkWBJkpGxrkV1Q_7_0"/>
      <w:bookmarkStart w:id="792" w:name="Tc_hUUEJHUHOkWn2CNze0wZOg_6_19"/>
      <w:bookmarkStart w:id="793" w:name="Tc_DFNlwQU0Dkiz08HqA0bH0A_6_16"/>
      <w:bookmarkStart w:id="794" w:name="Tc_Qj6SZA2iKUutbE0-vSmznA_6_14"/>
      <w:bookmarkStart w:id="795" w:name="Tc_4rM4_if0c0iqRLfOowsWVA_6_11"/>
      <w:bookmarkStart w:id="796" w:name="Tc_Ctp_D0j5xEapTkRU8Us7wQ_6_5"/>
      <w:bookmarkStart w:id="797" w:name="Tc_7Gt_oD-rT06E1htxsQR1mw_6_2"/>
      <w:bookmarkStart w:id="798" w:name="Tc_7rEyTcX2hEmg8YdI3BbN2A_6_0"/>
      <w:bookmarkStart w:id="799" w:name="Tc_m3uFzWP5gUeI2nz14djjfg_4_21"/>
      <w:bookmarkStart w:id="800" w:name="Tc_npR_BoKAS0uhQc9xZshyKg_4_18"/>
      <w:bookmarkStart w:id="801" w:name="Tc_WN3--eKSzkq6y-jtbjEDiw_4_13"/>
      <w:bookmarkStart w:id="802" w:name="Tc_TMmohGvseUCCo57XAecD4Q_4_10"/>
      <w:bookmarkStart w:id="803" w:name="Tc_yECr67w-OU2Ol2dmMS9s5g_4_7"/>
      <w:bookmarkStart w:id="804" w:name="Tc_xsuo4ucYlEWvY8wpPK_yjA_4_4"/>
      <w:bookmarkStart w:id="805" w:name="Tc_AIvcYLpFtUqhQWThMb3baA_4_0"/>
      <w:bookmarkStart w:id="806" w:name="Tc_N2jPvgcGk0KflpxPAUpCZA_3_21"/>
      <w:bookmarkStart w:id="807" w:name="Tc_pON53X35U0KLXXqbZfGylQ_3_18"/>
      <w:bookmarkStart w:id="808" w:name="Tc_c0RfDlcpZU6C7M4W7uZEig_3_16"/>
      <w:bookmarkStart w:id="809" w:name="Tc_te7cVUOmukay5IaOdwBcBQ_3_13"/>
      <w:bookmarkStart w:id="810" w:name="Tc_vW-47ua1xU2d-0CNfZ9-Ng_3_10"/>
      <w:bookmarkStart w:id="811" w:name="Tc_A9u5bWGrtkaH1FOVu8gcXA_3_7"/>
      <w:bookmarkStart w:id="812" w:name="Tc_W7EVt9GyLkC64hX238EWtw_3_4"/>
      <w:bookmarkStart w:id="813" w:name="Tc_Mbv5Mpi6-Uqz_jIg3nzLnw_3_2"/>
      <w:bookmarkStart w:id="814" w:name="Tc_g0d8etZHgk-0keJJsdzXGA_2_21"/>
      <w:bookmarkStart w:id="815" w:name="Tc_hC0LJ-zfEUiif17EzAk6Bw_2_16"/>
      <w:bookmarkStart w:id="816" w:name="Tc_MpVYWpghBECPLJ0y4AXOnA_2_13"/>
      <w:bookmarkStart w:id="817" w:name="Tc_einWSJvjP0WziCppH4XJqA_2_10"/>
      <w:bookmarkStart w:id="818" w:name="Tc_qXz71Iehr0eQ7X0hJ92BLA_2_7"/>
      <w:bookmarkStart w:id="819" w:name="Tc_o8ZNE4mqjkeqj4Y-uerNng_2_2"/>
      <w:bookmarkStart w:id="820" w:name="Tc_ZOdSZYb8N0KkijfjpFzYfg_1_21"/>
      <w:bookmarkStart w:id="821" w:name="Tc_Up-fUJTxLUOd28gh2WGX-g_1_13"/>
      <w:bookmarkStart w:id="822" w:name="_f30de4c4_50e8_4b76_95e7_5cf508d24da9"/>
      <w:bookmarkStart w:id="823" w:name="Tc_5vJt78kSLEqt7m8ap23lrw_31_21"/>
      <w:bookmarkStart w:id="824" w:name="Tc_5bB7UP910kCvn49k19Fv_A_31_18"/>
      <w:bookmarkStart w:id="825" w:name="Tc_Ob6ooqC680eJijRmPBjGKg_31_13"/>
      <w:bookmarkStart w:id="826" w:name="Tc_bryN8qbB90ma906XhVxaXg_31_10"/>
      <w:bookmarkStart w:id="827" w:name="Tc__iVRbhLzK0iZq7gZQAFnjw_31_7"/>
      <w:bookmarkStart w:id="828" w:name="Tc_xrmYoAiLYUeUI2Q_LefFPg_31_4"/>
      <w:bookmarkStart w:id="829" w:name="Tc_TBNSfN57PkaafFwdLYldlA_31_0"/>
      <w:bookmarkStart w:id="830" w:name="Tc_B26d4OqZrUSwSMoFYA0FNg_29_19"/>
      <w:bookmarkStart w:id="831" w:name="Tc_5r-bK8tgB0a5FJxxpTGemA_29_16"/>
      <w:bookmarkStart w:id="832" w:name="Tc_XeOij873TkqlIpBqb5wr6g_29_14"/>
      <w:bookmarkStart w:id="833" w:name="Tc_PU3GgAWL-kmvede3KAyZKQ_29_8"/>
      <w:bookmarkStart w:id="834" w:name="Tc_-DaLzwJAxUSgB-SH1vqjiA_29_5"/>
      <w:bookmarkStart w:id="835" w:name="Tc_i2ZpmsOsfECK0dhwprWNAA_29_2"/>
      <w:bookmarkStart w:id="836" w:name="Tc_mt8z3fTUZkyKH1wiEwr_ww_29_0"/>
      <w:bookmarkStart w:id="837" w:name="Tc_tRwrpnNPYU-mp-z4VwaztA_28_19"/>
      <w:bookmarkStart w:id="838" w:name="Tc_a3NSRSVs_k-1wIs8r18icA_28_16"/>
      <w:bookmarkStart w:id="839" w:name="Tc_4YM4WXE6I0uJXYWLGm5p6g_28_11"/>
      <w:bookmarkStart w:id="840" w:name="Tc_maRq74AIOE6HTfn270bJZg_28_8"/>
      <w:bookmarkStart w:id="841" w:name="Tc_O82BkRTmX0qBfzi9bw2lJg_28_5"/>
      <w:bookmarkStart w:id="842" w:name="Tc_ekGfX9_o30aZl9kUzykg0A_28_2"/>
      <w:bookmarkStart w:id="843" w:name="Tc_8ZJx4o2uLEq0r6dA3keTKw_28_0"/>
      <w:bookmarkStart w:id="844" w:name="Tc_DepW1PEisEibUEpt03Q-fg_27_14"/>
      <w:bookmarkStart w:id="845" w:name="Tc_bbBriS2pXka6WEgkcHccFg_27_11"/>
      <w:bookmarkStart w:id="846" w:name="Tc_N_LQJzpTrEeut70JdTRj5A_27_8"/>
      <w:bookmarkStart w:id="847" w:name="Tc_4Lg3hKfu20-XIUI7cQsiUQ_27_5"/>
      <w:bookmarkStart w:id="848" w:name="Tc_Rb46HUGCZkCnUA23gPZP9w_27_2"/>
      <w:bookmarkStart w:id="849" w:name="Tc_on2sTQ3AgEyKYTi7zlh71g_27_0"/>
      <w:bookmarkStart w:id="850" w:name="Tc_MGObhNDXOEO68K_usvA19A_26_19"/>
      <w:bookmarkStart w:id="851" w:name="Tc_W3NLFonjF0ybdOReBMqqug_26_16"/>
      <w:bookmarkStart w:id="852" w:name="Tc__DWtzyFXb0SdvV3dE-U08g_26_11"/>
      <w:bookmarkStart w:id="853" w:name="Tc_dZY3ePXz4EC_8ZzUXbJwxQ_26_8"/>
      <w:bookmarkStart w:id="854" w:name="Tc_smegLGmxPEOn-xxufWU3Qg_26_5"/>
      <w:bookmarkStart w:id="855" w:name="Tc_Ho-5QrhOdESVaJ36nodRyg_26_2"/>
      <w:bookmarkStart w:id="856" w:name="Tc_q4sUaRWt0k-5RNWqKLPIAA_26_0"/>
      <w:bookmarkStart w:id="857" w:name="Tc_5vfk4NawB0GSwk-7r-_4iA_25_19"/>
      <w:bookmarkStart w:id="858" w:name="Tc_cjvjUkpy_EKZWW5R3RtNQA_25_16"/>
      <w:bookmarkStart w:id="859" w:name="Tc_eb1IX_ohCEy68ygmcYmE5g_25_14"/>
      <w:bookmarkStart w:id="860" w:name="Tc_qSH3y3GrEkiNoOpqAPzj4w_25_11"/>
      <w:bookmarkStart w:id="861" w:name="Tc_7FSZoGoJzk6cCCAL1xsjUg_25_0"/>
      <w:bookmarkStart w:id="862" w:name="Tc_sHwxbX7SdkWaDYxbNU1cqg_24_19"/>
      <w:bookmarkStart w:id="863" w:name="Tc_MCK9GYo9dEybs0b3C1gNYw_24_16"/>
      <w:bookmarkStart w:id="864" w:name="Tc_mVkJ8Ye6E06x7Zg2-97KZQ_24_14"/>
      <w:bookmarkStart w:id="865" w:name="Tc_UZglkruekEOrKYnLigFHLQ_24_11"/>
      <w:bookmarkStart w:id="866" w:name="Tc_AY6o5HEJ50Cu8D-5BkqdaQ_24_5"/>
      <w:bookmarkStart w:id="867" w:name="Tc_ozNqb6dOxUKae7EjfaKDEw_24_2"/>
      <w:bookmarkStart w:id="868" w:name="Tc_Fcc78D2ZLU-10QTpN_GWfw_24_0"/>
      <w:bookmarkStart w:id="869" w:name="Tc_zhUZuM4v5kmBz5BaG1xAjQ_22_21"/>
      <w:bookmarkStart w:id="870" w:name="Tc_6BNr4eMzr0aUwWHFfbZdow_22_18"/>
      <w:bookmarkStart w:id="871" w:name="Tc_4KcrF4lUPkepdHtWOx46lQ_22_13"/>
      <w:bookmarkStart w:id="872" w:name="Tc_S4yznBJo6U6mqfXnu34ZLQ_22_10"/>
      <w:bookmarkStart w:id="873" w:name="Tc_vDRi_zxj5ESLMQwtnxusbQ_22_7"/>
      <w:bookmarkStart w:id="874" w:name="Tc_Az0dFWaAZ0CCTPoQFTaNEg_22_4"/>
      <w:bookmarkStart w:id="875" w:name="Tc_sEERtS_C5E2YHRSWgAb4YA_22_0"/>
      <w:bookmarkStart w:id="876" w:name="Tc_3vtAi2DnzEePwAKsvxodfA_20_19"/>
      <w:bookmarkStart w:id="877" w:name="Tc_SY0lPvQ9yEyP78ArO4RztQ_20_16"/>
      <w:bookmarkStart w:id="878" w:name="Tc_iqhcGEPd4UK8dWBFuhNjeQ_20_14"/>
      <w:bookmarkStart w:id="879" w:name="Tc_ix9Fx8lTO06utLoukysJhw_20_8"/>
      <w:bookmarkStart w:id="880" w:name="Tc_cMrOeSD2W0SHBNl_aWRJmA_20_5"/>
      <w:bookmarkStart w:id="881" w:name="Tc_EMaPLMWutky-jQCLXBWlCA_20_2"/>
      <w:bookmarkStart w:id="882" w:name="Tc_PMYGU-K4ckay3T1qk3bPDg_20_0"/>
      <w:bookmarkStart w:id="883" w:name="Tc_PnYUUptaNUSZlxfczYQ_NQ_19_19"/>
      <w:bookmarkStart w:id="884" w:name="Tc_rmPMZwqy10KbC2AqY_Qxpg_19_16"/>
      <w:bookmarkStart w:id="885" w:name="Tc_vXgrXM8x9UKQQ0yO9NgmgA_19_11"/>
      <w:bookmarkStart w:id="886" w:name="Tc_0JMhoHXWRE-Vf0ftUx5iNA_19_8"/>
      <w:bookmarkStart w:id="887" w:name="Tc_Bdua_IHfdUaZ8ApC8JdENQ_19_5"/>
      <w:bookmarkStart w:id="888" w:name="Tc_eCAJfjnWVEGjTafHAtRW5w_19_2"/>
      <w:bookmarkStart w:id="889" w:name="Tc_4b3orCiOFUOUANHOO70jPQ_19_0"/>
      <w:bookmarkStart w:id="890" w:name="Tc_KoDLEIZGWEal2COiz7gDUA_18_14"/>
      <w:bookmarkStart w:id="891" w:name="Tc_8_jBIW3B2k-RgL9mGUifEQ_18_11"/>
      <w:bookmarkStart w:id="892" w:name="Tc_TIkP84IKgkywyW1s9TGbqQ_18_8"/>
      <w:bookmarkStart w:id="893" w:name="Tc_yP8KTvNwIUavFg5oL7DkLQ_18_5"/>
      <w:bookmarkStart w:id="894" w:name="Tc_YZqemWExD0uWyLklp_OZVQ_18_2"/>
      <w:bookmarkStart w:id="895" w:name="Tc_v79tUjzamkOhucKvYh0tYA_18_0"/>
      <w:bookmarkStart w:id="896" w:name="Tc_0dEn_rOBbUKrtSIeJ-zZAg_17_19"/>
      <w:bookmarkStart w:id="897" w:name="Tc_aF_lD4HhhkqSnQVTtuCeqA_17_16"/>
      <w:bookmarkStart w:id="898" w:name="Tc_Lpb5YXuc9kmf1W5GOm6c2w_17_11"/>
      <w:bookmarkStart w:id="899" w:name="Tc_2q-447_YfUSPl3pi2toAoQ_17_8"/>
      <w:bookmarkStart w:id="900" w:name="Tc_bTqdZf55XkSimpaDnL-Gyw_17_5"/>
      <w:bookmarkStart w:id="901" w:name="Tc_---AModnfEmJ0o8XKEWVEw_17_2"/>
      <w:bookmarkStart w:id="902" w:name="Tc_e_g2ELu0eUWfSj5QgUc34A_17_0"/>
      <w:bookmarkStart w:id="903" w:name="Tc_heoQrCIJtke1FEttXxoU8g_16_19"/>
      <w:bookmarkStart w:id="904" w:name="Tc_rSTsTnPIXEqBRWXxdai8HA_16_16"/>
      <w:bookmarkStart w:id="905" w:name="Tc_SAiJdEIONU2zqHnKuDGlXA_16_14"/>
      <w:bookmarkStart w:id="906" w:name="Tc_A5QRp5uE3ke67UCfKKdDdw_16_11"/>
      <w:bookmarkStart w:id="907" w:name="Tc_M1b1J40LxUeBsTUxm6SMkA_16_0"/>
      <w:bookmarkStart w:id="908" w:name="Tc_MRkPjFlXoEuCyoXhBEqt_g_15_19"/>
      <w:bookmarkStart w:id="909" w:name="Tc_-0gB7UD05kOFKkfM_8aPnA_15_16"/>
      <w:bookmarkStart w:id="910" w:name="Tc_L5SjPpi4LE2gWvGUPazSvQ_15_14"/>
      <w:bookmarkStart w:id="911" w:name="Tc_689JIVqhUkqvg30KQqZbbg_15_11"/>
      <w:bookmarkStart w:id="912" w:name="Tc_jxs2h7xuxk-w6Q1l8iPzRw_15_5"/>
      <w:bookmarkStart w:id="913" w:name="Tc_8T2vcrvPaE6iGpHD_DvBIQ_15_2"/>
      <w:bookmarkStart w:id="914" w:name="Tc_AelEsqz0GkWW6uNLeb8aXw_15_0"/>
      <w:bookmarkStart w:id="915" w:name="Tc_Jex_z4qvD0iDhHuLycDw_A_13_21"/>
      <w:bookmarkStart w:id="916" w:name="Tc_21XvaL8ES0Wb__h6YWF40A_13_18"/>
      <w:bookmarkStart w:id="917" w:name="Tc_zUPZu6s03EiTIG3TGPJXPA_13_13"/>
      <w:bookmarkStart w:id="918" w:name="Tc_h8qmstF-R0uh9CMsyUTx0Q_13_10"/>
      <w:bookmarkStart w:id="919" w:name="Tc_j3UbXLx1XU6EIvNYtdR6QQ_13_7"/>
      <w:bookmarkStart w:id="920" w:name="Tc_94BLz1tcrkKboXoYUYAo0w_13_4"/>
      <w:bookmarkStart w:id="921" w:name="Tc_MKMMlUE7T0qvK5nv1Bzm5Q_13_0"/>
      <w:bookmarkStart w:id="922" w:name="Tc_9kORHGtNH0CjrgdESP3cQQ_11_19"/>
      <w:bookmarkStart w:id="923" w:name="Tc_I7huz3xmbUKDTkqPyoluGQ_11_16"/>
      <w:bookmarkStart w:id="924" w:name="Tc_9aEp9xoeu06IpLVZ6PXNXw_11_14"/>
      <w:bookmarkStart w:id="925" w:name="Tc_gtR5RZJ7tEWSAVt2DJrumw_11_8"/>
      <w:bookmarkStart w:id="926" w:name="Tc_Zc8aNxz8V0GXGvGIollCFg_11_5"/>
      <w:bookmarkStart w:id="927" w:name="Tc_cmaZaKNNwkyrzgACkHUHWg_11_2"/>
      <w:bookmarkStart w:id="928" w:name="Tc_TYfODBnlRku_wT0kuiToFw_11_0"/>
      <w:bookmarkStart w:id="929" w:name="Tc_efoIKqas0UemWARhuOrHrw_10_19"/>
      <w:bookmarkStart w:id="930" w:name="Tc_dKrCRTc59Eex5ZVC4lJKsQ_10_16"/>
      <w:bookmarkStart w:id="931" w:name="Tc_sq5k3D3SC0qHlFSbH_SbjA_10_11"/>
      <w:bookmarkStart w:id="932" w:name="Tc_DauvENWcSUmDs2QbKm45pQ_10_8"/>
      <w:bookmarkStart w:id="933" w:name="Tc_8zu39NFmIECZ8jA7uBy3_Q_10_5"/>
      <w:bookmarkStart w:id="934" w:name="Tc_gMytTF4Na0y9dEpXt-zqGQ_10_2"/>
      <w:bookmarkStart w:id="935" w:name="Tc_6ifMGYG6JkqyKsm29EyXEA_10_0"/>
      <w:bookmarkStart w:id="936" w:name="Tc_Z1YhRo9_3ky_ihZ0cCzidg_9_14"/>
      <w:bookmarkStart w:id="937" w:name="Tc_bZ1bgQq11kiMVbzVCkuyew_9_11"/>
      <w:bookmarkStart w:id="938" w:name="Tc_GHsfVSLlXU-71R0DKzFUPA_9_8"/>
      <w:bookmarkStart w:id="939" w:name="Tc__ipJYeX48kuswKGeBmbkVA_9_5"/>
      <w:bookmarkStart w:id="940" w:name="Tc_JCLQjMTGGUCBzLhwqNTO4g_9_2"/>
      <w:bookmarkStart w:id="941" w:name="Tc_lrTDMAOBm0KCNt3wk6vvjg_9_0"/>
      <w:bookmarkStart w:id="942" w:name="Tc_zeRDHqSmMke8X8o46mjr7A_8_19"/>
      <w:bookmarkStart w:id="943" w:name="Tc_KS8Cb-olgEaQdvMrqsVZuA_8_16"/>
      <w:bookmarkStart w:id="944" w:name="Tc_fJKn06j2xUyDkLKwWsiI7w_8_11"/>
      <w:bookmarkStart w:id="945" w:name="Tc_W8AE-AsV6EqxKp4pR5i3SQ_8_8"/>
      <w:bookmarkStart w:id="946" w:name="Tc_xUcT_klKIk6OEIo2bPNIxw_8_5"/>
      <w:bookmarkStart w:id="947" w:name="Tc_oA9wCqyqe02CguE6VMm67g_8_2"/>
      <w:bookmarkStart w:id="948" w:name="Tc_dhZqYCBv80CZdcGrkePx0w_8_0"/>
      <w:bookmarkStart w:id="949" w:name="Tc_6vKGK1_SYEG1m8pQIhf1eg_7_19"/>
      <w:bookmarkStart w:id="950" w:name="Tc_wxnOM819QkCDJBewPt63PQ_7_16"/>
      <w:bookmarkStart w:id="951" w:name="Tc_ekdZ7ZjFS0-ASpNcgPjI2Q_7_14"/>
      <w:bookmarkStart w:id="952" w:name="Tc_3W5TBq8m7ECYUC_vl4R2gw_7_11"/>
      <w:bookmarkStart w:id="953" w:name="Tc_x4K-jV2HDkWBJkpGxrkV1Q_7_0"/>
      <w:bookmarkStart w:id="954" w:name="Tc_hUUEJHUHOkWn2CNze0wZOg_6_19"/>
      <w:bookmarkStart w:id="955" w:name="Tc_DFNlwQU0Dkiz08HqA0bH0A_6_16"/>
      <w:bookmarkStart w:id="956" w:name="Tc_Qj6SZA2iKUutbE0-vSmznA_6_14"/>
      <w:bookmarkStart w:id="957" w:name="Tc_4rM4_if0c0iqRLfOowsWVA_6_11"/>
      <w:bookmarkStart w:id="958" w:name="Tc_Ctp_D0j5xEapTkRU8Us7wQ_6_5"/>
      <w:bookmarkStart w:id="959" w:name="Tc_7Gt_oD-rT06E1htxsQR1mw_6_2"/>
      <w:bookmarkStart w:id="960" w:name="Tc_7rEyTcX2hEmg8YdI3BbN2A_6_0"/>
      <w:bookmarkStart w:id="961" w:name="Tc_m3uFzWP5gUeI2nz14djjfg_4_21"/>
      <w:bookmarkStart w:id="962" w:name="Tc_npR_BoKAS0uhQc9xZshyKg_4_18"/>
      <w:bookmarkStart w:id="963" w:name="Tc_WN3--eKSzkq6y-jtbjEDiw_4_13"/>
      <w:bookmarkStart w:id="964" w:name="Tc_TMmohGvseUCCo57XAecD4Q_4_10"/>
      <w:bookmarkStart w:id="965" w:name="Tc_yECr67w-OU2Ol2dmMS9s5g_4_7"/>
      <w:bookmarkStart w:id="966" w:name="Tc_xsuo4ucYlEWvY8wpPK_yjA_4_4"/>
      <w:bookmarkStart w:id="967" w:name="Tc_AIvcYLpFtUqhQWThMb3baA_4_0"/>
      <w:bookmarkStart w:id="968" w:name="Tc_N2jPvgcGk0KflpxPAUpCZA_3_21"/>
      <w:bookmarkStart w:id="969" w:name="Tc_pON53X35U0KLXXqbZfGylQ_3_18"/>
      <w:bookmarkStart w:id="970" w:name="Tc_c0RfDlcpZU6C7M4W7uZEig_3_16"/>
      <w:bookmarkStart w:id="971" w:name="Tc_te7cVUOmukay5IaOdwBcBQ_3_13"/>
      <w:bookmarkStart w:id="972" w:name="Tc_vW-47ua1xU2d-0CNfZ9-Ng_3_10"/>
      <w:bookmarkStart w:id="973" w:name="Tc_A9u5bWGrtkaH1FOVu8gcXA_3_7"/>
      <w:bookmarkStart w:id="974" w:name="Tc_W7EVt9GyLkC64hX238EWtw_3_4"/>
      <w:bookmarkStart w:id="975" w:name="Tc_Mbv5Mpi6-Uqz_jIg3nzLnw_3_2"/>
      <w:bookmarkStart w:id="976" w:name="Tc_g0d8etZHgk-0keJJsdzXGA_2_21"/>
      <w:bookmarkStart w:id="977" w:name="Tc_hC0LJ-zfEUiif17EzAk6Bw_2_16"/>
      <w:bookmarkStart w:id="978" w:name="Tc_MpVYWpghBECPLJ0y4AXOnA_2_13"/>
      <w:bookmarkStart w:id="979" w:name="Tc_einWSJvjP0WziCppH4XJqA_2_10"/>
      <w:bookmarkStart w:id="980" w:name="Tc_qXz71Iehr0eQ7X0hJ92BLA_2_7"/>
      <w:bookmarkStart w:id="981" w:name="Tc_o8ZNE4mqjkeqj4Y-uerNng_2_2"/>
      <w:bookmarkStart w:id="982" w:name="Tc_ZOdSZYb8N0KkijfjpFzYfg_1_21"/>
      <w:bookmarkStart w:id="983" w:name="Tc_Up-fUJTxLUOd28gh2WGX-g_1_13"/>
      <w:bookmarkStart w:id="984" w:name="_f30de4c4_50e8_4b76_95e7_5cf508d24da9"/>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p>
    <w:tbl>
      <w:tblPr>
        <w:tblW w:w="11876" w:type="dxa"/>
        <w:jc w:val="left"/>
        <w:tblInd w:w="0" w:type="dxa"/>
        <w:tblLayout w:type="fixed"/>
        <w:tblCellMar>
          <w:top w:w="0" w:type="dxa"/>
          <w:left w:w="0" w:type="dxa"/>
          <w:bottom w:w="0" w:type="dxa"/>
          <w:right w:w="0" w:type="dxa"/>
        </w:tblCellMar>
      </w:tblPr>
      <w:tblGrid>
        <w:gridCol w:w="1321"/>
        <w:gridCol w:w="326"/>
        <w:gridCol w:w="826"/>
        <w:gridCol w:w="326"/>
        <w:gridCol w:w="196"/>
        <w:gridCol w:w="511"/>
        <w:gridCol w:w="326"/>
        <w:gridCol w:w="233"/>
        <w:gridCol w:w="983"/>
        <w:gridCol w:w="326"/>
        <w:gridCol w:w="196"/>
        <w:gridCol w:w="826"/>
        <w:gridCol w:w="326"/>
        <w:gridCol w:w="316"/>
        <w:gridCol w:w="900"/>
        <w:gridCol w:w="326"/>
        <w:gridCol w:w="751"/>
        <w:gridCol w:w="326"/>
        <w:gridCol w:w="196"/>
        <w:gridCol w:w="886"/>
        <w:gridCol w:w="326"/>
        <w:gridCol w:w="196"/>
        <w:gridCol w:w="931"/>
      </w:tblGrid>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24510" cy="175260"/>
                      <wp:effectExtent l="0" t="0" r="0" b="0"/>
                      <wp:wrapNone/>
                      <wp:docPr id="57" name="Frame5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24460" cy="175260"/>
                      <wp:effectExtent l="0" t="0" r="0" b="0"/>
                      <wp:wrapNone/>
                      <wp:docPr id="59" name="Frame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24485" cy="175260"/>
                      <wp:effectExtent l="0" t="0" r="0" b="0"/>
                      <wp:wrapNone/>
                      <wp:docPr id="60" name="Frame6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47955" cy="175260"/>
                      <wp:effectExtent l="0" t="0" r="0" b="0"/>
                      <wp:wrapNone/>
                      <wp:docPr id="62" name="Frame6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24205" cy="175260"/>
                      <wp:effectExtent l="0" t="0" r="0" b="0"/>
                      <wp:wrapNone/>
                      <wp:docPr id="63" name="Frame63"/>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24510" cy="175260"/>
                      <wp:effectExtent l="0" t="0" r="0" b="0"/>
                      <wp:wrapNone/>
                      <wp:docPr id="66" name="Frame6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0660" cy="175260"/>
                      <wp:effectExtent l="0" t="0" r="0" b="0"/>
                      <wp:wrapNone/>
                      <wp:docPr id="68" name="Frame6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71500" cy="175260"/>
                      <wp:effectExtent l="0" t="0" r="0" b="0"/>
                      <wp:wrapNone/>
                      <wp:docPr id="69" name="Frame69"/>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76885" cy="175260"/>
                      <wp:effectExtent l="0" t="0" r="0" b="0"/>
                      <wp:wrapNone/>
                      <wp:docPr id="71" name="Frame7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24460" cy="175260"/>
                      <wp:effectExtent l="0" t="0" r="0" b="0"/>
                      <wp:wrapNone/>
                      <wp:docPr id="73" name="Frame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62610" cy="175260"/>
                      <wp:effectExtent l="0" t="0" r="0" b="0"/>
                      <wp:wrapNone/>
                      <wp:docPr id="74" name="Frame7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24460" cy="175260"/>
                      <wp:effectExtent l="0" t="0" r="0" b="0"/>
                      <wp:wrapNone/>
                      <wp:docPr id="76" name="Frame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91185" cy="175260"/>
                      <wp:effectExtent l="0" t="0" r="0" b="0"/>
                      <wp:wrapNone/>
                      <wp:docPr id="77" name="Frame7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26" w:type="dxa"/>
            <w:tcBorders/>
            <w:vAlign w:val="center"/>
          </w:tcPr>
          <w:p>
            <w:pPr>
              <w:pStyle w:val="TableContents"/>
              <w:bidi w:val="0"/>
              <w:spacing w:before="0" w:after="0"/>
              <w:ind w:left="0" w:right="0" w:hanging="0"/>
              <w:jc w:val="left"/>
              <w:rPr/>
            </w:pPr>
            <w:r>
              <w:rPr/>
              <w:t>​</w:t>
            </w:r>
          </w:p>
        </w:tc>
        <w:tc>
          <w:tcPr>
            <w:tcW w:w="21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Balance, December 31, 2021 </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1,280,086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6,400</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4,649,420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7,809,549</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(69,165)</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(221,440)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(5,829,253)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6,566,951</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Stock-based compensation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16,175</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 options/awards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4,510</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Unrealized gain (loss), net on available-for-sale securities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(4,059)</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(4,059)</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Repurchase of common stock </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(12,187)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(12,187)</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Foreign currency translation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1,079</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1,079</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294,203</w:t>
            </w:r>
          </w:p>
        </w:tc>
        <w:tc>
          <w:tcPr>
            <w:tcW w:w="326" w:type="dxa"/>
            <w:tcBorders/>
            <w:vAlign w:val="center"/>
          </w:tcPr>
          <w:p>
            <w:pPr>
              <w:pStyle w:val="TableContents"/>
              <w:bidi w:val="0"/>
              <w:spacing w:before="0" w:after="0"/>
              <w:ind w:left="0" w:right="0" w:hanging="0"/>
              <w:jc w:val="left"/>
              <w:rPr/>
            </w:pPr>
            <w:r>
              <w:rPr/>
              <w:t>​</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294,203</w:t>
            </w:r>
          </w:p>
        </w:tc>
      </w:tr>
      <w:tr>
        <w:trPr/>
        <w:tc>
          <w:tcPr>
            <w:tcW w:w="13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Balance, March 31, 2022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1,281,056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6,406</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4,670,099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8,103,752</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(72,145)</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(221,772)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(5,841,440)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6,866,672</w:t>
            </w:r>
          </w:p>
        </w:tc>
      </w:tr>
      <w:tr>
        <w:trPr/>
        <w:tc>
          <w:tcPr>
            <w:tcW w:w="13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Stock-based compensation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16,157</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16,157</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 options/awards </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18,112</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Unrealized gain (loss), net on available-for-sale securities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(1,105)</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(1,105)</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Repurchase of common stock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(284,311)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(284,311)</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Foreign currency translation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(79,707)</w:t>
            </w:r>
          </w:p>
        </w:tc>
        <w:tc>
          <w:tcPr>
            <w:tcW w:w="3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(79,707)</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273,360</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273,360</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Balance, June 30, 2022 </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1,281,888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6,410</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4,704,364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8,377,112</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(152,957)</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(228,344)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(6,125,751)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6,809,178</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Stock-based compensation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16,436</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options/awards</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12,136</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Unrealized gain (loss), net on available-for-sale securities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(2,675)</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(2,675)</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Repurchase of common stock </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(6,216)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(272,880)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(272,880)</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Foreign currency translation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(68,822)</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(68,822)</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322,387</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322,387</w:t>
            </w:r>
          </w:p>
        </w:tc>
      </w:tr>
      <w:tr>
        <w:trPr/>
        <w:tc>
          <w:tcPr>
            <w:tcW w:w="13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September 30, 2022</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1,282,490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6,413</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4,732,933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8,699,499</w:t>
            </w:r>
          </w:p>
        </w:tc>
        <w:tc>
          <w:tcPr>
            <w:tcW w:w="326" w:type="dxa"/>
            <w:tcBorders/>
            <w:vAlign w:val="center"/>
          </w:tcPr>
          <w:p>
            <w:pPr>
              <w:pStyle w:val="TableContents"/>
              <w:bidi w:val="0"/>
              <w:spacing w:before="0" w:after="0"/>
              <w:ind w:left="0" w:right="0" w:hanging="0"/>
              <w:jc w:val="left"/>
              <w:rPr/>
            </w:pPr>
            <w:r>
              <w:rPr/>
              <w:t>​</w:t>
            </w:r>
          </w:p>
        </w:tc>
        <w:tc>
          <w:tcPr>
            <w:tcW w:w="3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(224,454)</w:t>
            </w:r>
          </w:p>
        </w:tc>
        <w:tc>
          <w:tcPr>
            <w:tcW w:w="326" w:type="dxa"/>
            <w:tcBorders/>
            <w:vAlign w:val="center"/>
          </w:tcPr>
          <w:p>
            <w:pPr>
              <w:pStyle w:val="TableContents"/>
              <w:bidi w:val="0"/>
              <w:spacing w:before="0" w:after="0"/>
              <w:ind w:left="0" w:right="0" w:hanging="0"/>
              <w:jc w:val="left"/>
              <w:rPr/>
            </w:pPr>
            <w:r>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(234,560)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(6,398,631)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6,815,760</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i/>
          <w:sz w:val="15"/>
        </w:rPr>
        <w:t>1</w:t>
      </w:r>
      <w:r>
        <w:rPr>
          <w:rFonts w:ascii="Times New Roman;Times;serif" w:hAnsi="Times New Roman;Times;serif"/>
          <w:sz w:val="18"/>
        </w:rPr>
        <w:t xml:space="preserve"> </w:t>
      </w:r>
      <w:r>
        <w:rPr>
          <w:rFonts w:ascii="Times New Roman;Times;serif" w:hAnsi="Times New Roman;Times;serif"/>
          <w:i/>
          <w:sz w:val="18"/>
        </w:rPr>
        <w:t>Stock Split - The accompanying condensed consolidated financial statements and notes thereto have been retroactively updated to reflect the Stock Split. See Note 1 for additional information.</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985" w:name="_f7426276_ae94_45fe_bf99_c07b4167fdc0"/>
      <w:bookmarkEnd w:id="985"/>
      <w:r>
        <w:rPr>
          <w:rFonts w:ascii="Times New Roman;Times;serif" w:hAnsi="Times New Roman;Times;serif"/>
          <w:b/>
          <w:sz w:val="20"/>
        </w:rPr>
        <w:t>MONSTER BEVERAGE CORPORATION AND SUBSIDIARIES</w:t>
      </w:r>
    </w:p>
    <w:p>
      <w:pPr>
        <w:pStyle w:val="TextBody"/>
        <w:bidi w:val="0"/>
        <w:spacing w:lineRule="atLeast" w:line="220" w:before="0" w:after="0"/>
        <w:ind w:left="0" w:right="0" w:hanging="0"/>
        <w:jc w:val="left"/>
        <w:rPr>
          <w:rFonts w:ascii="Times New Roman;Times;serif" w:hAnsi="Times New Roman;Times;serif"/>
          <w:b/>
          <w:sz w:val="20"/>
        </w:rPr>
      </w:pPr>
      <w:bookmarkStart w:id="986" w:name="STATEMENTSOFCASHFLOWS_392736"/>
      <w:bookmarkEnd w:id="986"/>
      <w:r>
        <w:rPr>
          <w:rFonts w:ascii="Times New Roman;Times;serif" w:hAnsi="Times New Roman;Times;serif"/>
          <w:b/>
          <w:sz w:val="20"/>
        </w:rPr>
        <w:t>CONDENSED CONSOLIDATED STATEMENTS OF CASH FLOWS</w:t>
      </w:r>
    </w:p>
    <w:p>
      <w:pPr>
        <w:pStyle w:val="TextBody"/>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FOR THE NINE-MONTHS ENDED SEPTEMBER 30, 2023 AND 2022</w:t>
      </w:r>
    </w:p>
    <w:p>
      <w:pPr>
        <w:pStyle w:val="TextBody"/>
        <w:pBdr>
          <w:bottom w:val="single" w:sz="12" w:space="1" w:color="000000"/>
        </w:pBdr>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 Thousands)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87" w:name="Tc_gKQYzJFp80KDAeEArFjI5g_54_5"/>
      <w:bookmarkStart w:id="988" w:name="Tc_2l610ZlEpU-7aHRhWSWFEQ_54_2"/>
      <w:bookmarkStart w:id="989" w:name="Tc_DIFljQOSKkC-sCw2d9x_CA_54_0"/>
      <w:bookmarkStart w:id="990" w:name="Tc_lAg4a3yq7k2B6G3OHlaLxw_53_5"/>
      <w:bookmarkStart w:id="991" w:name="Tc_ZiSZTulrl0KbZeT2Ny1EqQ_53_2"/>
      <w:bookmarkStart w:id="992" w:name="Tc_f2-B7i6WeU-qkpoaS4I9rA_53_0"/>
      <w:bookmarkStart w:id="993" w:name="Tc_Y3GfmUyfW0SxHhEoSa49qA_52_0"/>
      <w:bookmarkStart w:id="994" w:name="Tc_tR4y0JTejkGZXUXJsw1DdA_51_0"/>
      <w:bookmarkStart w:id="995" w:name="Tc_AruRfAfVVUK394vVZ7y34Q_49_5"/>
      <w:bookmarkStart w:id="996" w:name="Tc_2LGq7q4XT06nbDOtXUkilA_49_2"/>
      <w:bookmarkStart w:id="997" w:name="Tc_mhkK4y4uVU6oQ9KSyvXVaQ_49_0"/>
      <w:bookmarkStart w:id="998" w:name="Tc_WJvAwuAs80OFpjFfryW2cQ_48_0"/>
      <w:bookmarkStart w:id="999" w:name="Tc_DsZJy76HtkWDzF0c9wJpeA_47_0"/>
      <w:bookmarkStart w:id="1000" w:name="Tc_w2U_ckUA0UCLRAm6yB1CZw_45_0"/>
      <w:bookmarkStart w:id="1001" w:name="Tc_Y6q2TWP8ik6Awp8QmreQfw_43_0"/>
      <w:bookmarkStart w:id="1002" w:name="Tc_zIZj5aH1F0aOb9bqW-vZyA_42_0"/>
      <w:bookmarkStart w:id="1003" w:name="Tc_2ZfM31FQCUeb9jkHlaVnKg_41_0"/>
      <w:bookmarkStart w:id="1004" w:name="Tc_FMJVXP57G0GiO1M3CherjA_40_0"/>
      <w:bookmarkStart w:id="1005" w:name="Tc_5wLrvaqPTUSkPBHIXSxKmQ_39_0"/>
      <w:bookmarkStart w:id="1006" w:name="Tc_WmPCkqSRBkO4VfsCQJ2Uwg_37_0"/>
      <w:bookmarkStart w:id="1007" w:name="Tc_FxW8bBoQv06SP49RuEN--A_36_0"/>
      <w:bookmarkStart w:id="1008" w:name="Tc_kocjQGySWU-bMhgRFMW_XA_35_0"/>
      <w:bookmarkStart w:id="1009" w:name="Tc_YZpD_J2FBUyyXE-fzGadFA_34_0"/>
      <w:bookmarkStart w:id="1010" w:name="Tc_yJjc5o59yUqqEhybK__6Gw_33_0"/>
      <w:bookmarkStart w:id="1011" w:name="Tc_QgEuuYzJC0yWPaA0qfJf2A_32_0"/>
      <w:bookmarkStart w:id="1012" w:name="Tc_yDRk_gDafku0-zL4xcXd-w_31_6"/>
      <w:bookmarkStart w:id="1013" w:name="Tc_cRvc9YpHkEatL0S-oL6pOw_31_0"/>
      <w:bookmarkStart w:id="1014" w:name="Tc_EoawKBstU02mwUgXUhj6VQ_30_0"/>
      <w:bookmarkStart w:id="1015" w:name="Tc_AbVxMgQU8UGvvCKVCH-8Eg_29_0"/>
      <w:bookmarkStart w:id="1016" w:name="Tc_toSmOlcR_0m0P9okeLrpXA_28_0"/>
      <w:bookmarkStart w:id="1017" w:name="Tc_noFQiAqy2kmU7Tlh9uiKMg_26_0"/>
      <w:bookmarkStart w:id="1018" w:name="Tc_PMTuJMIwLka_2J5CcUMxpA_25_0"/>
      <w:bookmarkStart w:id="1019" w:name="Tc_mLZr2jI7jEO0tfMjbkFIyg_24_0"/>
      <w:bookmarkStart w:id="1020" w:name="Tc__AA5dmXik0m_eYzbvMqlmA_23_0"/>
      <w:bookmarkStart w:id="1021" w:name="Tc_-I1gU3scikeH1IitnTrNEw_22_0"/>
      <w:bookmarkStart w:id="1022" w:name="Tc_MOXs5OJFIEibHioniu1c9A_21_0"/>
      <w:bookmarkStart w:id="1023" w:name="Tc_SWH4p48dWEWSyC9S6B76pw_20_0"/>
      <w:bookmarkStart w:id="1024" w:name="Tc_W1RONyMhLkyYa9mPUlgFrg_19_0"/>
      <w:bookmarkStart w:id="1025" w:name="Tc_ew7Kced9r0KysP1CD0NLZA_18_0"/>
      <w:bookmarkStart w:id="1026" w:name="Tc_5F0gcbxet0y1h7gclGzl4g_17_0"/>
      <w:bookmarkStart w:id="1027" w:name="Tc_O3pMajn1VE2ae0x0IM2moQ_16_0"/>
      <w:bookmarkStart w:id="1028" w:name="Tc_4fAqPPVGmEaYmoymmZozmg_15_0"/>
      <w:bookmarkStart w:id="1029" w:name="Tc_t_os2-eCOkKNOMKbYji2fQ_14_0"/>
      <w:bookmarkStart w:id="1030" w:name="Tc_0ImHzCFzgka2f0k-uFdKWQ_13_0"/>
      <w:bookmarkStart w:id="1031" w:name="Tc_ZzXKyFZUHEeOO_fO1W8Amg_12_0"/>
      <w:bookmarkStart w:id="1032" w:name="Tc_Px8e3aURh0KpG3UdW4X3Xg_11_0"/>
      <w:bookmarkStart w:id="1033" w:name="Tc_gT8JPlZNcU627l2ksXltPg_10_6"/>
      <w:bookmarkStart w:id="1034" w:name="Tc_VUW6E799HEGlYxTFrtYT0A_10_0"/>
      <w:bookmarkStart w:id="1035" w:name="Tc_JfIBgNfPeECvgcbKm8o0Tw_9_0"/>
      <w:bookmarkStart w:id="1036" w:name="Tc_hwpyFcngX0eHLmprnM89Vw_8_0"/>
      <w:bookmarkStart w:id="1037" w:name="Tc_eHGoJCpg9E26SGgx2mQ2vA_7_0"/>
      <w:bookmarkStart w:id="1038" w:name="Tc_QfztgXiUEEmmDiTYa0_FHw_6_0"/>
      <w:bookmarkStart w:id="1039" w:name="Tc_UsMnVh4FRUqRcGi8rpUj3g_5_5"/>
      <w:bookmarkStart w:id="1040" w:name="Tc_MqvRLukWekGRnzBmt67FJg_5_2"/>
      <w:bookmarkStart w:id="1041" w:name="Tc_CSUlwpz_FE20eJlaJzuR4g_5_0"/>
      <w:bookmarkStart w:id="1042" w:name="Tc_FB6SMLe8qku3C5MUIDWZuA_4_0"/>
      <w:bookmarkStart w:id="1043" w:name="Tc_PP6Z_QXH-0iW1VGGgwfV8w_3_5"/>
      <w:bookmarkStart w:id="1044" w:name="Tc_6joBYXEzTUyKasx2Tb9oqw_3_2"/>
      <w:bookmarkStart w:id="1045" w:name="Tc_eyXcyP2WwU-YqJ7AxK12TQ_2_2"/>
      <w:bookmarkStart w:id="1046" w:name="Tc_CN71d8wS6Ueoy-sSp3dK5Q_1_2"/>
      <w:bookmarkStart w:id="1047" w:name="_71a6b9e4_4df5_4f37_9a92_3ee23909c94c"/>
      <w:bookmarkStart w:id="1048" w:name="Tc_gKQYzJFp80KDAeEArFjI5g_54_5"/>
      <w:bookmarkStart w:id="1049" w:name="Tc_2l610ZlEpU-7aHRhWSWFEQ_54_2"/>
      <w:bookmarkStart w:id="1050" w:name="Tc_DIFljQOSKkC-sCw2d9x_CA_54_0"/>
      <w:bookmarkStart w:id="1051" w:name="Tc_lAg4a3yq7k2B6G3OHlaLxw_53_5"/>
      <w:bookmarkStart w:id="1052" w:name="Tc_ZiSZTulrl0KbZeT2Ny1EqQ_53_2"/>
      <w:bookmarkStart w:id="1053" w:name="Tc_f2-B7i6WeU-qkpoaS4I9rA_53_0"/>
      <w:bookmarkStart w:id="1054" w:name="Tc_Y3GfmUyfW0SxHhEoSa49qA_52_0"/>
      <w:bookmarkStart w:id="1055" w:name="Tc_tR4y0JTejkGZXUXJsw1DdA_51_0"/>
      <w:bookmarkStart w:id="1056" w:name="Tc_AruRfAfVVUK394vVZ7y34Q_49_5"/>
      <w:bookmarkStart w:id="1057" w:name="Tc_2LGq7q4XT06nbDOtXUkilA_49_2"/>
      <w:bookmarkStart w:id="1058" w:name="Tc_mhkK4y4uVU6oQ9KSyvXVaQ_49_0"/>
      <w:bookmarkStart w:id="1059" w:name="Tc_WJvAwuAs80OFpjFfryW2cQ_48_0"/>
      <w:bookmarkStart w:id="1060" w:name="Tc_DsZJy76HtkWDzF0c9wJpeA_47_0"/>
      <w:bookmarkStart w:id="1061" w:name="Tc_w2U_ckUA0UCLRAm6yB1CZw_45_0"/>
      <w:bookmarkStart w:id="1062" w:name="Tc_Y6q2TWP8ik6Awp8QmreQfw_43_0"/>
      <w:bookmarkStart w:id="1063" w:name="Tc_zIZj5aH1F0aOb9bqW-vZyA_42_0"/>
      <w:bookmarkStart w:id="1064" w:name="Tc_2ZfM31FQCUeb9jkHlaVnKg_41_0"/>
      <w:bookmarkStart w:id="1065" w:name="Tc_FMJVXP57G0GiO1M3CherjA_40_0"/>
      <w:bookmarkStart w:id="1066" w:name="Tc_5wLrvaqPTUSkPBHIXSxKmQ_39_0"/>
      <w:bookmarkStart w:id="1067" w:name="Tc_WmPCkqSRBkO4VfsCQJ2Uwg_37_0"/>
      <w:bookmarkStart w:id="1068" w:name="Tc_FxW8bBoQv06SP49RuEN--A_36_0"/>
      <w:bookmarkStart w:id="1069" w:name="Tc_kocjQGySWU-bMhgRFMW_XA_35_0"/>
      <w:bookmarkStart w:id="1070" w:name="Tc_YZpD_J2FBUyyXE-fzGadFA_34_0"/>
      <w:bookmarkStart w:id="1071" w:name="Tc_yJjc5o59yUqqEhybK__6Gw_33_0"/>
      <w:bookmarkStart w:id="1072" w:name="Tc_QgEuuYzJC0yWPaA0qfJf2A_32_0"/>
      <w:bookmarkStart w:id="1073" w:name="Tc_yDRk_gDafku0-zL4xcXd-w_31_6"/>
      <w:bookmarkStart w:id="1074" w:name="Tc_cRvc9YpHkEatL0S-oL6pOw_31_0"/>
      <w:bookmarkStart w:id="1075" w:name="Tc_EoawKBstU02mwUgXUhj6VQ_30_0"/>
      <w:bookmarkStart w:id="1076" w:name="Tc_AbVxMgQU8UGvvCKVCH-8Eg_29_0"/>
      <w:bookmarkStart w:id="1077" w:name="Tc_toSmOlcR_0m0P9okeLrpXA_28_0"/>
      <w:bookmarkStart w:id="1078" w:name="Tc_noFQiAqy2kmU7Tlh9uiKMg_26_0"/>
      <w:bookmarkStart w:id="1079" w:name="Tc_PMTuJMIwLka_2J5CcUMxpA_25_0"/>
      <w:bookmarkStart w:id="1080" w:name="Tc_mLZr2jI7jEO0tfMjbkFIyg_24_0"/>
      <w:bookmarkStart w:id="1081" w:name="Tc__AA5dmXik0m_eYzbvMqlmA_23_0"/>
      <w:bookmarkStart w:id="1082" w:name="Tc_-I1gU3scikeH1IitnTrNEw_22_0"/>
      <w:bookmarkStart w:id="1083" w:name="Tc_MOXs5OJFIEibHioniu1c9A_21_0"/>
      <w:bookmarkStart w:id="1084" w:name="Tc_SWH4p48dWEWSyC9S6B76pw_20_0"/>
      <w:bookmarkStart w:id="1085" w:name="Tc_W1RONyMhLkyYa9mPUlgFrg_19_0"/>
      <w:bookmarkStart w:id="1086" w:name="Tc_ew7Kced9r0KysP1CD0NLZA_18_0"/>
      <w:bookmarkStart w:id="1087" w:name="Tc_5F0gcbxet0y1h7gclGzl4g_17_0"/>
      <w:bookmarkStart w:id="1088" w:name="Tc_O3pMajn1VE2ae0x0IM2moQ_16_0"/>
      <w:bookmarkStart w:id="1089" w:name="Tc_4fAqPPVGmEaYmoymmZozmg_15_0"/>
      <w:bookmarkStart w:id="1090" w:name="Tc_t_os2-eCOkKNOMKbYji2fQ_14_0"/>
      <w:bookmarkStart w:id="1091" w:name="Tc_0ImHzCFzgka2f0k-uFdKWQ_13_0"/>
      <w:bookmarkStart w:id="1092" w:name="Tc_ZzXKyFZUHEeOO_fO1W8Amg_12_0"/>
      <w:bookmarkStart w:id="1093" w:name="Tc_Px8e3aURh0KpG3UdW4X3Xg_11_0"/>
      <w:bookmarkStart w:id="1094" w:name="Tc_gT8JPlZNcU627l2ksXltPg_10_6"/>
      <w:bookmarkStart w:id="1095" w:name="Tc_VUW6E799HEGlYxTFrtYT0A_10_0"/>
      <w:bookmarkStart w:id="1096" w:name="Tc_JfIBgNfPeECvgcbKm8o0Tw_9_0"/>
      <w:bookmarkStart w:id="1097" w:name="Tc_hwpyFcngX0eHLmprnM89Vw_8_0"/>
      <w:bookmarkStart w:id="1098" w:name="Tc_eHGoJCpg9E26SGgx2mQ2vA_7_0"/>
      <w:bookmarkStart w:id="1099" w:name="Tc_QfztgXiUEEmmDiTYa0_FHw_6_0"/>
      <w:bookmarkStart w:id="1100" w:name="Tc_UsMnVh4FRUqRcGi8rpUj3g_5_5"/>
      <w:bookmarkStart w:id="1101" w:name="Tc_MqvRLukWekGRnzBmt67FJg_5_2"/>
      <w:bookmarkStart w:id="1102" w:name="Tc_CSUlwpz_FE20eJlaJzuR4g_5_0"/>
      <w:bookmarkStart w:id="1103" w:name="Tc_FB6SMLe8qku3C5MUIDWZuA_4_0"/>
      <w:bookmarkStart w:id="1104" w:name="Tc_PP6Z_QXH-0iW1VGGgwfV8w_3_5"/>
      <w:bookmarkStart w:id="1105" w:name="Tc_6joBYXEzTUyKasx2Tb9oqw_3_2"/>
      <w:bookmarkStart w:id="1106" w:name="Tc_eyXcyP2WwU-YqJ7AxK12TQ_2_2"/>
      <w:bookmarkStart w:id="1107" w:name="Tc_CN71d8wS6Ueoy-sSp3dK5Q_1_2"/>
      <w:bookmarkStart w:id="1108" w:name="_71a6b9e4_4df5_4f37_9a92_3ee23909c94c"/>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p>
    <w:tbl>
      <w:tblPr>
        <w:tblW w:w="8772" w:type="dxa"/>
        <w:jc w:val="left"/>
        <w:tblInd w:w="0" w:type="dxa"/>
        <w:tblLayout w:type="fixed"/>
        <w:tblCellMar>
          <w:top w:w="0" w:type="dxa"/>
          <w:left w:w="0" w:type="dxa"/>
          <w:bottom w:w="0" w:type="dxa"/>
          <w:right w:w="0" w:type="dxa"/>
        </w:tblCellMar>
      </w:tblPr>
      <w:tblGrid>
        <w:gridCol w:w="5791"/>
        <w:gridCol w:w="326"/>
        <w:gridCol w:w="196"/>
        <w:gridCol w:w="946"/>
        <w:gridCol w:w="326"/>
        <w:gridCol w:w="196"/>
        <w:gridCol w:w="991"/>
      </w:tblGrid>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24460" cy="175260"/>
                      <wp:effectExtent l="0" t="0" r="0" b="0"/>
                      <wp:wrapNone/>
                      <wp:docPr id="78" name="Frame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00710" cy="175260"/>
                      <wp:effectExtent l="0" t="0" r="0" b="0"/>
                      <wp:wrapNone/>
                      <wp:docPr id="79" name="Frame7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24460" cy="175260"/>
                      <wp:effectExtent l="0" t="0" r="0" b="0"/>
                      <wp:wrapNone/>
                      <wp:docPr id="81" name="Frame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29285" cy="175260"/>
                      <wp:effectExtent l="0" t="0" r="0" b="0"/>
                      <wp:wrapNone/>
                      <wp:docPr id="82" name="Frame8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Nine-Months Ended</w: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1,264,009</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889,950</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50,364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46,040</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6,471</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5,180</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disposal of property and equipment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(686)</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Bang 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(45,382)</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impairment of intangibles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2,800</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52,465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49,167</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29,710</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on cash of changes in operating assets and liabilities net of acquisition: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(218,804)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(202,447)</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69,796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(297,140)</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(67,368)</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(39,204)</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8,032</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7,867</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109,823</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52,663</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24,697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(2,572)</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promotional allowances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42,425</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89,236</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(6,636)</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4,217</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(12,823)</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(3,492)</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(19,320)</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(16,060)</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1,283,426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589,186</w: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Sales of available-for-sale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1,546,038</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1,823,943</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(1,405,233)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(1,393,910)</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 of Bang Energy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(363,385)</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 of CANarchy, net of cash</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(329,472)</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(110,224)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(136,158)</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Additions to intangibles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(9,110)</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(3,578)</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in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(19,862)</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(19,171)</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(360,023)</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(57,743)</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borrowings on debt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(11,273)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(719)</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65,560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34,759</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common stock held in treasury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(488,080)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(493,315)</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(433,793)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(459,275)</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(95,582)</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466,708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(23,414)</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1,307,141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1,326,462</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1,773,849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1,303,048</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INFORMATION: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during the period for: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348,948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297,526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FOR THE NINE-MONTHS ENDED</w:t>
      </w:r>
      <w:r>
        <w:rPr>
          <w:rFonts w:ascii="Times New Roman;Times;serif" w:hAnsi="Times New Roman;Times;serif"/>
          <w:sz w:val="20"/>
        </w:rPr>
        <w:t xml:space="preserve"> </w:t>
      </w:r>
      <w:r>
        <w:rPr>
          <w:rFonts w:ascii="Times New Roman;Times;serif" w:hAnsi="Times New Roman;Times;serif"/>
          <w:b/>
          <w:sz w:val="20"/>
        </w:rPr>
        <w:t>SEPTEMBER 30, 2023 AND 2022</w:t>
      </w:r>
    </w:p>
    <w:p>
      <w:pPr>
        <w:pStyle w:val="TextBody"/>
        <w:pBdr>
          <w:bottom w:val="single" w:sz="12" w:space="1" w:color="000000"/>
        </w:pBdr>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 Thousands) (Unaudited)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SUPPLEMENTAL DISCLOSURE OF NON-CASH ITEMS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accrued liabilities as of September 30, 2023 and 2022 were $14.3 million and $14.4 million, respectively, related to net additions to other intangible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payable as of September 30, 2023 and 2022 were available-for-sale short-term investment purchases of $8.7 million and $7.9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payable as of September 30, 2023 and 2022 were $2.0 million and $2.6 million, respectively, related to equipment purchases.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payable as of September 30, 2023 and 2022, respectively, were purchases of common stock held in treasury of $2.6 million and $76.1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receivable as of September 30, 2023 were available-for-sale short-term investment sales of $5.9 million.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09" w:name="a1BASISOFPRESENTATION_156061"/>
      <w:bookmarkStart w:id="1110" w:name="a1BASISOFPRESENTATION_156061"/>
      <w:bookmarkEnd w:id="1110"/>
    </w:p>
    <w:tbl>
      <w:tblPr>
        <w:tblW w:w="2717" w:type="dxa"/>
        <w:jc w:val="left"/>
        <w:tblInd w:w="0" w:type="dxa"/>
        <w:tblLayout w:type="fixed"/>
        <w:tblCellMar>
          <w:top w:w="0" w:type="dxa"/>
          <w:left w:w="0" w:type="dxa"/>
          <w:bottom w:w="0" w:type="dxa"/>
          <w:right w:w="0" w:type="dxa"/>
        </w:tblCellMar>
      </w:tblPr>
      <w:tblGrid>
        <w:gridCol w:w="271"/>
        <w:gridCol w:w="2446"/>
      </w:tblGrid>
      <w:tr>
        <w:trPr/>
        <w:tc>
          <w:tcPr>
            <w:tcW w:w="2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24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BASIS OF PRESENTATION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 is made to the Notes to Consolidated Financial Statements, in Monster Beverage Corporation and Subsidiaries (the “Company”) Annual Report on Form 10-K for the year ended December 31, 2022 for a summary of significant accounting policies utilized by the Company and its consolidated subsidiaries and other disclosures, which should be read in conjunction with this Quarterly Report on Form 10-Q (“Form 10-Q”).</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nine-months ended September 30, 2023 and 2022,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Treasury Stock Retirement</w:t>
      </w:r>
      <w:r>
        <w:rPr>
          <w:rFonts w:ascii="Times New Roman;Times;serif" w:hAnsi="Times New Roman;Times;serif"/>
          <w:sz w:val="20"/>
        </w:rPr>
        <w:t xml:space="preserve"> – On March 10, 2023, the Company retired 170.0 million shares (stock split adjusted) of treasury stock owned by the Company. The retired treasury stock had a carrying value of approximately $4.69 billion. The Company’s accounting policy upon the formal retirement of treasury stock is to deduct its par value from common stock and to reflect any excess of cost over par as a deduction from retained earnings.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Stock Split</w:t>
      </w:r>
      <w:r>
        <w:rPr>
          <w:rFonts w:ascii="Times New Roman;Times;serif" w:hAnsi="Times New Roman;Times;serif"/>
          <w:sz w:val="20"/>
        </w:rPr>
        <w:t xml:space="preserve"> – On February 28, 2023, the Company announced a two-for-one stock split of the Company’s common stock to be effected in the form of a 100% stock dividend. The common stock dividend was issued on March 27, 2023 (the “Stock Split”) and the Company’s common stock began trading at the split adjusted price on March 28, 2023. Accordingly, all per share amounts, average common stock outstanding, common stock outstanding, common stock repurchased and equity-based compensation presented in the condensed consolidated financial statements and notes have been adjusted retroactively, where applicable, to reflect the Stock Split. Stockholders’ equity has been retroactively adjusted, where applicable, to give effect to the Stock Split for all periods presented by reclassifying the par value of the additional shares issued in connection with the Stock Split to Common Stock from Retained Earnings and Additional Paid-in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Derivative Financial Instruments –</w:t>
      </w:r>
      <w:r>
        <w:rPr>
          <w:rFonts w:ascii="Times New Roman;Times;serif" w:hAnsi="Times New Roman;Times;serif"/>
          <w:sz w:val="20"/>
        </w:rPr>
        <w:t xml:space="preserve"> The Company uses derivative financial instruments for the purpose of hedging risk exposures to fluctuations in foreign currency exchange rates and aluminum commodity prices. The Company’s derivative instruments are recorded in the consolidated balance sheets at fair value. The Company values each derivative financial instrument by obtaining valuation information from a reliable and observable market source. For a derivative designated as a cash flow hedge, the derivative’s mark to fair value is initially recorded as a component of accumulated other comprehensive income (loss) and subsequently reclassified into earnings when the hedged item affects earnings, unless it is probable that the forecasted transaction will not occur. Derivatives that do not qualify for hedge accounting are marked to fair value with gains and losses immediately recorded in earnings. In the consolidated statements of cash flows, derivative activities are classified based on the cash flows of the items being hedged. Upon the dedesignation of an effective derivative contract, the gains or losses are deferred in accumulated other comprehensive income (loss) until the originally hedged item affects earnings, unless it is probable the hedged item will not occur, at which time it is recognized immediately. Any gains or losses incurred after the dedesignation date are recorded in earnings immediately.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changes in recently issued or adopted accounting pronouncements that would materially impact the Company from those disclosed in our Annual Report on Form 10-K for the fiscal year ended December 31, 2022.</w:t>
      </w:r>
    </w:p>
    <w:p>
      <w:pPr>
        <w:pStyle w:val="TextBody"/>
        <w:pBdr/>
        <w:bidi w:val="0"/>
        <w:spacing w:before="0" w:after="0"/>
        <w:ind w:left="0" w:right="0" w:hanging="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11" w:name="Tc_PXV8iONP-UiyO_X6rRxf_Q_15_5"/>
      <w:bookmarkStart w:id="1112" w:name="Tc_iGnsekZHoU-AUAI9jnxvTw_15_2"/>
      <w:bookmarkStart w:id="1113" w:name="Tc_VfOZvGdJ1kuC9eXndb02iA_15_0"/>
      <w:bookmarkStart w:id="1114" w:name="Tc_vJc4x0y6JkmrncLzINQE4Q_14_3"/>
      <w:bookmarkStart w:id="1115" w:name="Tc_D3J_jE_WtEqXpFX7EX_o7A_14_0"/>
      <w:bookmarkStart w:id="1116" w:name="Tc_dzIZV8NAvUimcli2n6WkIA_13_3"/>
      <w:bookmarkStart w:id="1117" w:name="Tc_qfh3lF3bak27Q_vU1DT3uA_13_0"/>
      <w:bookmarkStart w:id="1118" w:name="Tc_riYh59PauUeeEIb3b2HugA_12_6"/>
      <w:bookmarkStart w:id="1119" w:name="Tc_BuEHAZOlNE-3RfIrIiRwQA_12_0"/>
      <w:bookmarkStart w:id="1120" w:name="Tc_p0g1Xvvi4E-SSYmWZPmDmQ_11_6"/>
      <w:bookmarkStart w:id="1121" w:name="Tc_2h1LitCMdEejtoJ08Npj6Q_11_0"/>
      <w:bookmarkStart w:id="1122" w:name="Tc_GorF1wRXLk-q02Mierj4Gw_10_6"/>
      <w:bookmarkStart w:id="1123" w:name="Tc_BkYb4EvgxU2VOcuDP5DLqA_10_0"/>
      <w:bookmarkStart w:id="1124" w:name="Tc_o4SJRACm2kGmxkiuSo15Ng_9_6"/>
      <w:bookmarkStart w:id="1125" w:name="Tc_Ryh5SIpDpUGHuIcJgFnahA_9_0"/>
      <w:bookmarkStart w:id="1126" w:name="Tc_aXWelgN01E-DusYeH8mYiQ_8_6"/>
      <w:bookmarkStart w:id="1127" w:name="Tc__lNDhPpV1EqGGL3UmkSk0g_8_0"/>
      <w:bookmarkStart w:id="1128" w:name="Tc_VB-KgyIyJ0KCrvVc4y2mKg_7_6"/>
      <w:bookmarkStart w:id="1129" w:name="Tc_nR7oPK0sf0mkElfh7po13Q_7_0"/>
      <w:bookmarkStart w:id="1130" w:name="Tc_fMGjBEbjQk6WXjXs1ZJo3w_6_6"/>
      <w:bookmarkStart w:id="1131" w:name="Tc_9IazKOq_LkSu1SOkYzLsMA_6_0"/>
      <w:bookmarkStart w:id="1132" w:name="Tc_gxStS2Y5hkm8015v9wSqKQ_5_6"/>
      <w:bookmarkStart w:id="1133" w:name="Tc_4sGzZR86OUeFVc5eSrN8cw_5_5"/>
      <w:bookmarkStart w:id="1134" w:name="Tc_sVaGAEyThE6hklyqeKp2nQ_5_2"/>
      <w:bookmarkStart w:id="1135" w:name="Tc_bwnKdkNiLk-Gb7pdTA5_pQ_5_0"/>
      <w:bookmarkStart w:id="1136" w:name="Tc_N65QLIMPa0eY06vxpycuyQ_4_5"/>
      <w:bookmarkStart w:id="1137" w:name="Tc_KQ6IZ1oq00OToEK9lFqQVw_4_2"/>
      <w:bookmarkStart w:id="1138" w:name="Tc_PZZIUNsFB0ayVkeisfFFag_3_5"/>
      <w:bookmarkStart w:id="1139" w:name="Tc_VnKgdIMuVUi4Fqf0U1yFWA_3_2"/>
      <w:bookmarkStart w:id="1140" w:name="Tc_P8X-IVBcgk-g6tiOPvTmbw_2_2"/>
      <w:bookmarkStart w:id="1141" w:name="Tc_1S9NRihmNU-7LX5wtrkaPw_1_2"/>
      <w:bookmarkStart w:id="1142" w:name="Tc_PXV8iONP-UiyO_X6rRxf_Q_15_5"/>
      <w:bookmarkStart w:id="1143" w:name="Tc_iGnsekZHoU-AUAI9jnxvTw_15_2"/>
      <w:bookmarkStart w:id="1144" w:name="Tc_VfOZvGdJ1kuC9eXndb02iA_15_0"/>
      <w:bookmarkStart w:id="1145" w:name="Tc_vJc4x0y6JkmrncLzINQE4Q_14_3"/>
      <w:bookmarkStart w:id="1146" w:name="Tc_D3J_jE_WtEqXpFX7EX_o7A_14_0"/>
      <w:bookmarkStart w:id="1147" w:name="Tc_dzIZV8NAvUimcli2n6WkIA_13_3"/>
      <w:bookmarkStart w:id="1148" w:name="Tc_qfh3lF3bak27Q_vU1DT3uA_13_0"/>
      <w:bookmarkStart w:id="1149" w:name="Tc_riYh59PauUeeEIb3b2HugA_12_6"/>
      <w:bookmarkStart w:id="1150" w:name="Tc_BuEHAZOlNE-3RfIrIiRwQA_12_0"/>
      <w:bookmarkStart w:id="1151" w:name="Tc_p0g1Xvvi4E-SSYmWZPmDmQ_11_6"/>
      <w:bookmarkStart w:id="1152" w:name="Tc_2h1LitCMdEejtoJ08Npj6Q_11_0"/>
      <w:bookmarkStart w:id="1153" w:name="Tc_GorF1wRXLk-q02Mierj4Gw_10_6"/>
      <w:bookmarkStart w:id="1154" w:name="Tc_BkYb4EvgxU2VOcuDP5DLqA_10_0"/>
      <w:bookmarkStart w:id="1155" w:name="Tc_o4SJRACm2kGmxkiuSo15Ng_9_6"/>
      <w:bookmarkStart w:id="1156" w:name="Tc_Ryh5SIpDpUGHuIcJgFnahA_9_0"/>
      <w:bookmarkStart w:id="1157" w:name="Tc_aXWelgN01E-DusYeH8mYiQ_8_6"/>
      <w:bookmarkStart w:id="1158" w:name="Tc__lNDhPpV1EqGGL3UmkSk0g_8_0"/>
      <w:bookmarkStart w:id="1159" w:name="Tc_VB-KgyIyJ0KCrvVc4y2mKg_7_6"/>
      <w:bookmarkStart w:id="1160" w:name="Tc_nR7oPK0sf0mkElfh7po13Q_7_0"/>
      <w:bookmarkStart w:id="1161" w:name="Tc_fMGjBEbjQk6WXjXs1ZJo3w_6_6"/>
      <w:bookmarkStart w:id="1162" w:name="Tc_9IazKOq_LkSu1SOkYzLsMA_6_0"/>
      <w:bookmarkStart w:id="1163" w:name="Tc_gxStS2Y5hkm8015v9wSqKQ_5_6"/>
      <w:bookmarkStart w:id="1164" w:name="Tc_4sGzZR86OUeFVc5eSrN8cw_5_5"/>
      <w:bookmarkStart w:id="1165" w:name="Tc_sVaGAEyThE6hklyqeKp2nQ_5_2"/>
      <w:bookmarkStart w:id="1166" w:name="Tc_bwnKdkNiLk-Gb7pdTA5_pQ_5_0"/>
      <w:bookmarkStart w:id="1167" w:name="Tc_N65QLIMPa0eY06vxpycuyQ_4_5"/>
      <w:bookmarkStart w:id="1168" w:name="Tc_KQ6IZ1oq00OToEK9lFqQVw_4_2"/>
      <w:bookmarkStart w:id="1169" w:name="Tc_PZZIUNsFB0ayVkeisfFFag_3_5"/>
      <w:bookmarkStart w:id="1170" w:name="Tc_VnKgdIMuVUi4Fqf0U1yFWA_3_2"/>
      <w:bookmarkStart w:id="1171" w:name="Tc_P8X-IVBcgk-g6tiOPvTmbw_2_2"/>
      <w:bookmarkStart w:id="1172" w:name="Tc_1S9NRihmNU-7LX5wtrkaPw_1_2"/>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p>
    <w:tbl>
      <w:tblPr>
        <w:tblW w:w="1742" w:type="dxa"/>
        <w:jc w:val="left"/>
        <w:tblInd w:w="0" w:type="dxa"/>
        <w:tblLayout w:type="fixed"/>
        <w:tblCellMar>
          <w:top w:w="0" w:type="dxa"/>
          <w:left w:w="0" w:type="dxa"/>
          <w:bottom w:w="0" w:type="dxa"/>
          <w:right w:w="0" w:type="dxa"/>
        </w:tblCellMar>
      </w:tblPr>
      <w:tblGrid>
        <w:gridCol w:w="271"/>
        <w:gridCol w:w="147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4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ACQUISITIONS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31, 2023, a subsidiary of the Company, Blast Asset Acquisition LLC, completed its acquisition of substantially all of the assets of Vital Pharmaceuticals, Inc. and its debtor affiliates (collectively, “Bang Energy”) (the “Bang Transaction”). The acquired assets primarily include Bang Energy® drinks and a beverage production facility in Phoenix, AZ.</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accounted for the Bang Transaction in accordance with Financial Accounting Standards Board (“FASB”) Accounting Standards Codification (“ASC”) 805 “Business Combinations”. Under the acquisition method of accounting, the Company allocated the purchase price of the acquisition to identifiable assets acquired and liabilities assumed based on their estimated fair values as of the acquisition date. During the three-months ended September 30, 2023, in connection with the Bang Transaction, the Company recorded a gain of $45.4 million in interest and other income (expense), net within the condensed consolidated statements of income and reported within the Corporate and Unallocated segment (the "Bang Transaction Gain"). During the three-and nine-months ended September 30, 2023, the Company incurred approximately $8.0 million and $15.1 million, respectively, of acquisition costs related to the Bang Transaction.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preliminary fair value allocations of the Bang Transaction:</w:t>
      </w:r>
    </w:p>
    <w:p>
      <w:pPr>
        <w:pStyle w:val="TextBody"/>
        <w:bidi w:val="0"/>
        <w:spacing w:before="0" w:after="0"/>
        <w:ind w:left="0" w:right="0" w:hanging="0"/>
        <w:jc w:val="left"/>
        <w:rPr/>
      </w:pPr>
      <w:r>
        <w:rPr/>
        <w:t>​</w:t>
      </w:r>
    </w:p>
    <w:tbl>
      <w:tblPr>
        <w:tblW w:w="7262" w:type="dxa"/>
        <w:jc w:val="left"/>
        <w:tblInd w:w="0" w:type="dxa"/>
        <w:tblLayout w:type="fixed"/>
        <w:tblCellMar>
          <w:top w:w="0" w:type="dxa"/>
          <w:left w:w="0" w:type="dxa"/>
          <w:bottom w:w="0" w:type="dxa"/>
          <w:right w:w="0" w:type="dxa"/>
        </w:tblCellMar>
      </w:tblPr>
      <w:tblGrid>
        <w:gridCol w:w="4066"/>
        <w:gridCol w:w="326"/>
        <w:gridCol w:w="308"/>
        <w:gridCol w:w="1147"/>
        <w:gridCol w:w="109"/>
        <w:gridCol w:w="251"/>
        <w:gridCol w:w="1055"/>
      </w:tblGrid>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95580" cy="175260"/>
                      <wp:effectExtent l="0" t="0" r="0" b="0"/>
                      <wp:wrapNone/>
                      <wp:docPr id="84" name="Frame84"/>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728345" cy="175260"/>
                      <wp:effectExtent l="0" t="0" r="0" b="0"/>
                      <wp:wrapNone/>
                      <wp:docPr id="85" name="Frame85"/>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59385" cy="175260"/>
                      <wp:effectExtent l="0" t="0" r="0" b="0"/>
                      <wp:wrapNone/>
                      <wp:docPr id="87" name="Frame87"/>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69925" cy="175260"/>
                      <wp:effectExtent l="0" t="0" r="0" b="0"/>
                      <wp:wrapNone/>
                      <wp:docPr id="88" name="Frame88"/>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Identifiable </w:t>
            </w:r>
          </w:p>
        </w:tc>
        <w:tc>
          <w:tcPr>
            <w:tcW w:w="109" w:type="dxa"/>
            <w:tcBorders/>
            <w:vAlign w:val="center"/>
          </w:tcPr>
          <w:p>
            <w:pPr>
              <w:pStyle w:val="TableContents"/>
              <w:bidi w:val="0"/>
              <w:spacing w:before="0" w:after="0"/>
              <w:ind w:left="0" w:right="0" w:hanging="0"/>
              <w:jc w:val="center"/>
              <w:rPr/>
            </w:pPr>
            <w:r>
              <w:rPr/>
              <w:t>​</w:t>
            </w:r>
          </w:p>
        </w:tc>
        <w:tc>
          <w:tcPr>
            <w:tcW w:w="251"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center"/>
              <w:rPr/>
            </w:pPr>
            <w:r>
              <w:rPr/>
              <w:t>​</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Assets Acquired </w:t>
            </w:r>
          </w:p>
        </w:tc>
        <w:tc>
          <w:tcPr>
            <w:tcW w:w="109" w:type="dxa"/>
            <w:tcBorders/>
            <w:vAlign w:val="center"/>
          </w:tcPr>
          <w:p>
            <w:pPr>
              <w:pStyle w:val="TableContents"/>
              <w:bidi w:val="0"/>
              <w:spacing w:before="0" w:after="0"/>
              <w:ind w:left="0" w:right="0" w:hanging="0"/>
              <w:jc w:val="center"/>
              <w:rPr/>
            </w:pPr>
            <w:r>
              <w:rPr/>
              <w:t>​</w:t>
            </w:r>
          </w:p>
        </w:tc>
        <w:tc>
          <w:tcPr>
            <w:tcW w:w="251"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center"/>
              <w:rPr/>
            </w:pPr>
            <w:r>
              <w:rPr/>
              <w:t>​</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 (Liabilities)</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Consideration</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Assumed</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Transferred</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 trademarks (non-amortizing)</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209,000</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 customer relationships (amortizing)</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23,000</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143,200</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30,496</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 -use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12,523</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(12,523)</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Working capital (excluding 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2,871</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363,385</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Bang Transaction Gain</w:t>
            </w:r>
          </w:p>
        </w:tc>
        <w:tc>
          <w:tcPr>
            <w:tcW w:w="326"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45,382</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408,767</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408,767</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fair value analysis has yet to progress to a stage where there is sufficient information for a definitive measurement of the respective fair values. Accordingly, the respective fair value allocations are preliminary and are based on valuations derived from estimated fair value assumptions used by management. The Company expects to complete its fair value analysis at a level of detail necessary to finalize the underlying fair value allocations as soon as practicable, but no later than twelve months from the closing of the Bang Transaction. Any differences between the final respective fair value allocations and the preliminary management estimates may have an impact on the Company’s financial position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determined the fair values as follows:</w:t>
      </w:r>
    </w:p>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 relief-from-royalty method of the income approach</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 – multi-period excess earnings method of the income approach</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 cost approach and market approach</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 comparative sales method and replacement cost method</w:t>
            </w:r>
          </w:p>
        </w:tc>
      </w:tr>
    </w:tbl>
    <w:tbl>
      <w:tblPr>
        <w:tblW w:w="7821" w:type="dxa"/>
        <w:jc w:val="left"/>
        <w:tblInd w:w="0" w:type="dxa"/>
        <w:tblLayout w:type="fixed"/>
        <w:tblCellMar>
          <w:top w:w="28" w:type="dxa"/>
          <w:left w:w="28" w:type="dxa"/>
          <w:bottom w:w="28" w:type="dxa"/>
          <w:right w:w="28" w:type="dxa"/>
        </w:tblCellMar>
      </w:tblPr>
      <w:tblGrid>
        <w:gridCol w:w="124"/>
        <w:gridCol w:w="25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Bang Transaction Gain - residual of net assets acquired less cash consideration transferred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book value of the working capital (excluding inventory) approximates fair value due to the short-term nature of the accounts.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tax purposes, the Bang Transaction was recorded as an asset purchase.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Regulation S-X, pro forma unaudited condensed financial information for the Bang Transaction has not been provided as the impact of the transaction on the Company’s financial position, results of operations and liquidity was not material.</w:t>
      </w:r>
    </w:p>
    <w:tbl>
      <w:tblPr>
        <w:tblW w:w="2672" w:type="dxa"/>
        <w:jc w:val="left"/>
        <w:tblInd w:w="0" w:type="dxa"/>
        <w:tblLayout w:type="fixed"/>
        <w:tblCellMar>
          <w:top w:w="0" w:type="dxa"/>
          <w:left w:w="0" w:type="dxa"/>
          <w:bottom w:w="0" w:type="dxa"/>
          <w:right w:w="0" w:type="dxa"/>
        </w:tblCellMar>
      </w:tblPr>
      <w:tblGrid>
        <w:gridCol w:w="271"/>
        <w:gridCol w:w="240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24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REVENUE RECOGNITION</w:t>
            </w:r>
          </w:p>
        </w:tc>
      </w:tr>
    </w:tbl>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Revenues are accounted for in accordance with Financial Accounting Standards Board (“FASB”) Accounting Standards Codification (“ASC”) 606, “Revenue from Contracts with Consumers”. The Company has four operating and reportable segments: (i) Monster Energy® Drinks segment (“Monster Energy® Drinks”), which is primarily comprised of the Company’s Monster Energy® drinks, Reign Storm</w:t>
      </w:r>
      <w:r>
        <w:rPr>
          <w:rFonts w:ascii="Times New Roman;Times;serif" w:hAnsi="Times New Roman;Times;serif"/>
          <w:sz w:val="17"/>
        </w:rPr>
        <w:t>TM</w:t>
      </w:r>
      <w:r>
        <w:rPr>
          <w:rFonts w:ascii="Times New Roman;Times;serif" w:hAnsi="Times New Roman;Times;serif"/>
          <w:sz w:val="20"/>
        </w:rPr>
        <w:t xml:space="preserve"> total wellness energy drinks, Reign® Total Body Fuel high performance energy drinks, Bang Energy® drinks and Monster Tour Water® (ii) Strategic Brands segment (“Strategic Brands”), which is primarily comprised of the various energy drink brands acquired from The Coca-Cola Company (“TCCC”) in 2015 as well as the Company’s affordable energy brands, (iii) Alcohol Brands segment (“Alcohol Brands”), which is primarily comprised of the various craft beers and hard seltzers purchased as part of the acquisition of CANarchy Craft Brewery Collective LLC (“CANarchy”) on February 17, 2022 (the “CANarchy Transaction”) as well as The Beast Unleashed</w:t>
      </w:r>
      <w:r>
        <w:rPr>
          <w:rFonts w:ascii="Times New Roman;Times;serif" w:hAnsi="Times New Roman;Times;serif"/>
          <w:sz w:val="15"/>
        </w:rPr>
        <w:t>TM</w:t>
      </w:r>
      <w:r>
        <w:rPr>
          <w:rFonts w:ascii="Times New Roman;Times;serif" w:hAnsi="Times New Roman;Times;serif"/>
          <w:sz w:val="20"/>
        </w:rPr>
        <w:t xml:space="preserve"> flavored malt beverages (“FMBs”) and (iv) Other segment (“Other”), which is primarily comprised of certain products sold by American Fruits and Flavors, LLC, a wholly-owned subsidiary of the Company, to independent third-party customers (the “AFF Third-Party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energy drinks primarily to bottlers and full service beverage bottlers/distributors (“bottlers/distributors”). In some cases, the Company sells ready-to-drink packaged energy drinks directly to retail grocery and specialty chains, wholesalers, club stores, mass merchandisers, convenience and gas chains, drug stores, foodservice customers, value stores, e-commerce retailers and the military.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hard seltzers and FMBs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September 30, 2023 and December 31,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excludes from revenues all taxes assessed by a governmental authority that are imposed on the sale of its products and collected from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Distribution expenses to transport the Company’s products, where applicable, and warehousing expense after manufacture are accounted for within operating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and other allowances (variable consideration) recorded as a reduction to net sales for the Company’s energy drink products primarily include consideration given to the Company’s non-alcohol bottlers/distributors or retail customers including, but not limited to, the following:</w:t>
      </w:r>
    </w:p>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granted off list prices to support price promotions to end-consumers by retailers;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reimbursements given to the Company’s bottlers/distributors for agreed portions of their promotional spend with retailers, including slotting, shelf space allowances and other fees for both new and existing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agreed share of fees given to bottlers/distributors and/or directly to retailers for advertising, in-store marketing and promotional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agreed share of slotting, shelf space allowances and other fees given directly to retailers, club stores and/or wholesalers;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incentives given to the Company’s bottlers/distributors and/or retailers for achieving or exceeding certain predetermined sales goals;</w:t>
            </w:r>
          </w:p>
        </w:tc>
      </w:tr>
    </w:tbl>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or free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fees given to the Company’s bottlers/distributors related to sales made directly by the Company to certain customers that fall within the bottlers’/distributors’ sales territories;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 to TCCC based on the Company’s sales to wholly-owned subsidiaries of TCCC (the “TCCC Subsidiaries”) and/or to TCCC bottlers/distributors accounted for under the equity method by TCCC (the “TCCC Related Parties”).</w:t>
            </w:r>
          </w:p>
        </w:tc>
      </w:tr>
    </w:tbl>
    <w:p>
      <w:pPr>
        <w:pStyle w:val="TextBody"/>
        <w:bidi w:val="0"/>
        <w:spacing w:before="0" w:after="0"/>
        <w:ind w:left="1440" w:right="0" w:hanging="0"/>
        <w:jc w:val="both"/>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Company’s promotional allowance programs for its energy drink products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for its energy drink products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 Promotional and other allowances for our Alcohol Brands segment primarily include price promotions where permitted.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also enters into license agreements that generate revenues associated with third-party sales of non-beverage products bearing the Company’s trademarks including, but not limited to, clothing, hats, t-shirts, jackets, helmets and automotive wheels.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Management believes that adequate provision has been made for cash discounts, returns and spoilage based on the Company’s historical experience.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i/>
          <w:sz w:val="20"/>
        </w:rPr>
      </w:pPr>
      <w:bookmarkStart w:id="1173" w:name="Tc_JX-ktYGfNk24NYTGQOsiAg_10_14"/>
      <w:bookmarkStart w:id="1174" w:name="Tc_JX-ODSY-jkeCAixwRZGtdA_10_11"/>
      <w:bookmarkStart w:id="1175" w:name="Tc_PfhSqeZhdUOtwH3Vlx23rg_10_8"/>
      <w:bookmarkStart w:id="1176" w:name="Tc_HSsh-zLr0kWJMCUi0unwhQ_10_5"/>
      <w:bookmarkStart w:id="1177" w:name="Tc__FEEMFKQIEGTIllY6phdzg_10_2"/>
      <w:bookmarkStart w:id="1178" w:name="Tc_aSnglcSr90OjkMtqU-EHfg_10_0"/>
      <w:bookmarkStart w:id="1179" w:name="Tc_9lllPDRwVkes25aA_QCZuQ_9_0"/>
      <w:bookmarkStart w:id="1180" w:name="Tc_9RFqV3x7ekGF-UHnl2krKA_8_0"/>
      <w:bookmarkStart w:id="1181" w:name="Tc_HpfIeAXwJ0uBIwtwoFyCsQ_7_0"/>
      <w:bookmarkStart w:id="1182" w:name="Tc_B63JqCp2pE-Fv2q9vkHv6w_6_14"/>
      <w:bookmarkStart w:id="1183" w:name="Tc_1HmlnPxbYESeyUX_IOuVXQ_6_11"/>
      <w:bookmarkStart w:id="1184" w:name="Tc_xY_PmCf-20qNEBGd6ts2Hg_6_8"/>
      <w:bookmarkStart w:id="1185" w:name="Tc_xsltFi_xwUeQfOsUakdNVg_6_5"/>
      <w:bookmarkStart w:id="1186" w:name="Tc_gEulWIJnB0Wuu-tQgn6OUw_6_2"/>
      <w:bookmarkStart w:id="1187" w:name="Tc_vRm4Sc3TJkS3nXdTQeIrDA_6_0"/>
      <w:bookmarkStart w:id="1188" w:name="Tc_GNefVBBq3UKvmFwtw8mfSg_5_14"/>
      <w:bookmarkStart w:id="1189" w:name="Tc_sNYo4zJ0FUaoH_MCpyVXgg_5_11"/>
      <w:bookmarkStart w:id="1190" w:name="Tc_hYec5PeffESMakBM5-KWLQ_5_8"/>
      <w:bookmarkStart w:id="1191" w:name="Tc_JXzUr1ejBEKgGxQAD-uwDw_5_5"/>
      <w:bookmarkStart w:id="1192" w:name="Tc_jSQKMcd-bkSG6fcw3B_EYA_5_2"/>
      <w:bookmarkStart w:id="1193" w:name="Tc_fcGb65kVPkebMN662nPn0g_5_0"/>
      <w:bookmarkStart w:id="1194" w:name="Tc_NUn6yeqTkkWzG_X0AyFmVQ_4_11"/>
      <w:bookmarkStart w:id="1195" w:name="Tc_v9QJye2y9Ums7TV6G7Gyrg_4_8"/>
      <w:bookmarkStart w:id="1196" w:name="Tc_keph0PuWSkKWLdiAu72nkg_4_2"/>
      <w:bookmarkStart w:id="1197" w:name="Tc_X1oJaIWKJkyxpB3ypv0A0A_3_11"/>
      <w:bookmarkStart w:id="1198" w:name="Tc_3y8gpPAIoUycrAGN5uRzcw_3_8"/>
      <w:bookmarkStart w:id="1199" w:name="Tc_PpIAP0KrwE-4oncblrgNuQ_2_11"/>
      <w:bookmarkStart w:id="1200" w:name="Tc_l4xamExEhk6vp0vfUb5uRA_1_2"/>
      <w:bookmarkStart w:id="1201" w:name="_1b076af2_2317_4dc0_93fb_32089daa9b89"/>
      <w:bookmarkStart w:id="1202" w:name="Tc_zszdftz2Rkm9lxW7fu51hQ_10_14"/>
      <w:bookmarkStart w:id="1203" w:name="Tc_h28oblenrkWZfMAnfdxg_A_10_11"/>
      <w:bookmarkStart w:id="1204" w:name="Tc_Z_o5bZowB0KMPSQmv05aNw_10_8"/>
      <w:bookmarkStart w:id="1205" w:name="Tc_kX4up84TSEG5IG-5ieeWKg_10_5"/>
      <w:bookmarkStart w:id="1206" w:name="Tc_NFqblzvl1UqDm83S6bhnZg_10_2"/>
      <w:bookmarkStart w:id="1207" w:name="Tc_hAWdFHwrf0OZN1eSZ8hjEA_10_0"/>
      <w:bookmarkStart w:id="1208" w:name="Tc_yGnQfI3gAkCiw-n_ocsoTg_9_0"/>
      <w:bookmarkStart w:id="1209" w:name="Tc_h9dQE-N1dUScmcB_GZfkFA_8_0"/>
      <w:bookmarkStart w:id="1210" w:name="Tc_KAeicd_TFE-0bEkgb3A45w_7_0"/>
      <w:bookmarkStart w:id="1211" w:name="Tc_vLc7Ycr5mU-CdWvr8hSXoA_6_14"/>
      <w:bookmarkStart w:id="1212" w:name="Tc_XOyNgJFOuUmR9wt6QSgekw_6_11"/>
      <w:bookmarkStart w:id="1213" w:name="Tc_5xK5y-BLx0iHzS029fl11g_6_8"/>
      <w:bookmarkStart w:id="1214" w:name="Tc_2eekzr4lgkmLP9AOkkNE8A_6_5"/>
      <w:bookmarkStart w:id="1215" w:name="Tc_ZNT3N-0C-E6v9Jt5xVuLIg_6_2"/>
      <w:bookmarkStart w:id="1216" w:name="Tc_ltXU0WuHJEKYdskrlRzIuA_6_0"/>
      <w:bookmarkStart w:id="1217" w:name="Tc_-10hI697Y0G-Z4RBNE66XA_5_14"/>
      <w:bookmarkStart w:id="1218" w:name="Tc_bxHdNxgjCE6pm6nt6JK4DA_5_11"/>
      <w:bookmarkStart w:id="1219" w:name="Tc_Tk6fESOqrEWzvrEIYgKftg_5_8"/>
      <w:bookmarkStart w:id="1220" w:name="Tc_alYJ0iR_g0i2c7YLJ-Jy0w_5_5"/>
      <w:bookmarkStart w:id="1221" w:name="Tc_5FHvvp16YECb0Buo5aUMNA_5_2"/>
      <w:bookmarkStart w:id="1222" w:name="Tc_uIonAIPpdUKo_t6iHkJtDQ_5_0"/>
      <w:bookmarkStart w:id="1223" w:name="Tc_r9KaRVjWm0q01_V7y5QXBg_4_11"/>
      <w:bookmarkStart w:id="1224" w:name="Tc_d-eQyyBf-kG-K6u-cYn1XA_4_8"/>
      <w:bookmarkStart w:id="1225" w:name="Tc_KujXOt33skamacDcgrzSIg_4_2"/>
      <w:bookmarkStart w:id="1226" w:name="Tc_vQ0LrtPS6kuIUgZl8_Nhuw_3_11"/>
      <w:bookmarkStart w:id="1227" w:name="Tc_BfU247tg8EKqTAeAxVWSJw_3_8"/>
      <w:bookmarkStart w:id="1228" w:name="Tc_R-Fz3z0MlUabM1vZzou-vw_2_11"/>
      <w:bookmarkStart w:id="1229" w:name="Tc_s5g5-ACOJUGxepB_OSAaJw_1_2"/>
      <w:bookmarkStart w:id="1230" w:name="_7a28443c_d244_42ef_a757_f9871d291b19"/>
      <w:bookmarkStart w:id="1231" w:name="Tc_nCOuQLKNjkOQNBdOUiGkMw_10_14"/>
      <w:bookmarkStart w:id="1232" w:name="Tc_cy9YuXQPpk-CNv4MkkJmEA_10_11"/>
      <w:bookmarkStart w:id="1233" w:name="Tc__NyC9vfvLE6FrgarNBeIIw_10_8"/>
      <w:bookmarkStart w:id="1234" w:name="Tc_hB3G0ENBfEqLAsjMqjp6Qg_10_5"/>
      <w:bookmarkStart w:id="1235" w:name="Tc_gYYOxWtkIESpI8waoc9O3Q_10_2"/>
      <w:bookmarkStart w:id="1236" w:name="Tc_Ss-O4VIpEEO3q5HA6jWw5A_10_0"/>
      <w:bookmarkStart w:id="1237" w:name="Tc_aMQaRUwA4E-tNhdaL2Ualg_9_0"/>
      <w:bookmarkStart w:id="1238" w:name="Tc_EzT_xfNbKU6svXwly-Lu-A_8_0"/>
      <w:bookmarkStart w:id="1239" w:name="Tc_RDLQaGtq70eZrW-sdWG5zA_7_0"/>
      <w:bookmarkStart w:id="1240" w:name="Tc_wHSoQXT0xUW1YCzQ3nE1gA_6_14"/>
      <w:bookmarkStart w:id="1241" w:name="Tc_TqFgAuFEEUKH8U3xNjbddw_6_11"/>
      <w:bookmarkStart w:id="1242" w:name="Tc_7Ore5TJxO0W7mSTXi_98IQ_6_8"/>
      <w:bookmarkStart w:id="1243" w:name="Tc_Tliucpygb0Obh-vQ0NHDKQ_6_5"/>
      <w:bookmarkStart w:id="1244" w:name="Tc_r75IUIOQzEKlCyLvZWRTTQ_6_2"/>
      <w:bookmarkStart w:id="1245" w:name="Tc_kbdLAYghG0iUL3iCNhfArA_6_0"/>
      <w:bookmarkStart w:id="1246" w:name="Tc_GhpLlvfDSE-PPrBjjDPsgw_5_14"/>
      <w:bookmarkStart w:id="1247" w:name="Tc_T4o8fOroGEyJJ1dpk5kpDQ_5_11"/>
      <w:bookmarkStart w:id="1248" w:name="Tc_4mcz8aLLsUyVyqygbbPHlw_5_8"/>
      <w:bookmarkStart w:id="1249" w:name="Tc_gdYB2zp7hE6HFpawxPtlGQ_5_5"/>
      <w:bookmarkStart w:id="1250" w:name="Tc_r2lPdLL880uqAPJNG7B0hw_5_2"/>
      <w:bookmarkStart w:id="1251" w:name="Tc_bOOu_UCBXE-ilmnoIfWQMg_5_0"/>
      <w:bookmarkStart w:id="1252" w:name="Tc_swwzpW1uO0-a38JQtw1GQg_4_11"/>
      <w:bookmarkStart w:id="1253" w:name="Tc_l9t73I4m6EWCcN-e-REbzQ_4_8"/>
      <w:bookmarkStart w:id="1254" w:name="Tc_63HCdNYqqk6MB_b5oFBYeg_4_2"/>
      <w:bookmarkStart w:id="1255" w:name="Tc_RMp8T31qSEmMkVg0hNAO8w_3_11"/>
      <w:bookmarkStart w:id="1256" w:name="Tc_rwrff-WDzEG5YjcwhuWOCQ_3_8"/>
      <w:bookmarkStart w:id="1257" w:name="Tc_DshkJmRuNkK1lvHpBktxOQ_2_11"/>
      <w:bookmarkStart w:id="1258" w:name="Tc_fZMcrNFhgESZGEJ36Abm_w_1_2"/>
      <w:bookmarkStart w:id="1259" w:name="_220eae69_a6ce_45dc_85c8_6740366435ee"/>
      <w:bookmarkStart w:id="1260" w:name="Tc_hKYF-Acl_0qZaOD8y5APTQ_10_14"/>
      <w:bookmarkStart w:id="1261" w:name="Tc_RKoR8ln4h0mlibhpCDH9eA_10_11"/>
      <w:bookmarkStart w:id="1262" w:name="Tc_nmdukGgnB0amCEFvxK3nww_10_8"/>
      <w:bookmarkStart w:id="1263" w:name="Tc_WrefeMmqp0Cfj2wgldKz0Q_10_5"/>
      <w:bookmarkStart w:id="1264" w:name="Tc_iI_PpCRz7Ui_ecI-M5a0rA_10_2"/>
      <w:bookmarkStart w:id="1265" w:name="Tc_IwmGqnAdwki5DPnrf-fgnQ_10_0"/>
      <w:bookmarkStart w:id="1266" w:name="Tc_av1bMXgB9EWUB69ZIctYPg_9_0"/>
      <w:bookmarkStart w:id="1267" w:name="Tc_1JF634wFvkiROytjGB6YsA_8_0"/>
      <w:bookmarkStart w:id="1268" w:name="Tc_DR-3KZXLDU-BY3V6pkkDfA_7_0"/>
      <w:bookmarkStart w:id="1269" w:name="Tc_lZVSN-Srw0iJdMo0BzpgqA_6_14"/>
      <w:bookmarkStart w:id="1270" w:name="Tc_EvdWYE8r6EqkbSQGjywN3g_6_11"/>
      <w:bookmarkStart w:id="1271" w:name="Tc_7gHr70yZo0eN4p1HOTpfAQ_6_8"/>
      <w:bookmarkStart w:id="1272" w:name="Tc_tdOcGdZXv0abCizUNPDU-Q_6_5"/>
      <w:bookmarkStart w:id="1273" w:name="Tc_DaNUaKtfKk-FNBkayqqO8w_6_2"/>
      <w:bookmarkStart w:id="1274" w:name="Tc_xdJtGpVjE0ePtKH_9540BQ_6_0"/>
      <w:bookmarkStart w:id="1275" w:name="Tc_m8c2MLkwxkagHbYl3WtGXQ_5_14"/>
      <w:bookmarkStart w:id="1276" w:name="Tc_hal-D8a9W0ejCjkSkbArjw_5_11"/>
      <w:bookmarkStart w:id="1277" w:name="Tc_AffwbSqcF0G8vJIS06zmHg_5_8"/>
      <w:bookmarkStart w:id="1278" w:name="Tc_fZs1EVe_zE2vvpD_ZdpIKg_5_5"/>
      <w:bookmarkStart w:id="1279" w:name="Tc_972GP8R3s0ijTjNzHeuePw_5_2"/>
      <w:bookmarkStart w:id="1280" w:name="Tc_adEdJ0GIxUSQUDRJlgJm0g_5_0"/>
      <w:bookmarkStart w:id="1281" w:name="Tc_5juCooVX0UmqQoH0sy678Q_4_11"/>
      <w:bookmarkStart w:id="1282" w:name="Tc_awyjyPealkOmw4gLaWgY2g_4_8"/>
      <w:bookmarkStart w:id="1283" w:name="Tc_1y5cD3ebWUqbgfa6-euOrg_4_2"/>
      <w:bookmarkStart w:id="1284" w:name="Tc_Fl6t0iJjzUGTcprBS2lImg_3_11"/>
      <w:bookmarkStart w:id="1285" w:name="Tc__zXIDdJbrUe8KN2sXjtp_g_3_8"/>
      <w:bookmarkStart w:id="1286" w:name="Tc_jA6GkMUt7UKvUsKmp-1G-Q_2_11"/>
      <w:bookmarkStart w:id="1287" w:name="Tc_iRFAE7Bm4EWB7gpfIMRDZQ_1_2"/>
      <w:bookmarkStart w:id="1288" w:name="_a455006d_229b_4f87_9ac0_b9e396400e85"/>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r>
        <w:rPr>
          <w:rFonts w:ascii="Times New Roman;Times;serif" w:hAnsi="Times New Roman;Times;serif"/>
          <w:i/>
          <w:sz w:val="20"/>
        </w:rPr>
        <w:t>Disaggregation of Revenue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disaggregate the Company’s revenue by geographical markets and reportable segments:</w:t>
      </w:r>
    </w:p>
    <w:p>
      <w:pPr>
        <w:pStyle w:val="TextBody"/>
        <w:bidi w:val="0"/>
        <w:spacing w:before="0" w:after="0"/>
        <w:ind w:left="0" w:right="0" w:hanging="0"/>
        <w:jc w:val="left"/>
        <w:rPr/>
      </w:pPr>
      <w:r>
        <w:rPr/>
        <w:t>​</w:t>
      </w:r>
    </w:p>
    <w:tbl>
      <w:tblPr>
        <w:tblW w:w="9230"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40"/>
        <w:gridCol w:w="326"/>
        <w:gridCol w:w="211"/>
        <w:gridCol w:w="781"/>
        <w:gridCol w:w="326"/>
        <w:gridCol w:w="211"/>
        <w:gridCol w:w="1036"/>
      </w:tblGrid>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91185" cy="175260"/>
                      <wp:effectExtent l="0" t="0" r="0" b="0"/>
                      <wp:wrapNone/>
                      <wp:docPr id="91" name="Frame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95935" cy="175260"/>
                      <wp:effectExtent l="0" t="0" r="0" b="0"/>
                      <wp:wrapNone/>
                      <wp:docPr id="94" name="Frame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43510" cy="175260"/>
                      <wp:effectExtent l="0" t="0" r="0" b="0"/>
                      <wp:wrapNone/>
                      <wp:docPr id="96" name="Frame9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33400" cy="175260"/>
                      <wp:effectExtent l="0" t="0" r="0" b="0"/>
                      <wp:wrapNone/>
                      <wp:docPr id="97" name="Frame97"/>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95935" cy="175260"/>
                      <wp:effectExtent l="0" t="0" r="0" b="0"/>
                      <wp:wrapNone/>
                      <wp:docPr id="100" name="Frame1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57860" cy="175260"/>
                      <wp:effectExtent l="0" t="0" r="0" b="0"/>
                      <wp:wrapNone/>
                      <wp:docPr id="103" name="Frame10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4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September 30, 2023</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1,069,856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355,898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1,708,241</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35,985</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98,763</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42,326</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6,698</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1,168,964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391,883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1,856,028</w:t>
            </w:r>
          </w:p>
        </w:tc>
      </w:tr>
    </w:tbl>
    <w:p>
      <w:pPr>
        <w:pStyle w:val="TextBody"/>
        <w:bidi w:val="0"/>
        <w:spacing w:before="0" w:after="0"/>
        <w:ind w:left="0" w:right="0" w:firstLine="720"/>
        <w:jc w:val="left"/>
        <w:rPr/>
      </w:pPr>
      <w:r>
        <w:rPr/>
        <w:t>​</w:t>
      </w:r>
    </w:p>
    <w:tbl>
      <w:tblPr>
        <w:tblW w:w="9345"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40"/>
        <w:gridCol w:w="326"/>
        <w:gridCol w:w="211"/>
        <w:gridCol w:w="781"/>
        <w:gridCol w:w="326"/>
        <w:gridCol w:w="326"/>
        <w:gridCol w:w="1036"/>
      </w:tblGrid>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91185" cy="175260"/>
                      <wp:effectExtent l="0" t="0" r="0" b="0"/>
                      <wp:wrapNone/>
                      <wp:docPr id="106" name="Frame1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95935" cy="175260"/>
                      <wp:effectExtent l="0" t="0" r="0" b="0"/>
                      <wp:wrapNone/>
                      <wp:docPr id="109" name="Frame1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43510" cy="175260"/>
                      <wp:effectExtent l="0" t="0" r="0" b="0"/>
                      <wp:wrapNone/>
                      <wp:docPr id="111" name="Frame1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33400" cy="175260"/>
                      <wp:effectExtent l="0" t="0" r="0" b="0"/>
                      <wp:wrapNone/>
                      <wp:docPr id="112" name="Frame112"/>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95935" cy="175260"/>
                      <wp:effectExtent l="0" t="0" r="0" b="0"/>
                      <wp:wrapNone/>
                      <wp:docPr id="115" name="Frame1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57860" cy="175260"/>
                      <wp:effectExtent l="0" t="0" r="0" b="0"/>
                      <wp:wrapNone/>
                      <wp:docPr id="118" name="Frame1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5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September 30, 2022</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w:t>
            </w:r>
          </w:p>
        </w:tc>
        <w:tc>
          <w:tcPr>
            <w:tcW w:w="3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tc>
        <w:tc>
          <w:tcPr>
            <w:tcW w:w="3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3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982,952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288,077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130,902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1,502,219</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32,565</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3,407</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88,802</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26,818</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6,447</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1,060,242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320,642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134,309</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1,624,286</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Europe, Middle East and Africa (“EMEA”)</w:t>
      </w:r>
    </w:p>
    <w:p>
      <w:pPr>
        <w:pStyle w:val="TextBody"/>
        <w:bidi w:val="0"/>
        <w:spacing w:before="0" w:after="0"/>
        <w:ind w:left="0" w:right="0" w:hanging="0"/>
        <w:jc w:val="left"/>
        <w:rPr/>
      </w:pPr>
      <w:r>
        <w:rPr/>
        <w:t>​</w:t>
      </w:r>
    </w:p>
    <w:tbl>
      <w:tblPr>
        <w:tblW w:w="9380"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931"/>
        <w:gridCol w:w="326"/>
        <w:gridCol w:w="226"/>
        <w:gridCol w:w="840"/>
        <w:gridCol w:w="326"/>
        <w:gridCol w:w="211"/>
        <w:gridCol w:w="781"/>
        <w:gridCol w:w="326"/>
        <w:gridCol w:w="211"/>
        <w:gridCol w:w="1036"/>
      </w:tblGrid>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91185" cy="175260"/>
                      <wp:effectExtent l="0" t="0" r="0" b="0"/>
                      <wp:wrapNone/>
                      <wp:docPr id="121" name="Frame1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91185" cy="175260"/>
                      <wp:effectExtent l="0" t="0" r="0" b="0"/>
                      <wp:wrapNone/>
                      <wp:docPr id="124" name="Frame1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43510" cy="175260"/>
                      <wp:effectExtent l="0" t="0" r="0" b="0"/>
                      <wp:wrapNone/>
                      <wp:docPr id="126" name="Frame12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33400" cy="175260"/>
                      <wp:effectExtent l="0" t="0" r="0" b="0"/>
                      <wp:wrapNone/>
                      <wp:docPr id="127" name="Frame127"/>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95935" cy="175260"/>
                      <wp:effectExtent l="0" t="0" r="0" b="0"/>
                      <wp:wrapNone/>
                      <wp:docPr id="130" name="Frame13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57860" cy="175260"/>
                      <wp:effectExtent l="0" t="0" r="0" b="0"/>
                      <wp:wrapNone/>
                      <wp:docPr id="133" name="Frame13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89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 September 30, 2023</w:t>
            </w:r>
          </w:p>
        </w:tc>
      </w:tr>
      <w:tr>
        <w:trPr/>
        <w:tc>
          <w:tcPr>
            <w:tcW w:w="21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 </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center"/>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3,160,071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972,531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379,342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4,956,798</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108,986</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284,811</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149,692</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18,618</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3,468,734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1,081,517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404,551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455,117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5,409,919</w:t>
            </w:r>
          </w:p>
        </w:tc>
      </w:tr>
    </w:tbl>
    <w:p>
      <w:pPr>
        <w:pStyle w:val="TextBody"/>
        <w:bidi w:val="0"/>
        <w:spacing w:before="0" w:after="0"/>
        <w:ind w:left="0" w:right="0" w:hanging="0"/>
        <w:jc w:val="left"/>
        <w:rPr/>
      </w:pPr>
      <w:r>
        <w:rPr/>
        <w:t>​</w:t>
      </w:r>
    </w:p>
    <w:tbl>
      <w:tblPr>
        <w:tblW w:w="9230"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40"/>
        <w:gridCol w:w="326"/>
        <w:gridCol w:w="211"/>
        <w:gridCol w:w="781"/>
        <w:gridCol w:w="326"/>
        <w:gridCol w:w="211"/>
        <w:gridCol w:w="1036"/>
      </w:tblGrid>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91185" cy="175260"/>
                      <wp:effectExtent l="0" t="0" r="0" b="0"/>
                      <wp:wrapNone/>
                      <wp:docPr id="136" name="Frame1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95935" cy="175260"/>
                      <wp:effectExtent l="0" t="0" r="0" b="0"/>
                      <wp:wrapNone/>
                      <wp:docPr id="139" name="Frame1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43510" cy="175260"/>
                      <wp:effectExtent l="0" t="0" r="0" b="0"/>
                      <wp:wrapNone/>
                      <wp:docPr id="141" name="Frame14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33400" cy="175260"/>
                      <wp:effectExtent l="0" t="0" r="0" b="0"/>
                      <wp:wrapNone/>
                      <wp:docPr id="142" name="Frame142"/>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95935" cy="175260"/>
                      <wp:effectExtent l="0" t="0" r="0" b="0"/>
                      <wp:wrapNone/>
                      <wp:docPr id="145" name="Frame1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57860" cy="175260"/>
                      <wp:effectExtent l="0" t="0" r="0" b="0"/>
                      <wp:wrapNone/>
                      <wp:docPr id="148" name="Frame14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74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 September 30, 2022</w:t>
            </w:r>
          </w:p>
        </w:tc>
      </w:tr>
      <w:tr>
        <w:trPr/>
        <w:tc>
          <w:tcPr>
            <w:tcW w:w="21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 </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center"/>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2,882,306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857,805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327,632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377,012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4,444,755</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91,912</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260,536</w:t>
            </w:r>
          </w:p>
        </w:tc>
      </w:tr>
      <w:tr>
        <w:trPr/>
        <w:tc>
          <w:tcPr>
            <w:tcW w:w="21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Alcohol Brands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74,472</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18,356</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3,110,579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949,717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4,798,119</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Europe, Middle East and Africa (“EMEA”)</w:t>
      </w:r>
    </w:p>
    <w:p>
      <w:pPr>
        <w:pStyle w:val="TextBody"/>
        <w:bidi w:val="0"/>
        <w:spacing w:lineRule="auto" w:line="240" w:before="0" w:after="200"/>
        <w:ind w:left="0" w:right="0" w:hanging="0"/>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Effectively from February 17, 2022 to September 30,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Contract Liabilities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Amounts received from certain bottlers/distributors at inception of their distribution contracts or at the inception of certain sales/marketing programs are accounted for as deferred revenue. As of September 30, 2023, the Company had $249.3 million of deferred revenue, which is included in current and long-term deferred revenue in the Company’s condensed consolidated balance sheet. As of December 31, 2022, the Company had $267.1 million of deferred revenue, which is included in current and long-term deferred revenue in the Company’s condensed consolidated balance sheet. During both the three-months ended September 30, 2023 and 2022, $10.0 million of deferred revenue was recognized in net sales. See Note 11. During both the nine-months ended September 30, 2023 and 2022, $30.0 million of deferred revenue was recognized in net sales. See Note 11.</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89" w:name="Tc_6Hb62EKGoE6sF5Rf0WArGg_10_0"/>
      <w:bookmarkStart w:id="1290" w:name="Tc_N2BS4TU_R0Gh0ElfNc15pQ_9_0"/>
      <w:bookmarkStart w:id="1291" w:name="Tc_qdIgQa4pPk6YMEx7I1HoFQ_8_0"/>
      <w:bookmarkStart w:id="1292" w:name="Tc_VpYYNn2CN0GGm_3byFd8mQ_6_0"/>
      <w:bookmarkStart w:id="1293" w:name="Tc_4TjRUdUFVkSGTH50nnqkOQ_5_0"/>
      <w:bookmarkStart w:id="1294" w:name="Tc_gF6yU2iM00ahn7rr2Y-FHw_4_5"/>
      <w:bookmarkStart w:id="1295" w:name="Tc_9KlKIwK9ZECZm2g4f0ZwCg_4_2"/>
      <w:bookmarkStart w:id="1296" w:name="Tc_Nkui7eyltkCHXdEgNUT4VQ_4_0"/>
      <w:bookmarkStart w:id="1297" w:name="Tc__8WWHi7TTEapJzKo3L6NSA_3_0"/>
      <w:bookmarkStart w:id="1298" w:name="Tc_hNtRZ9IxcESwCvc_P6eYTg_2_5"/>
      <w:bookmarkStart w:id="1299" w:name="Tc_gz5jjl1o3kK2-1O4YBzQnQ_2_2"/>
      <w:bookmarkStart w:id="1300" w:name="Tc_83bDC6-dF0qCkle3leDhBA_1_2"/>
      <w:bookmarkStart w:id="1301" w:name="Tc_bGtGLaF14U2Kw9Xp8FiZZw_12_11"/>
      <w:bookmarkStart w:id="1302" w:name="Tc_RWHeHqYJLkOiCyoLzpCJtw_12_8"/>
      <w:bookmarkStart w:id="1303" w:name="Tc_A-gJbxMy20KF_tH7NAdHag_12_5"/>
      <w:bookmarkStart w:id="1304" w:name="Tc_8DjqAO0Y0ESBEyzI3CmCWg_12_2"/>
      <w:bookmarkStart w:id="1305" w:name="Tc_TaxiHUPk7USMA5c5pmUDgg_12_0"/>
      <w:bookmarkStart w:id="1306" w:name="Tc_B5ZJ2iZMfUOCb5Fm0IWfXg_10_0"/>
      <w:bookmarkStart w:id="1307" w:name="Tc_f9EqqI3PmUSSSLjwpGOP0Q_9_0"/>
      <w:bookmarkStart w:id="1308" w:name="Tc_7l5P5OCPmUeDSjK_W1-c1A_8_0"/>
      <w:bookmarkStart w:id="1309" w:name="Tc_CkBSAaMYlEuD8L3E3OP2eg_7_0"/>
      <w:bookmarkStart w:id="1310" w:name="Tc_HkyQ9VhBQUGM3VjqfOfE1g_5_0"/>
      <w:bookmarkStart w:id="1311" w:name="Tc_W2epJFXZPU6sGeYLGgGbDQ_4_0"/>
      <w:bookmarkStart w:id="1312" w:name="Tc_8Rj7L61J8EKpgT2XsPp35w_3_11"/>
      <w:bookmarkStart w:id="1313" w:name="Tc_05gd2K36Jke022SCqZgcGQ_3_8"/>
      <w:bookmarkStart w:id="1314" w:name="Tc_9npORCtVj0--ErMDX5XANw_3_5"/>
      <w:bookmarkStart w:id="1315" w:name="Tc_M2iJ5yhCaE-Dow88faCqjA_3_2"/>
      <w:bookmarkStart w:id="1316" w:name="Tc_tNA-Iqnk_kiWlcHLVTcutw_3_0"/>
      <w:bookmarkStart w:id="1317" w:name="Tc_2tmUueTWLEaKJKdBPesT7w_2_11"/>
      <w:bookmarkStart w:id="1318" w:name="Tc_I6Qk7QmLZEqLRgZ4NkVu-Q_2_8"/>
      <w:bookmarkStart w:id="1319" w:name="Tc_ek8itnbDNUubrfSg94koIQ_2_5"/>
      <w:bookmarkStart w:id="1320" w:name="Tc_ZhHQ_I8_oE-HtpVx1g7q3Q_2_2"/>
      <w:bookmarkStart w:id="1321" w:name="Tc_ZejDjdypw0-5G-hXV7_CZQ_1_8"/>
      <w:bookmarkStart w:id="1322" w:name="Tc_3rQwAaKFpkeEIFfVQTAbdQ_1_2"/>
      <w:bookmarkStart w:id="1323" w:name="Tc_6Hb62EKGoE6sF5Rf0WArGg_10_0"/>
      <w:bookmarkStart w:id="1324" w:name="Tc_N2BS4TU_R0Gh0ElfNc15pQ_9_0"/>
      <w:bookmarkStart w:id="1325" w:name="Tc_qdIgQa4pPk6YMEx7I1HoFQ_8_0"/>
      <w:bookmarkStart w:id="1326" w:name="Tc_VpYYNn2CN0GGm_3byFd8mQ_6_0"/>
      <w:bookmarkStart w:id="1327" w:name="Tc_4TjRUdUFVkSGTH50nnqkOQ_5_0"/>
      <w:bookmarkStart w:id="1328" w:name="Tc_gF6yU2iM00ahn7rr2Y-FHw_4_5"/>
      <w:bookmarkStart w:id="1329" w:name="Tc_9KlKIwK9ZECZm2g4f0ZwCg_4_2"/>
      <w:bookmarkStart w:id="1330" w:name="Tc_Nkui7eyltkCHXdEgNUT4VQ_4_0"/>
      <w:bookmarkStart w:id="1331" w:name="Tc__8WWHi7TTEapJzKo3L6NSA_3_0"/>
      <w:bookmarkStart w:id="1332" w:name="Tc_hNtRZ9IxcESwCvc_P6eYTg_2_5"/>
      <w:bookmarkStart w:id="1333" w:name="Tc_gz5jjl1o3kK2-1O4YBzQnQ_2_2"/>
      <w:bookmarkStart w:id="1334" w:name="Tc_83bDC6-dF0qCkle3leDhBA_1_2"/>
      <w:bookmarkStart w:id="1335" w:name="Tc_bGtGLaF14U2Kw9Xp8FiZZw_12_11"/>
      <w:bookmarkStart w:id="1336" w:name="Tc_RWHeHqYJLkOiCyoLzpCJtw_12_8"/>
      <w:bookmarkStart w:id="1337" w:name="Tc_A-gJbxMy20KF_tH7NAdHag_12_5"/>
      <w:bookmarkStart w:id="1338" w:name="Tc_8DjqAO0Y0ESBEyzI3CmCWg_12_2"/>
      <w:bookmarkStart w:id="1339" w:name="Tc_TaxiHUPk7USMA5c5pmUDgg_12_0"/>
      <w:bookmarkStart w:id="1340" w:name="Tc_B5ZJ2iZMfUOCb5Fm0IWfXg_10_0"/>
      <w:bookmarkStart w:id="1341" w:name="Tc_f9EqqI3PmUSSSLjwpGOP0Q_9_0"/>
      <w:bookmarkStart w:id="1342" w:name="Tc_7l5P5OCPmUeDSjK_W1-c1A_8_0"/>
      <w:bookmarkStart w:id="1343" w:name="Tc_CkBSAaMYlEuD8L3E3OP2eg_7_0"/>
      <w:bookmarkStart w:id="1344" w:name="Tc_HkyQ9VhBQUGM3VjqfOfE1g_5_0"/>
      <w:bookmarkStart w:id="1345" w:name="Tc_W2epJFXZPU6sGeYLGgGbDQ_4_0"/>
      <w:bookmarkStart w:id="1346" w:name="Tc_8Rj7L61J8EKpgT2XsPp35w_3_11"/>
      <w:bookmarkStart w:id="1347" w:name="Tc_05gd2K36Jke022SCqZgcGQ_3_8"/>
      <w:bookmarkStart w:id="1348" w:name="Tc_9npORCtVj0--ErMDX5XANw_3_5"/>
      <w:bookmarkStart w:id="1349" w:name="Tc_M2iJ5yhCaE-Dow88faCqjA_3_2"/>
      <w:bookmarkStart w:id="1350" w:name="Tc_tNA-Iqnk_kiWlcHLVTcutw_3_0"/>
      <w:bookmarkStart w:id="1351" w:name="Tc_2tmUueTWLEaKJKdBPesT7w_2_11"/>
      <w:bookmarkStart w:id="1352" w:name="Tc_I6Qk7QmLZEqLRgZ4NkVu-Q_2_8"/>
      <w:bookmarkStart w:id="1353" w:name="Tc_ek8itnbDNUubrfSg94koIQ_2_5"/>
      <w:bookmarkStart w:id="1354" w:name="Tc_ZhHQ_I8_oE-HtpVx1g7q3Q_2_2"/>
      <w:bookmarkStart w:id="1355" w:name="Tc_ZejDjdypw0-5G-hXV7_CZQ_1_8"/>
      <w:bookmarkStart w:id="1356" w:name="Tc_3rQwAaKFpkeEIFfVQTAbdQ_1_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p>
    <w:tbl>
      <w:tblPr>
        <w:tblW w:w="1127" w:type="dxa"/>
        <w:jc w:val="left"/>
        <w:tblInd w:w="0" w:type="dxa"/>
        <w:tblLayout w:type="fixed"/>
        <w:tblCellMar>
          <w:top w:w="0" w:type="dxa"/>
          <w:left w:w="0" w:type="dxa"/>
          <w:bottom w:w="0" w:type="dxa"/>
          <w:right w:w="0" w:type="dxa"/>
        </w:tblCellMar>
      </w:tblPr>
      <w:tblGrid>
        <w:gridCol w:w="271"/>
        <w:gridCol w:w="856"/>
      </w:tblGrid>
      <w:tr>
        <w:trPr/>
        <w:tc>
          <w:tcPr>
            <w:tcW w:w="2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8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LEASES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leases identified assets consisting primarily of office and warehouse space, warehouse equipment and vehicles. Leases are classified as either finance leases or operating leases based on criteria in ASC 842, “Leases”. The Company’s leases have remaining lease terms of less than one year to 11 years, </w:t>
      </w:r>
      <w:r>
        <w:rPr>
          <w:rFonts w:ascii="Times New Roman;Times;serif" w:hAnsi="Times New Roman;Times;serif"/>
          <w:b w:val="false"/>
          <w:i w:val="false"/>
          <w:caps w:val="false"/>
          <w:smallCaps w:val="false"/>
          <w:sz w:val="20"/>
        </w:rPr>
        <w:t>some</w:t>
      </w:r>
      <w:r>
        <w:rPr>
          <w:rFonts w:ascii="Times New Roman;Times;serif" w:hAnsi="Times New Roman;Times;serif"/>
          <w:sz w:val="20"/>
        </w:rPr>
        <w:t xml:space="preserve"> of </w:t>
      </w:r>
      <w:r>
        <w:rPr>
          <w:rFonts w:ascii="Times New Roman;Times;serif" w:hAnsi="Times New Roman;Times;serif"/>
          <w:b w:val="false"/>
          <w:i w:val="false"/>
          <w:caps w:val="false"/>
          <w:smallCaps w:val="false"/>
          <w:sz w:val="20"/>
        </w:rPr>
        <w:t>which</w:t>
      </w:r>
      <w:r>
        <w:rPr>
          <w:rFonts w:ascii="Times New Roman;Times;serif" w:hAnsi="Times New Roman;Times;serif"/>
          <w:sz w:val="20"/>
        </w:rPr>
        <w:t xml:space="preserve"> include options to extend the </w:t>
      </w:r>
      <w:r>
        <w:rPr>
          <w:rFonts w:ascii="Times New Roman;Times;serif" w:hAnsi="Times New Roman;Times;serif"/>
          <w:b w:val="false"/>
          <w:i w:val="false"/>
          <w:caps w:val="false"/>
          <w:smallCaps w:val="false"/>
          <w:sz w:val="20"/>
        </w:rPr>
        <w:t>leases</w:t>
      </w:r>
      <w:r>
        <w:rPr>
          <w:rFonts w:ascii="Times New Roman;Times;serif" w:hAnsi="Times New Roman;Times;serif"/>
          <w:sz w:val="20"/>
        </w:rPr>
        <w:t xml:space="preserve"> for up to five years, and some of which include options to terminate the </w:t>
      </w:r>
      <w:r>
        <w:rPr>
          <w:rFonts w:ascii="Times New Roman;Times;serif" w:hAnsi="Times New Roman;Times;serif"/>
          <w:b w:val="false"/>
          <w:i w:val="false"/>
          <w:caps w:val="false"/>
          <w:smallCaps w:val="false"/>
          <w:sz w:val="20"/>
        </w:rPr>
        <w:t>leases</w:t>
      </w:r>
      <w:r>
        <w:rPr>
          <w:rFonts w:ascii="Times New Roman;Times;serif" w:hAnsi="Times New Roman;Times;serif"/>
          <w:sz w:val="20"/>
        </w:rPr>
        <w:t xml:space="preserve"> within one year.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components of lease cost were as follows:</w:t>
      </w:r>
    </w:p>
    <w:p>
      <w:pPr>
        <w:pStyle w:val="TextBody"/>
        <w:bidi w:val="0"/>
        <w:spacing w:before="0" w:after="0"/>
        <w:ind w:left="0" w:right="0" w:firstLine="720"/>
        <w:jc w:val="both"/>
        <w:rPr/>
      </w:pPr>
      <w:r>
        <w:rPr/>
        <w:t>​</w:t>
      </w:r>
    </w:p>
    <w:tbl>
      <w:tblPr>
        <w:tblW w:w="9590" w:type="dxa"/>
        <w:jc w:val="left"/>
        <w:tblInd w:w="0" w:type="dxa"/>
        <w:tblLayout w:type="fixed"/>
        <w:tblCellMar>
          <w:top w:w="0" w:type="dxa"/>
          <w:left w:w="0" w:type="dxa"/>
          <w:bottom w:w="0" w:type="dxa"/>
          <w:right w:w="0" w:type="dxa"/>
        </w:tblCellMar>
      </w:tblPr>
      <w:tblGrid>
        <w:gridCol w:w="2911"/>
        <w:gridCol w:w="326"/>
        <w:gridCol w:w="338"/>
        <w:gridCol w:w="915"/>
        <w:gridCol w:w="522"/>
        <w:gridCol w:w="338"/>
        <w:gridCol w:w="915"/>
        <w:gridCol w:w="326"/>
        <w:gridCol w:w="287"/>
        <w:gridCol w:w="920"/>
        <w:gridCol w:w="443"/>
        <w:gridCol w:w="287"/>
        <w:gridCol w:w="1062"/>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4630" cy="175260"/>
                      <wp:effectExtent l="0" t="0" r="0" b="0"/>
                      <wp:wrapNone/>
                      <wp:docPr id="150" name="Frame150"/>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81025" cy="175260"/>
                      <wp:effectExtent l="0" t="0" r="0" b="0"/>
                      <wp:wrapNone/>
                      <wp:docPr id="151" name="Frame151"/>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31470" cy="175260"/>
                      <wp:effectExtent l="0" t="0" r="0" b="0"/>
                      <wp:wrapNone/>
                      <wp:docPr id="152" name="Frame152"/>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4630" cy="175260"/>
                      <wp:effectExtent l="0" t="0" r="0" b="0"/>
                      <wp:wrapNone/>
                      <wp:docPr id="153" name="Frame153"/>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81025" cy="175260"/>
                      <wp:effectExtent l="0" t="0" r="0" b="0"/>
                      <wp:wrapNone/>
                      <wp:docPr id="154" name="Frame154"/>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82245" cy="175260"/>
                      <wp:effectExtent l="0" t="0" r="0" b="0"/>
                      <wp:wrapNone/>
                      <wp:docPr id="156" name="Frame156"/>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84200" cy="175260"/>
                      <wp:effectExtent l="0" t="0" r="0" b="0"/>
                      <wp:wrapNone/>
                      <wp:docPr id="157" name="Frame157"/>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81305" cy="175260"/>
                      <wp:effectExtent l="0" t="0" r="0" b="0"/>
                      <wp:wrapNone/>
                      <wp:docPr id="158" name="Frame158"/>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82245" cy="175260"/>
                      <wp:effectExtent l="0" t="0" r="0" b="0"/>
                      <wp:wrapNone/>
                      <wp:docPr id="159" name="Frame159"/>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74370" cy="175260"/>
                      <wp:effectExtent l="0" t="0" r="0" b="0"/>
                      <wp:wrapNone/>
                      <wp:docPr id="160" name="Frame160"/>
                      <a:graphic xmlns:a="http://schemas.openxmlformats.org/drawingml/2006/main">
                        <a:graphicData uri="http://schemas.microsoft.com/office/word/2010/wordprocessingShape">
                          <wps:wsp>
                            <wps:cNvSpPr txBox="1"/>
                            <wps:spPr>
                              <a:xfrm>
                                <a:off x="0" y="0"/>
                                <a:ext cx="674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September 30,</w:t>
            </w:r>
          </w:p>
        </w:tc>
        <w:tc>
          <w:tcPr>
            <w:tcW w:w="326" w:type="dxa"/>
            <w:tcBorders/>
            <w:vAlign w:val="center"/>
          </w:tcPr>
          <w:p>
            <w:pPr>
              <w:pStyle w:val="TableContents"/>
              <w:bidi w:val="0"/>
              <w:spacing w:before="0" w:after="0"/>
              <w:ind w:left="0" w:right="0" w:hanging="0"/>
              <w:jc w:val="center"/>
              <w:rPr/>
            </w:pPr>
            <w:r>
              <w:rPr/>
              <w:t>​</w:t>
            </w:r>
          </w:p>
        </w:tc>
        <w:tc>
          <w:tcPr>
            <w:tcW w:w="29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 September 30,</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522" w:type="dxa"/>
            <w:tcBorders/>
            <w:vAlign w:val="center"/>
          </w:tcPr>
          <w:p>
            <w:pPr>
              <w:pStyle w:val="TableContents"/>
              <w:bidi w:val="0"/>
              <w:spacing w:before="0" w:after="0"/>
              <w:ind w:left="0" w:right="0" w:hanging="0"/>
              <w:jc w:val="left"/>
              <w:rPr/>
            </w:pPr>
            <w:r>
              <w:rPr/>
              <w:t>    </w:t>
            </w:r>
          </w:p>
        </w:tc>
        <w:tc>
          <w:tcPr>
            <w:tcW w:w="12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center"/>
              <w:rPr/>
            </w:pPr>
            <w:r>
              <w:rPr/>
              <w:t>    </w:t>
            </w:r>
          </w:p>
        </w:tc>
        <w:tc>
          <w:tcPr>
            <w:tcW w:w="12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443" w:type="dxa"/>
            <w:tcBorders/>
            <w:vAlign w:val="center"/>
          </w:tcPr>
          <w:p>
            <w:pPr>
              <w:pStyle w:val="TableContents"/>
              <w:bidi w:val="0"/>
              <w:spacing w:before="0" w:after="0"/>
              <w:ind w:left="0" w:right="0" w:hanging="0"/>
              <w:jc w:val="left"/>
              <w:rPr/>
            </w:pPr>
            <w:r>
              <w:rPr/>
              <w:t>    </w:t>
            </w:r>
          </w:p>
        </w:tc>
        <w:tc>
          <w:tcPr>
            <w:tcW w:w="13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2,968</w:t>
            </w:r>
          </w:p>
        </w:tc>
        <w:tc>
          <w:tcPr>
            <w:tcW w:w="522"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w:t>
            </w:r>
          </w:p>
        </w:tc>
        <w:tc>
          <w:tcPr>
            <w:tcW w:w="326"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8,051</w:t>
            </w:r>
          </w:p>
        </w:tc>
        <w:tc>
          <w:tcPr>
            <w:tcW w:w="443"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2,209</w:t>
            </w:r>
          </w:p>
        </w:tc>
        <w:tc>
          <w:tcPr>
            <w:tcW w:w="522"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w:t>
            </w:r>
          </w:p>
        </w:tc>
        <w:tc>
          <w:tcPr>
            <w:tcW w:w="326"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4,258</w:t>
            </w:r>
          </w:p>
        </w:tc>
        <w:tc>
          <w:tcPr>
            <w:tcW w:w="443"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522"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w:t>
            </w:r>
          </w:p>
        </w:tc>
        <w:tc>
          <w:tcPr>
            <w:tcW w:w="443"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w:t>
            </w:r>
          </w:p>
        </w:tc>
        <w:tc>
          <w:tcPr>
            <w:tcW w:w="522"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pPr>
            <w:r>
              <w:rPr/>
              <w:t>​</w:t>
            </w:r>
          </w:p>
        </w:tc>
        <w:tc>
          <w:tcPr>
            <w:tcW w:w="443"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pPr>
            <w:r>
              <w:rPr/>
              <w:t>​</w:t>
            </w:r>
          </w:p>
        </w:tc>
        <w:tc>
          <w:tcPr>
            <w:tcW w:w="522"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522"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443"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522"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righ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443"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522"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w:t>
            </w:r>
          </w:p>
        </w:tc>
        <w:tc>
          <w:tcPr>
            <w:tcW w:w="443"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r>
      <w:tr>
        <w:trPr/>
        <w:tc>
          <w:tcPr>
            <w:tcW w:w="29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22"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vAlign w:val="center"/>
          </w:tcPr>
          <w:p>
            <w:pPr>
              <w:pStyle w:val="TableContents"/>
              <w:bidi w:val="0"/>
              <w:spacing w:before="0" w:after="0"/>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5,943</w:t>
            </w:r>
          </w:p>
        </w:tc>
        <w:tc>
          <w:tcPr>
            <w:tcW w:w="522" w:type="dxa"/>
            <w:tcBorders/>
            <w:vAlign w:val="center"/>
          </w:tcPr>
          <w:p>
            <w:pPr>
              <w:pStyle w:val="TableContents"/>
              <w:bidi w:val="0"/>
              <w:spacing w:before="0" w:after="0"/>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3,644</w:t>
            </w:r>
          </w:p>
        </w:tc>
        <w:tc>
          <w:tcPr>
            <w:tcW w:w="326" w:type="dxa"/>
            <w:tcBorders/>
            <w:vAlign w:val="center"/>
          </w:tcPr>
          <w:p>
            <w:pPr>
              <w:pStyle w:val="TableContents"/>
              <w:bidi w:val="0"/>
              <w:spacing w:before="0" w:after="0"/>
              <w:ind w:left="0" w:right="0" w:hanging="0"/>
              <w:jc w:val="righ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13,899</w:t>
            </w:r>
          </w:p>
        </w:tc>
        <w:tc>
          <w:tcPr>
            <w:tcW w:w="443"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10,108</w:t>
            </w:r>
          </w:p>
        </w:tc>
      </w:tr>
    </w:tbl>
    <w:p>
      <w:pPr>
        <w:pStyle w:val="TextBody"/>
        <w:pBdr/>
        <w:bidi w:val="0"/>
        <w:spacing w:before="0" w:after="0"/>
        <w:ind w:left="0" w:right="0" w:hanging="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Supplemental cash flow information related to leases was as follows:</w:t>
      </w:r>
    </w:p>
    <w:p>
      <w:pPr>
        <w:pStyle w:val="TextBody"/>
        <w:bidi w:val="0"/>
        <w:spacing w:before="0" w:after="0"/>
        <w:ind w:left="0" w:right="0" w:firstLine="720"/>
        <w:jc w:val="both"/>
        <w:rPr/>
      </w:pPr>
      <w:r>
        <w:rPr/>
        <w:t>​</w:t>
      </w:r>
    </w:p>
    <w:tbl>
      <w:tblPr>
        <w:tblW w:w="9191" w:type="dxa"/>
        <w:jc w:val="left"/>
        <w:tblInd w:w="0" w:type="dxa"/>
        <w:tblLayout w:type="fixed"/>
        <w:tblCellMar>
          <w:top w:w="0" w:type="dxa"/>
          <w:left w:w="0" w:type="dxa"/>
          <w:bottom w:w="0" w:type="dxa"/>
          <w:right w:w="0" w:type="dxa"/>
        </w:tblCellMar>
      </w:tblPr>
      <w:tblGrid>
        <w:gridCol w:w="5866"/>
        <w:gridCol w:w="326"/>
        <w:gridCol w:w="287"/>
        <w:gridCol w:w="920"/>
        <w:gridCol w:w="443"/>
        <w:gridCol w:w="287"/>
        <w:gridCol w:w="1062"/>
      </w:tblGrid>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82245" cy="175260"/>
                      <wp:effectExtent l="0" t="0" r="0" b="0"/>
                      <wp:wrapNone/>
                      <wp:docPr id="162" name="Frame162"/>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84200" cy="175260"/>
                      <wp:effectExtent l="0" t="0" r="0" b="0"/>
                      <wp:wrapNone/>
                      <wp:docPr id="163" name="Frame163"/>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81305" cy="175260"/>
                      <wp:effectExtent l="0" t="0" r="0" b="0"/>
                      <wp:wrapNone/>
                      <wp:docPr id="164" name="Frame164"/>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82245" cy="175260"/>
                      <wp:effectExtent l="0" t="0" r="0" b="0"/>
                      <wp:wrapNone/>
                      <wp:docPr id="165" name="Frame165"/>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74370" cy="175260"/>
                      <wp:effectExtent l="0" t="0" r="0" b="0"/>
                      <wp:wrapNone/>
                      <wp:docPr id="166" name="Frame166"/>
                      <a:graphic xmlns:a="http://schemas.openxmlformats.org/drawingml/2006/main">
                        <a:graphicData uri="http://schemas.microsoft.com/office/word/2010/wordprocessingShape">
                          <wps:wsp>
                            <wps:cNvSpPr txBox="1"/>
                            <wps:spPr>
                              <a:xfrm>
                                <a:off x="0" y="0"/>
                                <a:ext cx="674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 September 30,</w: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443" w:type="dxa"/>
            <w:tcBorders/>
            <w:vAlign w:val="center"/>
          </w:tcPr>
          <w:p>
            <w:pPr>
              <w:pStyle w:val="TableContents"/>
              <w:bidi w:val="0"/>
              <w:spacing w:before="0" w:after="0"/>
              <w:ind w:left="0" w:right="0" w:hanging="0"/>
              <w:jc w:val="left"/>
              <w:rPr/>
            </w:pPr>
            <w:r>
              <w:rPr/>
              <w:t>    </w:t>
            </w:r>
          </w:p>
        </w:tc>
        <w:tc>
          <w:tcPr>
            <w:tcW w:w="13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 from operating leases</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7,600</w:t>
            </w:r>
          </w:p>
        </w:tc>
        <w:tc>
          <w:tcPr>
            <w:tcW w:w="443"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5,859</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 from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443"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outflows from finance leases</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3,660</w:t>
            </w:r>
          </w:p>
        </w:tc>
        <w:tc>
          <w:tcPr>
            <w:tcW w:w="443"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w:t>
            </w:r>
          </w:p>
        </w:tc>
      </w:tr>
      <w:tr>
        <w:trPr/>
        <w:tc>
          <w:tcPr>
            <w:tcW w:w="58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obligations:</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pPr>
            <w:r>
              <w:rPr/>
              <w:t>​</w:t>
            </w:r>
          </w:p>
        </w:tc>
        <w:tc>
          <w:tcPr>
            <w:tcW w:w="443"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10,120</w:t>
            </w:r>
          </w:p>
        </w:tc>
        <w:tc>
          <w:tcPr>
            <w:tcW w:w="443"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1,654</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15,944</w:t>
            </w:r>
          </w:p>
        </w:tc>
        <w:tc>
          <w:tcPr>
            <w:tcW w:w="443"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20,093</w:t>
            </w:r>
          </w:p>
        </w:tc>
      </w:tr>
    </w:tbl>
    <w:p>
      <w:pPr>
        <w:pStyle w:val="TextBody"/>
        <w:pBdr/>
        <w:bidi w:val="0"/>
        <w:spacing w:before="0" w:after="0"/>
        <w:ind w:left="0" w:right="0" w:hanging="72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357" w:name="Tc__M7uoZvVZkqxIgORLDSWDQ_10_5"/>
      <w:bookmarkStart w:id="1358" w:name="Tc_x3svrzsWvEmrdxAvJobjvQ_10_2"/>
      <w:bookmarkStart w:id="1359" w:name="Tc_geGmaPCgiUicMjvY54MhPQ_10_0"/>
      <w:bookmarkStart w:id="1360" w:name="Tc_gmdO2sEvyk-mJ5QuQLupJg_9_0"/>
      <w:bookmarkStart w:id="1361" w:name="Tc__8s3K0SQV0KMvfa6lFOQZA_8_0"/>
      <w:bookmarkStart w:id="1362" w:name="Tc_2osi-ZBI4kOb32I4xsWnwA_7_0"/>
      <w:bookmarkStart w:id="1363" w:name="Tc_QVDSFTcfPE-I0RVd5rLB8Q_6_0"/>
      <w:bookmarkStart w:id="1364" w:name="Tc_j-jS21pgZUmV1-QT4sdu2A_5_0"/>
      <w:bookmarkStart w:id="1365" w:name="Tc_RvGPtXn-kEa5wZmoX5H2nA_4_0"/>
      <w:bookmarkStart w:id="1366" w:name="Tc_F4zxDSEg_kCob7x3Np4sEw_3_0"/>
      <w:bookmarkStart w:id="1367" w:name="Tc_tiJTaB3jJkCfKIHh10LlkQ_2_5"/>
      <w:bookmarkStart w:id="1368" w:name="Tc_jQL83tT7iEqDGBG4a8dCCw_2_2"/>
      <w:bookmarkStart w:id="1369" w:name="Tc_1IResV5pxEqW7v8s4A1CvQ_2_0"/>
      <w:bookmarkStart w:id="1370" w:name="Tc_11tRti8Z4EOuP9bWLfwgTw_1_5"/>
      <w:bookmarkStart w:id="1371" w:name="Tc_eHPwLeaJcUuweCEB1SZvvg_1_2"/>
      <w:bookmarkStart w:id="1372" w:name="_f09d4950_4819_4ec9_bf5d_bbd390ce0ca7"/>
      <w:bookmarkStart w:id="1373" w:name="Tc_OR98AWiIUkqFqEkdxOJpfw_8_5"/>
      <w:bookmarkStart w:id="1374" w:name="Tc_xWMNcDlseEGrg6FFJluJbQ_8_3"/>
      <w:bookmarkStart w:id="1375" w:name="Tc_Nu4Fys4kG0OHS00RcvGSrg_8_0"/>
      <w:bookmarkStart w:id="1376" w:name="Tc_UlpZ4iXIfESrX3vpgdOzLw_7_5"/>
      <w:bookmarkStart w:id="1377" w:name="Tc_XaZLsgxRLEePwBDuYij31g_7_3"/>
      <w:bookmarkStart w:id="1378" w:name="Tc_ut4wwid990qPiVlfWUuWNg_7_0"/>
      <w:bookmarkStart w:id="1379" w:name="Tc_NPd9elZHHEypZ9g3m8nC8Q_6_0"/>
      <w:bookmarkStart w:id="1380" w:name="Tc_jrvbt4YOUkyNl85zVtEtDQ_4_0"/>
      <w:bookmarkStart w:id="1381" w:name="Tc_OaU9GKCh2k-8pbF4b0KDRw_3_0"/>
      <w:bookmarkStart w:id="1382" w:name="Tc_mMYlpPuInkmb1CZ4uUWj2Q_2_0"/>
      <w:bookmarkStart w:id="1383" w:name="Tc_md8WouQ6tUGcQtetNvWkpQ_1_4"/>
      <w:bookmarkStart w:id="1384" w:name="Tc_mDlefGR5c0qwnzBpJ6BWmg_1_2"/>
      <w:bookmarkStart w:id="1385" w:name="_a50aab39_4848_47b5_bed5_5d1eb27bbd9d"/>
      <w:bookmarkStart w:id="1386" w:name="Tc_5PpuCG5dAkyn7Mb-7gwh1Q_15_7"/>
      <w:bookmarkStart w:id="1387" w:name="Tc_jrTD7umhmUqU5n2nrwzvNA_15_4"/>
      <w:bookmarkStart w:id="1388" w:name="Tc_KDftsjUIu06-RtmG-1OOjg_15_0"/>
      <w:bookmarkStart w:id="1389" w:name="Tc_-zQuWTUOdkCHs015dNx0eA_14_0"/>
      <w:bookmarkStart w:id="1390" w:name="Tc_-KJxmbaxNka5FYfzEsYBNg_13_7"/>
      <w:bookmarkStart w:id="1391" w:name="Tc_oCePwi98tUK2ftJYb13epQ_13_4"/>
      <w:bookmarkStart w:id="1392" w:name="Tc_ASU_MLhjrEGCkVurlKx8ug_13_0"/>
      <w:bookmarkStart w:id="1393" w:name="Tc_VAn-Jf0LCk-LN-RPSTShAw_11_7"/>
      <w:bookmarkStart w:id="1394" w:name="Tc_8yjwzUwkM06Aa-XPHj7R7A_11_4"/>
      <w:bookmarkStart w:id="1395" w:name="Tc_8pMBOCEWgk2PoNbchPsaCw_11_0"/>
      <w:bookmarkStart w:id="1396" w:name="Tc_EvbeztHBOUWt1vJK5BBIbg_10_0"/>
      <w:bookmarkStart w:id="1397" w:name="Tc_wm7pnDZVyEy6D5M4KAbnKQ_8_7"/>
      <w:bookmarkStart w:id="1398" w:name="Tc_9MhZtluXZESybZneQUAhyg_8_4"/>
      <w:bookmarkStart w:id="1399" w:name="Tc_7niKvCHAjECbM5bs3rdVFA_8_0"/>
      <w:bookmarkStart w:id="1400" w:name="Tc_D7TQ8t0ZjkGKQ1wLmLxRXg_7_0"/>
      <w:bookmarkStart w:id="1401" w:name="Tc_Ir9UBvkElkC-zJgecEqM6Q_6_7"/>
      <w:bookmarkStart w:id="1402" w:name="Tc_RamtygdfmUenWLdZKvgROQ_6_4"/>
      <w:bookmarkStart w:id="1403" w:name="Tc_HRnTCtumWkqeb9me3hQ-WQ_6_0"/>
      <w:bookmarkStart w:id="1404" w:name="Tc__KSIUa9bnkmk0eeQJTy_zQ_4_7"/>
      <w:bookmarkStart w:id="1405" w:name="Tc_WB57oaKHfk66luXBljm_Xg_4_4"/>
      <w:bookmarkStart w:id="1406" w:name="Tc_c1sIXbbxlUKDtfX5k93fJQ_4_0"/>
      <w:bookmarkStart w:id="1407" w:name="Tc_GTqsONgO90yz2DP_jVUFyw_3_0"/>
      <w:bookmarkStart w:id="1408" w:name="Tc_l4a7mM9WhkGzWB2dsKZrHg_2_7"/>
      <w:bookmarkStart w:id="1409" w:name="Tc_lqbVaK1Bjkib0oaMz4A71A_2_4"/>
      <w:bookmarkStart w:id="1410" w:name="Tc_BHpfqPZF2kKKxJXhfBvAUQ_2_2"/>
      <w:bookmarkStart w:id="1411" w:name="Tc_r9RCzMbpzEm16J8zqKSxIQ_1_7"/>
      <w:bookmarkStart w:id="1412" w:name="Tc_05ts8p4Al0uO96bK7dUKkA_1_4"/>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r>
        <w:rPr>
          <w:rFonts w:ascii="Times New Roman;Times;serif" w:hAnsi="Times New Roman;Times;serif"/>
          <w:sz w:val="20"/>
        </w:rPr>
        <w:t>Supplemental balance sheet information related to leases was as follows:</w:t>
      </w:r>
    </w:p>
    <w:p>
      <w:pPr>
        <w:pStyle w:val="TextBody"/>
        <w:bidi w:val="0"/>
        <w:spacing w:before="0" w:after="0"/>
        <w:ind w:left="0" w:right="0" w:hanging="0"/>
        <w:jc w:val="center"/>
        <w:rPr/>
      </w:pPr>
      <w:r>
        <w:rPr/>
        <w:t>​</w:t>
      </w:r>
    </w:p>
    <w:tbl>
      <w:tblPr>
        <w:tblW w:w="8555" w:type="dxa"/>
        <w:jc w:val="left"/>
        <w:tblInd w:w="0" w:type="dxa"/>
        <w:tblLayout w:type="fixed"/>
        <w:tblCellMar>
          <w:top w:w="0" w:type="dxa"/>
          <w:left w:w="0" w:type="dxa"/>
          <w:bottom w:w="0" w:type="dxa"/>
          <w:right w:w="0" w:type="dxa"/>
        </w:tblCellMar>
      </w:tblPr>
      <w:tblGrid>
        <w:gridCol w:w="2656"/>
        <w:gridCol w:w="326"/>
        <w:gridCol w:w="2401"/>
        <w:gridCol w:w="326"/>
        <w:gridCol w:w="299"/>
        <w:gridCol w:w="961"/>
        <w:gridCol w:w="326"/>
        <w:gridCol w:w="285"/>
        <w:gridCol w:w="975"/>
      </w:tblGrid>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524635" cy="175260"/>
                      <wp:effectExtent l="0" t="0" r="0" b="0"/>
                      <wp:wrapNone/>
                      <wp:docPr id="168" name="Frame168"/>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89865" cy="175260"/>
                      <wp:effectExtent l="0" t="0" r="0" b="0"/>
                      <wp:wrapNone/>
                      <wp:docPr id="170" name="Frame170"/>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10235" cy="175260"/>
                      <wp:effectExtent l="0" t="0" r="0" b="0"/>
                      <wp:wrapNone/>
                      <wp:docPr id="171" name="Frame17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80975" cy="175260"/>
                      <wp:effectExtent l="0" t="0" r="0" b="0"/>
                      <wp:wrapNone/>
                      <wp:docPr id="173" name="Frame173"/>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19125" cy="175260"/>
                      <wp:effectExtent l="0" t="0" r="0" b="0"/>
                      <wp:wrapNone/>
                      <wp:docPr id="174" name="Frame174"/>
                      <a:graphic xmlns:a="http://schemas.openxmlformats.org/drawingml/2006/main">
                        <a:graphicData uri="http://schemas.microsoft.com/office/word/2010/wordprocessingShape">
                          <wps:wsp>
                            <wps:cNvSpPr txBox="1"/>
                            <wps:spPr>
                              <a:xfrm>
                                <a:off x="0" y="0"/>
                                <a:ext cx="619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w:t>
            </w:r>
          </w:p>
        </w:tc>
        <w:tc>
          <w:tcPr>
            <w:tcW w:w="32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c>
          <w:tcPr>
            <w:tcW w:w="326"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9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pPr>
            <w:r>
              <w:rPr/>
              <w:t>  </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47,160</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38,012</w:t>
            </w:r>
          </w:p>
        </w:tc>
      </w:tr>
      <w:tr>
        <w:trPr/>
        <w:tc>
          <w:tcPr>
            <w:tcW w:w="26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lease liabilities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9,119</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7,747</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38,111</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29,586</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47,230</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37,333</w:t>
            </w:r>
          </w:p>
        </w:tc>
      </w:tr>
      <w:tr>
        <w:trPr/>
        <w:tc>
          <w:tcPr>
            <w:tcW w:w="26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pPr>
            <w:r>
              <w:rPr/>
              <w:t>  </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9,824</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7,232</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lease liabilities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finance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7,256</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798</w:t>
            </w:r>
          </w:p>
        </w:tc>
      </w:tr>
    </w:tbl>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Weighted-average remaining lease term and weighted-average discount rate for the Company’s leases were as follows:</w:t>
      </w:r>
    </w:p>
    <w:p>
      <w:pPr>
        <w:pStyle w:val="TextBody"/>
        <w:bidi w:val="0"/>
        <w:spacing w:before="0" w:after="0"/>
        <w:ind w:left="0" w:right="0" w:firstLine="720"/>
        <w:jc w:val="both"/>
        <w:rPr/>
      </w:pPr>
      <w:r>
        <w:rPr/>
        <w:t>​</w:t>
      </w:r>
    </w:p>
    <w:tbl>
      <w:tblPr>
        <w:tblW w:w="8566" w:type="dxa"/>
        <w:jc w:val="left"/>
        <w:tblInd w:w="0" w:type="dxa"/>
        <w:tblLayout w:type="fixed"/>
        <w:tblCellMar>
          <w:top w:w="0" w:type="dxa"/>
          <w:left w:w="0" w:type="dxa"/>
          <w:bottom w:w="0" w:type="dxa"/>
          <w:right w:w="0" w:type="dxa"/>
        </w:tblCellMar>
      </w:tblPr>
      <w:tblGrid>
        <w:gridCol w:w="4066"/>
        <w:gridCol w:w="326"/>
        <w:gridCol w:w="1726"/>
        <w:gridCol w:w="361"/>
        <w:gridCol w:w="1681"/>
        <w:gridCol w:w="406"/>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581910" cy="175260"/>
                      <wp:effectExtent l="0" t="0" r="0" b="0"/>
                      <wp:wrapNone/>
                      <wp:docPr id="175" name="Frame175"/>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096010" cy="175260"/>
                      <wp:effectExtent l="0" t="0" r="0" b="0"/>
                      <wp:wrapNone/>
                      <wp:docPr id="177" name="Frame177"/>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29235" cy="175260"/>
                      <wp:effectExtent l="0" t="0" r="0" b="0"/>
                      <wp:wrapNone/>
                      <wp:docPr id="178" name="Frame17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067435" cy="175260"/>
                      <wp:effectExtent l="0" t="0" r="0" b="0"/>
                      <wp:wrapNone/>
                      <wp:docPr id="179" name="Frame179"/>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57810" cy="175260"/>
                      <wp:effectExtent l="0" t="0" r="0" b="0"/>
                      <wp:wrapNone/>
                      <wp:docPr id="180" name="Frame18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2023</w:t>
            </w:r>
          </w:p>
        </w:tc>
        <w:tc>
          <w:tcPr>
            <w:tcW w:w="361" w:type="dxa"/>
            <w:tcBorders/>
            <w:vAlign w:val="center"/>
          </w:tcPr>
          <w:p>
            <w:pPr>
              <w:pStyle w:val="TableContents"/>
              <w:bidi w:val="0"/>
              <w:spacing w:before="0" w:after="0"/>
              <w:ind w:left="0" w:right="0" w:hanging="0"/>
              <w:jc w:val="left"/>
              <w:rPr/>
            </w:pPr>
            <w:r>
              <w:rPr/>
              <w:t>    </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c>
          <w:tcPr>
            <w:tcW w:w="406" w:type="dxa"/>
            <w:tcBorders/>
            <w:vAlign w:val="center"/>
          </w:tcPr>
          <w:p>
            <w:pPr>
              <w:pStyle w:val="TableContents"/>
              <w:bidi w:val="0"/>
              <w:spacing w:before="0" w:after="0"/>
              <w:ind w:left="0" w:right="0" w:hanging="0"/>
              <w:jc w:val="lef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in years:</w:t>
            </w:r>
          </w:p>
        </w:tc>
        <w:tc>
          <w:tcPr>
            <w:tcW w:w="32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681"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61"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406" w:type="dxa"/>
            <w:tcBorders/>
            <w:vAlign w:val="center"/>
          </w:tcPr>
          <w:p>
            <w:pPr>
              <w:pStyle w:val="TableContents"/>
              <w:bidi w:val="0"/>
              <w:spacing w:before="0" w:after="0"/>
              <w:ind w:left="0" w:right="0" w:hanging="0"/>
              <w:jc w:val="lef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shd w:fill="CCEEFF" w:val="clear"/>
            <w:vAlign w:val="center"/>
          </w:tcPr>
          <w:p>
            <w:pPr>
              <w:pStyle w:val="TableContents"/>
              <w:bidi w:val="0"/>
              <w:spacing w:before="0" w:after="0"/>
              <w:ind w:left="0" w:right="0" w:hanging="0"/>
              <w:jc w:val="left"/>
              <w:rPr/>
            </w:pPr>
            <w:r>
              <w:rPr/>
              <w:t>​</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68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outlines maturities of the Company’s lease liabilities as of September 30, 2023:</w:t>
      </w:r>
    </w:p>
    <w:p>
      <w:pPr>
        <w:pStyle w:val="TextBody"/>
        <w:bidi w:val="0"/>
        <w:spacing w:before="0" w:after="0"/>
        <w:ind w:left="0" w:right="0" w:firstLine="720"/>
        <w:jc w:val="both"/>
        <w:rPr/>
      </w:pPr>
      <w:r>
        <w:rPr/>
        <w:t>​</w:t>
      </w:r>
    </w:p>
    <w:tbl>
      <w:tblPr>
        <w:tblW w:w="7795" w:type="dxa"/>
        <w:jc w:val="left"/>
        <w:tblInd w:w="0" w:type="dxa"/>
        <w:tblLayout w:type="fixed"/>
        <w:tblCellMar>
          <w:top w:w="0" w:type="dxa"/>
          <w:left w:w="0" w:type="dxa"/>
          <w:bottom w:w="0" w:type="dxa"/>
          <w:right w:w="0" w:type="dxa"/>
        </w:tblCellMar>
      </w:tblPr>
      <w:tblGrid>
        <w:gridCol w:w="4261"/>
        <w:gridCol w:w="326"/>
        <w:gridCol w:w="357"/>
        <w:gridCol w:w="1144"/>
        <w:gridCol w:w="326"/>
        <w:gridCol w:w="328"/>
        <w:gridCol w:w="1053"/>
      </w:tblGrid>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26695" cy="175260"/>
                      <wp:effectExtent l="0" t="0" r="0" b="0"/>
                      <wp:wrapNone/>
                      <wp:docPr id="182" name="Frame182"/>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26440" cy="175260"/>
                      <wp:effectExtent l="0" t="0" r="0" b="0"/>
                      <wp:wrapNone/>
                      <wp:docPr id="183" name="Frame183"/>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8280" cy="175260"/>
                      <wp:effectExtent l="0" t="0" r="0" b="0"/>
                      <wp:wrapNone/>
                      <wp:docPr id="185" name="Frame18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68655" cy="175260"/>
                      <wp:effectExtent l="0" t="0" r="0" b="0"/>
                      <wp:wrapNone/>
                      <wp:docPr id="186" name="Frame186"/>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Finance Leases</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 (from October 1, 2023 to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2,512</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10,271</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4,814</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8,183</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6,978</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6,754</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pPr>
            <w:r>
              <w:rPr/>
              <w:t>—</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 and thereafter</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19,254</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53,952</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7,452</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(6,722)</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47,230</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7,256</w:t>
            </w:r>
          </w:p>
        </w:tc>
      </w:tr>
    </w:tbl>
    <w:p>
      <w:pPr>
        <w:pStyle w:val="TextBody"/>
        <w:pBdr/>
        <w:bidi w:val="0"/>
        <w:spacing w:before="0" w:after="0"/>
        <w:ind w:left="0" w:right="0" w:hanging="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September 30, 2023, the Company did not have any significant additional leases that had not yet commenced.</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13" w:name="Tc_4Ms0yhz7IUuafCVsoj7zrQ_17_17"/>
      <w:bookmarkStart w:id="1414" w:name="Tc_c1QeJJITCUikVQFOQLmRfg_17_14"/>
      <w:bookmarkStart w:id="1415" w:name="Tc_Qa1FThX93kOAsZ_dMrJFew_17_11"/>
      <w:bookmarkStart w:id="1416" w:name="Tc_zGV2EMzzjUi0oE3Q7SiRdw_17_8"/>
      <w:bookmarkStart w:id="1417" w:name="Tc__j1NKNaJoUCM3DiW3uQYKQ_17_5"/>
      <w:bookmarkStart w:id="1418" w:name="Tc_e2KQizgua0-jzt3A7MUm3w_17_2"/>
      <w:bookmarkStart w:id="1419" w:name="Tc_LfCTowhgmUWOxtf_JNQv_A_17_0"/>
      <w:bookmarkStart w:id="1420" w:name="Tc_TxteEFEwfUu_cztuHtrqyA_16_0"/>
      <w:bookmarkStart w:id="1421" w:name="Tc_AANxAZtKNUeJiJqehF5O9Q_15_0"/>
      <w:bookmarkStart w:id="1422" w:name="Tc_2b5qNA5eU0ySbsBSjVZYEA_14_0"/>
      <w:bookmarkStart w:id="1423" w:name="Tc_p_eUjP31lU6Z2HmYlbZK8w_13_0"/>
      <w:bookmarkStart w:id="1424" w:name="Tc_DMcaLUuNSkimkA-oRTYLIg_12_0"/>
      <w:bookmarkStart w:id="1425" w:name="Tc_JmFtwnZsMEu9FqnnPsbIvg_11_0"/>
      <w:bookmarkStart w:id="1426" w:name="Tc_xcH-nEj9b0Gbkfj95bi6kg_10_0"/>
      <w:bookmarkStart w:id="1427" w:name="Tc_xgD8DxbLfUKyPHXCI45Kkw_9_0"/>
      <w:bookmarkStart w:id="1428" w:name="Tc_w9N2DNji-kKj1xW35LVqjw_8_17"/>
      <w:bookmarkStart w:id="1429" w:name="Tc_KNGfGCDqGE-sbpOJ7kLDKg_8_14"/>
      <w:bookmarkStart w:id="1430" w:name="Tc_OvqkUE7N60esQ63kipWw0g_8_11"/>
      <w:bookmarkStart w:id="1431" w:name="Tc_quvNb0PgikOoT2ZtRezjFg_8_8"/>
      <w:bookmarkStart w:id="1432" w:name="Tc_vvRwuImtIE6RqMAord3tMg_8_5"/>
      <w:bookmarkStart w:id="1433" w:name="Tc_PoM6nvMf00CQ57QeWpt4EQ_8_2"/>
      <w:bookmarkStart w:id="1434" w:name="Tc_pr6A4t9olUKefaZd6elw-A_8_0"/>
      <w:bookmarkStart w:id="1435" w:name="Tc_aU_dlq5S0kWbEXTOtt8WNw_7_0"/>
      <w:bookmarkStart w:id="1436" w:name="Tc_EBfd_dtq5UaiDt9p2xzzaQ_6_0"/>
      <w:bookmarkStart w:id="1437" w:name="Tc_h9zsWhlT1Uu9HYV-9WO3vw_5_17"/>
      <w:bookmarkStart w:id="1438" w:name="Tc_m22YxJF1KkeEgV2c9C5VbA_5_14"/>
      <w:bookmarkStart w:id="1439" w:name="Tc_mAXrco2IiUCM7iDnQE5fTA_5_11"/>
      <w:bookmarkStart w:id="1440" w:name="Tc_MBhPb5kL3k2W9ERw9Q8Z0Q_5_8"/>
      <w:bookmarkStart w:id="1441" w:name="Tc_vvEw-RPEZECEPma212MTyA_5_5"/>
      <w:bookmarkStart w:id="1442" w:name="Tc_cX1x1BG5GEuYaTEr9UqPaA_5_2"/>
      <w:bookmarkStart w:id="1443" w:name="Tc_pl0fnp-G6Ee3_dWy7aKyzg_5_0"/>
      <w:bookmarkStart w:id="1444" w:name="Tc_jWgtjE5YUkGw7imb-Tbimw_4_17"/>
      <w:bookmarkStart w:id="1445" w:name="Tc_PKOIhxIdok-DhzHzwxhkzw_4_14"/>
      <w:bookmarkStart w:id="1446" w:name="Tc_q14udY9xc0a0ay4aST4nLg_4_11"/>
      <w:bookmarkStart w:id="1447" w:name="Tc_j53S2T-AAE2DLAf43L5e8Q_4_8"/>
      <w:bookmarkStart w:id="1448" w:name="Tc_zhb6EboDSk-ULODbTVAClw_4_5"/>
      <w:bookmarkStart w:id="1449" w:name="Tc_rab79Ek1l0ScyXgl8AGh5g_4_2"/>
      <w:bookmarkStart w:id="1450" w:name="Tc_129x8QoF_k-6UwJJ5W8Awg_3_17"/>
      <w:bookmarkStart w:id="1451" w:name="Tc_dGEsyNh_jEKcWMY9Y6c8uQ_3_14"/>
      <w:bookmarkStart w:id="1452" w:name="Tc_bc60ZMkk-02X923YRhfI0A_3_8"/>
      <w:bookmarkStart w:id="1453" w:name="Tc_eF6zPyeN-EC0jj6CkPSBDQ_3_5"/>
      <w:bookmarkStart w:id="1454" w:name="Tc_KZXAqpbu8E-a9-dFXpWi5A_2_17"/>
      <w:bookmarkStart w:id="1455" w:name="Tc_I5KWELD790OpfoASasWCWg_2_14"/>
      <w:bookmarkStart w:id="1456" w:name="Tc_488U4UVJQ0CDHLhYhpdMxg_2_8"/>
      <w:bookmarkStart w:id="1457" w:name="Tc_zKav6LuOyE20163mLqhsUw_2_5"/>
      <w:bookmarkStart w:id="1458" w:name="Tc_Gy1tVAInA0GEx9GKQcCZXw_1_17"/>
      <w:bookmarkStart w:id="1459" w:name="Tc_qrB6Rwc6_06oy6KDPMuLBg_1_14"/>
      <w:bookmarkStart w:id="1460" w:name="_70f6e449_0dc7_44d2_a9a5_90f16c5af2d1"/>
      <w:bookmarkStart w:id="1461" w:name="Tc_WPXaE-Ip9E-tqxXxJ0eq5w_18_17"/>
      <w:bookmarkStart w:id="1462" w:name="Tc_JoUwN70kQkiyrAnvcvc8ow_18_14"/>
      <w:bookmarkStart w:id="1463" w:name="Tc_4Lw58S8t8km7AIWHLVnNJw_18_11"/>
      <w:bookmarkStart w:id="1464" w:name="Tc_2VIY-AG0g0GDbQQHHmE4Tw_18_8"/>
      <w:bookmarkStart w:id="1465" w:name="Tc_l0pBcjEshUGV9QWnQzGkcw_18_5"/>
      <w:bookmarkStart w:id="1466" w:name="Tc_8sLVqaa1b0yhLClPszTpQA_18_2"/>
      <w:bookmarkStart w:id="1467" w:name="Tc_ywUZecVAukKbKQLVw5LYqg_18_0"/>
      <w:bookmarkStart w:id="1468" w:name="Tc_p5vLtnCtD0ahiqjJpD48Qg_17_0"/>
      <w:bookmarkStart w:id="1469" w:name="Tc_FEwtqYcpwU27lyKB8y-O1w_16_0"/>
      <w:bookmarkStart w:id="1470" w:name="Tc_xMVdaJYPS0OpsXABxgV3sA_15_0"/>
      <w:bookmarkStart w:id="1471" w:name="Tc_K_JNvLaty0CUL3EvUtytAw_14_0"/>
      <w:bookmarkStart w:id="1472" w:name="Tc_IvIujOXZsk2B9YA6dgqxWw_13_0"/>
      <w:bookmarkStart w:id="1473" w:name="Tc_Wtwv22v2h0SYQ6kWuCrBJA_12_0"/>
      <w:bookmarkStart w:id="1474" w:name="Tc_rGrMLKLJw0ymKI0Ci42vLw_11_0"/>
      <w:bookmarkStart w:id="1475" w:name="Tc_XcrqCIwMkE-jHLQKCUx94Q_10_0"/>
      <w:bookmarkStart w:id="1476" w:name="Tc_AVJiR4IEIUaV3o1vJYyDnw_9_0"/>
      <w:bookmarkStart w:id="1477" w:name="Tc_rT0VZE2r3EOT2tbAHq7GKA_8_17"/>
      <w:bookmarkStart w:id="1478" w:name="Tc_m6dN9_GRSEWer5MKIWzJvA_8_14"/>
      <w:bookmarkStart w:id="1479" w:name="Tc_FWUD4NoGAEGIZKXy0CbbsQ_8_11"/>
      <w:bookmarkStart w:id="1480" w:name="Tc_-irVRPFP-kG4-aygTSQybw_8_8"/>
      <w:bookmarkStart w:id="1481" w:name="Tc_bpbsXbixgkiouDYMpBR8gw_8_5"/>
      <w:bookmarkStart w:id="1482" w:name="Tc_4gpx8PyuDk2P37bYLvxrWQ_8_2"/>
      <w:bookmarkStart w:id="1483" w:name="Tc_e_F4ThurXkmL1MA2bsOO_Q_8_0"/>
      <w:bookmarkStart w:id="1484" w:name="Tc_nL6qmA8x4EyvD6L4q7kAbw_7_0"/>
      <w:bookmarkStart w:id="1485" w:name="Tc_8rQCnevrHUK8UKfeor48QA_6_0"/>
      <w:bookmarkStart w:id="1486" w:name="Tc_zcekG9RlNE-bGfpzkwj1dw_5_17"/>
      <w:bookmarkStart w:id="1487" w:name="Tc__LPqDxLDM0KrhfsI0Hv-_Q_5_14"/>
      <w:bookmarkStart w:id="1488" w:name="Tc_-VH1XfSMOUC_vZ-Vmr6IYg_5_11"/>
      <w:bookmarkStart w:id="1489" w:name="Tc_7yMMtlS3fEadwa0UMz8rJw_5_8"/>
      <w:bookmarkStart w:id="1490" w:name="Tc_FluT-dlU-06xC8A_3ZNdQA_5_5"/>
      <w:bookmarkStart w:id="1491" w:name="Tc_e3tGbL6O_kaEJG9itfxUxg_5_2"/>
      <w:bookmarkStart w:id="1492" w:name="Tc_D3MzRvfSAkKo1W4JktSOug_5_0"/>
      <w:bookmarkStart w:id="1493" w:name="Tc_ScDveJtfekeD4nsj2E6ZMQ_4_17"/>
      <w:bookmarkStart w:id="1494" w:name="Tc_1Yn3nCHrik-oojBdoSvBUQ_4_14"/>
      <w:bookmarkStart w:id="1495" w:name="Tc_wgOzlcAuskWwj4TDiIArhQ_4_11"/>
      <w:bookmarkStart w:id="1496" w:name="Tc_INe1hu67Q0CauhsqVPbwsw_4_8"/>
      <w:bookmarkStart w:id="1497" w:name="Tc_vvFuk1SWckuFuelAey-mWw_4_5"/>
      <w:bookmarkStart w:id="1498" w:name="Tc_on4rzwMLXUaX8Qtcw2Uk-g_4_2"/>
      <w:bookmarkStart w:id="1499" w:name="Tc_AhbuujDsIkumAPivcTPrxw_3_17"/>
      <w:bookmarkStart w:id="1500" w:name="Tc_kdbNsvbyIkumGPUvVmmoYQ_3_14"/>
      <w:bookmarkStart w:id="1501" w:name="Tc_HKpwmC0ji0GOLP8goeqGkg_3_8"/>
      <w:bookmarkStart w:id="1502" w:name="Tc_CAiYQZvtW0mCJyrxjp1sFw_3_5"/>
      <w:bookmarkStart w:id="1503" w:name="Tc_MbeQ5aDRQUW9XGJORM3ppQ_2_17"/>
      <w:bookmarkStart w:id="1504" w:name="Tc_875lgm4Nuk-lS23DK2HSXA_2_14"/>
      <w:bookmarkStart w:id="1505" w:name="Tc_mNHl-4YRJEyI3fjmZkQnOw_2_8"/>
      <w:bookmarkStart w:id="1506" w:name="Tc_pA3nsnq7FEWXVbJ8q7t3bQ_2_5"/>
      <w:bookmarkStart w:id="1507" w:name="Tc_Ml9V4iRhkEigPZWi4GcJxw_1_17"/>
      <w:bookmarkStart w:id="1508" w:name="Tc_EkvDO11ol0ij3iZCL1AITg_1_14"/>
      <w:bookmarkStart w:id="1509" w:name="_026d188c_8915_4d0d_b5c1_d150c615332f"/>
      <w:bookmarkStart w:id="1510" w:name="Tc_4Ms0yhz7IUuafCVsoj7zrQ_17_17"/>
      <w:bookmarkStart w:id="1511" w:name="Tc_c1QeJJITCUikVQFOQLmRfg_17_14"/>
      <w:bookmarkStart w:id="1512" w:name="Tc_Qa1FThX93kOAsZ_dMrJFew_17_11"/>
      <w:bookmarkStart w:id="1513" w:name="Tc_zGV2EMzzjUi0oE3Q7SiRdw_17_8"/>
      <w:bookmarkStart w:id="1514" w:name="Tc__j1NKNaJoUCM3DiW3uQYKQ_17_5"/>
      <w:bookmarkStart w:id="1515" w:name="Tc_e2KQizgua0-jzt3A7MUm3w_17_2"/>
      <w:bookmarkStart w:id="1516" w:name="Tc_LfCTowhgmUWOxtf_JNQv_A_17_0"/>
      <w:bookmarkStart w:id="1517" w:name="Tc_TxteEFEwfUu_cztuHtrqyA_16_0"/>
      <w:bookmarkStart w:id="1518" w:name="Tc_AANxAZtKNUeJiJqehF5O9Q_15_0"/>
      <w:bookmarkStart w:id="1519" w:name="Tc_2b5qNA5eU0ySbsBSjVZYEA_14_0"/>
      <w:bookmarkStart w:id="1520" w:name="Tc_p_eUjP31lU6Z2HmYlbZK8w_13_0"/>
      <w:bookmarkStart w:id="1521" w:name="Tc_DMcaLUuNSkimkA-oRTYLIg_12_0"/>
      <w:bookmarkStart w:id="1522" w:name="Tc_JmFtwnZsMEu9FqnnPsbIvg_11_0"/>
      <w:bookmarkStart w:id="1523" w:name="Tc_xcH-nEj9b0Gbkfj95bi6kg_10_0"/>
      <w:bookmarkStart w:id="1524" w:name="Tc_xgD8DxbLfUKyPHXCI45Kkw_9_0"/>
      <w:bookmarkStart w:id="1525" w:name="Tc_w9N2DNji-kKj1xW35LVqjw_8_17"/>
      <w:bookmarkStart w:id="1526" w:name="Tc_KNGfGCDqGE-sbpOJ7kLDKg_8_14"/>
      <w:bookmarkStart w:id="1527" w:name="Tc_OvqkUE7N60esQ63kipWw0g_8_11"/>
      <w:bookmarkStart w:id="1528" w:name="Tc_quvNb0PgikOoT2ZtRezjFg_8_8"/>
      <w:bookmarkStart w:id="1529" w:name="Tc_vvRwuImtIE6RqMAord3tMg_8_5"/>
      <w:bookmarkStart w:id="1530" w:name="Tc_PoM6nvMf00CQ57QeWpt4EQ_8_2"/>
      <w:bookmarkStart w:id="1531" w:name="Tc_pr6A4t9olUKefaZd6elw-A_8_0"/>
      <w:bookmarkStart w:id="1532" w:name="Tc_aU_dlq5S0kWbEXTOtt8WNw_7_0"/>
      <w:bookmarkStart w:id="1533" w:name="Tc_EBfd_dtq5UaiDt9p2xzzaQ_6_0"/>
      <w:bookmarkStart w:id="1534" w:name="Tc_h9zsWhlT1Uu9HYV-9WO3vw_5_17"/>
      <w:bookmarkStart w:id="1535" w:name="Tc_m22YxJF1KkeEgV2c9C5VbA_5_14"/>
      <w:bookmarkStart w:id="1536" w:name="Tc_mAXrco2IiUCM7iDnQE5fTA_5_11"/>
      <w:bookmarkStart w:id="1537" w:name="Tc_MBhPb5kL3k2W9ERw9Q8Z0Q_5_8"/>
      <w:bookmarkStart w:id="1538" w:name="Tc_vvEw-RPEZECEPma212MTyA_5_5"/>
      <w:bookmarkStart w:id="1539" w:name="Tc_cX1x1BG5GEuYaTEr9UqPaA_5_2"/>
      <w:bookmarkStart w:id="1540" w:name="Tc_pl0fnp-G6Ee3_dWy7aKyzg_5_0"/>
      <w:bookmarkStart w:id="1541" w:name="Tc_jWgtjE5YUkGw7imb-Tbimw_4_17"/>
      <w:bookmarkStart w:id="1542" w:name="Tc_PKOIhxIdok-DhzHzwxhkzw_4_14"/>
      <w:bookmarkStart w:id="1543" w:name="Tc_q14udY9xc0a0ay4aST4nLg_4_11"/>
      <w:bookmarkStart w:id="1544" w:name="Tc_j53S2T-AAE2DLAf43L5e8Q_4_8"/>
      <w:bookmarkStart w:id="1545" w:name="Tc_zhb6EboDSk-ULODbTVAClw_4_5"/>
      <w:bookmarkStart w:id="1546" w:name="Tc_rab79Ek1l0ScyXgl8AGh5g_4_2"/>
      <w:bookmarkStart w:id="1547" w:name="Tc_129x8QoF_k-6UwJJ5W8Awg_3_17"/>
      <w:bookmarkStart w:id="1548" w:name="Tc_dGEsyNh_jEKcWMY9Y6c8uQ_3_14"/>
      <w:bookmarkStart w:id="1549" w:name="Tc_bc60ZMkk-02X923YRhfI0A_3_8"/>
      <w:bookmarkStart w:id="1550" w:name="Tc_eF6zPyeN-EC0jj6CkPSBDQ_3_5"/>
      <w:bookmarkStart w:id="1551" w:name="Tc_KZXAqpbu8E-a9-dFXpWi5A_2_17"/>
      <w:bookmarkStart w:id="1552" w:name="Tc_I5KWELD790OpfoASasWCWg_2_14"/>
      <w:bookmarkStart w:id="1553" w:name="Tc_488U4UVJQ0CDHLhYhpdMxg_2_8"/>
      <w:bookmarkStart w:id="1554" w:name="Tc_zKav6LuOyE20163mLqhsUw_2_5"/>
      <w:bookmarkStart w:id="1555" w:name="Tc_Gy1tVAInA0GEx9GKQcCZXw_1_17"/>
      <w:bookmarkStart w:id="1556" w:name="Tc_qrB6Rwc6_06oy6KDPMuLBg_1_14"/>
      <w:bookmarkStart w:id="1557" w:name="_70f6e449_0dc7_44d2_a9a5_90f16c5af2d1"/>
      <w:bookmarkStart w:id="1558" w:name="Tc_WPXaE-Ip9E-tqxXxJ0eq5w_18_17"/>
      <w:bookmarkStart w:id="1559" w:name="Tc_JoUwN70kQkiyrAnvcvc8ow_18_14"/>
      <w:bookmarkStart w:id="1560" w:name="Tc_4Lw58S8t8km7AIWHLVnNJw_18_11"/>
      <w:bookmarkStart w:id="1561" w:name="Tc_2VIY-AG0g0GDbQQHHmE4Tw_18_8"/>
      <w:bookmarkStart w:id="1562" w:name="Tc_l0pBcjEshUGV9QWnQzGkcw_18_5"/>
      <w:bookmarkStart w:id="1563" w:name="Tc_8sLVqaa1b0yhLClPszTpQA_18_2"/>
      <w:bookmarkStart w:id="1564" w:name="Tc_ywUZecVAukKbKQLVw5LYqg_18_0"/>
      <w:bookmarkStart w:id="1565" w:name="Tc_p5vLtnCtD0ahiqjJpD48Qg_17_0"/>
      <w:bookmarkStart w:id="1566" w:name="Tc_FEwtqYcpwU27lyKB8y-O1w_16_0"/>
      <w:bookmarkStart w:id="1567" w:name="Tc_xMVdaJYPS0OpsXABxgV3sA_15_0"/>
      <w:bookmarkStart w:id="1568" w:name="Tc_K_JNvLaty0CUL3EvUtytAw_14_0"/>
      <w:bookmarkStart w:id="1569" w:name="Tc_IvIujOXZsk2B9YA6dgqxWw_13_0"/>
      <w:bookmarkStart w:id="1570" w:name="Tc_Wtwv22v2h0SYQ6kWuCrBJA_12_0"/>
      <w:bookmarkStart w:id="1571" w:name="Tc_rGrMLKLJw0ymKI0Ci42vLw_11_0"/>
      <w:bookmarkStart w:id="1572" w:name="Tc_XcrqCIwMkE-jHLQKCUx94Q_10_0"/>
      <w:bookmarkStart w:id="1573" w:name="Tc_AVJiR4IEIUaV3o1vJYyDnw_9_0"/>
      <w:bookmarkStart w:id="1574" w:name="Tc_rT0VZE2r3EOT2tbAHq7GKA_8_17"/>
      <w:bookmarkStart w:id="1575" w:name="Tc_m6dN9_GRSEWer5MKIWzJvA_8_14"/>
      <w:bookmarkStart w:id="1576" w:name="Tc_FWUD4NoGAEGIZKXy0CbbsQ_8_11"/>
      <w:bookmarkStart w:id="1577" w:name="Tc_-irVRPFP-kG4-aygTSQybw_8_8"/>
      <w:bookmarkStart w:id="1578" w:name="Tc_bpbsXbixgkiouDYMpBR8gw_8_5"/>
      <w:bookmarkStart w:id="1579" w:name="Tc_4gpx8PyuDk2P37bYLvxrWQ_8_2"/>
      <w:bookmarkStart w:id="1580" w:name="Tc_e_F4ThurXkmL1MA2bsOO_Q_8_0"/>
      <w:bookmarkStart w:id="1581" w:name="Tc_nL6qmA8x4EyvD6L4q7kAbw_7_0"/>
      <w:bookmarkStart w:id="1582" w:name="Tc_8rQCnevrHUK8UKfeor48QA_6_0"/>
      <w:bookmarkStart w:id="1583" w:name="Tc_zcekG9RlNE-bGfpzkwj1dw_5_17"/>
      <w:bookmarkStart w:id="1584" w:name="Tc__LPqDxLDM0KrhfsI0Hv-_Q_5_14"/>
      <w:bookmarkStart w:id="1585" w:name="Tc_-VH1XfSMOUC_vZ-Vmr6IYg_5_11"/>
      <w:bookmarkStart w:id="1586" w:name="Tc_7yMMtlS3fEadwa0UMz8rJw_5_8"/>
      <w:bookmarkStart w:id="1587" w:name="Tc_FluT-dlU-06xC8A_3ZNdQA_5_5"/>
      <w:bookmarkStart w:id="1588" w:name="Tc_e3tGbL6O_kaEJG9itfxUxg_5_2"/>
      <w:bookmarkStart w:id="1589" w:name="Tc_D3MzRvfSAkKo1W4JktSOug_5_0"/>
      <w:bookmarkStart w:id="1590" w:name="Tc_ScDveJtfekeD4nsj2E6ZMQ_4_17"/>
      <w:bookmarkStart w:id="1591" w:name="Tc_1Yn3nCHrik-oojBdoSvBUQ_4_14"/>
      <w:bookmarkStart w:id="1592" w:name="Tc_wgOzlcAuskWwj4TDiIArhQ_4_11"/>
      <w:bookmarkStart w:id="1593" w:name="Tc_INe1hu67Q0CauhsqVPbwsw_4_8"/>
      <w:bookmarkStart w:id="1594" w:name="Tc_vvFuk1SWckuFuelAey-mWw_4_5"/>
      <w:bookmarkStart w:id="1595" w:name="Tc_on4rzwMLXUaX8Qtcw2Uk-g_4_2"/>
      <w:bookmarkStart w:id="1596" w:name="Tc_AhbuujDsIkumAPivcTPrxw_3_17"/>
      <w:bookmarkStart w:id="1597" w:name="Tc_kdbNsvbyIkumGPUvVmmoYQ_3_14"/>
      <w:bookmarkStart w:id="1598" w:name="Tc_HKpwmC0ji0GOLP8goeqGkg_3_8"/>
      <w:bookmarkStart w:id="1599" w:name="Tc_CAiYQZvtW0mCJyrxjp1sFw_3_5"/>
      <w:bookmarkStart w:id="1600" w:name="Tc_MbeQ5aDRQUW9XGJORM3ppQ_2_17"/>
      <w:bookmarkStart w:id="1601" w:name="Tc_875lgm4Nuk-lS23DK2HSXA_2_14"/>
      <w:bookmarkStart w:id="1602" w:name="Tc_mNHl-4YRJEyI3fjmZkQnOw_2_8"/>
      <w:bookmarkStart w:id="1603" w:name="Tc_pA3nsnq7FEWXVbJ8q7t3bQ_2_5"/>
      <w:bookmarkStart w:id="1604" w:name="Tc_Ml9V4iRhkEigPZWi4GcJxw_1_17"/>
      <w:bookmarkStart w:id="1605" w:name="Tc_EkvDO11ol0ij3iZCL1AITg_1_14"/>
      <w:bookmarkStart w:id="1606" w:name="_026d188c_8915_4d0d_b5c1_d150c615332f"/>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p>
    <w:tbl>
      <w:tblPr>
        <w:tblW w:w="1757" w:type="dxa"/>
        <w:jc w:val="left"/>
        <w:tblInd w:w="0" w:type="dxa"/>
        <w:tblLayout w:type="fixed"/>
        <w:tblCellMar>
          <w:top w:w="0" w:type="dxa"/>
          <w:left w:w="0" w:type="dxa"/>
          <w:bottom w:w="0" w:type="dxa"/>
          <w:right w:w="0" w:type="dxa"/>
        </w:tblCellMar>
      </w:tblPr>
      <w:tblGrid>
        <w:gridCol w:w="271"/>
        <w:gridCol w:w="1486"/>
      </w:tblGrid>
      <w:tr>
        <w:trPr/>
        <w:tc>
          <w:tcPr>
            <w:tcW w:w="2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4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INVESTMENTS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Company’s investments at:</w:t>
      </w:r>
    </w:p>
    <w:p>
      <w:pPr>
        <w:pStyle w:val="TextBody"/>
        <w:bidi w:val="0"/>
        <w:spacing w:before="0" w:after="0"/>
        <w:ind w:left="0" w:right="0" w:firstLine="720"/>
        <w:jc w:val="both"/>
        <w:rPr/>
      </w:pPr>
      <w:r>
        <w:rPr/>
        <w:t>​</w:t>
      </w:r>
    </w:p>
    <w:tbl>
      <w:tblPr>
        <w:tblW w:w="10530" w:type="dxa"/>
        <w:jc w:val="left"/>
        <w:tblInd w:w="0" w:type="dxa"/>
        <w:tblLayout w:type="fixed"/>
        <w:tblCellMar>
          <w:top w:w="0" w:type="dxa"/>
          <w:left w:w="0" w:type="dxa"/>
          <w:bottom w:w="0" w:type="dxa"/>
          <w:right w:w="0" w:type="dxa"/>
        </w:tblCellMar>
      </w:tblPr>
      <w:tblGrid>
        <w:gridCol w:w="1741"/>
        <w:gridCol w:w="326"/>
        <w:gridCol w:w="211"/>
        <w:gridCol w:w="931"/>
        <w:gridCol w:w="326"/>
        <w:gridCol w:w="375"/>
        <w:gridCol w:w="616"/>
        <w:gridCol w:w="326"/>
        <w:gridCol w:w="267"/>
        <w:gridCol w:w="724"/>
        <w:gridCol w:w="326"/>
        <w:gridCol w:w="211"/>
        <w:gridCol w:w="931"/>
        <w:gridCol w:w="326"/>
        <w:gridCol w:w="323"/>
        <w:gridCol w:w="878"/>
        <w:gridCol w:w="326"/>
        <w:gridCol w:w="435"/>
        <w:gridCol w:w="931"/>
      </w:tblGrid>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91185" cy="175260"/>
                      <wp:effectExtent l="0" t="0" r="0" b="0"/>
                      <wp:wrapNone/>
                      <wp:docPr id="189" name="Frame1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38125" cy="175260"/>
                      <wp:effectExtent l="0" t="0" r="0" b="0"/>
                      <wp:wrapNone/>
                      <wp:docPr id="191" name="Frame19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91160" cy="175260"/>
                      <wp:effectExtent l="0" t="0" r="0" b="0"/>
                      <wp:wrapNone/>
                      <wp:docPr id="192" name="Frame19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69545" cy="175260"/>
                      <wp:effectExtent l="0" t="0" r="0" b="0"/>
                      <wp:wrapNone/>
                      <wp:docPr id="194" name="Frame19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59740" cy="175260"/>
                      <wp:effectExtent l="0" t="0" r="0" b="0"/>
                      <wp:wrapNone/>
                      <wp:docPr id="195" name="Frame195"/>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91185" cy="175260"/>
                      <wp:effectExtent l="0" t="0" r="0" b="0"/>
                      <wp:wrapNone/>
                      <wp:docPr id="198" name="Frame19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5105" cy="175260"/>
                      <wp:effectExtent l="0" t="0" r="0" b="0"/>
                      <wp:wrapNone/>
                      <wp:docPr id="200" name="Frame200"/>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57530" cy="175260"/>
                      <wp:effectExtent l="0" t="0" r="0" b="0"/>
                      <wp:wrapNone/>
                      <wp:docPr id="201" name="Frame201"/>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76225" cy="175260"/>
                      <wp:effectExtent l="0" t="0" r="0" b="0"/>
                      <wp:wrapNone/>
                      <wp:docPr id="203" name="Frame203"/>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91185" cy="175260"/>
                      <wp:effectExtent l="0" t="0" r="0" b="0"/>
                      <wp:wrapNone/>
                      <wp:docPr id="204" name="Frame20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c>
          <w:tcPr>
            <w:tcW w:w="32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c>
          <w:tcPr>
            <w:tcW w:w="32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 12</w:t>
            </w:r>
          </w:p>
        </w:tc>
        <w:tc>
          <w:tcPr>
            <w:tcW w:w="32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greater than 12</w:t>
            </w:r>
          </w:p>
        </w:tc>
      </w:tr>
      <w:tr>
        <w:trPr/>
        <w:tc>
          <w:tcPr>
            <w:tcW w:w="1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30, 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Months</w:t>
            </w:r>
          </w:p>
        </w:tc>
        <w:tc>
          <w:tcPr>
            <w:tcW w:w="326" w:type="dxa"/>
            <w:tcBorders/>
            <w:vAlign w:val="center"/>
          </w:tcPr>
          <w:p>
            <w:pPr>
              <w:pStyle w:val="TableContents"/>
              <w:bidi w:val="0"/>
              <w:spacing w:before="0" w:after="0"/>
              <w:ind w:left="0" w:right="0" w:hanging="0"/>
              <w:jc w:val="left"/>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Months</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270,002</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270,000</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15,366</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15,366</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29,862</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29,833</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153,356</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153,053</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536,966</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535,741</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233,328</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232,759</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11,489</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11,477</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30,364</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30,338</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10,845</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10,821</w:t>
            </w:r>
          </w:p>
        </w:tc>
        <w:tc>
          <w:tcPr>
            <w:tcW w:w="326"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4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1,291,578</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1,289,388</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10485" w:type="dxa"/>
        <w:jc w:val="left"/>
        <w:tblInd w:w="0" w:type="dxa"/>
        <w:tblLayout w:type="fixed"/>
        <w:tblCellMar>
          <w:top w:w="0" w:type="dxa"/>
          <w:left w:w="0" w:type="dxa"/>
          <w:bottom w:w="0" w:type="dxa"/>
          <w:right w:w="0" w:type="dxa"/>
        </w:tblCellMar>
      </w:tblPr>
      <w:tblGrid>
        <w:gridCol w:w="1696"/>
        <w:gridCol w:w="326"/>
        <w:gridCol w:w="211"/>
        <w:gridCol w:w="931"/>
        <w:gridCol w:w="326"/>
        <w:gridCol w:w="330"/>
        <w:gridCol w:w="661"/>
        <w:gridCol w:w="326"/>
        <w:gridCol w:w="267"/>
        <w:gridCol w:w="724"/>
        <w:gridCol w:w="326"/>
        <w:gridCol w:w="211"/>
        <w:gridCol w:w="931"/>
        <w:gridCol w:w="326"/>
        <w:gridCol w:w="323"/>
        <w:gridCol w:w="878"/>
        <w:gridCol w:w="326"/>
        <w:gridCol w:w="435"/>
        <w:gridCol w:w="931"/>
      </w:tblGrid>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91185" cy="175260"/>
                      <wp:effectExtent l="0" t="0" r="0" b="0"/>
                      <wp:wrapNone/>
                      <wp:docPr id="207" name="Frame20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9550" cy="175260"/>
                      <wp:effectExtent l="0" t="0" r="0" b="0"/>
                      <wp:wrapNone/>
                      <wp:docPr id="209" name="Frame209"/>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19735" cy="175260"/>
                      <wp:effectExtent l="0" t="0" r="0" b="0"/>
                      <wp:wrapNone/>
                      <wp:docPr id="210" name="Frame21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69545" cy="175260"/>
                      <wp:effectExtent l="0" t="0" r="0" b="0"/>
                      <wp:wrapNone/>
                      <wp:docPr id="212" name="Frame21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59740" cy="175260"/>
                      <wp:effectExtent l="0" t="0" r="0" b="0"/>
                      <wp:wrapNone/>
                      <wp:docPr id="213" name="Frame213"/>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91185" cy="175260"/>
                      <wp:effectExtent l="0" t="0" r="0" b="0"/>
                      <wp:wrapNone/>
                      <wp:docPr id="216" name="Frame21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5105" cy="175260"/>
                      <wp:effectExtent l="0" t="0" r="0" b="0"/>
                      <wp:wrapNone/>
                      <wp:docPr id="218" name="Frame218"/>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57530" cy="175260"/>
                      <wp:effectExtent l="0" t="0" r="0" b="0"/>
                      <wp:wrapNone/>
                      <wp:docPr id="219" name="Frame219"/>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76225" cy="175260"/>
                      <wp:effectExtent l="0" t="0" r="0" b="0"/>
                      <wp:wrapNone/>
                      <wp:docPr id="221" name="Frame221"/>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91185" cy="175260"/>
                      <wp:effectExtent l="0" t="0" r="0" b="0"/>
                      <wp:wrapNone/>
                      <wp:docPr id="222" name="Frame2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c>
          <w:tcPr>
            <w:tcW w:w="32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c>
          <w:tcPr>
            <w:tcW w:w="32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 12</w:t>
            </w:r>
          </w:p>
        </w:tc>
        <w:tc>
          <w:tcPr>
            <w:tcW w:w="32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greater than 12</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2022</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Months</w:t>
            </w:r>
          </w:p>
        </w:tc>
        <w:tc>
          <w:tcPr>
            <w:tcW w:w="326" w:type="dxa"/>
            <w:tcBorders/>
            <w:vAlign w:val="center"/>
          </w:tcPr>
          <w:p>
            <w:pPr>
              <w:pStyle w:val="TableContents"/>
              <w:bidi w:val="0"/>
              <w:spacing w:before="0" w:after="0"/>
              <w:ind w:left="0" w:right="0" w:hanging="0"/>
              <w:jc w:val="left"/>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Months</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197,712</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197,709</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211,791</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211,239</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109,697</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108,985</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838,825</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834,303</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4,539</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53,215</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53,164</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 demand notes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6,266</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6,266</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1,429,600</w:t>
            </w:r>
          </w:p>
        </w:tc>
        <w:tc>
          <w:tcPr>
            <w:tcW w:w="326" w:type="dxa"/>
            <w:tcBorders/>
            <w:vAlign w:val="center"/>
          </w:tcPr>
          <w:p>
            <w:pPr>
              <w:pStyle w:val="TableContents"/>
              <w:bidi w:val="0"/>
              <w:spacing w:before="0" w:after="0"/>
              <w:ind w:left="0" w:right="0" w:hanging="0"/>
              <w:jc w:val="left"/>
              <w:rPr/>
            </w:pPr>
            <w:r>
              <w:rPr/>
              <w:t>​</w:t>
            </w:r>
          </w:p>
        </w:tc>
        <w:tc>
          <w:tcPr>
            <w:tcW w:w="3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1,423,757</w:t>
            </w:r>
          </w:p>
        </w:tc>
        <w:tc>
          <w:tcPr>
            <w:tcW w:w="326" w:type="dxa"/>
            <w:tcBorders/>
            <w:vAlign w:val="center"/>
          </w:tcPr>
          <w:p>
            <w:pPr>
              <w:pStyle w:val="TableContents"/>
              <w:bidi w:val="0"/>
              <w:spacing w:before="0" w:after="0"/>
              <w:ind w:left="0" w:right="0" w:hanging="0"/>
              <w:jc w:val="left"/>
              <w:rPr/>
            </w:pPr>
            <w:r>
              <w:rPr/>
              <w:t>​</w:t>
            </w:r>
          </w:p>
        </w:tc>
        <w:tc>
          <w:tcPr>
            <w:tcW w:w="3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w:t>
            </w:r>
          </w:p>
        </w:tc>
        <w:tc>
          <w:tcPr>
            <w:tcW w:w="326" w:type="dxa"/>
            <w:tcBorders/>
            <w:vAlign w:val="center"/>
          </w:tcPr>
          <w:p>
            <w:pPr>
              <w:pStyle w:val="TableContents"/>
              <w:bidi w:val="0"/>
              <w:spacing w:before="0" w:after="0"/>
              <w:ind w:left="0" w:right="0" w:hanging="0"/>
              <w:jc w:val="left"/>
              <w:rPr/>
            </w:pPr>
            <w:r>
              <w:rPr/>
              <w:t>​</w:t>
            </w:r>
          </w:p>
        </w:tc>
        <w:tc>
          <w:tcPr>
            <w:tcW w:w="4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 and nine-months ended September 30, 2023 and 2022, realized gains or losses recognized on the sale of investments were not significant.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Company’s investments at September 30, 2023 and December 31, 2022 carried investment grade credit ratings.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607" w:name="Tc_FoKZ8LI7bkerxiNaXk7ABw_17_11"/>
      <w:bookmarkStart w:id="1608" w:name="Tc_NjXFmMYHXEWmtcPwgxSEYw_17_8"/>
      <w:bookmarkStart w:id="1609" w:name="Tc_1RhWDTQTs0SpyKLONSoTiw_17_5"/>
      <w:bookmarkStart w:id="1610" w:name="Tc_0dToJsnBBkaRdt0g4Qtzzw_17_2"/>
      <w:bookmarkStart w:id="1611" w:name="Tc_IBjqFdQH3kuoYM1opQ_myg_17_0"/>
      <w:bookmarkStart w:id="1612" w:name="Tc_1vO4cEO8MkO_I5eEX0bPzw_16_0"/>
      <w:bookmarkStart w:id="1613" w:name="Tc_CwiEmL5kG0-oQiXXGuDHUQ_15_0"/>
      <w:bookmarkStart w:id="1614" w:name="Tc_DBB4NBElm0yqS34DH181vg_14_0"/>
      <w:bookmarkStart w:id="1615" w:name="Tc_-uEoXXtkcE-fob8stCMO2g_13_0"/>
      <w:bookmarkStart w:id="1616" w:name="Tc_zStuC0OjC0OhkWj9vt5z4A_12_0"/>
      <w:bookmarkStart w:id="1617" w:name="Tc_x8f19R6aVEWrapbljQa0Sw_11_0"/>
      <w:bookmarkStart w:id="1618" w:name="Tc_fJy19Wl1D0iCDYSYiMOKYw_10_0"/>
      <w:bookmarkStart w:id="1619" w:name="Tc_VbcO6nDK5ESWkuctwnXUbA_9_0"/>
      <w:bookmarkStart w:id="1620" w:name="Tc_9698-zoOXku3e9ZggzFpzA_8_0"/>
      <w:bookmarkStart w:id="1621" w:name="Tc_q6fFeP3cq0Gf-Ad93sK1BA_7_0"/>
      <w:bookmarkStart w:id="1622" w:name="Tc_6owP9Y4OkUya8s17Oage8Q_6_0"/>
      <w:bookmarkStart w:id="1623" w:name="Tc_1TnLX9nJf0C8JBnOOWIZmA_5_0"/>
      <w:bookmarkStart w:id="1624" w:name="Tc_ZNzFhVdXTU2KlXCZTNMRbg_4_11"/>
      <w:bookmarkStart w:id="1625" w:name="Tc_VjMSEs2hcES7dmIbsJ1udA_4_8"/>
      <w:bookmarkStart w:id="1626" w:name="Tc_3iCQO7cd10mq0dfU4zxPPQ_4_5"/>
      <w:bookmarkStart w:id="1627" w:name="Tc_-y7kClXCuEOA4HG1TwN2-g_4_2"/>
      <w:bookmarkStart w:id="1628" w:name="Tc_Ch6zCbgpK0GM9TbqXSmfoQ_4_0"/>
      <w:bookmarkStart w:id="1629" w:name="Tc_5Qu9ziDFvEmDjRqTfgJqnQ_3_0"/>
      <w:bookmarkStart w:id="1630" w:name="Tc_H1HcGqil6EeJz-xR7xcmpA_2_11"/>
      <w:bookmarkStart w:id="1631" w:name="Tc_W0nDgynsl06xvgwhvCYd4w_2_8"/>
      <w:bookmarkStart w:id="1632" w:name="Tc_GoyfDlXfJU-LOB1o4ZKOOw_2_5"/>
      <w:bookmarkStart w:id="1633" w:name="Tc_x9cgYosxeUyKrM_d0TT08A_2_2"/>
      <w:bookmarkStart w:id="1634" w:name="Tc_d1l2v6moMUOvo_eiCwaxAQ_1_8"/>
      <w:bookmarkStart w:id="1635" w:name="Tc_0K7mz9Oe9ket56l1hbuvHw_1_2"/>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r>
        <w:rPr>
          <w:rFonts w:ascii="Times New Roman;Times;serif" w:hAnsi="Times New Roman;Times;serif"/>
          <w:sz w:val="20"/>
        </w:rPr>
        <w:t>The following table summarizes the underlying contractual maturities of the Company’s investments at:</w:t>
      </w:r>
    </w:p>
    <w:p>
      <w:pPr>
        <w:pStyle w:val="TextBody"/>
        <w:bidi w:val="0"/>
        <w:spacing w:before="0" w:after="0"/>
        <w:ind w:left="0" w:right="0" w:firstLine="720"/>
        <w:jc w:val="both"/>
        <w:rPr/>
      </w:pPr>
      <w:r>
        <w:rPr/>
        <w:t>​</w:t>
      </w:r>
    </w:p>
    <w:tbl>
      <w:tblPr>
        <w:tblW w:w="9366" w:type="dxa"/>
        <w:jc w:val="left"/>
        <w:tblInd w:w="0" w:type="dxa"/>
        <w:tblLayout w:type="fixed"/>
        <w:tblCellMar>
          <w:top w:w="0" w:type="dxa"/>
          <w:left w:w="0" w:type="dxa"/>
          <w:bottom w:w="0" w:type="dxa"/>
          <w:right w:w="0" w:type="dxa"/>
        </w:tblCellMar>
      </w:tblPr>
      <w:tblGrid>
        <w:gridCol w:w="2911"/>
        <w:gridCol w:w="326"/>
        <w:gridCol w:w="255"/>
        <w:gridCol w:w="1126"/>
        <w:gridCol w:w="326"/>
        <w:gridCol w:w="211"/>
        <w:gridCol w:w="931"/>
        <w:gridCol w:w="326"/>
        <w:gridCol w:w="255"/>
        <w:gridCol w:w="1126"/>
        <w:gridCol w:w="326"/>
        <w:gridCol w:w="211"/>
        <w:gridCol w:w="1036"/>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61925" cy="175260"/>
                      <wp:effectExtent l="0" t="0" r="0" b="0"/>
                      <wp:wrapNone/>
                      <wp:docPr id="224" name="Frame22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715010" cy="175260"/>
                      <wp:effectExtent l="0" t="0" r="0" b="0"/>
                      <wp:wrapNone/>
                      <wp:docPr id="225" name="Frame22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91185" cy="175260"/>
                      <wp:effectExtent l="0" t="0" r="0" b="0"/>
                      <wp:wrapNone/>
                      <wp:docPr id="228" name="Frame22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61925" cy="175260"/>
                      <wp:effectExtent l="0" t="0" r="0" b="0"/>
                      <wp:wrapNone/>
                      <wp:docPr id="230" name="Frame23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715010" cy="175260"/>
                      <wp:effectExtent l="0" t="0" r="0" b="0"/>
                      <wp:wrapNone/>
                      <wp:docPr id="231" name="Frame231"/>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57860" cy="175260"/>
                      <wp:effectExtent l="0" t="0" r="0" b="0"/>
                      <wp:wrapNone/>
                      <wp:docPr id="234" name="Frame2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2023</w:t>
            </w:r>
          </w:p>
        </w:tc>
        <w:tc>
          <w:tcPr>
            <w:tcW w:w="326" w:type="dxa"/>
            <w:tcBorders/>
            <w:vAlign w:val="center"/>
          </w:tcPr>
          <w:p>
            <w:pPr>
              <w:pStyle w:val="TableContents"/>
              <w:bidi w:val="0"/>
              <w:spacing w:before="0" w:after="0"/>
              <w:ind w:left="0" w:right="0" w:hanging="0"/>
              <w:jc w:val="left"/>
              <w:rPr/>
            </w:pPr>
            <w:r>
              <w:rPr/>
              <w:t>​</w:t>
            </w:r>
          </w:p>
        </w:tc>
        <w:tc>
          <w:tcPr>
            <w:tcW w:w="29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 Cost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326"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 Cost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1 year:</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270,000</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197,710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29,833</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211,239</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153,053</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108,985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15,366</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536,966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535,741</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838,825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834,302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232,759</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1 - 10 years: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30,338</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53,164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11,477</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 demand notes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4,862</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10,821</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11 - 20 years: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 demand notes</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1,291,578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1,289,388</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1,423,757</w:t>
            </w:r>
          </w:p>
        </w:tc>
      </w:tr>
    </w:tbl>
    <w:p>
      <w:pPr>
        <w:pStyle w:val="TextBody"/>
        <w:pBdr/>
        <w:bidi w:val="0"/>
        <w:spacing w:before="0" w:after="0"/>
        <w:ind w:left="0" w:right="0" w:hanging="720"/>
        <w:jc w:val="left"/>
        <w:rPr/>
      </w:pPr>
      <w:r>
        <w:rPr/>
        <w:t>​</w:t>
      </w:r>
    </w:p>
    <w:p>
      <w:pPr>
        <w:pStyle w:val="TextBody"/>
        <w:pBdr/>
        <w:bidi w:val="0"/>
        <w:spacing w:before="0" w:after="0"/>
        <w:ind w:left="0" w:right="0" w:hanging="720"/>
        <w:jc w:val="left"/>
        <w:rPr/>
      </w:pPr>
      <w:r>
        <w:rPr/>
        <w:t>​</w:t>
      </w:r>
    </w:p>
    <w:p>
      <w:pPr>
        <w:pStyle w:val="TextBody"/>
        <w:bidi w:val="0"/>
        <w:spacing w:before="0" w:after="0"/>
        <w:ind w:left="0" w:right="0" w:hanging="0"/>
        <w:jc w:val="left"/>
        <w:rPr/>
      </w:pPr>
      <w:r>
        <w:rPr/>
        <w:t>​</w:t>
      </w:r>
    </w:p>
    <w:tbl>
      <w:tblPr>
        <w:tblW w:w="6107" w:type="dxa"/>
        <w:jc w:val="left"/>
        <w:tblInd w:w="0" w:type="dxa"/>
        <w:tblLayout w:type="fixed"/>
        <w:tblCellMar>
          <w:top w:w="0" w:type="dxa"/>
          <w:left w:w="0" w:type="dxa"/>
          <w:bottom w:w="0" w:type="dxa"/>
          <w:right w:w="0" w:type="dxa"/>
        </w:tblCellMar>
      </w:tblPr>
      <w:tblGrid>
        <w:gridCol w:w="271"/>
        <w:gridCol w:w="5836"/>
      </w:tblGrid>
      <w:tr>
        <w:trPr/>
        <w:tc>
          <w:tcPr>
            <w:tcW w:w="2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w:t>
            </w:r>
          </w:p>
        </w:tc>
        <w:tc>
          <w:tcPr>
            <w:tcW w:w="583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FAIR VALUE OF CERTAIN FINANCIAL ASSETS AND LIABILITIES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“Fair Value Measurement”,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2: </w:t>
            </w:r>
            <w:r>
              <w:rPr>
                <w:rFonts w:ascii="Times New Roman;Times;serif" w:hAnsi="Times New Roman;Times;serif"/>
                <w:b w:val="false"/>
                <w:i w:val="false"/>
                <w:caps w:val="false"/>
                <w:smallCaps w:val="false"/>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3: </w:t>
            </w:r>
            <w:r>
              <w:rPr>
                <w:rFonts w:ascii="Times New Roman;Times;serif" w:hAnsi="Times New Roman;Times;serif"/>
                <w:b w:val="false"/>
                <w:i w:val="false"/>
                <w:caps w:val="false"/>
                <w:smallCaps w:val="false"/>
                <w:sz w:val="20"/>
              </w:rPr>
              <w:t>Unobservable inputs that are supported by little or no market activity and that are significant to the fair value of the assets or liabilities.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requires the use of observable market inputs (quoted market prices) when measuring fair value and requires a Level 1 quoted price to be used to measure fair value whenever possible.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636" w:name="Tc_Rw3uaCxz10WDpr5Nd21P0Q_19_11"/>
      <w:bookmarkStart w:id="1637" w:name="Tc_qCl69CGFtk-E0HIwjpA9PQ_19_8"/>
      <w:bookmarkStart w:id="1638" w:name="Tc_rTnLKs0w_0qMcvkWlumJLA_19_5"/>
      <w:bookmarkStart w:id="1639" w:name="Tc_E4bU9OEPVE6bGrphKATXmA_19_2"/>
      <w:bookmarkStart w:id="1640" w:name="Tc_OqlOt4y1vEWO7kAhNayJXA_19_0"/>
      <w:bookmarkStart w:id="1641" w:name="Tc_1jXNgSnpREGCRYFHSSLwVw_18_0"/>
      <w:bookmarkStart w:id="1642" w:name="Tc_Bl9JGd_A5UqJGpaukjYBeQ_17_0"/>
      <w:bookmarkStart w:id="1643" w:name="Tc_MZq60nhU2kO0W0b2TckoGA_16_0"/>
      <w:bookmarkStart w:id="1644" w:name="Tc_dK6B7E3cUUKo7FoC9KBMEw_15_0"/>
      <w:bookmarkStart w:id="1645" w:name="Tc_nM4wpBQC5UKhd_Vg6rf__g_14_11"/>
      <w:bookmarkStart w:id="1646" w:name="Tc_nCz7357ziUeVq7ODOAPpNA_14_8"/>
      <w:bookmarkStart w:id="1647" w:name="Tc_Of5AhBGcdkO-60f1KyucuQ_14_5"/>
      <w:bookmarkStart w:id="1648" w:name="Tc_EpGPpFr_a0G8SCmGYYmiUg_14_2"/>
      <w:bookmarkStart w:id="1649" w:name="Tc_bvEGOSYfzUyR92hUVN55tg_14_0"/>
      <w:bookmarkStart w:id="1650" w:name="Tc_kpr41o9GjU-xo4yWwdVHVA_13_0"/>
      <w:bookmarkStart w:id="1651" w:name="Tc_3_YPGO-fIk-DTbUe2868bQ_11_11"/>
      <w:bookmarkStart w:id="1652" w:name="Tc_U0NaJ9OOdUOJEwbFNF-AAA_11_8"/>
      <w:bookmarkStart w:id="1653" w:name="Tc_oMd3tZHrlkWXhaV3x__k4w_11_5"/>
      <w:bookmarkStart w:id="1654" w:name="Tc_JyQE7Bhfa0m_G_PWJfcp6w_11_2"/>
      <w:bookmarkStart w:id="1655" w:name="Tc__A_PrzdQcUqPVSj1LMEKxg_11_0"/>
      <w:bookmarkStart w:id="1656" w:name="Tc_-ClbnQ-eVkiFPxtjxolLDA_10_0"/>
      <w:bookmarkStart w:id="1657" w:name="Tc__Gi4GAaht0uAdNzQ76EVJQ_9_0"/>
      <w:bookmarkStart w:id="1658" w:name="Tc_y6H3MGSook2GoIDQR7Ue3g_8_0"/>
      <w:bookmarkStart w:id="1659" w:name="Tc_kidPaQmJCUiSmoH2fB3GKQ_7_0"/>
      <w:bookmarkStart w:id="1660" w:name="Tc_c6Q3GbyT6kaZoIkd-6KrPg_6_0"/>
      <w:bookmarkStart w:id="1661" w:name="Tc_lq3h613jv0STVSj0RyAn1Q_5_0"/>
      <w:bookmarkStart w:id="1662" w:name="Tc_MMeD4_3J1kyF8LA2X_zReQ_4_0"/>
      <w:bookmarkStart w:id="1663" w:name="Tc_FRcgG_6uRECH9mj6Be0zJQ_3_0"/>
      <w:bookmarkStart w:id="1664" w:name="Tc__Hc4pfjjNkm0BA9493QREw_2_11"/>
      <w:bookmarkStart w:id="1665" w:name="Tc_ZPodlPO5yEqOZfpmCF5O7A_2_8"/>
      <w:bookmarkStart w:id="1666" w:name="Tc_FROwngwY80KruxwbPeYK5g_2_5"/>
      <w:bookmarkStart w:id="1667" w:name="Tc_45NHygHtb0GWz9QVban9tA_2_2"/>
      <w:bookmarkStart w:id="1668" w:name="Tc_pYx2SVIo80uPuARL4hxuyw_2_0"/>
      <w:bookmarkStart w:id="1669" w:name="Tc__wFA1oBNnESmkyz_eDzYyA_1_11"/>
      <w:bookmarkStart w:id="1670" w:name="Tc_5BWZrzGlJE6HPjLrEzSWvg_1_8"/>
      <w:bookmarkStart w:id="1671" w:name="Tc_Q65U9Az0JEaywV6dz3c5Rg_1_5"/>
      <w:bookmarkStart w:id="1672" w:name="Tc_uEn7x225XkOf_HGi1l9U5g_1_2"/>
      <w:bookmarkStart w:id="1673" w:name="Tc_jwHkAgVbeECo8fchwYUudg_1_0"/>
      <w:bookmarkStart w:id="1674" w:name="_c899e345_8a9f_4227_b79e_3e69ce4878b9"/>
      <w:bookmarkStart w:id="1675" w:name="Tc_xzpuIImMGECNGMk16ps77w_21_11"/>
      <w:bookmarkStart w:id="1676" w:name="Tc_-I5-sYH9kUidh8z8PfDpcw_21_8"/>
      <w:bookmarkStart w:id="1677" w:name="Tc_WxypUfUsiUiYoulNX6cBfQ_21_5"/>
      <w:bookmarkStart w:id="1678" w:name="Tc_HnphpuWwPkCAAZ_KI8EdBg_21_2"/>
      <w:bookmarkStart w:id="1679" w:name="Tc_GI2vSpZ7Tku52t26nLNw6w_21_0"/>
      <w:bookmarkStart w:id="1680" w:name="Tc_Ss3DU_GKXUW-gUVnPvehdg_20_0"/>
      <w:bookmarkStart w:id="1681" w:name="Tc_vIoVBwWnW0q8l3rdkn0UjQ_19_0"/>
      <w:bookmarkStart w:id="1682" w:name="Tc_-AiNDA5AEECUGutnYl85iA_18_9"/>
      <w:bookmarkStart w:id="1683" w:name="Tc_YwbascBpU0GM84Em_KHWxQ_18_3"/>
      <w:bookmarkStart w:id="1684" w:name="Tc_0CykQMm-OkCY43lN59EaOQ_18_0"/>
      <w:bookmarkStart w:id="1685" w:name="Tc_Whx376QM4UmHd3YSB8dBUQ_17_0"/>
      <w:bookmarkStart w:id="1686" w:name="Tc_AtsPkGyFG0-bWVp3NwKJeg_16_0"/>
      <w:bookmarkStart w:id="1687" w:name="Tc_EQx27L7pCUmeznuO3vOnyg_15_11"/>
      <w:bookmarkStart w:id="1688" w:name="Tc_GhsqW2rM90qNhxqc7mLinw_15_8"/>
      <w:bookmarkStart w:id="1689" w:name="Tc_agR7ndKDB0CLXeuRIk37Yg_15_5"/>
      <w:bookmarkStart w:id="1690" w:name="Tc_aI3xukCzFU6oL0YnR20wxQ_15_2"/>
      <w:bookmarkStart w:id="1691" w:name="Tc_P6CyhYMkOUK2w7lqkylYGA_15_0"/>
      <w:bookmarkStart w:id="1692" w:name="Tc_Y_iCxwe_sESMCe0RQ-NqtA_14_0"/>
      <w:bookmarkStart w:id="1693" w:name="Tc_lvrP57R0x0OwAspJSxXg2g_12_11"/>
      <w:bookmarkStart w:id="1694" w:name="Tc_zsMulsDrHkSi2BZws10D2A_12_8"/>
      <w:bookmarkStart w:id="1695" w:name="Tc_nhvY6fuzhUyvClMSSSJx2Q_12_5"/>
      <w:bookmarkStart w:id="1696" w:name="Tc_i3gDBjgESES4L-0fzLrl6A_12_2"/>
      <w:bookmarkStart w:id="1697" w:name="Tc_kevS7QvglUK6KfngiRLoXw_12_0"/>
      <w:bookmarkStart w:id="1698" w:name="Tc_5yUnpol5ekyDt5bxgd47-Q_11_9"/>
      <w:bookmarkStart w:id="1699" w:name="Tc_JjvIMsguOkKnelhskvnk2Q_11_3"/>
      <w:bookmarkStart w:id="1700" w:name="Tc_ZjbZTdGYcU-93RJG66gdDg_11_0"/>
      <w:bookmarkStart w:id="1701" w:name="Tc_Us96UNLqSEW9pxbc1HVfmw_10_0"/>
      <w:bookmarkStart w:id="1702" w:name="Tc_zMUcgrAcd0eJokkoUpZRkw_9_0"/>
      <w:bookmarkStart w:id="1703" w:name="Tc_Eq4FS8CKO0ajwYh5D1vX_Q_8_0"/>
      <w:bookmarkStart w:id="1704" w:name="Tc_uzcW1tWfokqwK-8rTg4t1Q_7_0"/>
      <w:bookmarkStart w:id="1705" w:name="Tc_XHAvyYmnj0i9QJQspIHMRw_6_0"/>
      <w:bookmarkStart w:id="1706" w:name="Tc_N4a7hzMy7EKY8fivi9gvrQ_5_0"/>
      <w:bookmarkStart w:id="1707" w:name="Tc_jJxSiJJEI02Q31ng5sipZg_4_0"/>
      <w:bookmarkStart w:id="1708" w:name="Tc_0fzhkYFctEuWlWF_j0T_GA_3_0"/>
      <w:bookmarkStart w:id="1709" w:name="Tc_cmNmj_3gE06XxlBF6_t1rw_2_11"/>
      <w:bookmarkStart w:id="1710" w:name="Tc_YQ1CPSlea0ypDZ19avcQ_g_2_8"/>
      <w:bookmarkStart w:id="1711" w:name="Tc_WzhBioTxMEe1KpYwNzZFiA_2_5"/>
      <w:bookmarkStart w:id="1712" w:name="Tc_PQ37vGIlzkeHTHj-hiMrVA_2_2"/>
      <w:bookmarkStart w:id="1713" w:name="Tc_ISM8eiDbS02iwINUn7Tn3g_2_0"/>
      <w:bookmarkStart w:id="1714" w:name="Tc_pQA_i_uReUq3cneDlja4Mw_1_11"/>
      <w:bookmarkStart w:id="1715" w:name="Tc_NP4PiKSEyEKykMbB1QzwNw_1_8"/>
      <w:bookmarkStart w:id="1716" w:name="Tc_wXkx1KbbAkG9tfEvJSV2lA_1_5"/>
      <w:bookmarkStart w:id="1717" w:name="Tc_tl4Zv9IcxUWrd-jX0XO3Bg_1_2"/>
      <w:bookmarkStart w:id="1718" w:name="Tc_QMg1UINUTU-8D-I7yY98UA_1_0"/>
      <w:bookmarkStart w:id="1719" w:name="_28b21def_c64e_419b_9475_3e21586523d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r>
        <w:rPr>
          <w:rFonts w:ascii="Times New Roman;Times;serif" w:hAnsi="Times New Roman;Times;serif"/>
          <w:sz w:val="20"/>
        </w:rPr>
        <w:t>The following tables present the fair value of the Company’s financial assets and liabilities that are recorded at fair value on a recurring basis, segregated among the appropriate levels within the fair value hierarchy at:</w:t>
      </w:r>
    </w:p>
    <w:p>
      <w:pPr>
        <w:pStyle w:val="TextBody"/>
        <w:bidi w:val="0"/>
        <w:spacing w:before="0" w:after="0"/>
        <w:ind w:left="0" w:right="0" w:firstLine="720"/>
        <w:jc w:val="both"/>
        <w:rPr/>
      </w:pPr>
      <w:r>
        <w:rPr/>
        <w:t>​</w:t>
      </w:r>
    </w:p>
    <w:tbl>
      <w:tblPr>
        <w:tblW w:w="8467" w:type="dxa"/>
        <w:jc w:val="left"/>
        <w:tblInd w:w="0" w:type="dxa"/>
        <w:tblLayout w:type="fixed"/>
        <w:tblCellMar>
          <w:top w:w="0" w:type="dxa"/>
          <w:left w:w="0" w:type="dxa"/>
          <w:bottom w:w="0" w:type="dxa"/>
          <w:right w:w="0" w:type="dxa"/>
        </w:tblCellMar>
      </w:tblPr>
      <w:tblGrid>
        <w:gridCol w:w="2911"/>
        <w:gridCol w:w="326"/>
        <w:gridCol w:w="211"/>
        <w:gridCol w:w="931"/>
        <w:gridCol w:w="326"/>
        <w:gridCol w:w="211"/>
        <w:gridCol w:w="931"/>
        <w:gridCol w:w="326"/>
        <w:gridCol w:w="273"/>
        <w:gridCol w:w="448"/>
        <w:gridCol w:w="326"/>
        <w:gridCol w:w="211"/>
        <w:gridCol w:w="1036"/>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91185" cy="175260"/>
                      <wp:effectExtent l="0" t="0" r="0" b="0"/>
                      <wp:wrapNone/>
                      <wp:docPr id="237" name="Frame2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91185" cy="175260"/>
                      <wp:effectExtent l="0" t="0" r="0" b="0"/>
                      <wp:wrapNone/>
                      <wp:docPr id="240" name="Frame2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73355" cy="175260"/>
                      <wp:effectExtent l="0" t="0" r="0" b="0"/>
                      <wp:wrapNone/>
                      <wp:docPr id="242" name="Frame242"/>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84480" cy="175260"/>
                      <wp:effectExtent l="0" t="0" r="0" b="0"/>
                      <wp:wrapNone/>
                      <wp:docPr id="243" name="Frame243"/>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57860" cy="175260"/>
                      <wp:effectExtent l="0" t="0" r="0" b="0"/>
                      <wp:wrapNone/>
                      <wp:docPr id="246" name="Frame24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30, 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center"/>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983,999</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588,799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588,799</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53,784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53,784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270,000</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270,000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243,580</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243,580</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29,833</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29,833</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190,712</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190,712</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treasuries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702,530</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702,530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3,434</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1,572,798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1,494,568</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3,067,366</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included 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1,572,798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201,051</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1,773,849</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1,236,752</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1,236,752</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4,887</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52,636</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52,636</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1,572,798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1,494,568</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3,067,366</w:t>
            </w:r>
          </w:p>
        </w:tc>
      </w:tr>
    </w:tbl>
    <w:p>
      <w:pPr>
        <w:pStyle w:val="TextBody"/>
        <w:bidi w:val="0"/>
        <w:spacing w:before="0" w:after="0"/>
        <w:ind w:left="0" w:right="0" w:firstLine="720"/>
        <w:jc w:val="both"/>
        <w:rPr/>
      </w:pPr>
      <w:r>
        <w:rPr/>
        <w:t>​</w:t>
      </w:r>
    </w:p>
    <w:tbl>
      <w:tblPr>
        <w:tblW w:w="8467" w:type="dxa"/>
        <w:jc w:val="left"/>
        <w:tblInd w:w="0" w:type="dxa"/>
        <w:tblLayout w:type="fixed"/>
        <w:tblCellMar>
          <w:top w:w="0" w:type="dxa"/>
          <w:left w:w="0" w:type="dxa"/>
          <w:bottom w:w="0" w:type="dxa"/>
          <w:right w:w="0" w:type="dxa"/>
        </w:tblCellMar>
      </w:tblPr>
      <w:tblGrid>
        <w:gridCol w:w="2911"/>
        <w:gridCol w:w="326"/>
        <w:gridCol w:w="211"/>
        <w:gridCol w:w="931"/>
        <w:gridCol w:w="326"/>
        <w:gridCol w:w="211"/>
        <w:gridCol w:w="931"/>
        <w:gridCol w:w="326"/>
        <w:gridCol w:w="273"/>
        <w:gridCol w:w="448"/>
        <w:gridCol w:w="326"/>
        <w:gridCol w:w="211"/>
        <w:gridCol w:w="1036"/>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91185" cy="175260"/>
                      <wp:effectExtent l="0" t="0" r="0" b="0"/>
                      <wp:wrapNone/>
                      <wp:docPr id="249" name="Frame24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91185" cy="175260"/>
                      <wp:effectExtent l="0" t="0" r="0" b="0"/>
                      <wp:wrapNone/>
                      <wp:docPr id="252" name="Frame25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73355" cy="175260"/>
                      <wp:effectExtent l="0" t="0" r="0" b="0"/>
                      <wp:wrapNone/>
                      <wp:docPr id="254" name="Frame254"/>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84480" cy="175260"/>
                      <wp:effectExtent l="0" t="0" r="0" b="0"/>
                      <wp:wrapNone/>
                      <wp:docPr id="255" name="Frame255"/>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57860" cy="175260"/>
                      <wp:effectExtent l="0" t="0" r="0" b="0"/>
                      <wp:wrapNone/>
                      <wp:docPr id="258" name="Frame25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2022</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1,132,509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1,132,509</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121,444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225,067</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225,067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rate demand notes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6,266</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6,266</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213,798</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213,798</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113,357</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113,357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908,379</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908,379</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(3,733)</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(3,733)</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1,253,953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1,473,212</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2,727,165</w:t>
            </w:r>
          </w:p>
        </w:tc>
      </w:tr>
      <w:tr>
        <w:trPr/>
        <w:tc>
          <w:tcPr>
            <w:tcW w:w="29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included 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1,253,953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53,188</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1,307,141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1,362,314</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1,362,314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61,443</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61,443</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(4,698)</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1,253,953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1,473,212</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2,727,165</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All of the Company’s short-term and long-term investments are classified within Level 1 or Level 2 of the fair value hierarchy. 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three- and nine-months ended September 30, 2023, or during the year-ended December 31, 2022, and there were no changes in the Company’s valuation techniques.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20" w:name="Tc_T4Z_BuNSNUSP7Rq0nTYF0A_5_8"/>
      <w:bookmarkStart w:id="1721" w:name="Tc_O5ryaprGTEu4r7NHUG0q7g_5_7"/>
      <w:bookmarkStart w:id="1722" w:name="Tc_tpPG4THElk2Uo4fGEs26Jg_5_2"/>
      <w:bookmarkStart w:id="1723" w:name="Tc_yj1YFbqgFkGU59duOhE11A_5_0"/>
      <w:bookmarkStart w:id="1724" w:name="Tc_iKb9UBO53UmQmu3uLIrQPw_4_7"/>
      <w:bookmarkStart w:id="1725" w:name="Tc_AZoRR11MKEaa1ytl-TN1IQ_4_5"/>
      <w:bookmarkStart w:id="1726" w:name="Tc_izK6zC_l9kqxYPHXqmN6ig_4_2"/>
      <w:bookmarkStart w:id="1727" w:name="Tc_rHuhV5ms2UyflEFR5mc7bA_4_0"/>
      <w:bookmarkStart w:id="1728" w:name="Tc_8C_DFSwudEGR8IVge4iLYA_3_7"/>
      <w:bookmarkStart w:id="1729" w:name="Tc_wC8a2L-hX0iTNAWCBUtZ5A_3_5"/>
      <w:bookmarkStart w:id="1730" w:name="Tc_RgFrcM2nFU-icWNLveUEbw_3_2"/>
      <w:bookmarkStart w:id="1731" w:name="Tc_ld2Wy0Gpa0eda4fpOsk6SQ_3_0"/>
      <w:bookmarkStart w:id="1732" w:name="Tc_8fS17jXk8EC-EGU97CgZ2A_2_7"/>
      <w:bookmarkStart w:id="1733" w:name="Tc_vEO6RQiD_kWYENjwAbJNoA_2_0"/>
      <w:bookmarkStart w:id="1734" w:name="Tc_24Ohdvw6RE6z8kcul_ge1g_1_0"/>
      <w:bookmarkStart w:id="1735" w:name="_52df4528_3cf7_4d45_a053_4f03c632f5c0"/>
      <w:bookmarkStart w:id="1736" w:name="Tc_zRPKPXkT10S_Wh0GQVAduA_5_8"/>
      <w:bookmarkStart w:id="1737" w:name="Tc_ojK8xAG9VUSYT3Wkeqdl9g_5_7"/>
      <w:bookmarkStart w:id="1738" w:name="Tc_lOvCMPotxE--WDkOdUVvfA_5_2"/>
      <w:bookmarkStart w:id="1739" w:name="Tc_cnRQdeUbzEi8N6aAUY4uVw_5_0"/>
      <w:bookmarkStart w:id="1740" w:name="Tc_ZQqh9NB3SUifiDO6-ZOEbA_4_7"/>
      <w:bookmarkStart w:id="1741" w:name="Tc_dq1179RLr0WOI3Z6qKcJGw_4_5"/>
      <w:bookmarkStart w:id="1742" w:name="Tc_jzH2CZXGKEyg01MMVMJoiQ_4_2"/>
      <w:bookmarkStart w:id="1743" w:name="Tc_-L7I08ABJ0yRXVFVFuO-OA_4_0"/>
      <w:bookmarkStart w:id="1744" w:name="Tc_GOW2W2xNuEO8r5F4P-P-Kw_3_7"/>
      <w:bookmarkStart w:id="1745" w:name="Tc_bBZtgvRHIU24DKWxow7hJA_3_5"/>
      <w:bookmarkStart w:id="1746" w:name="Tc_mAXxlJDX0UGnVSAK3ZVY0Q_3_2"/>
      <w:bookmarkStart w:id="1747" w:name="Tc_4vRgFj3N-Eychwpt9I8VIw_3_0"/>
      <w:bookmarkStart w:id="1748" w:name="Tc_rrfx70oQ3E2WyZ3hWAvoEg_2_7"/>
      <w:bookmarkStart w:id="1749" w:name="Tc_-ialLKzN8k2Cy3MJm88Fkg_2_0"/>
      <w:bookmarkStart w:id="1750" w:name="Tc_-rTk5DTBp0WV6NBQ2fmjuw_1_0"/>
      <w:bookmarkStart w:id="1751" w:name="_560133bd_5d71_4ecd_a182_7bfcd47d760d"/>
      <w:bookmarkStart w:id="1752" w:name="Tc_BlI3MD6T_keLETbJFhd63g_7_8"/>
      <w:bookmarkStart w:id="1753" w:name="Tc_uSQVSHi67Ey3gCCsSSb20Q_7_5"/>
      <w:bookmarkStart w:id="1754" w:name="Tc_xE94kHgy6E2tVLju0ONFvA_7_2"/>
      <w:bookmarkStart w:id="1755" w:name="Tc_f-muMpJROkSbRNR7-TGWiw_7_0"/>
      <w:bookmarkStart w:id="1756" w:name="Tc__dCdPrP1XkCvBDW9kpAnxQ_6_0"/>
      <w:bookmarkStart w:id="1757" w:name="Tc_6_ZXIbqMPkGyoxiCyDzFxQ_5_8"/>
      <w:bookmarkStart w:id="1758" w:name="Tc_aUsopQB4IEWY7xOrrldAVA_5_5"/>
      <w:bookmarkStart w:id="1759" w:name="Tc_56NRsBsxf0SU4A21B6u-EA_5_2"/>
      <w:bookmarkStart w:id="1760" w:name="Tc_ByE0Sz-dIEWTpULSuSl_jg_5_0"/>
      <w:bookmarkStart w:id="1761" w:name="Tc_ccTthx5-oES5DtzSS6o1pQ_4_0"/>
      <w:bookmarkStart w:id="1762" w:name="Tc_vmItltaWgEC0l81kP2Efeg_3_8"/>
      <w:bookmarkStart w:id="1763" w:name="Tc_NeRPEdtKEkWrnR_uQfqODQ_3_5"/>
      <w:bookmarkStart w:id="1764" w:name="Tc_IdWivxSDFkKX-sYoByksew_3_2"/>
      <w:bookmarkStart w:id="1765" w:name="Tc_ytFIpSpgvke2Ab5jmHJthA_3_0"/>
      <w:bookmarkStart w:id="1766" w:name="Tc_u2Sxiok0lE2-Uo0tFvrozw_2_5"/>
      <w:bookmarkStart w:id="1767" w:name="Tc_r7v7k75JtEGCrs4g9d_N_g_2_2"/>
      <w:bookmarkStart w:id="1768" w:name="Tc_aXFWELf7nkaulkQzCx3BWg_1_2"/>
      <w:bookmarkStart w:id="1769" w:name="_86f40383_d357_4a7a_a748_ee514a6f861a"/>
      <w:bookmarkStart w:id="1770" w:name="Tc_faCsIAsF60a9PI28-SvGTQ_8_8"/>
      <w:bookmarkStart w:id="1771" w:name="Tc_t1StVDjDn0yN3dnNyD7Eig_8_6"/>
      <w:bookmarkStart w:id="1772" w:name="Tc_C4tQO0jjR02CmM1B_DEu-w_8_5"/>
      <w:bookmarkStart w:id="1773" w:name="Tc_fyiGYAkQ6UWWsO6n_GLycw_8_2"/>
      <w:bookmarkStart w:id="1774" w:name="Tc_Odzsg-HH2US-JOrlZMYZvg_8_0"/>
      <w:bookmarkStart w:id="1775" w:name="Tc_C2-Ctfpq1UWwPpASfF4uYQ_7_0"/>
      <w:bookmarkStart w:id="1776" w:name="Tc_5zKxA-Hb50exE8_TgkMTYA_6_8"/>
      <w:bookmarkStart w:id="1777" w:name="Tc_2aQX0QX0FkKFKBL-lO-Afg_6_6"/>
      <w:bookmarkStart w:id="1778" w:name="Tc_TN0CQ4nzIU6--TSyPYRPIg_6_5"/>
      <w:bookmarkStart w:id="1779" w:name="Tc_V3B1QRd8P0imGukfYDt09g_6_2"/>
      <w:bookmarkStart w:id="1780" w:name="Tc_3z0DeUmZSEGnN40_5bATwA_6_0"/>
      <w:bookmarkStart w:id="1781" w:name="Tc_kmSyYSUXR06HvmUJuFgWqw_5_8"/>
      <w:bookmarkStart w:id="1782" w:name="Tc_lhX5Ssk3BEKopathNaaPiA_5_6"/>
      <w:bookmarkStart w:id="1783" w:name="Tc_bBZJFUgxAkuH5q1lUO2dpw_5_5"/>
      <w:bookmarkStart w:id="1784" w:name="Tc_FBtLiYkiNkOcoak1dljgog_5_2"/>
      <w:bookmarkStart w:id="1785" w:name="Tc_SESaug_l0EqrwXrZ7kcHcA_5_0"/>
      <w:bookmarkStart w:id="1786" w:name="Tc_U28AulLs4EGGdBT945uV2Q_4_0"/>
      <w:bookmarkStart w:id="1787" w:name="Tc_fBU1FO5eDEWrIqGECOZmfg_3_8"/>
      <w:bookmarkStart w:id="1788" w:name="Tc__Pz7DEDvNkmGewQ7lMj4Hw_3_5"/>
      <w:bookmarkStart w:id="1789" w:name="Tc_x20ab9ddYUecqqyOQ3bJXQ_3_2"/>
      <w:bookmarkStart w:id="1790" w:name="Tc_wxkzoH1jrkGox0TZ3ReM4Q_3_0"/>
      <w:bookmarkStart w:id="1791" w:name="Tc_NJbaCHje-E2QujHJBCesxA_2_5"/>
      <w:bookmarkStart w:id="1792" w:name="Tc_207ZN5bEj0isoY4JpNTawg_2_2"/>
      <w:bookmarkStart w:id="1793" w:name="Tc_a2E_trJwF0qCwjRkpqRedg_1_2"/>
      <w:bookmarkStart w:id="1794" w:name="_24f86da8_a04d_4dec_90cf_d63fdf23a6e0"/>
      <w:bookmarkStart w:id="1795" w:name="Tc_T4Z_BuNSNUSP7Rq0nTYF0A_5_8"/>
      <w:bookmarkStart w:id="1796" w:name="Tc_O5ryaprGTEu4r7NHUG0q7g_5_7"/>
      <w:bookmarkStart w:id="1797" w:name="Tc_tpPG4THElk2Uo4fGEs26Jg_5_2"/>
      <w:bookmarkStart w:id="1798" w:name="Tc_yj1YFbqgFkGU59duOhE11A_5_0"/>
      <w:bookmarkStart w:id="1799" w:name="Tc_iKb9UBO53UmQmu3uLIrQPw_4_7"/>
      <w:bookmarkStart w:id="1800" w:name="Tc_AZoRR11MKEaa1ytl-TN1IQ_4_5"/>
      <w:bookmarkStart w:id="1801" w:name="Tc_izK6zC_l9kqxYPHXqmN6ig_4_2"/>
      <w:bookmarkStart w:id="1802" w:name="Tc_rHuhV5ms2UyflEFR5mc7bA_4_0"/>
      <w:bookmarkStart w:id="1803" w:name="Tc_8C_DFSwudEGR8IVge4iLYA_3_7"/>
      <w:bookmarkStart w:id="1804" w:name="Tc_wC8a2L-hX0iTNAWCBUtZ5A_3_5"/>
      <w:bookmarkStart w:id="1805" w:name="Tc_RgFrcM2nFU-icWNLveUEbw_3_2"/>
      <w:bookmarkStart w:id="1806" w:name="Tc_ld2Wy0Gpa0eda4fpOsk6SQ_3_0"/>
      <w:bookmarkStart w:id="1807" w:name="Tc_8fS17jXk8EC-EGU97CgZ2A_2_7"/>
      <w:bookmarkStart w:id="1808" w:name="Tc_vEO6RQiD_kWYENjwAbJNoA_2_0"/>
      <w:bookmarkStart w:id="1809" w:name="Tc_24Ohdvw6RE6z8kcul_ge1g_1_0"/>
      <w:bookmarkStart w:id="1810" w:name="_52df4528_3cf7_4d45_a053_4f03c632f5c0"/>
      <w:bookmarkStart w:id="1811" w:name="Tc_zRPKPXkT10S_Wh0GQVAduA_5_8"/>
      <w:bookmarkStart w:id="1812" w:name="Tc_ojK8xAG9VUSYT3Wkeqdl9g_5_7"/>
      <w:bookmarkStart w:id="1813" w:name="Tc_lOvCMPotxE--WDkOdUVvfA_5_2"/>
      <w:bookmarkStart w:id="1814" w:name="Tc_cnRQdeUbzEi8N6aAUY4uVw_5_0"/>
      <w:bookmarkStart w:id="1815" w:name="Tc_ZQqh9NB3SUifiDO6-ZOEbA_4_7"/>
      <w:bookmarkStart w:id="1816" w:name="Tc_dq1179RLr0WOI3Z6qKcJGw_4_5"/>
      <w:bookmarkStart w:id="1817" w:name="Tc_jzH2CZXGKEyg01MMVMJoiQ_4_2"/>
      <w:bookmarkStart w:id="1818" w:name="Tc_-L7I08ABJ0yRXVFVFuO-OA_4_0"/>
      <w:bookmarkStart w:id="1819" w:name="Tc_GOW2W2xNuEO8r5F4P-P-Kw_3_7"/>
      <w:bookmarkStart w:id="1820" w:name="Tc_bBZtgvRHIU24DKWxow7hJA_3_5"/>
      <w:bookmarkStart w:id="1821" w:name="Tc_mAXxlJDX0UGnVSAK3ZVY0Q_3_2"/>
      <w:bookmarkStart w:id="1822" w:name="Tc_4vRgFj3N-Eychwpt9I8VIw_3_0"/>
      <w:bookmarkStart w:id="1823" w:name="Tc_rrfx70oQ3E2WyZ3hWAvoEg_2_7"/>
      <w:bookmarkStart w:id="1824" w:name="Tc_-ialLKzN8k2Cy3MJm88Fkg_2_0"/>
      <w:bookmarkStart w:id="1825" w:name="Tc_-rTk5DTBp0WV6NBQ2fmjuw_1_0"/>
      <w:bookmarkStart w:id="1826" w:name="_560133bd_5d71_4ecd_a182_7bfcd47d760d"/>
      <w:bookmarkStart w:id="1827" w:name="Tc_BlI3MD6T_keLETbJFhd63g_7_8"/>
      <w:bookmarkStart w:id="1828" w:name="Tc_uSQVSHi67Ey3gCCsSSb20Q_7_5"/>
      <w:bookmarkStart w:id="1829" w:name="Tc_xE94kHgy6E2tVLju0ONFvA_7_2"/>
      <w:bookmarkStart w:id="1830" w:name="Tc_f-muMpJROkSbRNR7-TGWiw_7_0"/>
      <w:bookmarkStart w:id="1831" w:name="Tc__dCdPrP1XkCvBDW9kpAnxQ_6_0"/>
      <w:bookmarkStart w:id="1832" w:name="Tc_6_ZXIbqMPkGyoxiCyDzFxQ_5_8"/>
      <w:bookmarkStart w:id="1833" w:name="Tc_aUsopQB4IEWY7xOrrldAVA_5_5"/>
      <w:bookmarkStart w:id="1834" w:name="Tc_56NRsBsxf0SU4A21B6u-EA_5_2"/>
      <w:bookmarkStart w:id="1835" w:name="Tc_ByE0Sz-dIEWTpULSuSl_jg_5_0"/>
      <w:bookmarkStart w:id="1836" w:name="Tc_ccTthx5-oES5DtzSS6o1pQ_4_0"/>
      <w:bookmarkStart w:id="1837" w:name="Tc_vmItltaWgEC0l81kP2Efeg_3_8"/>
      <w:bookmarkStart w:id="1838" w:name="Tc_NeRPEdtKEkWrnR_uQfqODQ_3_5"/>
      <w:bookmarkStart w:id="1839" w:name="Tc_IdWivxSDFkKX-sYoByksew_3_2"/>
      <w:bookmarkStart w:id="1840" w:name="Tc_ytFIpSpgvke2Ab5jmHJthA_3_0"/>
      <w:bookmarkStart w:id="1841" w:name="Tc_u2Sxiok0lE2-Uo0tFvrozw_2_5"/>
      <w:bookmarkStart w:id="1842" w:name="Tc_r7v7k75JtEGCrs4g9d_N_g_2_2"/>
      <w:bookmarkStart w:id="1843" w:name="Tc_aXFWELf7nkaulkQzCx3BWg_1_2"/>
      <w:bookmarkStart w:id="1844" w:name="_86f40383_d357_4a7a_a748_ee514a6f861a"/>
      <w:bookmarkStart w:id="1845" w:name="Tc_faCsIAsF60a9PI28-SvGTQ_8_8"/>
      <w:bookmarkStart w:id="1846" w:name="Tc_t1StVDjDn0yN3dnNyD7Eig_8_6"/>
      <w:bookmarkStart w:id="1847" w:name="Tc_C4tQO0jjR02CmM1B_DEu-w_8_5"/>
      <w:bookmarkStart w:id="1848" w:name="Tc_fyiGYAkQ6UWWsO6n_GLycw_8_2"/>
      <w:bookmarkStart w:id="1849" w:name="Tc_Odzsg-HH2US-JOrlZMYZvg_8_0"/>
      <w:bookmarkStart w:id="1850" w:name="Tc_C2-Ctfpq1UWwPpASfF4uYQ_7_0"/>
      <w:bookmarkStart w:id="1851" w:name="Tc_5zKxA-Hb50exE8_TgkMTYA_6_8"/>
      <w:bookmarkStart w:id="1852" w:name="Tc_2aQX0QX0FkKFKBL-lO-Afg_6_6"/>
      <w:bookmarkStart w:id="1853" w:name="Tc_TN0CQ4nzIU6--TSyPYRPIg_6_5"/>
      <w:bookmarkStart w:id="1854" w:name="Tc_V3B1QRd8P0imGukfYDt09g_6_2"/>
      <w:bookmarkStart w:id="1855" w:name="Tc_3z0DeUmZSEGnN40_5bATwA_6_0"/>
      <w:bookmarkStart w:id="1856" w:name="Tc_kmSyYSUXR06HvmUJuFgWqw_5_8"/>
      <w:bookmarkStart w:id="1857" w:name="Tc_lhX5Ssk3BEKopathNaaPiA_5_6"/>
      <w:bookmarkStart w:id="1858" w:name="Tc_bBZJFUgxAkuH5q1lUO2dpw_5_5"/>
      <w:bookmarkStart w:id="1859" w:name="Tc_FBtLiYkiNkOcoak1dljgog_5_2"/>
      <w:bookmarkStart w:id="1860" w:name="Tc_SESaug_l0EqrwXrZ7kcHcA_5_0"/>
      <w:bookmarkStart w:id="1861" w:name="Tc_U28AulLs4EGGdBT945uV2Q_4_0"/>
      <w:bookmarkStart w:id="1862" w:name="Tc_fBU1FO5eDEWrIqGECOZmfg_3_8"/>
      <w:bookmarkStart w:id="1863" w:name="Tc__Pz7DEDvNkmGewQ7lMj4Hw_3_5"/>
      <w:bookmarkStart w:id="1864" w:name="Tc_x20ab9ddYUecqqyOQ3bJXQ_3_2"/>
      <w:bookmarkStart w:id="1865" w:name="Tc_wxkzoH1jrkGox0TZ3ReM4Q_3_0"/>
      <w:bookmarkStart w:id="1866" w:name="Tc_NJbaCHje-E2QujHJBCesxA_2_5"/>
      <w:bookmarkStart w:id="1867" w:name="Tc_207ZN5bEj0isoY4JpNTawg_2_2"/>
      <w:bookmarkStart w:id="1868" w:name="Tc_a2E_trJwF0qCwjRkpqRedg_1_2"/>
      <w:bookmarkStart w:id="1869" w:name="_24f86da8_a04d_4dec_90cf_d63fdf23a6e0"/>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p>
    <w:tbl>
      <w:tblPr>
        <w:tblW w:w="5417" w:type="dxa"/>
        <w:jc w:val="left"/>
        <w:tblInd w:w="0" w:type="dxa"/>
        <w:tblLayout w:type="fixed"/>
        <w:tblCellMar>
          <w:top w:w="0" w:type="dxa"/>
          <w:left w:w="0" w:type="dxa"/>
          <w:bottom w:w="0" w:type="dxa"/>
          <w:right w:w="0" w:type="dxa"/>
        </w:tblCellMar>
      </w:tblPr>
      <w:tblGrid>
        <w:gridCol w:w="271"/>
        <w:gridCol w:w="5146"/>
      </w:tblGrid>
      <w:tr>
        <w:trPr/>
        <w:tc>
          <w:tcPr>
            <w:tcW w:w="2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w:t>
            </w:r>
          </w:p>
        </w:tc>
        <w:tc>
          <w:tcPr>
            <w:tcW w:w="51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DERIVATIVE INSTRUMENTS AND HEDGING ACTIVITIES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accounts for its derivative instruments and hedging activities under ASC 815, “Derivatives and Hedging.” The following table presents the fair values of the Company’s derivative instruments:</w:t>
      </w:r>
    </w:p>
    <w:p>
      <w:pPr>
        <w:pStyle w:val="TextBody"/>
        <w:bidi w:val="0"/>
        <w:spacing w:before="0" w:after="0"/>
        <w:ind w:left="0" w:right="0" w:hanging="0"/>
        <w:jc w:val="left"/>
        <w:rPr/>
      </w:pPr>
      <w:r>
        <w:rPr/>
        <w:t>​</w:t>
      </w:r>
    </w:p>
    <w:tbl>
      <w:tblPr>
        <w:tblW w:w="9500" w:type="dxa"/>
        <w:jc w:val="left"/>
        <w:tblInd w:w="0" w:type="dxa"/>
        <w:tblLayout w:type="fixed"/>
        <w:tblCellMar>
          <w:top w:w="0" w:type="dxa"/>
          <w:left w:w="0" w:type="dxa"/>
          <w:bottom w:w="0" w:type="dxa"/>
          <w:right w:w="0" w:type="dxa"/>
        </w:tblCellMar>
      </w:tblPr>
      <w:tblGrid>
        <w:gridCol w:w="3901"/>
        <w:gridCol w:w="326"/>
        <w:gridCol w:w="340"/>
        <w:gridCol w:w="920"/>
        <w:gridCol w:w="326"/>
        <w:gridCol w:w="460"/>
        <w:gridCol w:w="755"/>
        <w:gridCol w:w="326"/>
        <w:gridCol w:w="2146"/>
      </w:tblGrid>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5900" cy="175260"/>
                      <wp:effectExtent l="0" t="0" r="0" b="0"/>
                      <wp:wrapNone/>
                      <wp:docPr id="260" name="Frame260"/>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84200" cy="175260"/>
                      <wp:effectExtent l="0" t="0" r="0" b="0"/>
                      <wp:wrapNone/>
                      <wp:docPr id="261" name="Frame261"/>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92100" cy="175260"/>
                      <wp:effectExtent l="0" t="0" r="0" b="0"/>
                      <wp:wrapNone/>
                      <wp:docPr id="263" name="Frame263"/>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79425" cy="175260"/>
                      <wp:effectExtent l="0" t="0" r="0" b="0"/>
                      <wp:wrapNone/>
                      <wp:docPr id="264" name="Frame264"/>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62710" cy="175260"/>
                      <wp:effectExtent l="0" t="0" r="0" b="0"/>
                      <wp:wrapNone/>
                      <wp:docPr id="266" name="Frame266"/>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8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326" w:type="dxa"/>
            <w:tcBorders/>
            <w:vAlign w:val="center"/>
          </w:tcPr>
          <w:p>
            <w:pPr>
              <w:pStyle w:val="TableContents"/>
              <w:bidi w:val="0"/>
              <w:spacing w:before="0" w:after="0"/>
              <w:ind w:left="0" w:right="0" w:hanging="0"/>
              <w:jc w:val="center"/>
              <w:rPr/>
            </w:pPr>
            <w:r>
              <w:rPr/>
              <w:t>    </w:t>
            </w:r>
          </w:p>
        </w:tc>
        <w:tc>
          <w:tcPr>
            <w:tcW w:w="2146" w:type="dxa"/>
            <w:tcBorders/>
            <w:vAlign w:val="center"/>
          </w:tcPr>
          <w:p>
            <w:pPr>
              <w:pStyle w:val="TableContents"/>
              <w:bidi w:val="0"/>
              <w:spacing w:before="0" w:after="0"/>
              <w:ind w:left="0" w:right="0" w:hanging="0"/>
              <w:jc w:val="center"/>
              <w:rPr/>
            </w:pPr>
            <w:r>
              <w:rPr/>
              <w:t>    </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w:t>
            </w:r>
          </w:p>
        </w:tc>
        <w:tc>
          <w:tcPr>
            <w:tcW w:w="326" w:type="dxa"/>
            <w:tcBorders/>
            <w:vAlign w:val="center"/>
          </w:tcPr>
          <w:p>
            <w:pPr>
              <w:pStyle w:val="TableContents"/>
              <w:bidi w:val="0"/>
              <w:spacing w:before="0" w:after="0"/>
              <w:ind w:left="0" w:right="0" w:hanging="0"/>
              <w:jc w:val="center"/>
              <w:rPr/>
            </w:pPr>
            <w:r>
              <w:rPr/>
              <w:t>    </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w:t>
            </w:r>
          </w:p>
        </w:tc>
        <w:tc>
          <w:tcPr>
            <w:tcW w:w="326" w:type="dxa"/>
            <w:tcBorders/>
            <w:vAlign w:val="center"/>
          </w:tcPr>
          <w:p>
            <w:pPr>
              <w:pStyle w:val="TableContents"/>
              <w:bidi w:val="0"/>
              <w:spacing w:before="0" w:after="0"/>
              <w:ind w:left="0" w:right="0" w:hanging="0"/>
              <w:jc w:val="center"/>
              <w:rPr/>
            </w:pPr>
            <w:r>
              <w:rPr/>
              <w:t>    </w:t>
            </w:r>
          </w:p>
        </w:tc>
        <w:tc>
          <w:tcPr>
            <w:tcW w:w="2146" w:type="dxa"/>
            <w:tcBorders/>
            <w:vAlign w:val="center"/>
          </w:tcPr>
          <w:p>
            <w:pPr>
              <w:pStyle w:val="TableContents"/>
              <w:bidi w:val="0"/>
              <w:spacing w:before="0" w:after="0"/>
              <w:ind w:left="0" w:right="0" w:hanging="0"/>
              <w:jc w:val="center"/>
              <w:rPr/>
            </w:pPr>
            <w:r>
              <w:rPr/>
              <w:t>​</w:t>
            </w:r>
          </w:p>
        </w:tc>
      </w:tr>
      <w:tr>
        <w:trPr/>
        <w:tc>
          <w:tcPr>
            <w:tcW w:w="3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designated as hedging instruments</w:t>
            </w:r>
          </w:p>
        </w:tc>
        <w:tc>
          <w:tcPr>
            <w:tcW w:w="326" w:type="dxa"/>
            <w:tcBorders/>
            <w:vAlign w:val="center"/>
          </w:tcPr>
          <w:p>
            <w:pPr>
              <w:pStyle w:val="TableContents"/>
              <w:bidi w:val="0"/>
              <w:spacing w:before="0" w:after="0"/>
              <w:ind w:left="0" w:right="0" w:hanging="0"/>
              <w:jc w:val="center"/>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center"/>
              <w:rPr/>
            </w:pPr>
            <w:r>
              <w:rPr/>
              <w:t>​</w:t>
            </w:r>
          </w:p>
        </w:tc>
        <w:tc>
          <w:tcPr>
            <w:tcW w:w="21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340"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46" w:type="dxa"/>
            <w:tcBorders/>
            <w:shd w:fill="CCEEFF" w:val="clear"/>
            <w:vAlign w:val="center"/>
          </w:tcPr>
          <w:p>
            <w:pPr>
              <w:pStyle w:val="TableContents"/>
              <w:bidi w:val="0"/>
              <w:spacing w:before="0" w:after="0"/>
              <w:ind w:left="0" w:right="0" w:hanging="0"/>
              <w:jc w:val="right"/>
              <w:rPr/>
            </w:pPr>
            <w:r>
              <w:rPr/>
              <w:t>  </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right"/>
              <w:rPr/>
            </w:pPr>
            <w:r>
              <w:rPr/>
              <w:t>  </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r>
    </w:tbl>
    <w:p>
      <w:pPr>
        <w:pStyle w:val="TextBody"/>
        <w:bidi w:val="0"/>
        <w:spacing w:before="0" w:after="0"/>
        <w:ind w:left="0" w:right="0" w:hanging="0"/>
        <w:jc w:val="left"/>
        <w:rPr/>
      </w:pPr>
      <w:r>
        <w:rPr/>
        <w:t>​</w:t>
      </w:r>
    </w:p>
    <w:tbl>
      <w:tblPr>
        <w:tblW w:w="9815" w:type="dxa"/>
        <w:jc w:val="left"/>
        <w:tblInd w:w="0" w:type="dxa"/>
        <w:tblLayout w:type="fixed"/>
        <w:tblCellMar>
          <w:top w:w="0" w:type="dxa"/>
          <w:left w:w="0" w:type="dxa"/>
          <w:bottom w:w="0" w:type="dxa"/>
          <w:right w:w="0" w:type="dxa"/>
        </w:tblCellMar>
      </w:tblPr>
      <w:tblGrid>
        <w:gridCol w:w="4216"/>
        <w:gridCol w:w="326"/>
        <w:gridCol w:w="340"/>
        <w:gridCol w:w="920"/>
        <w:gridCol w:w="326"/>
        <w:gridCol w:w="304"/>
        <w:gridCol w:w="911"/>
        <w:gridCol w:w="326"/>
        <w:gridCol w:w="2146"/>
      </w:tblGrid>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5900" cy="175260"/>
                      <wp:effectExtent l="0" t="0" r="0" b="0"/>
                      <wp:wrapNone/>
                      <wp:docPr id="268" name="Frame268"/>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84200" cy="175260"/>
                      <wp:effectExtent l="0" t="0" r="0" b="0"/>
                      <wp:wrapNone/>
                      <wp:docPr id="269" name="Frame269"/>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93040" cy="175260"/>
                      <wp:effectExtent l="0" t="0" r="0" b="0"/>
                      <wp:wrapNone/>
                      <wp:docPr id="271" name="Frame271"/>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78485" cy="175260"/>
                      <wp:effectExtent l="0" t="0" r="0" b="0"/>
                      <wp:wrapNone/>
                      <wp:docPr id="272" name="Frame272"/>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62710" cy="175260"/>
                      <wp:effectExtent l="0" t="0" r="0" b="0"/>
                      <wp:wrapNone/>
                      <wp:docPr id="274" name="Frame274"/>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8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326" w:type="dxa"/>
            <w:tcBorders/>
            <w:vAlign w:val="center"/>
          </w:tcPr>
          <w:p>
            <w:pPr>
              <w:pStyle w:val="TableContents"/>
              <w:bidi w:val="0"/>
              <w:spacing w:before="0" w:after="0"/>
              <w:ind w:left="0" w:right="0" w:hanging="0"/>
              <w:jc w:val="center"/>
              <w:rPr/>
            </w:pPr>
            <w:r>
              <w:rPr/>
              <w:t>    </w:t>
            </w:r>
          </w:p>
        </w:tc>
        <w:tc>
          <w:tcPr>
            <w:tcW w:w="2146" w:type="dxa"/>
            <w:tcBorders/>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w:t>
            </w:r>
          </w:p>
        </w:tc>
        <w:tc>
          <w:tcPr>
            <w:tcW w:w="326" w:type="dxa"/>
            <w:tcBorders/>
            <w:vAlign w:val="center"/>
          </w:tcPr>
          <w:p>
            <w:pPr>
              <w:pStyle w:val="TableContents"/>
              <w:bidi w:val="0"/>
              <w:spacing w:before="0" w:after="0"/>
              <w:ind w:left="0" w:right="0" w:hanging="0"/>
              <w:jc w:val="center"/>
              <w:rPr/>
            </w:pPr>
            <w:r>
              <w:rPr/>
              <w:t>    </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w:t>
            </w:r>
          </w:p>
        </w:tc>
        <w:tc>
          <w:tcPr>
            <w:tcW w:w="326" w:type="dxa"/>
            <w:tcBorders/>
            <w:vAlign w:val="center"/>
          </w:tcPr>
          <w:p>
            <w:pPr>
              <w:pStyle w:val="TableContents"/>
              <w:bidi w:val="0"/>
              <w:spacing w:before="0" w:after="0"/>
              <w:ind w:left="0" w:right="0" w:hanging="0"/>
              <w:jc w:val="center"/>
              <w:rPr/>
            </w:pPr>
            <w:r>
              <w:rPr/>
              <w:t>    </w:t>
            </w:r>
          </w:p>
        </w:tc>
        <w:tc>
          <w:tcPr>
            <w:tcW w:w="2146" w:type="dxa"/>
            <w:tcBorders/>
            <w:vAlign w:val="center"/>
          </w:tcPr>
          <w:p>
            <w:pPr>
              <w:pStyle w:val="TableContents"/>
              <w:bidi w:val="0"/>
              <w:spacing w:before="0" w:after="0"/>
              <w:ind w:left="0" w:right="0" w:hanging="0"/>
              <w:jc w:val="center"/>
              <w:rPr/>
            </w:pPr>
            <w:r>
              <w:rPr/>
              <w:t>​</w:t>
            </w:r>
          </w:p>
        </w:tc>
      </w:tr>
      <w:tr>
        <w:trPr/>
        <w:tc>
          <w:tcPr>
            <w:tcW w:w="4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not designated as hedging instruments</w:t>
            </w:r>
          </w:p>
        </w:tc>
        <w:tc>
          <w:tcPr>
            <w:tcW w:w="326" w:type="dxa"/>
            <w:tcBorders/>
            <w:vAlign w:val="center"/>
          </w:tcPr>
          <w:p>
            <w:pPr>
              <w:pStyle w:val="TableContents"/>
              <w:bidi w:val="0"/>
              <w:spacing w:before="0" w:after="0"/>
              <w:ind w:left="0" w:right="0" w:hanging="0"/>
              <w:jc w:val="center"/>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center"/>
              <w:rPr/>
            </w:pPr>
            <w:r>
              <w:rPr/>
              <w:t>​</w:t>
            </w:r>
          </w:p>
        </w:tc>
        <w:tc>
          <w:tcPr>
            <w:tcW w:w="21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340"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46" w:type="dxa"/>
            <w:tcBorders/>
            <w:shd w:fill="CCEEFF" w:val="clear"/>
            <w:vAlign w:val="center"/>
          </w:tcPr>
          <w:p>
            <w:pPr>
              <w:pStyle w:val="TableContents"/>
              <w:bidi w:val="0"/>
              <w:spacing w:before="0" w:after="0"/>
              <w:ind w:left="0" w:right="0" w:hanging="0"/>
              <w:jc w:val="right"/>
              <w:rPr/>
            </w:pPr>
            <w:r>
              <w:rPr/>
              <w:t>  </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326"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 </w:t>
            </w:r>
          </w:p>
        </w:tc>
        <w:tc>
          <w:tcPr>
            <w:tcW w:w="9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46" w:type="dxa"/>
            <w:tcBorders/>
            <w:shd w:fill="CCEEFF" w:val="clear"/>
            <w:vAlign w:val="center"/>
          </w:tcPr>
          <w:p>
            <w:pPr>
              <w:pStyle w:val="TableContents"/>
              <w:bidi w:val="0"/>
              <w:spacing w:before="0" w:after="0"/>
              <w:ind w:left="0" w:right="0" w:hanging="0"/>
              <w:jc w:val="right"/>
              <w:rPr/>
            </w:pPr>
            <w:r>
              <w:rPr/>
              <w:t>  </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(4,698)</w:t>
            </w:r>
          </w:p>
        </w:tc>
        <w:tc>
          <w:tcPr>
            <w:tcW w:w="326"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Cash Flow Hedging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uses cash flow hedges to minimize the variability in cash flows of forecasted transactions caused by fluctuations in commodity prices. The changes in the fair values of derivatives designated as cash flow hedges are recorded in accumulated other comprehensive income (loss) (“AOCI”) and are reclassified into the line item in our condensed consolidated statement of income in which the hedged items are recorded in the same period that the hedged items affect earnings. The changes in the fair values of hedges that are determined to be ineffective are immediately reclassified from AOCI into earnings. The maximum length of time for which the Company hedges its exposure to the variability in future cash flows is currently less than two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entered into commodity hedge contracts to mitigate the price risk associated with a portion of its forecasted aluminum purchases. These derivative instruments were designated as part of the Company’s commodity cash flow hedging program. The objective of this hedging program is to reduce the variability of cash flows associated with future purchases of aluminum. The total notional values of derivatives that were designated and qualified for this program were $83.8 million as of September 30, 2023. Transactions under the commodity cash flow hedging program were executed beginning in May 2023.</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the impact that changes in the fair values of derivatives designated as cash flow hedges had on other comprehensive income (“OCI”), AOCI and earnings:</w:t>
      </w:r>
    </w:p>
    <w:p>
      <w:pPr>
        <w:pStyle w:val="TextBody"/>
        <w:bidi w:val="0"/>
        <w:spacing w:before="0" w:after="0"/>
        <w:ind w:left="0" w:right="0" w:hanging="0"/>
        <w:jc w:val="center"/>
        <w:rPr/>
      </w:pPr>
      <w:r>
        <w:rPr/>
        <w:t>​</w:t>
      </w:r>
    </w:p>
    <w:tbl>
      <w:tblPr>
        <w:tblW w:w="8347" w:type="dxa"/>
        <w:jc w:val="left"/>
        <w:tblInd w:w="0" w:type="dxa"/>
        <w:tblLayout w:type="fixed"/>
        <w:tblCellMar>
          <w:top w:w="0" w:type="dxa"/>
          <w:left w:w="0" w:type="dxa"/>
          <w:bottom w:w="0" w:type="dxa"/>
          <w:right w:w="0" w:type="dxa"/>
        </w:tblCellMar>
      </w:tblPr>
      <w:tblGrid>
        <w:gridCol w:w="1876"/>
        <w:gridCol w:w="326"/>
        <w:gridCol w:w="518"/>
        <w:gridCol w:w="1403"/>
        <w:gridCol w:w="326"/>
        <w:gridCol w:w="1936"/>
        <w:gridCol w:w="326"/>
        <w:gridCol w:w="520"/>
        <w:gridCol w:w="1116"/>
      </w:tblGrid>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28930" cy="175260"/>
                      <wp:effectExtent l="0" t="0" r="0" b="0"/>
                      <wp:wrapNone/>
                      <wp:docPr id="276" name="Frame276"/>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890905" cy="175260"/>
                      <wp:effectExtent l="0" t="0" r="0" b="0"/>
                      <wp:wrapNone/>
                      <wp:docPr id="277" name="Frame277"/>
                      <a:graphic xmlns:a="http://schemas.openxmlformats.org/drawingml/2006/main">
                        <a:graphicData uri="http://schemas.microsoft.com/office/word/2010/wordprocessingShape">
                          <wps:wsp>
                            <wps:cNvSpPr txBox="1"/>
                            <wps:spPr>
                              <a:xfrm>
                                <a:off x="0" y="0"/>
                                <a:ext cx="890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229360" cy="175260"/>
                      <wp:effectExtent l="0" t="0" r="0" b="0"/>
                      <wp:wrapNone/>
                      <wp:docPr id="279" name="Frame279"/>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30200" cy="175260"/>
                      <wp:effectExtent l="0" t="0" r="0" b="0"/>
                      <wp:wrapNone/>
                      <wp:docPr id="281" name="Frame281"/>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08660" cy="175260"/>
                      <wp:effectExtent l="0" t="0" r="0" b="0"/>
                      <wp:wrapNone/>
                      <wp:docPr id="282" name="Frame282"/>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347"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September 30, 2023</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center"/>
              <w:rPr/>
            </w:pPr>
            <w:r>
              <w:rPr/>
              <w:t>    </w:t>
            </w:r>
          </w:p>
        </w:tc>
        <w:tc>
          <w:tcPr>
            <w:tcW w:w="518" w:type="dxa"/>
            <w:tcBorders/>
            <w:vAlign w:val="center"/>
          </w:tcPr>
          <w:p>
            <w:pPr>
              <w:pStyle w:val="TableContents"/>
              <w:bidi w:val="0"/>
              <w:spacing w:before="0" w:after="0"/>
              <w:ind w:left="0" w:right="0" w:hanging="0"/>
              <w:jc w:val="center"/>
              <w:rPr/>
            </w:pPr>
            <w:r>
              <w:rPr/>
              <w:t>​</w:t>
            </w:r>
          </w:p>
        </w:tc>
        <w:tc>
          <w:tcPr>
            <w:tcW w:w="140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9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6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designated as </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 recognized</w:t>
            </w:r>
          </w:p>
        </w:tc>
        <w:tc>
          <w:tcPr>
            <w:tcW w:w="326"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326" w:type="dxa"/>
            <w:tcBorders/>
            <w:vAlign w:val="center"/>
          </w:tcPr>
          <w:p>
            <w:pPr>
              <w:pStyle w:val="TableContents"/>
              <w:bidi w:val="0"/>
              <w:spacing w:before="0" w:after="0"/>
              <w:ind w:left="0" w:right="0" w:hanging="0"/>
              <w:jc w:val="center"/>
              <w:rPr/>
            </w:pPr>
            <w:r>
              <w:rPr/>
              <w:t>​</w:t>
            </w:r>
          </w:p>
        </w:tc>
        <w:tc>
          <w:tcPr>
            <w:tcW w:w="16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reclassified from</w:t>
            </w:r>
          </w:p>
        </w:tc>
      </w:tr>
      <w:tr>
        <w:trPr/>
        <w:tc>
          <w:tcPr>
            <w:tcW w:w="18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AOCI</w:t>
            </w:r>
          </w:p>
        </w:tc>
        <w:tc>
          <w:tcPr>
            <w:tcW w:w="326" w:type="dxa"/>
            <w:tcBorders/>
            <w:vAlign w:val="center"/>
          </w:tcPr>
          <w:p>
            <w:pPr>
              <w:pStyle w:val="TableContents"/>
              <w:bidi w:val="0"/>
              <w:spacing w:before="0" w:after="0"/>
              <w:ind w:left="0" w:right="0" w:hanging="0"/>
              <w:jc w:val="center"/>
              <w:rPr/>
            </w:pPr>
            <w:r>
              <w:rPr/>
              <w:t>​</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w:t>
            </w:r>
          </w:p>
        </w:tc>
        <w:tc>
          <w:tcPr>
            <w:tcW w:w="326" w:type="dxa"/>
            <w:tcBorders/>
            <w:vAlign w:val="center"/>
          </w:tcPr>
          <w:p>
            <w:pPr>
              <w:pStyle w:val="TableContents"/>
              <w:bidi w:val="0"/>
              <w:spacing w:before="0" w:after="0"/>
              <w:ind w:left="0" w:right="0" w:hanging="0"/>
              <w:jc w:val="center"/>
              <w:rPr/>
            </w:pPr>
            <w:r>
              <w:rPr/>
              <w:t>​</w:t>
            </w:r>
          </w:p>
        </w:tc>
        <w:tc>
          <w:tcPr>
            <w:tcW w:w="16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AOCI into income</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5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4,700</w:t>
            </w:r>
          </w:p>
        </w:tc>
        <w:tc>
          <w:tcPr>
            <w:tcW w:w="326" w:type="dxa"/>
            <w:tcBorders/>
            <w:shd w:fill="CCEEFF" w:val="clear"/>
            <w:vAlign w:val="center"/>
          </w:tcPr>
          <w:p>
            <w:pPr>
              <w:pStyle w:val="TableContents"/>
              <w:bidi w:val="0"/>
              <w:spacing w:before="0" w:after="0"/>
              <w:ind w:left="0" w:right="0" w:hanging="0"/>
              <w:jc w:val="left"/>
              <w:rPr/>
            </w:pPr>
            <w:r>
              <w:rPr/>
              <w:t> </w:t>
            </w:r>
          </w:p>
        </w:tc>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5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center"/>
        <w:rPr/>
      </w:pPr>
      <w:r>
        <w:rPr/>
        <w:t>​</w:t>
      </w:r>
    </w:p>
    <w:tbl>
      <w:tblPr>
        <w:tblW w:w="8347" w:type="dxa"/>
        <w:jc w:val="left"/>
        <w:tblInd w:w="0" w:type="dxa"/>
        <w:tblLayout w:type="fixed"/>
        <w:tblCellMar>
          <w:top w:w="0" w:type="dxa"/>
          <w:left w:w="0" w:type="dxa"/>
          <w:bottom w:w="0" w:type="dxa"/>
          <w:right w:w="0" w:type="dxa"/>
        </w:tblCellMar>
      </w:tblPr>
      <w:tblGrid>
        <w:gridCol w:w="1876"/>
        <w:gridCol w:w="326"/>
        <w:gridCol w:w="518"/>
        <w:gridCol w:w="1403"/>
        <w:gridCol w:w="326"/>
        <w:gridCol w:w="1936"/>
        <w:gridCol w:w="326"/>
        <w:gridCol w:w="520"/>
        <w:gridCol w:w="1116"/>
      </w:tblGrid>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28930" cy="175260"/>
                      <wp:effectExtent l="0" t="0" r="0" b="0"/>
                      <wp:wrapNone/>
                      <wp:docPr id="284" name="Frame284"/>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890905" cy="175260"/>
                      <wp:effectExtent l="0" t="0" r="0" b="0"/>
                      <wp:wrapNone/>
                      <wp:docPr id="285" name="Frame285"/>
                      <a:graphic xmlns:a="http://schemas.openxmlformats.org/drawingml/2006/main">
                        <a:graphicData uri="http://schemas.microsoft.com/office/word/2010/wordprocessingShape">
                          <wps:wsp>
                            <wps:cNvSpPr txBox="1"/>
                            <wps:spPr>
                              <a:xfrm>
                                <a:off x="0" y="0"/>
                                <a:ext cx="890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229360" cy="175260"/>
                      <wp:effectExtent l="0" t="0" r="0" b="0"/>
                      <wp:wrapNone/>
                      <wp:docPr id="287" name="Frame287"/>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30200" cy="175260"/>
                      <wp:effectExtent l="0" t="0" r="0" b="0"/>
                      <wp:wrapNone/>
                      <wp:docPr id="289" name="Frame289"/>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708660" cy="175260"/>
                      <wp:effectExtent l="0" t="0" r="0" b="0"/>
                      <wp:wrapNone/>
                      <wp:docPr id="290" name="Frame290"/>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347"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 September 30, 2023</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center"/>
              <w:rPr/>
            </w:pPr>
            <w:r>
              <w:rPr/>
              <w:t>    </w:t>
            </w:r>
          </w:p>
        </w:tc>
        <w:tc>
          <w:tcPr>
            <w:tcW w:w="518" w:type="dxa"/>
            <w:tcBorders/>
            <w:vAlign w:val="center"/>
          </w:tcPr>
          <w:p>
            <w:pPr>
              <w:pStyle w:val="TableContents"/>
              <w:bidi w:val="0"/>
              <w:spacing w:before="0" w:after="0"/>
              <w:ind w:left="0" w:right="0" w:hanging="0"/>
              <w:jc w:val="center"/>
              <w:rPr/>
            </w:pPr>
            <w:r>
              <w:rPr/>
              <w:t>​</w:t>
            </w:r>
          </w:p>
        </w:tc>
        <w:tc>
          <w:tcPr>
            <w:tcW w:w="140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9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6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designated as </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 recognized</w:t>
            </w:r>
          </w:p>
        </w:tc>
        <w:tc>
          <w:tcPr>
            <w:tcW w:w="326"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326" w:type="dxa"/>
            <w:tcBorders/>
            <w:vAlign w:val="center"/>
          </w:tcPr>
          <w:p>
            <w:pPr>
              <w:pStyle w:val="TableContents"/>
              <w:bidi w:val="0"/>
              <w:spacing w:before="0" w:after="0"/>
              <w:ind w:left="0" w:right="0" w:hanging="0"/>
              <w:jc w:val="center"/>
              <w:rPr/>
            </w:pPr>
            <w:r>
              <w:rPr/>
              <w:t>​</w:t>
            </w:r>
          </w:p>
        </w:tc>
        <w:tc>
          <w:tcPr>
            <w:tcW w:w="16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reclassified from</w:t>
            </w:r>
          </w:p>
        </w:tc>
      </w:tr>
      <w:tr>
        <w:trPr/>
        <w:tc>
          <w:tcPr>
            <w:tcW w:w="18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AOCI</w:t>
            </w:r>
          </w:p>
        </w:tc>
        <w:tc>
          <w:tcPr>
            <w:tcW w:w="326" w:type="dxa"/>
            <w:tcBorders/>
            <w:vAlign w:val="center"/>
          </w:tcPr>
          <w:p>
            <w:pPr>
              <w:pStyle w:val="TableContents"/>
              <w:bidi w:val="0"/>
              <w:spacing w:before="0" w:after="0"/>
              <w:ind w:left="0" w:right="0" w:hanging="0"/>
              <w:jc w:val="center"/>
              <w:rPr/>
            </w:pPr>
            <w:r>
              <w:rPr/>
              <w:t>​</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w:t>
            </w:r>
          </w:p>
        </w:tc>
        <w:tc>
          <w:tcPr>
            <w:tcW w:w="326" w:type="dxa"/>
            <w:tcBorders/>
            <w:vAlign w:val="center"/>
          </w:tcPr>
          <w:p>
            <w:pPr>
              <w:pStyle w:val="TableContents"/>
              <w:bidi w:val="0"/>
              <w:spacing w:before="0" w:after="0"/>
              <w:ind w:left="0" w:right="0" w:hanging="0"/>
              <w:jc w:val="center"/>
              <w:rPr/>
            </w:pPr>
            <w:r>
              <w:rPr/>
              <w:t>​</w:t>
            </w:r>
          </w:p>
        </w:tc>
        <w:tc>
          <w:tcPr>
            <w:tcW w:w="16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AOCI into income</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5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3,434</w:t>
            </w:r>
          </w:p>
        </w:tc>
        <w:tc>
          <w:tcPr>
            <w:tcW w:w="326" w:type="dxa"/>
            <w:tcBorders/>
            <w:shd w:fill="CCEEFF" w:val="clear"/>
            <w:vAlign w:val="center"/>
          </w:tcPr>
          <w:p>
            <w:pPr>
              <w:pStyle w:val="TableContents"/>
              <w:bidi w:val="0"/>
              <w:spacing w:before="0" w:after="0"/>
              <w:ind w:left="0" w:right="0" w:hanging="0"/>
              <w:jc w:val="left"/>
              <w:rPr/>
            </w:pPr>
            <w:r>
              <w:rPr/>
              <w:t> </w:t>
            </w:r>
          </w:p>
        </w:tc>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5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870" w:name="Tc_3V2C5JJGI0uKo0q1euiznw_7_7"/>
      <w:bookmarkStart w:id="1871" w:name="Tc_bWgWAPCZ-kaxunEwHdgqjg_7_4"/>
      <w:bookmarkStart w:id="1872" w:name="Tc_m8IPJL_yFU-3e0JJTIZFFg_7_0"/>
      <w:bookmarkStart w:id="1873" w:name="Tc_gfSER39RTkuROnBCOW-eUw_6_7"/>
      <w:bookmarkStart w:id="1874" w:name="Tc_hdv2WmW5dE6N9hEu4GAuFA_6_4"/>
      <w:bookmarkStart w:id="1875" w:name="Tc_ASwJPDrj0EGocwZJ1XPZvw_6_2"/>
      <w:bookmarkStart w:id="1876" w:name="Tc_VoLgZGa6Z0CVr3f9P11OxQ_6_0"/>
      <w:bookmarkStart w:id="1877" w:name="Tc_pVr7tktaPUm54-0ghxMPKQ_5_7"/>
      <w:bookmarkStart w:id="1878" w:name="Tc_8NM-w-kqHEKfwZ2ZZC7OmQ_5_4"/>
      <w:bookmarkStart w:id="1879" w:name="Tc_F_J-WwJijkOOyVNyr3ffmw_5_2"/>
      <w:bookmarkStart w:id="1880" w:name="Tc_KSQqyrw2h0WNjnImaDKpYQ_5_0"/>
      <w:bookmarkStart w:id="1881" w:name="Tc__XQDw5rNNkellboM2Y9EeQ_4_4"/>
      <w:bookmarkStart w:id="1882" w:name="Tc_OigNnraM_EmXxB0YQKh3Pg_3_4"/>
      <w:bookmarkStart w:id="1883" w:name="Tc_2Vl7aBCLf0a1pa9lr40wyg_2_4"/>
      <w:bookmarkStart w:id="1884" w:name="Tc_XLa2zICrz063sOOohJDj_g_1_4"/>
      <w:bookmarkStart w:id="1885" w:name="_1eed10cd_b80d_495a_b86d_08082634e532"/>
      <w:bookmarkStart w:id="1886" w:name="Tc_iwuDDKAn9USQZoE3CHePqw_7_7"/>
      <w:bookmarkStart w:id="1887" w:name="Tc_E7fXRfvQUEu2oJK94az2FA_7_4"/>
      <w:bookmarkStart w:id="1888" w:name="Tc_nZbWRuJwak-FEH0kUEoWgQ_7_0"/>
      <w:bookmarkStart w:id="1889" w:name="Tc_gxpTYVd2eUWqRqBtP7gfvQ_6_7"/>
      <w:bookmarkStart w:id="1890" w:name="Tc_xOuJzEaR3EeFlhYDEJxD7g_6_4"/>
      <w:bookmarkStart w:id="1891" w:name="Tc_ls0MAss600ygVfve23_gPw_6_2"/>
      <w:bookmarkStart w:id="1892" w:name="Tc_K1I-SuugBkqb9Gu3JBgiLw_6_0"/>
      <w:bookmarkStart w:id="1893" w:name="Tc_wkNAz4hyaE6Ftt8SNaLdbQ_5_7"/>
      <w:bookmarkStart w:id="1894" w:name="Tc_3_xNFjOeNUKeTe8TX225cg_5_4"/>
      <w:bookmarkStart w:id="1895" w:name="Tc_6y-Q5nk1ckmoNvdPfnlqGQ_5_2"/>
      <w:bookmarkStart w:id="1896" w:name="Tc_XOUhwtTlW02ox2qSEABjOA_5_0"/>
      <w:bookmarkStart w:id="1897" w:name="Tc_ghhpJeL35Ua0KyPvhPwZMw_4_4"/>
      <w:bookmarkStart w:id="1898" w:name="Tc_kW41JQZ_1E6kUBm_nMkwiw_3_4"/>
      <w:bookmarkStart w:id="1899" w:name="Tc_pMHssDLLtEi9hrgh6p7ljw_2_4"/>
      <w:bookmarkStart w:id="1900" w:name="Tc_gTYp0c7wpkKXMxoa436AXw_1_4"/>
      <w:bookmarkStart w:id="1901" w:name="_ff755a88_bc32_47da_a02e_2e7c5e7915e3"/>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r>
        <w:rPr>
          <w:rFonts w:ascii="Times New Roman;Times;serif" w:hAnsi="Times New Roman;Times;serif"/>
          <w:sz w:val="20"/>
        </w:rPr>
        <w:t>As of September 30, 2023, the Company estimates that it will reclassify into earnings net gains (losses) of $3.1 million from the amount recorded in AOCI as the anticipated cash flows occur during the next 12 months.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Economic (Non-Designated) Hedging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exposed to foreign currency exchange rate risks related primarily to its foreign business operations. During the nine-months ended September 30, 2023 and the year-ended December 31, 2022,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September 30, 2023 have terms of one month or less. The Company does not enter into forward currency exchange contracts for speculation or trading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has not designated its foreign currency exchange contracts as hedge transactions. Therefore, gains and losses on the Company’s foreign currency exchange contracts are recognized in interest and other income (expense), net, in the condensed consolidated statements of income, and are largely offset by the changes in the fair value of the underlying economically hedged item. The total notional values of derivatives related to our foreign currency economic hedges were $310.3 million and $299.8 million as of September 30, 2023 and December 31, 2022, respectively.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net gains (losses) on derivatives not designated as hedging instruments in the condensed consolidated statements of income were as follows:</w:t>
      </w:r>
    </w:p>
    <w:p>
      <w:pPr>
        <w:pStyle w:val="TextBody"/>
        <w:bidi w:val="0"/>
        <w:spacing w:before="0" w:after="0"/>
        <w:ind w:left="0" w:right="0" w:firstLine="720"/>
        <w:jc w:val="both"/>
        <w:rPr/>
      </w:pPr>
      <w:r>
        <w:rPr/>
        <w:t>​</w:t>
      </w:r>
    </w:p>
    <w:tbl>
      <w:tblPr>
        <w:tblW w:w="9389" w:type="dxa"/>
        <w:jc w:val="left"/>
        <w:tblInd w:w="0" w:type="dxa"/>
        <w:tblLayout w:type="fixed"/>
        <w:tblCellMar>
          <w:top w:w="0" w:type="dxa"/>
          <w:left w:w="0" w:type="dxa"/>
          <w:bottom w:w="0" w:type="dxa"/>
          <w:right w:w="0" w:type="dxa"/>
        </w:tblCellMar>
      </w:tblPr>
      <w:tblGrid>
        <w:gridCol w:w="3106"/>
        <w:gridCol w:w="146"/>
        <w:gridCol w:w="3331"/>
        <w:gridCol w:w="109"/>
        <w:gridCol w:w="339"/>
        <w:gridCol w:w="921"/>
        <w:gridCol w:w="132"/>
        <w:gridCol w:w="309"/>
        <w:gridCol w:w="996"/>
      </w:tblGrid>
      <w:tr>
        <w:trPr/>
        <w:tc>
          <w:tcPr>
            <w:tcW w:w="31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92710" cy="175260"/>
                      <wp:effectExtent l="0" t="0" r="0" b="0"/>
                      <wp:wrapNone/>
                      <wp:docPr id="291" name="Frame29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15185" cy="175260"/>
                      <wp:effectExtent l="0" t="0" r="0" b="0"/>
                      <wp:wrapNone/>
                      <wp:docPr id="292" name="Frame292"/>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9215" cy="175260"/>
                      <wp:effectExtent l="0" t="0" r="0" b="0"/>
                      <wp:wrapNone/>
                      <wp:docPr id="293" name="Frame2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5265" cy="175260"/>
                      <wp:effectExtent l="0" t="0" r="0" b="0"/>
                      <wp:wrapNone/>
                      <wp:docPr id="294" name="Frame294"/>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84835" cy="175260"/>
                      <wp:effectExtent l="0" t="0" r="0" b="0"/>
                      <wp:wrapNone/>
                      <wp:docPr id="295" name="Frame295"/>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83820" cy="175260"/>
                      <wp:effectExtent l="0" t="0" r="0" b="0"/>
                      <wp:wrapNone/>
                      <wp:docPr id="296" name="Frame296"/>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96215" cy="175260"/>
                      <wp:effectExtent l="0" t="0" r="0" b="0"/>
                      <wp:wrapNone/>
                      <wp:docPr id="297" name="Frame297"/>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32460" cy="175260"/>
                      <wp:effectExtent l="0" t="0" r="0" b="0"/>
                      <wp:wrapNone/>
                      <wp:docPr id="298" name="Frame298"/>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97"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Gain (loss) </w:t>
            </w:r>
          </w:p>
        </w:tc>
      </w:tr>
      <w:tr>
        <w:trPr/>
        <w:tc>
          <w:tcPr>
            <w:tcW w:w="31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97"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 on</w:t>
            </w:r>
          </w:p>
        </w:tc>
      </w:tr>
      <w:tr>
        <w:trPr/>
        <w:tc>
          <w:tcPr>
            <w:tcW w:w="31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r>
      <w:tr>
        <w:trPr/>
        <w:tc>
          <w:tcPr>
            <w:tcW w:w="310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r>
      <w:tr>
        <w:trPr/>
        <w:tc>
          <w:tcPr>
            <w:tcW w:w="31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not designated as</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w:t>
            </w:r>
          </w:p>
        </w:tc>
        <w:tc>
          <w:tcPr>
            <w:tcW w:w="132"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w:t>
            </w:r>
          </w:p>
        </w:tc>
      </w:tr>
      <w:tr>
        <w:trPr/>
        <w:tc>
          <w:tcPr>
            <w:tcW w:w="31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hedging instruments </w:t>
            </w:r>
          </w:p>
        </w:tc>
        <w:tc>
          <w:tcPr>
            <w:tcW w:w="146" w:type="dxa"/>
            <w:tcBorders/>
            <w:vAlign w:val="center"/>
          </w:tcPr>
          <w:p>
            <w:pPr>
              <w:pStyle w:val="TableContents"/>
              <w:bidi w:val="0"/>
              <w:spacing w:before="0" w:after="0"/>
              <w:ind w:left="0" w:right="0" w:hanging="0"/>
              <w:jc w:val="left"/>
              <w:rPr/>
            </w:pPr>
            <w:r>
              <w:rPr/>
              <w:t>​</w:t>
            </w:r>
          </w:p>
        </w:tc>
        <w:tc>
          <w:tcPr>
            <w:tcW w:w="33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 on derivatives</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132" w:type="dxa"/>
            <w:tcBorders/>
            <w:vAlign w:val="center"/>
          </w:tcPr>
          <w:p>
            <w:pPr>
              <w:pStyle w:val="TableContents"/>
              <w:bidi w:val="0"/>
              <w:spacing w:before="0" w:after="0"/>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146" w:type="dxa"/>
            <w:tcBorders/>
            <w:shd w:fill="CCEEFF" w:val="clear"/>
            <w:vAlign w:val="center"/>
          </w:tcPr>
          <w:p>
            <w:pPr>
              <w:pStyle w:val="TableContents"/>
              <w:bidi w:val="0"/>
              <w:spacing w:before="0" w:after="0"/>
              <w:ind w:left="0" w:right="0" w:hanging="0"/>
              <w:jc w:val="left"/>
              <w:rPr/>
            </w:pPr>
            <w:r>
              <w:rPr/>
              <w:t> </w:t>
            </w:r>
          </w:p>
        </w:tc>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5,080</w:t>
            </w:r>
          </w:p>
        </w:tc>
        <w:tc>
          <w:tcPr>
            <w:tcW w:w="132" w:type="dxa"/>
            <w:tcBorders/>
            <w:shd w:fill="CCEEFF" w:val="clear"/>
            <w:vAlign w:val="center"/>
          </w:tcPr>
          <w:p>
            <w:pPr>
              <w:pStyle w:val="TableContents"/>
              <w:bidi w:val="0"/>
              <w:spacing w:before="0" w:after="0"/>
              <w:ind w:left="0" w:right="0" w:hanging="0"/>
              <w:jc w:val="left"/>
              <w:rPr/>
            </w:pPr>
            <w:r>
              <w:rPr/>
              <w:t>​</w:t>
            </w:r>
          </w:p>
        </w:tc>
        <w:tc>
          <w:tcPr>
            <w:tcW w:w="3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4,631</w:t>
            </w:r>
          </w:p>
        </w:tc>
      </w:tr>
    </w:tbl>
    <w:p>
      <w:pPr>
        <w:pStyle w:val="TextBody"/>
        <w:bidi w:val="0"/>
        <w:spacing w:before="0" w:after="0"/>
        <w:ind w:left="0" w:right="0" w:hanging="0"/>
        <w:jc w:val="center"/>
        <w:rPr/>
      </w:pPr>
      <w:r>
        <w:rPr/>
        <w:t>​</w:t>
      </w:r>
    </w:p>
    <w:tbl>
      <w:tblPr>
        <w:tblW w:w="9430" w:type="dxa"/>
        <w:jc w:val="left"/>
        <w:tblInd w:w="0" w:type="dxa"/>
        <w:tblLayout w:type="fixed"/>
        <w:tblCellMar>
          <w:top w:w="0" w:type="dxa"/>
          <w:left w:w="0" w:type="dxa"/>
          <w:bottom w:w="0" w:type="dxa"/>
          <w:right w:w="0" w:type="dxa"/>
        </w:tblCellMar>
      </w:tblPr>
      <w:tblGrid>
        <w:gridCol w:w="3106"/>
        <w:gridCol w:w="146"/>
        <w:gridCol w:w="3331"/>
        <w:gridCol w:w="109"/>
        <w:gridCol w:w="316"/>
        <w:gridCol w:w="944"/>
        <w:gridCol w:w="128"/>
        <w:gridCol w:w="320"/>
        <w:gridCol w:w="1030"/>
      </w:tblGrid>
      <w:tr>
        <w:trPr/>
        <w:tc>
          <w:tcPr>
            <w:tcW w:w="31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92710" cy="175260"/>
                      <wp:effectExtent l="0" t="0" r="0" b="0"/>
                      <wp:wrapNone/>
                      <wp:docPr id="299" name="Frame29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15185" cy="175260"/>
                      <wp:effectExtent l="0" t="0" r="0" b="0"/>
                      <wp:wrapNone/>
                      <wp:docPr id="300" name="Frame300"/>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3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0660" cy="175260"/>
                      <wp:effectExtent l="0" t="0" r="0" b="0"/>
                      <wp:wrapNone/>
                      <wp:docPr id="302" name="Frame30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99440" cy="175260"/>
                      <wp:effectExtent l="0" t="0" r="0" b="0"/>
                      <wp:wrapNone/>
                      <wp:docPr id="303" name="Frame303"/>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81280" cy="175260"/>
                      <wp:effectExtent l="0" t="0" r="0" b="0"/>
                      <wp:wrapNone/>
                      <wp:docPr id="304" name="Frame304"/>
                      <a:graphic xmlns:a="http://schemas.openxmlformats.org/drawingml/2006/main">
                        <a:graphicData uri="http://schemas.microsoft.com/office/word/2010/wordprocessingShape">
                          <wps:wsp>
                            <wps:cNvSpPr txBox="1"/>
                            <wps:spPr>
                              <a:xfrm>
                                <a:off x="0" y="0"/>
                                <a:ext cx="81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3200" cy="175260"/>
                      <wp:effectExtent l="0" t="0" r="0" b="0"/>
                      <wp:wrapNone/>
                      <wp:docPr id="305" name="Frame305"/>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54050" cy="175260"/>
                      <wp:effectExtent l="0" t="0" r="0" b="0"/>
                      <wp:wrapNone/>
                      <wp:docPr id="306" name="Frame306"/>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738"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Gain (loss) </w:t>
            </w:r>
          </w:p>
        </w:tc>
      </w:tr>
      <w:tr>
        <w:trPr/>
        <w:tc>
          <w:tcPr>
            <w:tcW w:w="31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738"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 on</w:t>
            </w:r>
          </w:p>
        </w:tc>
      </w:tr>
      <w:tr>
        <w:trPr/>
        <w:tc>
          <w:tcPr>
            <w:tcW w:w="31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7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r>
      <w:tr>
        <w:trPr/>
        <w:tc>
          <w:tcPr>
            <w:tcW w:w="31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w:t>
            </w:r>
          </w:p>
        </w:tc>
      </w:tr>
      <w:tr>
        <w:trPr/>
        <w:tc>
          <w:tcPr>
            <w:tcW w:w="31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not designated as</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w:t>
            </w:r>
          </w:p>
        </w:tc>
        <w:tc>
          <w:tcPr>
            <w:tcW w:w="128" w:type="dxa"/>
            <w:tcBorders/>
            <w:vAlign w:val="center"/>
          </w:tcPr>
          <w:p>
            <w:pPr>
              <w:pStyle w:val="TableContents"/>
              <w:bidi w:val="0"/>
              <w:spacing w:before="0" w:after="0"/>
              <w:ind w:left="0" w:right="0" w:hanging="0"/>
              <w:jc w:val="center"/>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September 30, </w:t>
            </w:r>
          </w:p>
        </w:tc>
      </w:tr>
      <w:tr>
        <w:trPr/>
        <w:tc>
          <w:tcPr>
            <w:tcW w:w="31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146" w:type="dxa"/>
            <w:tcBorders/>
            <w:vAlign w:val="center"/>
          </w:tcPr>
          <w:p>
            <w:pPr>
              <w:pStyle w:val="TableContents"/>
              <w:bidi w:val="0"/>
              <w:spacing w:before="0" w:after="0"/>
              <w:ind w:left="0" w:right="0" w:hanging="0"/>
              <w:jc w:val="left"/>
              <w:rPr/>
            </w:pPr>
            <w:r>
              <w:rPr/>
              <w:t>​</w:t>
            </w:r>
          </w:p>
        </w:tc>
        <w:tc>
          <w:tcPr>
            <w:tcW w:w="33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 on derivatives</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128"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146" w:type="dxa"/>
            <w:tcBorders/>
            <w:shd w:fill="CCEEFF" w:val="clear"/>
            <w:vAlign w:val="center"/>
          </w:tcPr>
          <w:p>
            <w:pPr>
              <w:pStyle w:val="TableContents"/>
              <w:bidi w:val="0"/>
              <w:spacing w:before="0" w:after="0"/>
              <w:ind w:left="0" w:right="0" w:hanging="0"/>
              <w:jc w:val="left"/>
              <w:rPr/>
            </w:pPr>
            <w:r>
              <w:rPr/>
              <w:t> </w:t>
            </w:r>
          </w:p>
        </w:tc>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w:t>
            </w:r>
          </w:p>
        </w:tc>
        <w:tc>
          <w:tcPr>
            <w:tcW w:w="128"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1,355</w:t>
            </w:r>
          </w:p>
        </w:tc>
      </w:tr>
    </w:tbl>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Certain of the Company’s counterparty agreements contain provisions that require the Company to post collateral on derivative instruments in a net liability position. As of September 30, 2023, no amounts were posted as collateral.</w:t>
      </w:r>
    </w:p>
    <w:p>
      <w:pPr>
        <w:pStyle w:val="TextBody"/>
        <w:bidi w:val="0"/>
        <w:spacing w:before="0" w:after="0"/>
        <w:ind w:left="0" w:right="0" w:hanging="0"/>
        <w:jc w:val="left"/>
        <w:rPr/>
      </w:pPr>
      <w:r>
        <w:rPr/>
        <w:t>​</w:t>
      </w:r>
    </w:p>
    <w:p>
      <w:pPr>
        <w:pStyle w:val="TextBody"/>
        <w:pBdr/>
        <w:bidi w:val="0"/>
        <w:spacing w:before="0" w:after="0"/>
        <w:ind w:left="0" w:right="0" w:hanging="720"/>
        <w:jc w:val="left"/>
        <w:rPr/>
      </w:pPr>
      <w:r>
        <w:rPr/>
        <w:t>​</w:t>
      </w:r>
    </w:p>
    <w:p>
      <w:pPr>
        <w:pStyle w:val="Normal"/>
        <w:bidi w:val="0"/>
        <w:spacing w:before="0" w:after="0"/>
        <w:jc w:val="left"/>
        <w:rPr>
          <w:sz w:val="4"/>
          <w:szCs w:val="4"/>
        </w:rPr>
      </w:pPr>
      <w:r>
        <w:rPr>
          <w:sz w:val="4"/>
          <w:szCs w:val="4"/>
        </w:rPr>
      </w:r>
      <w:bookmarkStart w:id="1902" w:name="Tc_Fdq_rk1ZsEubeHoT2PXSFA_6_5"/>
      <w:bookmarkStart w:id="1903" w:name="Tc_5XM1m_y8DEi2UwyLN3XiPg_6_2"/>
      <w:bookmarkStart w:id="1904" w:name="Tc_s3ixq5iaWkOYb3a9nlAF9w_5_0"/>
      <w:bookmarkStart w:id="1905" w:name="Tc_KtdZfsVWq0-b2G7GT8erAQ_4_0"/>
      <w:bookmarkStart w:id="1906" w:name="Tc_p-l16bi-D0Oem6KRj5Ph5g_3_5"/>
      <w:bookmarkStart w:id="1907" w:name="Tc_Zl7LwMlXDUeKTgjbIhs8tw_3_2"/>
      <w:bookmarkStart w:id="1908" w:name="Tc_dMlV3gxwH0WzqFs_LBAa_g_3_0"/>
      <w:bookmarkStart w:id="1909" w:name="Tc_3bBQ_ZcnSUKcbFlq0z0CIw_2_5"/>
      <w:bookmarkStart w:id="1910" w:name="Tc_spiRlgbqW0WE5rFKHih7Aw_2_2"/>
      <w:bookmarkStart w:id="1911" w:name="Tc_Vku8bfDZSkqIkmCp-3bSmQ_1_5"/>
      <w:bookmarkStart w:id="1912" w:name="Tc_OIbMM5Hi90CE8RxVz_VvvA_1_2"/>
      <w:bookmarkStart w:id="1913" w:name="Tc_Fdq_rk1ZsEubeHoT2PXSFA_6_5"/>
      <w:bookmarkStart w:id="1914" w:name="Tc_5XM1m_y8DEi2UwyLN3XiPg_6_2"/>
      <w:bookmarkStart w:id="1915" w:name="Tc_s3ixq5iaWkOYb3a9nlAF9w_5_0"/>
      <w:bookmarkStart w:id="1916" w:name="Tc_KtdZfsVWq0-b2G7GT8erAQ_4_0"/>
      <w:bookmarkStart w:id="1917" w:name="Tc_p-l16bi-D0Oem6KRj5Ph5g_3_5"/>
      <w:bookmarkStart w:id="1918" w:name="Tc_Zl7LwMlXDUeKTgjbIhs8tw_3_2"/>
      <w:bookmarkStart w:id="1919" w:name="Tc_dMlV3gxwH0WzqFs_LBAa_g_3_0"/>
      <w:bookmarkStart w:id="1920" w:name="Tc_3bBQ_ZcnSUKcbFlq0z0CIw_2_5"/>
      <w:bookmarkStart w:id="1921" w:name="Tc_spiRlgbqW0WE5rFKHih7Aw_2_2"/>
      <w:bookmarkStart w:id="1922" w:name="Tc_Vku8bfDZSkqIkmCp-3bSmQ_1_5"/>
      <w:bookmarkStart w:id="1923" w:name="Tc_OIbMM5Hi90CE8RxVz_VvvA_1_2"/>
      <w:bookmarkEnd w:id="1913"/>
      <w:bookmarkEnd w:id="1914"/>
      <w:bookmarkEnd w:id="1915"/>
      <w:bookmarkEnd w:id="1916"/>
      <w:bookmarkEnd w:id="1917"/>
      <w:bookmarkEnd w:id="1918"/>
      <w:bookmarkEnd w:id="1919"/>
      <w:bookmarkEnd w:id="1920"/>
      <w:bookmarkEnd w:id="1921"/>
      <w:bookmarkEnd w:id="1922"/>
      <w:bookmarkEnd w:id="1923"/>
    </w:p>
    <w:tbl>
      <w:tblPr>
        <w:tblW w:w="1682" w:type="dxa"/>
        <w:jc w:val="left"/>
        <w:tblInd w:w="0" w:type="dxa"/>
        <w:tblLayout w:type="fixed"/>
        <w:tblCellMar>
          <w:top w:w="0" w:type="dxa"/>
          <w:left w:w="0" w:type="dxa"/>
          <w:bottom w:w="0" w:type="dxa"/>
          <w:right w:w="0" w:type="dxa"/>
        </w:tblCellMar>
      </w:tblPr>
      <w:tblGrid>
        <w:gridCol w:w="271"/>
        <w:gridCol w:w="1411"/>
      </w:tblGrid>
      <w:tr>
        <w:trPr/>
        <w:tc>
          <w:tcPr>
            <w:tcW w:w="2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w:t>
            </w:r>
          </w:p>
        </w:tc>
        <w:tc>
          <w:tcPr>
            <w:tcW w:w="14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INVENTORIES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Inventories consist of the following at:</w:t>
      </w:r>
    </w:p>
    <w:p>
      <w:pPr>
        <w:pStyle w:val="TextBody"/>
        <w:bidi w:val="0"/>
        <w:spacing w:before="0" w:after="0"/>
        <w:ind w:left="0" w:right="0" w:firstLine="720"/>
        <w:jc w:val="both"/>
        <w:rPr/>
      </w:pPr>
      <w:r>
        <w:rPr/>
        <w:t>​</w:t>
      </w:r>
    </w:p>
    <w:tbl>
      <w:tblPr>
        <w:tblW w:w="4688" w:type="dxa"/>
        <w:jc w:val="left"/>
        <w:tblInd w:w="0" w:type="dxa"/>
        <w:tblLayout w:type="fixed"/>
        <w:tblCellMar>
          <w:top w:w="0" w:type="dxa"/>
          <w:left w:w="0" w:type="dxa"/>
          <w:bottom w:w="0" w:type="dxa"/>
          <w:right w:w="0" w:type="dxa"/>
        </w:tblCellMar>
      </w:tblPr>
      <w:tblGrid>
        <w:gridCol w:w="1426"/>
        <w:gridCol w:w="326"/>
        <w:gridCol w:w="277"/>
        <w:gridCol w:w="1028"/>
        <w:gridCol w:w="326"/>
        <w:gridCol w:w="250"/>
        <w:gridCol w:w="1055"/>
      </w:tblGrid>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75895" cy="175260"/>
                      <wp:effectExtent l="0" t="0" r="0" b="0"/>
                      <wp:wrapNone/>
                      <wp:docPr id="308" name="Frame308"/>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52780" cy="175260"/>
                      <wp:effectExtent l="0" t="0" r="0" b="0"/>
                      <wp:wrapNone/>
                      <wp:docPr id="309" name="Frame309"/>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58750" cy="175260"/>
                      <wp:effectExtent l="0" t="0" r="0" b="0"/>
                      <wp:wrapNone/>
                      <wp:docPr id="311" name="Frame311"/>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69925" cy="175260"/>
                      <wp:effectExtent l="0" t="0" r="0" b="0"/>
                      <wp:wrapNone/>
                      <wp:docPr id="312" name="Frame312"/>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355,557</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467,392</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1,688</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526,257</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466,551</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883,582</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935,631</w:t>
            </w:r>
          </w:p>
        </w:tc>
      </w:tr>
    </w:tbl>
    <w:p>
      <w:pPr>
        <w:pStyle w:val="TextBody"/>
        <w:pBdr/>
        <w:bidi w:val="0"/>
        <w:spacing w:before="0" w:after="0"/>
        <w:ind w:left="0" w:right="0" w:hanging="720"/>
        <w:jc w:val="left"/>
        <w:rPr/>
      </w:pPr>
      <w:r>
        <w:rPr/>
        <w:t>​</w:t>
      </w:r>
    </w:p>
    <w:p>
      <w:pPr>
        <w:pStyle w:val="TextBody"/>
        <w:pBdr/>
        <w:bidi w:val="0"/>
        <w:spacing w:before="0" w:after="0"/>
        <w:ind w:left="0" w:right="0" w:hanging="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24" w:name="Tc_i-AQ05k7BUqu89exJVy3ng_14_5"/>
      <w:bookmarkStart w:id="1925" w:name="Tc_fxwJnqlo7UaSnLwt7VIEYg_14_2"/>
      <w:bookmarkStart w:id="1926" w:name="Tc_BsIjdPGy6kSSlAlUJ5Tpog_13_0"/>
      <w:bookmarkStart w:id="1927" w:name="Tc_GeFEoNEjNUuHv_gveVgY1A_11_0"/>
      <w:bookmarkStart w:id="1928" w:name="Tc_2nmSzo1Ft0CyRj49rleR7Q_10_0"/>
      <w:bookmarkStart w:id="1929" w:name="Tc_fZKg91oXpEuOKw4zZ-Au7Q_9_0"/>
      <w:bookmarkStart w:id="1930" w:name="Tc_bvBxWkMWLEOM68s1FpwYmw_8_0"/>
      <w:bookmarkStart w:id="1931" w:name="Tc_Z_tmpD5mlkKLS_HOfGuXtw_7_0"/>
      <w:bookmarkStart w:id="1932" w:name="Tc_ZHqp4O6uMU6qRtnu258K8Q_6_0"/>
      <w:bookmarkStart w:id="1933" w:name="Tc_RiVfmb2k7keDBaez4_4f5w_5_0"/>
      <w:bookmarkStart w:id="1934" w:name="Tc_Otlz8ci1g0SSgetr4GXyTw_4_0"/>
      <w:bookmarkStart w:id="1935" w:name="Tc_GQ_O0iOwdkGQecoU0UAltQ_3_5"/>
      <w:bookmarkStart w:id="1936" w:name="Tc_4_o9R5zr2kqx8zi-ZXMJqA_3_2"/>
      <w:bookmarkStart w:id="1937" w:name="Tc_mF890O3kVEWnWTV5YAovDA_3_0"/>
      <w:bookmarkStart w:id="1938" w:name="Tc_qkbhobbqpUGoiizaO6Z_TA_2_5"/>
      <w:bookmarkStart w:id="1939" w:name="Tc_WpMvO9bgh02oCK3_nFMuJw_2_2"/>
      <w:bookmarkStart w:id="1940" w:name="Tc_JXcEdE9BpkqtvoD544wtKw_1_5"/>
      <w:bookmarkStart w:id="1941" w:name="Tc_4WH-qui0KkyOkjk51jmtjg_1_2"/>
      <w:bookmarkStart w:id="1942" w:name="Tc_i-AQ05k7BUqu89exJVy3ng_14_5"/>
      <w:bookmarkStart w:id="1943" w:name="Tc_fxwJnqlo7UaSnLwt7VIEYg_14_2"/>
      <w:bookmarkStart w:id="1944" w:name="Tc_BsIjdPGy6kSSlAlUJ5Tpog_13_0"/>
      <w:bookmarkStart w:id="1945" w:name="Tc_GeFEoNEjNUuHv_gveVgY1A_11_0"/>
      <w:bookmarkStart w:id="1946" w:name="Tc_2nmSzo1Ft0CyRj49rleR7Q_10_0"/>
      <w:bookmarkStart w:id="1947" w:name="Tc_fZKg91oXpEuOKw4zZ-Au7Q_9_0"/>
      <w:bookmarkStart w:id="1948" w:name="Tc_bvBxWkMWLEOM68s1FpwYmw_8_0"/>
      <w:bookmarkStart w:id="1949" w:name="Tc_Z_tmpD5mlkKLS_HOfGuXtw_7_0"/>
      <w:bookmarkStart w:id="1950" w:name="Tc_ZHqp4O6uMU6qRtnu258K8Q_6_0"/>
      <w:bookmarkStart w:id="1951" w:name="Tc_RiVfmb2k7keDBaez4_4f5w_5_0"/>
      <w:bookmarkStart w:id="1952" w:name="Tc_Otlz8ci1g0SSgetr4GXyTw_4_0"/>
      <w:bookmarkStart w:id="1953" w:name="Tc_GQ_O0iOwdkGQecoU0UAltQ_3_5"/>
      <w:bookmarkStart w:id="1954" w:name="Tc_4_o9R5zr2kqx8zi-ZXMJqA_3_2"/>
      <w:bookmarkStart w:id="1955" w:name="Tc_mF890O3kVEWnWTV5YAovDA_3_0"/>
      <w:bookmarkStart w:id="1956" w:name="Tc_qkbhobbqpUGoiizaO6Z_TA_2_5"/>
      <w:bookmarkStart w:id="1957" w:name="Tc_WpMvO9bgh02oCK3_nFMuJw_2_2"/>
      <w:bookmarkStart w:id="1958" w:name="Tc_JXcEdE9BpkqtvoD544wtKw_1_5"/>
      <w:bookmarkStart w:id="1959" w:name="Tc_4WH-qui0KkyOkjk51jmtjg_1_2"/>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p>
    <w:tbl>
      <w:tblPr>
        <w:tblW w:w="3482" w:type="dxa"/>
        <w:jc w:val="left"/>
        <w:tblInd w:w="0" w:type="dxa"/>
        <w:tblLayout w:type="fixed"/>
        <w:tblCellMar>
          <w:top w:w="0" w:type="dxa"/>
          <w:left w:w="0" w:type="dxa"/>
          <w:bottom w:w="0" w:type="dxa"/>
          <w:right w:w="0" w:type="dxa"/>
        </w:tblCellMar>
      </w:tblPr>
      <w:tblGrid>
        <w:gridCol w:w="271"/>
        <w:gridCol w:w="3211"/>
      </w:tblGrid>
      <w:tr>
        <w:trPr/>
        <w:tc>
          <w:tcPr>
            <w:tcW w:w="2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w:t>
            </w:r>
          </w:p>
        </w:tc>
        <w:tc>
          <w:tcPr>
            <w:tcW w:w="3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PROPERTY AND EQUIPMENT, NET</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Property and equipment consist of the following at:</w:t>
      </w:r>
    </w:p>
    <w:p>
      <w:pPr>
        <w:pStyle w:val="TextBody"/>
        <w:bidi w:val="0"/>
        <w:spacing w:before="0" w:after="0"/>
        <w:ind w:left="0" w:right="0" w:firstLine="720"/>
        <w:jc w:val="both"/>
        <w:rPr/>
      </w:pPr>
      <w:r>
        <w:rPr/>
        <w:t>​</w:t>
      </w:r>
    </w:p>
    <w:tbl>
      <w:tblPr>
        <w:tblW w:w="7373" w:type="dxa"/>
        <w:jc w:val="left"/>
        <w:tblInd w:w="0" w:type="dxa"/>
        <w:tblLayout w:type="fixed"/>
        <w:tblCellMar>
          <w:top w:w="0" w:type="dxa"/>
          <w:left w:w="0" w:type="dxa"/>
          <w:bottom w:w="0" w:type="dxa"/>
          <w:right w:w="0" w:type="dxa"/>
        </w:tblCellMar>
      </w:tblPr>
      <w:tblGrid>
        <w:gridCol w:w="4111"/>
        <w:gridCol w:w="326"/>
        <w:gridCol w:w="240"/>
        <w:gridCol w:w="1065"/>
        <w:gridCol w:w="326"/>
        <w:gridCol w:w="250"/>
        <w:gridCol w:w="1055"/>
      </w:tblGrid>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52400" cy="175260"/>
                      <wp:effectExtent l="0" t="0" r="0" b="0"/>
                      <wp:wrapNone/>
                      <wp:docPr id="314" name="Frame31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76275" cy="175260"/>
                      <wp:effectExtent l="0" t="0" r="0" b="0"/>
                      <wp:wrapNone/>
                      <wp:docPr id="315" name="Frame315"/>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58750" cy="175260"/>
                      <wp:effectExtent l="0" t="0" r="0" b="0"/>
                      <wp:wrapNone/>
                      <wp:docPr id="317" name="Frame31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69925" cy="175260"/>
                      <wp:effectExtent l="0" t="0" r="0" b="0"/>
                      <wp:wrapNone/>
                      <wp:docPr id="318" name="Frame318"/>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151,963</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139,798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35,531</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31,327</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9,814</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computer equipment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23,657</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22,386</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3,693</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360,775</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244,739</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210,996</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163,885</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66,297</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49,175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under 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138,328</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83,553</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1,001,054</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750,055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(269,846)</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(233,158)</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731,208</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516,897</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depreciation and amortization expense was $16.7 million and $13.6 million for the three-months ended September 30, 2023 and 2022, respectively. Total depreciation and amortization expense was $46.1 million and $40.5 million for the nine-months ended September 30, 2023 and 2022,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960" w:name="Tc_RZkHaoTJgkmBfxZJnmkS6Q_7_5"/>
      <w:bookmarkStart w:id="1961" w:name="Tc_BVTM06hfCkm7sO2B83mdwg_7_2"/>
      <w:bookmarkStart w:id="1962" w:name="Tc_2OdNbgpr6Uma0HO91eS9sg_6_0"/>
      <w:bookmarkStart w:id="1963" w:name="Tc_7r1IvS9At0y2SqcEJboYSA_4_0"/>
      <w:bookmarkStart w:id="1964" w:name="Tc_ecwVLHt98k2MAD7UEH0Fng_3_5"/>
      <w:bookmarkStart w:id="1965" w:name="Tc_IAIPi3OBBU604x37X02clg_3_2"/>
      <w:bookmarkStart w:id="1966" w:name="Tc_WzYuYlA6-kijkKZCZutq0A_3_0"/>
      <w:bookmarkStart w:id="1967" w:name="Tc_uMgp0L55OkKspYuc6WcGQg_2_5"/>
      <w:bookmarkStart w:id="1968" w:name="Tc_nIMoRY5pVkmGuI9ddA8wdA_2_2"/>
      <w:bookmarkStart w:id="1969" w:name="Tc_Z_UfY28bsEixGn6TUEixSw_1_5"/>
      <w:bookmarkStart w:id="1970" w:name="Tc_94BSXdXgBkSERHG-pYyW6A_1_2"/>
      <w:bookmarkStart w:id="1971" w:name="_e9768743_e4a2_4b35_bdd8_e8f6ac51ab82"/>
      <w:bookmarkStart w:id="1972" w:name="Tc_X17Vz241BU6M8zRYCEAKZQ_6_14"/>
      <w:bookmarkStart w:id="1973" w:name="Tc_M36cSVRbm0qPGsUwRdKx0g_6_11"/>
      <w:bookmarkStart w:id="1974" w:name="Tc_GOcBredU5kCqkIIYu2RoHg_6_8"/>
      <w:bookmarkStart w:id="1975" w:name="Tc_a-YjK2yns0OaRvp1bMCL1g_6_5"/>
      <w:bookmarkStart w:id="1976" w:name="Tc_xWU-87zmIUqOUL2N6jnggw_6_2"/>
      <w:bookmarkStart w:id="1977" w:name="Tc_F3R2OfIic0S3SYXCATsAUg_6_0"/>
      <w:bookmarkStart w:id="1978" w:name="Tc_T388pUaItkKK7tfN9Rt5Jw_5_0"/>
      <w:bookmarkStart w:id="1979" w:name="Tc_jxympMUYLk6av8U7Jh6TGQ_4_14"/>
      <w:bookmarkStart w:id="1980" w:name="Tc_uIyt8iza3UW__aNq7E7Jlg_4_11"/>
      <w:bookmarkStart w:id="1981" w:name="Tc_-GjQeVUpr0Slo5X8G7KOXA_4_8"/>
      <w:bookmarkStart w:id="1982" w:name="Tc_nbAX7nWkNUGeJx_oe64Aqw_4_5"/>
      <w:bookmarkStart w:id="1983" w:name="Tc_fDl5pGXwxEm-8aT3byVjfQ_4_2"/>
      <w:bookmarkStart w:id="1984" w:name="Tc_Xw7G3jLAx0qHngukuYBJeg_4_0"/>
      <w:bookmarkStart w:id="1985" w:name="Tc_6hK_r0RUF068nkVjA_Ik-Q_3_14"/>
      <w:bookmarkStart w:id="1986" w:name="Tc_qSCYrn9GXkS6p0KPlhShAw_3_11"/>
      <w:bookmarkStart w:id="1987" w:name="Tc_HyY7KyByB0ONe4JOEiiR0A_3_8"/>
      <w:bookmarkStart w:id="1988" w:name="Tc_5Vh6rBoRHUeyS1npNwiUFg_3_5"/>
      <w:bookmarkStart w:id="1989" w:name="Tc_Q5hngKt3QEiWRDc8utG6fA_3_2"/>
      <w:bookmarkStart w:id="1990" w:name="Tc_7GTL3RlLI0W-Z-e5kN_Dhg_2_8"/>
      <w:bookmarkStart w:id="1991" w:name="Tc_X72nuhEg6UmIaxSclQYG7Q_2_5"/>
      <w:bookmarkStart w:id="1992" w:name="Tc_f-9_ARPnmE6_Cu9qqXQPjg_2_2"/>
      <w:bookmarkStart w:id="1993" w:name="Tc_cDCvayi6qkqSmzg1GMY-Mw_1_2"/>
      <w:bookmarkStart w:id="1994" w:name="_aed5bb4a_25e7_4df6_b4bb_6ba46d5c6895"/>
      <w:bookmarkStart w:id="1995" w:name="Tc_rQMHk537dkO-tKILMe_zMQ_6_14"/>
      <w:bookmarkStart w:id="1996" w:name="Tc_nvBNz3QnmUifkbqxtAB4rQ_6_11"/>
      <w:bookmarkStart w:id="1997" w:name="Tc_QsdNnGeOTUWPCDoB5c7cHQ_6_8"/>
      <w:bookmarkStart w:id="1998" w:name="Tc_Ysbm8ggie0yNWZRIbgLM4g_6_5"/>
      <w:bookmarkStart w:id="1999" w:name="Tc_OjrnzyiT8Ey4GlDokYpN1w_6_2"/>
      <w:bookmarkStart w:id="2000" w:name="Tc_C7h5EFNkGU-WBrRfwAKWzw_6_0"/>
      <w:bookmarkStart w:id="2001" w:name="Tc_YXAXEBk1fUKnK-HERdWcTw_5_0"/>
      <w:bookmarkStart w:id="2002" w:name="Tc_OfwV4K3qAUOADwt88s3zvA_4_14"/>
      <w:bookmarkStart w:id="2003" w:name="Tc_dsjyXBp6wUaHUneWWmjDLA_4_11"/>
      <w:bookmarkStart w:id="2004" w:name="Tc_dYCXHjMdu0WMV3nAGqJCDQ_4_8"/>
      <w:bookmarkStart w:id="2005" w:name="Tc_PLdFxY7mCk2LJH_J7kvzuA_4_5"/>
      <w:bookmarkStart w:id="2006" w:name="Tc_pbxCTxbKk0uPCE0Uwbactg_4_2"/>
      <w:bookmarkStart w:id="2007" w:name="Tc_RxzbsQqN6Ee_Eemx_UNfeA_4_0"/>
      <w:bookmarkStart w:id="2008" w:name="Tc_jd7D-pyD1EOBj1hnO0-OLQ_3_14"/>
      <w:bookmarkStart w:id="2009" w:name="Tc_GBlX9viYXUSenTgZWGMcew_3_11"/>
      <w:bookmarkStart w:id="2010" w:name="Tc_g1dkrgGxG0KlrjEdmaV3Fg_3_8"/>
      <w:bookmarkStart w:id="2011" w:name="Tc_QkTTDU2-4EyINpO0opk1Bg_3_5"/>
      <w:bookmarkStart w:id="2012" w:name="Tc_hYBLwm6vT06Iw2sh1dN2Fw_3_2"/>
      <w:bookmarkStart w:id="2013" w:name="Tc_-EA8LuemNEOqYRsqWShAkA_2_8"/>
      <w:bookmarkStart w:id="2014" w:name="Tc_975s017YVEq_HQ4m6X76jg_2_5"/>
      <w:bookmarkStart w:id="2015" w:name="Tc_CKm8JZOtf0SLy77lxefhag_2_2"/>
      <w:bookmarkStart w:id="2016" w:name="Tc_EA9QEA4GFk6cjORsFeD1QA_1_2"/>
      <w:bookmarkStart w:id="2017" w:name="_2e69e3ea_1eb2_4ded_a12e_71cac5175567"/>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r>
        <w:rPr>
          <w:rFonts w:ascii="Times New Roman;Times;serif" w:hAnsi="Times New Roman;Times;serif"/>
          <w:b w:val="false"/>
          <w:i w:val="false"/>
          <w:caps w:val="false"/>
          <w:smallCaps w:val="false"/>
          <w:sz w:val="20"/>
        </w:rPr>
        <w:t>10.</w:t>
      </w:r>
      <w:r>
        <w:rPr>
          <w:rFonts w:ascii="Times New Roman;Times;serif" w:hAnsi="Times New Roman;Times;serif"/>
          <w:sz w:val="20"/>
        </w:rPr>
        <w:t xml:space="preserve">GOODWILL AND OTHER INTANGIBLE ASSETS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a roll-forward of goodwill for the nine-months ended September 30, 2023 and 2022 by reportable segment:</w:t>
      </w:r>
    </w:p>
    <w:p>
      <w:pPr>
        <w:pStyle w:val="TextBody"/>
        <w:bidi w:val="0"/>
        <w:spacing w:before="0" w:after="0"/>
        <w:ind w:left="0" w:right="0" w:firstLine="720"/>
        <w:jc w:val="both"/>
        <w:rPr/>
      </w:pPr>
      <w:r>
        <w:rPr/>
        <w:t>​</w:t>
      </w:r>
    </w:p>
    <w:tbl>
      <w:tblPr>
        <w:tblW w:w="8946" w:type="dxa"/>
        <w:jc w:val="left"/>
        <w:tblInd w:w="0" w:type="dxa"/>
        <w:tblLayout w:type="fixed"/>
        <w:tblCellMar>
          <w:top w:w="0" w:type="dxa"/>
          <w:left w:w="0" w:type="dxa"/>
          <w:bottom w:w="0" w:type="dxa"/>
          <w:right w:w="0" w:type="dxa"/>
        </w:tblCellMar>
      </w:tblPr>
      <w:tblGrid>
        <w:gridCol w:w="2641"/>
        <w:gridCol w:w="326"/>
        <w:gridCol w:w="211"/>
        <w:gridCol w:w="781"/>
        <w:gridCol w:w="326"/>
        <w:gridCol w:w="211"/>
        <w:gridCol w:w="781"/>
        <w:gridCol w:w="326"/>
        <w:gridCol w:w="211"/>
        <w:gridCol w:w="676"/>
        <w:gridCol w:w="326"/>
        <w:gridCol w:w="211"/>
        <w:gridCol w:w="346"/>
        <w:gridCol w:w="326"/>
        <w:gridCol w:w="211"/>
        <w:gridCol w:w="1036"/>
      </w:tblGrid>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95935" cy="175260"/>
                      <wp:effectExtent l="0" t="0" r="0" b="0"/>
                      <wp:wrapNone/>
                      <wp:docPr id="321" name="Frame3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323" name="Frame3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95935" cy="175260"/>
                      <wp:effectExtent l="0" t="0" r="0" b="0"/>
                      <wp:wrapNone/>
                      <wp:docPr id="324" name="Frame3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29260" cy="175260"/>
                      <wp:effectExtent l="0" t="0" r="0" b="0"/>
                      <wp:wrapNone/>
                      <wp:docPr id="327" name="Frame3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9" name="Frame3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3985" cy="175260"/>
                      <wp:effectExtent l="0" t="0" r="0" b="0"/>
                      <wp:wrapNone/>
                      <wp:docPr id="332" name="Frame3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57860" cy="175260"/>
                      <wp:effectExtent l="0" t="0" r="0" b="0"/>
                      <wp:wrapNone/>
                      <wp:docPr id="333" name="Frame33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1,417,941</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1,417,941</w:t>
            </w:r>
          </w:p>
        </w:tc>
      </w:tr>
    </w:tbl>
    <w:p>
      <w:pPr>
        <w:pStyle w:val="TextBody"/>
        <w:bidi w:val="0"/>
        <w:spacing w:before="0" w:after="0"/>
        <w:ind w:left="0" w:right="0" w:hanging="0"/>
        <w:jc w:val="left"/>
        <w:rPr/>
      </w:pPr>
      <w:r>
        <w:rPr/>
        <w:t>​</w:t>
      </w:r>
    </w:p>
    <w:tbl>
      <w:tblPr>
        <w:tblW w:w="8946" w:type="dxa"/>
        <w:jc w:val="left"/>
        <w:tblInd w:w="0" w:type="dxa"/>
        <w:tblLayout w:type="fixed"/>
        <w:tblCellMar>
          <w:top w:w="0" w:type="dxa"/>
          <w:left w:w="0" w:type="dxa"/>
          <w:bottom w:w="0" w:type="dxa"/>
          <w:right w:w="0" w:type="dxa"/>
        </w:tblCellMar>
      </w:tblPr>
      <w:tblGrid>
        <w:gridCol w:w="2641"/>
        <w:gridCol w:w="326"/>
        <w:gridCol w:w="211"/>
        <w:gridCol w:w="781"/>
        <w:gridCol w:w="326"/>
        <w:gridCol w:w="211"/>
        <w:gridCol w:w="781"/>
        <w:gridCol w:w="326"/>
        <w:gridCol w:w="211"/>
        <w:gridCol w:w="676"/>
        <w:gridCol w:w="326"/>
        <w:gridCol w:w="211"/>
        <w:gridCol w:w="346"/>
        <w:gridCol w:w="326"/>
        <w:gridCol w:w="211"/>
        <w:gridCol w:w="1036"/>
      </w:tblGrid>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35"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95935" cy="175260"/>
                      <wp:effectExtent l="0" t="0" r="0" b="0"/>
                      <wp:wrapNone/>
                      <wp:docPr id="336" name="Frame3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7"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3985" cy="175260"/>
                      <wp:effectExtent l="0" t="0" r="0" b="0"/>
                      <wp:wrapNone/>
                      <wp:docPr id="338" name="Frame3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95935" cy="175260"/>
                      <wp:effectExtent l="0" t="0" r="0" b="0"/>
                      <wp:wrapNone/>
                      <wp:docPr id="339" name="Frame3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260"/>
                      <wp:effectExtent l="0" t="0" r="0" b="0"/>
                      <wp:wrapNone/>
                      <wp:docPr id="341" name="Frame3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29260" cy="175260"/>
                      <wp:effectExtent l="0" t="0" r="0" b="0"/>
                      <wp:wrapNone/>
                      <wp:docPr id="342" name="Frame3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7" name="Frame3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57860" cy="175260"/>
                      <wp:effectExtent l="0" t="0" r="0" b="0"/>
                      <wp:wrapNone/>
                      <wp:docPr id="348" name="Frame34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1,331,643</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81,298</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1,412,941</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Intangible assets consist of the following at:</w:t>
      </w:r>
    </w:p>
    <w:p>
      <w:pPr>
        <w:pStyle w:val="TextBody"/>
        <w:bidi w:val="0"/>
        <w:spacing w:before="0" w:after="0"/>
        <w:ind w:left="0" w:right="0" w:firstLine="720"/>
        <w:jc w:val="both"/>
        <w:rPr/>
      </w:pPr>
      <w:r>
        <w:rPr/>
        <w:t>​</w:t>
      </w:r>
    </w:p>
    <w:tbl>
      <w:tblPr>
        <w:tblW w:w="5633" w:type="dxa"/>
        <w:jc w:val="left"/>
        <w:tblInd w:w="0" w:type="dxa"/>
        <w:tblLayout w:type="fixed"/>
        <w:tblCellMar>
          <w:top w:w="0" w:type="dxa"/>
          <w:left w:w="0" w:type="dxa"/>
          <w:bottom w:w="0" w:type="dxa"/>
          <w:right w:w="0" w:type="dxa"/>
        </w:tblCellMar>
      </w:tblPr>
      <w:tblGrid>
        <w:gridCol w:w="2371"/>
        <w:gridCol w:w="326"/>
        <w:gridCol w:w="240"/>
        <w:gridCol w:w="1065"/>
        <w:gridCol w:w="326"/>
        <w:gridCol w:w="220"/>
        <w:gridCol w:w="1085"/>
      </w:tblGrid>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52400" cy="175260"/>
                      <wp:effectExtent l="0" t="0" r="0" b="0"/>
                      <wp:wrapNone/>
                      <wp:docPr id="350" name="Frame35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76275" cy="175260"/>
                      <wp:effectExtent l="0" t="0" r="0" b="0"/>
                      <wp:wrapNone/>
                      <wp:docPr id="351" name="Frame351"/>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9700" cy="175260"/>
                      <wp:effectExtent l="0" t="0" r="0" b="0"/>
                      <wp:wrapNone/>
                      <wp:docPr id="353" name="Frame353"/>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88975" cy="175260"/>
                      <wp:effectExtent l="0" t="0" r="0" b="0"/>
                      <wp:wrapNone/>
                      <wp:docPr id="354" name="Frame354"/>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Amortizing intangibles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144,378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121,378</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(73,007)</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(68,790)</w:t>
            </w:r>
          </w:p>
        </w:tc>
      </w:tr>
      <w:tr>
        <w:trPr/>
        <w:tc>
          <w:tcPr>
            <w:tcW w:w="23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71,371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52,588</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Non-amortizing intangibles</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1,388,076</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1,167,822</w:t>
            </w:r>
          </w:p>
        </w:tc>
      </w:tr>
      <w:tr>
        <w:trPr/>
        <w:tc>
          <w:tcPr>
            <w:tcW w:w="23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1,459,447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1,220,410</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2018" w:name="Tc_868oyKGz-EaVcpwsUvoF6w_7_2"/>
      <w:bookmarkStart w:id="2019" w:name="Tc_XkaDLXxsxUGxrXOw9YS3Vw_6_0"/>
      <w:bookmarkStart w:id="2020" w:name="Tc_Vq0FUTBT_02VxHyzra3UbA_5_0"/>
      <w:bookmarkStart w:id="2021" w:name="Tc_KQ1AC-Gnekef2ahirgnvEg_4_0"/>
      <w:bookmarkStart w:id="2022" w:name="Tc_rdmGr4JxUEaKxMRp72s84A_3_0"/>
      <w:bookmarkStart w:id="2023" w:name="Tc_zpzWL9FzBEOGKz6w7MdLLA_2_0"/>
      <w:bookmarkStart w:id="2024" w:name="Tc_Pp_BIrUze0mN8bkzxIsRsw_1_2"/>
      <w:bookmarkStart w:id="2025" w:name="Tc_MtgyMLgSJ0CWIyszoq-I8Q_1_0"/>
      <w:bookmarkEnd w:id="2018"/>
      <w:bookmarkEnd w:id="2019"/>
      <w:bookmarkEnd w:id="2020"/>
      <w:bookmarkEnd w:id="2021"/>
      <w:bookmarkEnd w:id="2022"/>
      <w:bookmarkEnd w:id="2023"/>
      <w:bookmarkEnd w:id="2024"/>
      <w:bookmarkEnd w:id="2025"/>
      <w:r>
        <w:rPr>
          <w:rFonts w:ascii="Times New Roman;Times;serif" w:hAnsi="Times New Roman;Times;serif"/>
          <w:sz w:val="20"/>
        </w:rPr>
        <w:t xml:space="preserve">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to fifteen years. Total amortization expense was $1.3 million and $2.0 million for the three-months ended September 30, 2023 and 2022, respectively. Total amortization expense was $4.2 million and $5.6 million for the nine-months ended September 30, 2023 and 2022, respectively. For the three-months ended September 30, 2023, no intangible impairments were recorded. For the nine-months ended September 30, 2023, impairment charges of $2.8 million were recorded to non-amortizing intangibles. For the three- and nine-months ended September 30, 2022, no intangible impairments were recorded.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the future estimated amortization expense related to amortizing intangibles as of September 30, 2023:</w:t>
      </w:r>
    </w:p>
    <w:p>
      <w:pPr>
        <w:pStyle w:val="TextBody"/>
        <w:bidi w:val="0"/>
        <w:spacing w:before="0" w:after="0"/>
        <w:ind w:left="0" w:right="0" w:firstLine="720"/>
        <w:jc w:val="both"/>
        <w:rPr/>
      </w:pPr>
      <w:r>
        <w:rPr/>
        <w:t>​</w:t>
      </w:r>
    </w:p>
    <w:tbl>
      <w:tblPr>
        <w:tblW w:w="5579" w:type="dxa"/>
        <w:jc w:val="left"/>
        <w:tblInd w:w="0" w:type="dxa"/>
        <w:tblLayout w:type="fixed"/>
        <w:tblCellMar>
          <w:top w:w="0" w:type="dxa"/>
          <w:left w:w="0" w:type="dxa"/>
          <w:bottom w:w="0" w:type="dxa"/>
          <w:right w:w="0" w:type="dxa"/>
        </w:tblCellMar>
      </w:tblPr>
      <w:tblGrid>
        <w:gridCol w:w="4261"/>
        <w:gridCol w:w="326"/>
        <w:gridCol w:w="211"/>
        <w:gridCol w:w="781"/>
      </w:tblGrid>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95935" cy="175260"/>
                      <wp:effectExtent l="0" t="0" r="0" b="0"/>
                      <wp:wrapNone/>
                      <wp:docPr id="357" name="Frame3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 (from October 1, 2023 to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5,948</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5,947</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5,947</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5,946</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 and 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46,096</w:t>
            </w:r>
          </w:p>
        </w:tc>
      </w:tr>
      <w:tr>
        <w:trPr/>
        <w:tc>
          <w:tcPr>
            <w:tcW w:w="42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71,371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p>
    <w:tbl>
      <w:tblPr>
        <w:tblW w:w="3212" w:type="dxa"/>
        <w:jc w:val="left"/>
        <w:tblInd w:w="0" w:type="dxa"/>
        <w:tblLayout w:type="fixed"/>
        <w:tblCellMar>
          <w:top w:w="0" w:type="dxa"/>
          <w:left w:w="0" w:type="dxa"/>
          <w:bottom w:w="0" w:type="dxa"/>
          <w:right w:w="0" w:type="dxa"/>
        </w:tblCellMar>
      </w:tblPr>
      <w:tblGrid>
        <w:gridCol w:w="376"/>
        <w:gridCol w:w="2836"/>
      </w:tblGrid>
      <w:tr>
        <w:trPr/>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11.</w:t>
            </w:r>
          </w:p>
        </w:tc>
        <w:tc>
          <w:tcPr>
            <w:tcW w:w="283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DISTRIBUTION AGREEMENTS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normal course of business, amounts received pursuant to new and/or amended distribution agreements entered into with certain bottlers/distributors, relating to the costs associated with terminating agreements with the Company’s prior distributors, or at the inception of certain sales/marketing programs are accounted for as deferred revenue and are recognized as revenue ratably over the anticipated life of the respective agreement, generally 20 years or program duration, as the case may be. Revenue recognized was $10.0 million for both the three-months ended September 30, 2023 and 2022. Revenue recognized was $30.0 million for both the nine-months ended September 30, 2023 and 2022.</w:t>
      </w:r>
    </w:p>
    <w:p>
      <w:pPr>
        <w:pStyle w:val="TextBody"/>
        <w:bidi w:val="0"/>
        <w:spacing w:before="0" w:after="0"/>
        <w:ind w:left="0" w:right="0" w:firstLine="720"/>
        <w:jc w:val="both"/>
        <w:rPr/>
      </w:pPr>
      <w:r>
        <w:rPr/>
        <w:t>​</w:t>
      </w:r>
    </w:p>
    <w:tbl>
      <w:tblPr>
        <w:tblW w:w="4022" w:type="dxa"/>
        <w:jc w:val="left"/>
        <w:tblInd w:w="0" w:type="dxa"/>
        <w:tblLayout w:type="fixed"/>
        <w:tblCellMar>
          <w:top w:w="0" w:type="dxa"/>
          <w:left w:w="0" w:type="dxa"/>
          <w:bottom w:w="0" w:type="dxa"/>
          <w:right w:w="0" w:type="dxa"/>
        </w:tblCellMar>
      </w:tblPr>
      <w:tblGrid>
        <w:gridCol w:w="376"/>
        <w:gridCol w:w="3646"/>
      </w:tblGrid>
      <w:tr>
        <w:trPr/>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12.</w:t>
            </w:r>
          </w:p>
        </w:tc>
        <w:tc>
          <w:tcPr>
            <w:tcW w:w="36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COMMITMENTS AND CONTINGENCIES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had purchase commitments aggregating approximately $269.9 million at September 30, 2023, which represented commitments made by the Company and its subsidiaries to various suppliers of raw materials for the production of its products. These obligations vary in terms, but are generally satisfied within one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had contractual obligations aggregating approximately $451.3 million at September 30, 2023, which related primarily to sponsorships and other marketing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a credit facility with HSBC Bank (China) Company Limited, Shanghai Branch, of $15.0 million. At September 30, 2023, the interest rate on borrowings under the line of credit was 5.5%. As of September 30, 2023, no amounts were outstanding on this line of credit.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Litigation</w:t>
      </w:r>
      <w:r>
        <w:rPr>
          <w:rFonts w:ascii="Times New Roman;Times;serif" w:hAnsi="Times New Roman;Times;serif"/>
          <w:sz w:val="20"/>
        </w:rPr>
        <w:t xml:space="preserve"> — From time to time in the normal course of business, the Company is named in litigation, including labor and 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evaluates, on a quarterly basis, developments in legal proceedings and other matters that could cause an increase or decrease in the amount of the liability that is accrued, if any, and any related insurance reimbursements. As of September 30, 2023, $0.3 million of loss contingencies were included in the Company’s accompanying consolidated balance sheet. As of December 31, 2022, no loss contingencies were included in the Company’s accompanying consolidated balance sheet.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29, 2022, a jury in the U.S. District Court for the Central District of California (the “District Court”) awarded Monster Energy Company (“MEC”) approximately $293 million in damages in its false advertising and trade secrets case (the “Jury Award”) against Vital Pharmaceuticals, Inc. (“VPX”), the maker of Bang Energy. The jury found VPX and its former chief executive officer John H. Owoc to have falsely advertised the “Super Creatine” ingredient of Bang Energy and to have acted willfully and deliberately in violating the federal Lanham Act. The jury also found that VPX stole trade secrets and interfered with MEC’s contracts over shelf space with certain key vendors. On April 12, 2023, the District Court granted Monster’s motion for a permanent injunction which, among other things, enjoined VPX, Mr. Owoc, and others working in concert with them from falsely or deceptively claiming that BANG or any other beverages contain creatine or a form of creatine, requires them to remove all such advertising within 60 days, and required VPX and Mr. Owoc to issue corrective statements to consumers and non-consumer partners, including retailers and 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April 2022, MEC and Orange Bang, Inc. (“Orange Bang”) filed a joint motion in a separate District Court action to confirm a final arbitration award against VPX that awarded MEC and Orange Bang $175.0 million and a 5% royalty on all future sales of VPX’s Bang Energy drink and other Bang-branded products as well as certain fees and costs (the “Arbitration Award”). The arbitration arose from a settlement agreement that VPX entered into in 2010 with Orange Bang, a family-owned beverage business. Pursuant to the terms of that agreement, VPX is only permitted to use the Bang mark on “creatine-based” products or on Bang products that are marketed and sold only in the vitamin and dietary supplement sections of stores. On September 29, 2022, the District Court entered final judgment confirming the Arbitration Award. On October 28, 2022, VPX filed a notice of appeal of the District Court’s final judgment confirming the Arbitration award.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10, 2022, VPX, along with certain of its domestic subsidiaries and affiliates, filed for protection under Chapter 11 of the Bankruptcy Code in the Southern District of Florida. Due to such ongoing proceedings, VPX’s appeal of the District Court’s final judgment confirming the Arbitration Award was stayed. While reserving all rights to appeal, VPX made its first royalty payment of $3.6 million on February 14, 2023, which is for sales of Bang Energy drink and other Bang-branded products from October 10, 2022 through December 31, 2022. On May 25, 2023, VPX made an additional royalty payment in the amount of approximately $3.7 million for sales of Bang-branded products from January 1, 2023 through March 31, 2023. Per ASC 450 “Contingencies”, the Company will not recognize the royalty payments until they are realized or realizable.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28, 2023, VPX and certain of its affiliates (“Bang Energy”) entered into an Asset Purchase Agreement (the “APA”) with the Company (“Buyer”), which among other things, provided for the Buyer’s acquisition of substantially all of Bang Energy’s assets. The transactions contemplated by the APA were approved by the U.S. Bankruptcy Court for the Southern District of Florida  (the “Bankruptcy Court”) on July 14, 2023 and closed on July 31, 2023, at which time Monster was deemed to have allowed general unsecured claims in VPX’s bankruptcy case relating to the Jury Award (subject to the potential modification of the Jury Award in light of pending post-verdict motions filed by MEC and VPX) and the Arbitration Award. Pursuant to the APA, Bang Energy and the Company have mutually released each other from all claims and liabilities related to the Jury Award and the Arbitration Award, except (i) any claims that the Company might have against Mr. Owoc in relation to the Jury Award and (ii) the Bankruptcy Court’s allowance of the Company’s unsecured claims in an amount of approximately $422.0 million. Per ASC 450 “Contingencies”, the Company will not recognize the allowed general unsecured claims as it relates to VPX and its affiliates, or the Jury Award as it relates to Mr. Owoc, until they are realized or realizable.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June 2023, the Company entered into an agreement with Orange Bang regarding the Company’s use and registration of certain Bang® trademarks and trade names. Under this agreement, the Company paid Orange Bang a one-time payment of approximately $12.5 million and will pay a 2.5% royalty on the Company’s sales of products bearing the tradename Bang®.</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October 31, 2023, the Bankruptcy Court overseeing the chapter 11 cases  of VPX and its affiliates confirmed the VPX and affiliates Plan of Reorganization that, among other things, made no modification to Monster’s allowed unsecured claims. As part of the Plan of Reorganization, a Liquidating Trust is formed to pursue all claims not released under the Plan of Reorganization, and to liquidate any assets still owned by VPX and its affiliates. The Company has one of three seats on the Oversight Board that oversees the appointed Liquidating Trustee’s efforts to pursue litigation and otherwise liquidate any remaining assets. As provided herein, per ASC 450 “Contingencies”, the Company will not recognize the allowed unsecured claims until they are realized or realizable.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026" w:name="Tc_Wv__lGssGU6wxnlnonVFhg_8_11"/>
      <w:bookmarkStart w:id="2027" w:name="Tc_9XWH1tMBoUWcwK-jQCsm4A_8_8"/>
      <w:bookmarkStart w:id="2028" w:name="Tc_GsRBa1mf1UaBPJa9gmLoyg_8_5"/>
      <w:bookmarkStart w:id="2029" w:name="Tc_5ZMdmH5aAkiTA1I8i-ts5g_8_2"/>
      <w:bookmarkStart w:id="2030" w:name="Tc_dMF96DCdZkyA-PsdsXrt-A_8_0"/>
      <w:bookmarkStart w:id="2031" w:name="Tc_InQt0e9MNkCk2EV1DcsfrQ_7_0"/>
      <w:bookmarkStart w:id="2032" w:name="Tc_dpJ4Tbu-rUCOO89-IJxyRg_6_0"/>
      <w:bookmarkStart w:id="2033" w:name="Tc_Xlkmo_xtUUKBdjitofDVLA_5_11"/>
      <w:bookmarkStart w:id="2034" w:name="Tc_VAjaJlNssUitfJ0i1hN8dQ_5_8"/>
      <w:bookmarkStart w:id="2035" w:name="Tc_2hfqS1pBK0iFafqjaoCATg_5_5"/>
      <w:bookmarkStart w:id="2036" w:name="Tc_STB1Pnu3Xk6i2KS1qoyJZQ_5_2"/>
      <w:bookmarkStart w:id="2037" w:name="Tc_QnHiNiyYH0-nOs6wz6_0jw_5_0"/>
      <w:bookmarkStart w:id="2038" w:name="Tc_PZEKHXJciUWTSEcSZyD9jw_4_11"/>
      <w:bookmarkStart w:id="2039" w:name="Tc_lw6ryrrYGkyGLXGEGsJXbw_4_8"/>
      <w:bookmarkStart w:id="2040" w:name="Tc_UAKSPP8y8Eie4SiWbnzY1Q_4_5"/>
      <w:bookmarkStart w:id="2041" w:name="Tc_ckb_64ae00m6Zfcb_LsZTg_4_2"/>
      <w:bookmarkStart w:id="2042" w:name="Tc_CvlGywc6FkCuzF193ipvZg_3_8"/>
      <w:bookmarkStart w:id="2043" w:name="Tc_3qIk2Sr0HEOHUvyhAlWzZA_3_5"/>
      <w:bookmarkStart w:id="2044" w:name="Tc_koSa9ngmakm9u0n2hb7AVg_3_2"/>
      <w:bookmarkStart w:id="2045" w:name="Tc_hjVSOhmjeU2ORkUSQNT3Og_2_8"/>
      <w:bookmarkStart w:id="2046" w:name="Tc_ZoRaXZnCbEGN09aU09tTYg_2_5"/>
      <w:bookmarkStart w:id="2047" w:name="Tc_oeCzaowlD0WsHPjf23QF1Q_2_2"/>
      <w:bookmarkStart w:id="2048" w:name="Tc_7eyaPLM3VEme3FsD36IPnw_1_8"/>
      <w:bookmarkStart w:id="2049" w:name="Tc_Rw_nJyNqUUiC-hZY2xnIpg_1_2"/>
      <w:bookmarkStart w:id="2050" w:name="_54819f0d_37fa_4553_ae63_2f683f059320"/>
      <w:bookmarkStart w:id="2051" w:name="Tc_cLsYp9XowEmiHchjWUl_TA_8_11"/>
      <w:bookmarkStart w:id="2052" w:name="Tc_Q7LUgsr9wUumHlT6zpS7eQ_8_8"/>
      <w:bookmarkStart w:id="2053" w:name="Tc_a-zyfN5Mw0yQc4-jlZAt5w_8_5"/>
      <w:bookmarkStart w:id="2054" w:name="Tc_wG30R__ZV02bHwNzC4b15A_8_2"/>
      <w:bookmarkStart w:id="2055" w:name="Tc_74xt0XzZ3EWbcEP_KxV6AQ_8_0"/>
      <w:bookmarkStart w:id="2056" w:name="Tc_FzVFiVSViUSb3isYQYWGTw_7_0"/>
      <w:bookmarkStart w:id="2057" w:name="Tc_mHOLXelMg0uKDQOMhSvXig_6_0"/>
      <w:bookmarkStart w:id="2058" w:name="Tc_UIOXRZQRKE2tA15YCI8bZw_5_11"/>
      <w:bookmarkStart w:id="2059" w:name="Tc_qkciz2qlAEm6X-Fd1O9-aw_5_8"/>
      <w:bookmarkStart w:id="2060" w:name="Tc_-GipI9ZFBUGZiyMJSWppXQ_5_5"/>
      <w:bookmarkStart w:id="2061" w:name="Tc_sy0PTBwrMkSwXqUoMPY63A_5_2"/>
      <w:bookmarkStart w:id="2062" w:name="Tc_GwXbuEJhykia5gO0RoYGrA_5_0"/>
      <w:bookmarkStart w:id="2063" w:name="Tc_1HoTTWKUR0SsTtSb6uiJ6w_4_11"/>
      <w:bookmarkStart w:id="2064" w:name="Tc_Xk_heyj1-UK0hR6BkckJPA_4_8"/>
      <w:bookmarkStart w:id="2065" w:name="Tc_7PZ28RjVUEqzwTtu1fiDag_4_5"/>
      <w:bookmarkStart w:id="2066" w:name="Tc_QqS7BLe0qEWJm2wuMRv81Q_4_2"/>
      <w:bookmarkStart w:id="2067" w:name="Tc_ChTEz3TH0E6bCgzHtZet0A_3_8"/>
      <w:bookmarkStart w:id="2068" w:name="Tc_rMMUThrykkKOsLt7FPkBIQ_3_5"/>
      <w:bookmarkStart w:id="2069" w:name="Tc_2_fe5pE9x0GXGE5ad9uYmA_3_2"/>
      <w:bookmarkStart w:id="2070" w:name="Tc_C2t3uV_pg06rFRHGNxrSkQ_2_8"/>
      <w:bookmarkStart w:id="2071" w:name="Tc_IeplMAxz8EuKGo5qXxxKeQ_2_5"/>
      <w:bookmarkStart w:id="2072" w:name="Tc_DHpJy4lbNE2g8snHxuhfuA_2_2"/>
      <w:bookmarkStart w:id="2073" w:name="Tc_YLsHBAPGfkmAz1UtlJ8UoA_1_8"/>
      <w:bookmarkStart w:id="2074" w:name="Tc_Ng75JyIVZUmbkKi9Q0FdYg_1_2"/>
      <w:bookmarkStart w:id="2075" w:name="_ce60d7f1_6680_451d_83ad_c274debf5c64"/>
      <w:bookmarkStart w:id="2076" w:name="Tc_Wv__lGssGU6wxnlnonVFhg_8_11"/>
      <w:bookmarkStart w:id="2077" w:name="Tc_9XWH1tMBoUWcwK-jQCsm4A_8_8"/>
      <w:bookmarkStart w:id="2078" w:name="Tc_GsRBa1mf1UaBPJa9gmLoyg_8_5"/>
      <w:bookmarkStart w:id="2079" w:name="Tc_5ZMdmH5aAkiTA1I8i-ts5g_8_2"/>
      <w:bookmarkStart w:id="2080" w:name="Tc_dMF96DCdZkyA-PsdsXrt-A_8_0"/>
      <w:bookmarkStart w:id="2081" w:name="Tc_InQt0e9MNkCk2EV1DcsfrQ_7_0"/>
      <w:bookmarkStart w:id="2082" w:name="Tc_dpJ4Tbu-rUCOO89-IJxyRg_6_0"/>
      <w:bookmarkStart w:id="2083" w:name="Tc_Xlkmo_xtUUKBdjitofDVLA_5_11"/>
      <w:bookmarkStart w:id="2084" w:name="Tc_VAjaJlNssUitfJ0i1hN8dQ_5_8"/>
      <w:bookmarkStart w:id="2085" w:name="Tc_2hfqS1pBK0iFafqjaoCATg_5_5"/>
      <w:bookmarkStart w:id="2086" w:name="Tc_STB1Pnu3Xk6i2KS1qoyJZQ_5_2"/>
      <w:bookmarkStart w:id="2087" w:name="Tc_QnHiNiyYH0-nOs6wz6_0jw_5_0"/>
      <w:bookmarkStart w:id="2088" w:name="Tc_PZEKHXJciUWTSEcSZyD9jw_4_11"/>
      <w:bookmarkStart w:id="2089" w:name="Tc_lw6ryrrYGkyGLXGEGsJXbw_4_8"/>
      <w:bookmarkStart w:id="2090" w:name="Tc_UAKSPP8y8Eie4SiWbnzY1Q_4_5"/>
      <w:bookmarkStart w:id="2091" w:name="Tc_ckb_64ae00m6Zfcb_LsZTg_4_2"/>
      <w:bookmarkStart w:id="2092" w:name="Tc_CvlGywc6FkCuzF193ipvZg_3_8"/>
      <w:bookmarkStart w:id="2093" w:name="Tc_3qIk2Sr0HEOHUvyhAlWzZA_3_5"/>
      <w:bookmarkStart w:id="2094" w:name="Tc_koSa9ngmakm9u0n2hb7AVg_3_2"/>
      <w:bookmarkStart w:id="2095" w:name="Tc_hjVSOhmjeU2ORkUSQNT3Og_2_8"/>
      <w:bookmarkStart w:id="2096" w:name="Tc_ZoRaXZnCbEGN09aU09tTYg_2_5"/>
      <w:bookmarkStart w:id="2097" w:name="Tc_oeCzaowlD0WsHPjf23QF1Q_2_2"/>
      <w:bookmarkStart w:id="2098" w:name="Tc_7eyaPLM3VEme3FsD36IPnw_1_8"/>
      <w:bookmarkStart w:id="2099" w:name="Tc_Rw_nJyNqUUiC-hZY2xnIpg_1_2"/>
      <w:bookmarkStart w:id="2100" w:name="_54819f0d_37fa_4553_ae63_2f683f059320"/>
      <w:bookmarkStart w:id="2101" w:name="Tc_cLsYp9XowEmiHchjWUl_TA_8_11"/>
      <w:bookmarkStart w:id="2102" w:name="Tc_Q7LUgsr9wUumHlT6zpS7eQ_8_8"/>
      <w:bookmarkStart w:id="2103" w:name="Tc_a-zyfN5Mw0yQc4-jlZAt5w_8_5"/>
      <w:bookmarkStart w:id="2104" w:name="Tc_wG30R__ZV02bHwNzC4b15A_8_2"/>
      <w:bookmarkStart w:id="2105" w:name="Tc_74xt0XzZ3EWbcEP_KxV6AQ_8_0"/>
      <w:bookmarkStart w:id="2106" w:name="Tc_FzVFiVSViUSb3isYQYWGTw_7_0"/>
      <w:bookmarkStart w:id="2107" w:name="Tc_mHOLXelMg0uKDQOMhSvXig_6_0"/>
      <w:bookmarkStart w:id="2108" w:name="Tc_UIOXRZQRKE2tA15YCI8bZw_5_11"/>
      <w:bookmarkStart w:id="2109" w:name="Tc_qkciz2qlAEm6X-Fd1O9-aw_5_8"/>
      <w:bookmarkStart w:id="2110" w:name="Tc_-GipI9ZFBUGZiyMJSWppXQ_5_5"/>
      <w:bookmarkStart w:id="2111" w:name="Tc_sy0PTBwrMkSwXqUoMPY63A_5_2"/>
      <w:bookmarkStart w:id="2112" w:name="Tc_GwXbuEJhykia5gO0RoYGrA_5_0"/>
      <w:bookmarkStart w:id="2113" w:name="Tc_1HoTTWKUR0SsTtSb6uiJ6w_4_11"/>
      <w:bookmarkStart w:id="2114" w:name="Tc_Xk_heyj1-UK0hR6BkckJPA_4_8"/>
      <w:bookmarkStart w:id="2115" w:name="Tc_7PZ28RjVUEqzwTtu1fiDag_4_5"/>
      <w:bookmarkStart w:id="2116" w:name="Tc_QqS7BLe0qEWJm2wuMRv81Q_4_2"/>
      <w:bookmarkStart w:id="2117" w:name="Tc_ChTEz3TH0E6bCgzHtZet0A_3_8"/>
      <w:bookmarkStart w:id="2118" w:name="Tc_rMMUThrykkKOsLt7FPkBIQ_3_5"/>
      <w:bookmarkStart w:id="2119" w:name="Tc_2_fe5pE9x0GXGE5ad9uYmA_3_2"/>
      <w:bookmarkStart w:id="2120" w:name="Tc_C2t3uV_pg06rFRHGNxrSkQ_2_8"/>
      <w:bookmarkStart w:id="2121" w:name="Tc_IeplMAxz8EuKGo5qXxxKeQ_2_5"/>
      <w:bookmarkStart w:id="2122" w:name="Tc_DHpJy4lbNE2g8snHxuhfuA_2_2"/>
      <w:bookmarkStart w:id="2123" w:name="Tc_YLsHBAPGfkmAz1UtlJ8UoA_1_8"/>
      <w:bookmarkStart w:id="2124" w:name="Tc_Ng75JyIVZUmbkKi9Q0FdYg_1_2"/>
      <w:bookmarkStart w:id="2125" w:name="_ce60d7f1_6680_451d_83ad_c274debf5c64"/>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p>
    <w:tbl>
      <w:tblPr>
        <w:tblW w:w="4877" w:type="dxa"/>
        <w:jc w:val="left"/>
        <w:tblInd w:w="0" w:type="dxa"/>
        <w:tblLayout w:type="fixed"/>
        <w:tblCellMar>
          <w:top w:w="0" w:type="dxa"/>
          <w:left w:w="0" w:type="dxa"/>
          <w:bottom w:w="0" w:type="dxa"/>
          <w:right w:w="0" w:type="dxa"/>
        </w:tblCellMar>
      </w:tblPr>
      <w:tblGrid>
        <w:gridCol w:w="376"/>
        <w:gridCol w:w="4501"/>
      </w:tblGrid>
      <w:tr>
        <w:trPr/>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13.</w:t>
            </w:r>
          </w:p>
        </w:tc>
        <w:tc>
          <w:tcPr>
            <w:tcW w:w="450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ACCUMULATED OTHER COMPREHENSIVE LOSS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Changes in accumulated other comprehensive loss by component, after tax, for the nine-months ended September 30, 2023 and 2022 are as follows:</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3866"/>
        <w:gridCol w:w="326"/>
        <w:gridCol w:w="329"/>
        <w:gridCol w:w="891"/>
        <w:gridCol w:w="326"/>
        <w:gridCol w:w="235"/>
        <w:gridCol w:w="994"/>
        <w:gridCol w:w="326"/>
        <w:gridCol w:w="363"/>
        <w:gridCol w:w="1073"/>
        <w:gridCol w:w="326"/>
        <w:gridCol w:w="211"/>
        <w:gridCol w:w="939"/>
      </w:tblGrid>
      <w:tr>
        <w:trPr/>
        <w:tc>
          <w:tcPr>
            <w:tcW w:w="3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65785" cy="175260"/>
                      <wp:effectExtent l="0" t="0" r="0" b="0"/>
                      <wp:wrapNone/>
                      <wp:docPr id="358" name="Frame358"/>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49225" cy="175260"/>
                      <wp:effectExtent l="0" t="0" r="0" b="0"/>
                      <wp:wrapNone/>
                      <wp:docPr id="360" name="Frame360"/>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31190" cy="175260"/>
                      <wp:effectExtent l="0" t="0" r="0" b="0"/>
                      <wp:wrapNone/>
                      <wp:docPr id="361" name="Frame361"/>
                      <a:graphic xmlns:a="http://schemas.openxmlformats.org/drawingml/2006/main">
                        <a:graphicData uri="http://schemas.microsoft.com/office/word/2010/wordprocessingShape">
                          <wps:wsp>
                            <wps:cNvSpPr txBox="1"/>
                            <wps:spPr>
                              <a:xfrm>
                                <a:off x="0" y="0"/>
                                <a:ext cx="631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2" name="Frame3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30505" cy="175260"/>
                      <wp:effectExtent l="0" t="0" r="0" b="0"/>
                      <wp:wrapNone/>
                      <wp:docPr id="363" name="Frame363"/>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81355" cy="175260"/>
                      <wp:effectExtent l="0" t="0" r="0" b="0"/>
                      <wp:wrapNone/>
                      <wp:docPr id="364" name="Frame364"/>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65" name="Frame3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6"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596265" cy="175260"/>
                      <wp:effectExtent l="0" t="0" r="0" b="0"/>
                      <wp:wrapNone/>
                      <wp:docPr id="367" name="Frame367"/>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Accumulated </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9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left"/>
              <w:rPr/>
            </w:pPr>
            <w:r>
              <w:rPr/>
              <w:t>​</w:t>
            </w:r>
          </w:p>
        </w:tc>
      </w:tr>
      <w:tr>
        <w:trPr/>
        <w:tc>
          <w:tcPr>
            <w:tcW w:w="3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Net Gains on </w:t>
            </w:r>
          </w:p>
        </w:tc>
        <w:tc>
          <w:tcPr>
            <w:tcW w:w="326" w:type="dxa"/>
            <w:tcBorders/>
            <w:vAlign w:val="center"/>
          </w:tcPr>
          <w:p>
            <w:pPr>
              <w:pStyle w:val="TableContents"/>
              <w:bidi w:val="0"/>
              <w:spacing w:before="0" w:after="0"/>
              <w:ind w:left="0" w:right="0" w:hanging="0"/>
              <w:jc w:val="left"/>
              <w:rPr/>
            </w:pPr>
            <w:r>
              <w:rPr/>
              <w:t>    </w:t>
            </w:r>
          </w:p>
        </w:tc>
        <w:tc>
          <w:tcPr>
            <w:tcW w:w="122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Currency</w:t>
            </w:r>
          </w:p>
        </w:tc>
        <w:tc>
          <w:tcPr>
            <w:tcW w:w="326" w:type="dxa"/>
            <w:tcBorders/>
            <w:vAlign w:val="center"/>
          </w:tcPr>
          <w:p>
            <w:pPr>
              <w:pStyle w:val="TableContents"/>
              <w:bidi w:val="0"/>
              <w:spacing w:before="0" w:after="0"/>
              <w:ind w:left="0" w:right="0" w:hanging="0"/>
              <w:jc w:val="left"/>
              <w:rPr/>
            </w:pPr>
            <w:r>
              <w:rPr/>
              <w:t>    </w:t>
            </w:r>
          </w:p>
        </w:tc>
        <w:tc>
          <w:tcPr>
            <w:tcW w:w="14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 (Losses)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center"/>
              <w:rPr/>
            </w:pPr>
            <w:r>
              <w:rPr/>
              <w:t>​</w:t>
            </w:r>
          </w:p>
        </w:tc>
      </w:tr>
      <w:tr>
        <w:trPr/>
        <w:tc>
          <w:tcPr>
            <w:tcW w:w="3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Commodity </w:t>
            </w:r>
          </w:p>
        </w:tc>
        <w:tc>
          <w:tcPr>
            <w:tcW w:w="326" w:type="dxa"/>
            <w:tcBorders/>
            <w:vAlign w:val="center"/>
          </w:tcPr>
          <w:p>
            <w:pPr>
              <w:pStyle w:val="TableContents"/>
              <w:bidi w:val="0"/>
              <w:spacing w:before="0" w:after="0"/>
              <w:ind w:left="0" w:right="0" w:hanging="0"/>
              <w:jc w:val="left"/>
              <w:rPr/>
            </w:pPr>
            <w:r>
              <w:rPr/>
              <w:t>​</w:t>
            </w:r>
          </w:p>
        </w:tc>
        <w:tc>
          <w:tcPr>
            <w:tcW w:w="122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w:t>
            </w:r>
          </w:p>
        </w:tc>
        <w:tc>
          <w:tcPr>
            <w:tcW w:w="326" w:type="dxa"/>
            <w:tcBorders/>
            <w:vAlign w:val="center"/>
          </w:tcPr>
          <w:p>
            <w:pPr>
              <w:pStyle w:val="TableContents"/>
              <w:bidi w:val="0"/>
              <w:spacing w:before="0" w:after="0"/>
              <w:ind w:left="0" w:right="0" w:hanging="0"/>
              <w:jc w:val="center"/>
              <w:rPr/>
            </w:pPr>
            <w:r>
              <w:rPr/>
              <w:t>​</w:t>
            </w:r>
          </w:p>
        </w:tc>
        <w:tc>
          <w:tcPr>
            <w:tcW w:w="14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on Available-for-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center"/>
              <w:rPr/>
            </w:pPr>
            <w:r>
              <w:rPr/>
              <w:t>​</w:t>
            </w:r>
          </w:p>
        </w:tc>
      </w:tr>
      <w:tr>
        <w:trPr/>
        <w:tc>
          <w:tcPr>
            <w:tcW w:w="3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left"/>
              <w:rPr/>
            </w:pPr>
            <w:r>
              <w:rPr/>
              <w:t>    </w:t>
            </w:r>
          </w:p>
        </w:tc>
        <w:tc>
          <w:tcPr>
            <w:tcW w:w="12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 (Losses)</w:t>
            </w:r>
          </w:p>
        </w:tc>
        <w:tc>
          <w:tcPr>
            <w:tcW w:w="326" w:type="dxa"/>
            <w:tcBorders/>
            <w:vAlign w:val="center"/>
          </w:tcPr>
          <w:p>
            <w:pPr>
              <w:pStyle w:val="TableContents"/>
              <w:bidi w:val="0"/>
              <w:spacing w:before="0" w:after="0"/>
              <w:ind w:left="0" w:right="0" w:hanging="0"/>
              <w:jc w:val="left"/>
              <w:rPr/>
            </w:pPr>
            <w:r>
              <w:rPr/>
              <w:t>    </w:t>
            </w:r>
          </w:p>
        </w:tc>
        <w:tc>
          <w:tcPr>
            <w:tcW w:w="14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Sale Securities</w:t>
            </w:r>
          </w:p>
        </w:tc>
        <w:tc>
          <w:tcPr>
            <w:tcW w:w="326" w:type="dxa"/>
            <w:tcBorders/>
            <w:vAlign w:val="center"/>
          </w:tcPr>
          <w:p>
            <w:pPr>
              <w:pStyle w:val="TableContents"/>
              <w:bidi w:val="0"/>
              <w:spacing w:before="0" w:after="0"/>
              <w:ind w:left="0" w:right="0" w:hanging="0"/>
              <w:jc w:val="left"/>
              <w:rPr/>
            </w:pPr>
            <w:r>
              <w:rPr/>
              <w:t>    </w:t>
            </w:r>
          </w:p>
        </w:tc>
        <w:tc>
          <w:tcPr>
            <w:tcW w:w="11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(153,230)</w:t>
            </w:r>
          </w:p>
        </w:tc>
        <w:tc>
          <w:tcPr>
            <w:tcW w:w="326" w:type="dxa"/>
            <w:tcBorders/>
            <w:shd w:fill="CCEEFF" w:val="clear"/>
            <w:vAlign w:val="center"/>
          </w:tcPr>
          <w:p>
            <w:pPr>
              <w:pStyle w:val="TableContents"/>
              <w:bidi w:val="0"/>
              <w:spacing w:before="0" w:after="0"/>
              <w:ind w:left="0" w:right="0" w:hanging="0"/>
              <w:jc w:val="righ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(159,073)</w:t>
            </w:r>
          </w:p>
        </w:tc>
      </w:tr>
      <w:tr>
        <w:trPr/>
        <w:tc>
          <w:tcPr>
            <w:tcW w:w="3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before reclassifications</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3,434</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(46,074)</w:t>
            </w:r>
          </w:p>
        </w:tc>
        <w:tc>
          <w:tcPr>
            <w:tcW w:w="326" w:type="dxa"/>
            <w:tcBorders/>
            <w:vAlign w:val="center"/>
          </w:tcPr>
          <w:p>
            <w:pPr>
              <w:pStyle w:val="TableContents"/>
              <w:bidi w:val="0"/>
              <w:spacing w:before="0" w:after="0"/>
              <w:ind w:left="0" w:right="0" w:hanging="0"/>
              <w:jc w:val="right"/>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(38,960)</w:t>
            </w:r>
          </w:p>
        </w:tc>
      </w:tr>
      <w:tr>
        <w:trPr/>
        <w:tc>
          <w:tcPr>
            <w:tcW w:w="3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(loss) gain</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3,434</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(46,074)</w:t>
            </w:r>
          </w:p>
        </w:tc>
        <w:tc>
          <w:tcPr>
            <w:tcW w:w="326" w:type="dxa"/>
            <w:tcBorders/>
            <w:shd w:fill="CCEEFF" w:val="clear"/>
            <w:vAlign w:val="center"/>
          </w:tcPr>
          <w:p>
            <w:pPr>
              <w:pStyle w:val="TableContents"/>
              <w:bidi w:val="0"/>
              <w:spacing w:before="0" w:after="0"/>
              <w:ind w:left="0" w:right="0" w:hanging="0"/>
              <w:jc w:val="righ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(38,960)</w:t>
            </w:r>
          </w:p>
        </w:tc>
      </w:tr>
      <w:tr>
        <w:trPr/>
        <w:tc>
          <w:tcPr>
            <w:tcW w:w="3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2023</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3,434</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(199,304)</w:t>
            </w:r>
          </w:p>
        </w:tc>
        <w:tc>
          <w:tcPr>
            <w:tcW w:w="326" w:type="dxa"/>
            <w:tcBorders/>
            <w:vAlign w:val="center"/>
          </w:tcPr>
          <w:p>
            <w:pPr>
              <w:pStyle w:val="TableContents"/>
              <w:bidi w:val="0"/>
              <w:spacing w:before="0" w:after="0"/>
              <w:ind w:left="0" w:right="0" w:hanging="0"/>
              <w:jc w:val="right"/>
              <w:rPr/>
            </w:pPr>
            <w:r>
              <w:rPr/>
              <w:t>​</w:t>
            </w:r>
          </w:p>
        </w:tc>
        <w:tc>
          <w:tcPr>
            <w:tcW w:w="3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(198,033)</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37"/>
        <w:gridCol w:w="326"/>
        <w:gridCol w:w="464"/>
        <w:gridCol w:w="762"/>
        <w:gridCol w:w="326"/>
        <w:gridCol w:w="211"/>
        <w:gridCol w:w="896"/>
        <w:gridCol w:w="326"/>
        <w:gridCol w:w="368"/>
        <w:gridCol w:w="1108"/>
        <w:gridCol w:w="326"/>
        <w:gridCol w:w="211"/>
        <w:gridCol w:w="944"/>
      </w:tblGrid>
      <w:tr>
        <w:trPr/>
        <w:tc>
          <w:tcPr>
            <w:tcW w:w="39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94640" cy="175260"/>
                      <wp:effectExtent l="0" t="0" r="0" b="0"/>
                      <wp:wrapNone/>
                      <wp:docPr id="369" name="Frame369"/>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83870" cy="175260"/>
                      <wp:effectExtent l="0" t="0" r="0" b="0"/>
                      <wp:wrapNone/>
                      <wp:docPr id="370" name="Frame370"/>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568960" cy="175260"/>
                      <wp:effectExtent l="0" t="0" r="0" b="0"/>
                      <wp:wrapNone/>
                      <wp:docPr id="373" name="Frame37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33680" cy="175260"/>
                      <wp:effectExtent l="0" t="0" r="0" b="0"/>
                      <wp:wrapNone/>
                      <wp:docPr id="375" name="Frame375"/>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703580" cy="175260"/>
                      <wp:effectExtent l="0" t="0" r="0" b="0"/>
                      <wp:wrapNone/>
                      <wp:docPr id="376" name="Frame376"/>
                      <a:graphic xmlns:a="http://schemas.openxmlformats.org/drawingml/2006/main">
                        <a:graphicData uri="http://schemas.microsoft.com/office/word/2010/wordprocessingShape">
                          <wps:wsp>
                            <wps:cNvSpPr txBox="1"/>
                            <wps:spPr>
                              <a:xfrm>
                                <a:off x="0" y="0"/>
                                <a:ext cx="703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599440" cy="175260"/>
                      <wp:effectExtent l="0" t="0" r="0" b="0"/>
                      <wp:wrapNone/>
                      <wp:docPr id="379" name="Frame379"/>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Accumulated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7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r>
      <w:tr>
        <w:trPr/>
        <w:tc>
          <w:tcPr>
            <w:tcW w:w="39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Net Gains on </w:t>
            </w:r>
          </w:p>
        </w:tc>
        <w:tc>
          <w:tcPr>
            <w:tcW w:w="326" w:type="dxa"/>
            <w:tcBorders/>
            <w:vAlign w:val="center"/>
          </w:tcPr>
          <w:p>
            <w:pPr>
              <w:pStyle w:val="TableContents"/>
              <w:bidi w:val="0"/>
              <w:spacing w:before="0" w:after="0"/>
              <w:ind w:left="0" w:right="0" w:hanging="0"/>
              <w:jc w:val="left"/>
              <w:rPr/>
            </w:pPr>
            <w:r>
              <w:rPr/>
              <w:t>    </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Currency</w:t>
            </w:r>
          </w:p>
        </w:tc>
        <w:tc>
          <w:tcPr>
            <w:tcW w:w="326" w:type="dxa"/>
            <w:tcBorders/>
            <w:vAlign w:val="center"/>
          </w:tcPr>
          <w:p>
            <w:pPr>
              <w:pStyle w:val="TableContents"/>
              <w:bidi w:val="0"/>
              <w:spacing w:before="0" w:after="0"/>
              <w:ind w:left="0" w:right="0" w:hanging="0"/>
              <w:jc w:val="center"/>
              <w:rPr/>
            </w:pPr>
            <w:r>
              <w:rPr/>
              <w:t>​</w:t>
            </w:r>
          </w:p>
        </w:tc>
        <w:tc>
          <w:tcPr>
            <w:tcW w:w="147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center"/>
              <w:rPr/>
            </w:pPr>
            <w:r>
              <w:rPr/>
              <w:t>​</w:t>
            </w:r>
          </w:p>
        </w:tc>
      </w:tr>
      <w:tr>
        <w:trPr/>
        <w:tc>
          <w:tcPr>
            <w:tcW w:w="39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Commodity </w:t>
            </w:r>
          </w:p>
        </w:tc>
        <w:tc>
          <w:tcPr>
            <w:tcW w:w="326" w:type="dxa"/>
            <w:tcBorders/>
            <w:vAlign w:val="center"/>
          </w:tcPr>
          <w:p>
            <w:pPr>
              <w:pStyle w:val="TableContents"/>
              <w:bidi w:val="0"/>
              <w:spacing w:before="0" w:after="0"/>
              <w:ind w:left="0" w:right="0" w:hanging="0"/>
              <w:jc w:val="left"/>
              <w:rPr/>
            </w:pPr>
            <w:r>
              <w:rPr/>
              <w:t>    </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w:t>
            </w:r>
          </w:p>
        </w:tc>
        <w:tc>
          <w:tcPr>
            <w:tcW w:w="326" w:type="dxa"/>
            <w:tcBorders/>
            <w:vAlign w:val="center"/>
          </w:tcPr>
          <w:p>
            <w:pPr>
              <w:pStyle w:val="TableContents"/>
              <w:bidi w:val="0"/>
              <w:spacing w:before="0" w:after="0"/>
              <w:ind w:left="0" w:right="0" w:hanging="0"/>
              <w:jc w:val="left"/>
              <w:rPr/>
            </w:pPr>
            <w:r>
              <w:rPr/>
              <w:t>    </w:t>
            </w:r>
          </w:p>
        </w:tc>
        <w:tc>
          <w:tcPr>
            <w:tcW w:w="147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on Available-for-</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center"/>
              <w:rPr/>
            </w:pPr>
            <w:r>
              <w:rPr/>
              <w:t>​</w:t>
            </w:r>
          </w:p>
        </w:tc>
      </w:tr>
      <w:tr>
        <w:trPr/>
        <w:tc>
          <w:tcPr>
            <w:tcW w:w="39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left"/>
              <w:rPr/>
            </w:pPr>
            <w:r>
              <w:rPr/>
              <w:t>    </w:t>
            </w:r>
          </w:p>
        </w:tc>
        <w:tc>
          <w:tcPr>
            <w:tcW w:w="14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Sale Securities</w:t>
            </w:r>
          </w:p>
        </w:tc>
        <w:tc>
          <w:tcPr>
            <w:tcW w:w="326" w:type="dxa"/>
            <w:tcBorders/>
            <w:vAlign w:val="center"/>
          </w:tcPr>
          <w:p>
            <w:pPr>
              <w:pStyle w:val="TableContents"/>
              <w:bidi w:val="0"/>
              <w:spacing w:before="0" w:after="0"/>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4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(68,209)</w:t>
            </w:r>
          </w:p>
        </w:tc>
        <w:tc>
          <w:tcPr>
            <w:tcW w:w="326"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(69,165)</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before reclassifications</w:t>
            </w:r>
          </w:p>
        </w:tc>
        <w:tc>
          <w:tcPr>
            <w:tcW w:w="326" w:type="dxa"/>
            <w:tcBorders/>
            <w:vAlign w:val="center"/>
          </w:tcPr>
          <w:p>
            <w:pPr>
              <w:pStyle w:val="TableContents"/>
              <w:bidi w:val="0"/>
              <w:spacing w:before="0" w:after="0"/>
              <w:ind w:left="0" w:right="0" w:hanging="0"/>
              <w:jc w:val="left"/>
              <w:rPr/>
            </w:pPr>
            <w:r>
              <w:rPr/>
              <w:t>​</w:t>
            </w:r>
          </w:p>
        </w:tc>
        <w:tc>
          <w:tcPr>
            <w:tcW w:w="4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(147,450)</w:t>
            </w:r>
          </w:p>
        </w:tc>
        <w:tc>
          <w:tcPr>
            <w:tcW w:w="326" w:type="dxa"/>
            <w:tcBorders/>
            <w:vAlign w:val="center"/>
          </w:tcPr>
          <w:p>
            <w:pPr>
              <w:pStyle w:val="TableContents"/>
              <w:bidi w:val="0"/>
              <w:spacing w:before="0" w:after="0"/>
              <w:ind w:left="0" w:right="0" w:hanging="0"/>
              <w:jc w:val="right"/>
              <w:rPr/>
            </w:pPr>
            <w:r>
              <w:rPr/>
              <w:t>​</w:t>
            </w:r>
          </w:p>
        </w:tc>
        <w:tc>
          <w:tcPr>
            <w:tcW w:w="3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(155,290)</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4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(147,450)</w:t>
            </w:r>
          </w:p>
        </w:tc>
        <w:tc>
          <w:tcPr>
            <w:tcW w:w="326" w:type="dxa"/>
            <w:tcBorders/>
            <w:shd w:fill="CCEEFF" w:val="clear"/>
            <w:vAlign w:val="center"/>
          </w:tcPr>
          <w:p>
            <w:pPr>
              <w:pStyle w:val="TableContents"/>
              <w:bidi w:val="0"/>
              <w:spacing w:before="0" w:after="0"/>
              <w:ind w:left="0" w:right="0" w:hanging="0"/>
              <w:jc w:val="righ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(155,290)</w:t>
            </w:r>
          </w:p>
        </w:tc>
      </w:tr>
      <w:tr>
        <w:trPr/>
        <w:tc>
          <w:tcPr>
            <w:tcW w:w="39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2022</w:t>
            </w:r>
          </w:p>
        </w:tc>
        <w:tc>
          <w:tcPr>
            <w:tcW w:w="326" w:type="dxa"/>
            <w:tcBorders/>
            <w:vAlign w:val="center"/>
          </w:tcPr>
          <w:p>
            <w:pPr>
              <w:pStyle w:val="TableContents"/>
              <w:bidi w:val="0"/>
              <w:spacing w:before="0" w:after="0"/>
              <w:ind w:left="0" w:right="0" w:hanging="0"/>
              <w:jc w:val="left"/>
              <w:rPr/>
            </w:pPr>
            <w:r>
              <w:rPr/>
              <w:t>​</w:t>
            </w:r>
          </w:p>
        </w:tc>
        <w:tc>
          <w:tcPr>
            <w:tcW w:w="4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(215,659)</w:t>
            </w:r>
          </w:p>
        </w:tc>
        <w:tc>
          <w:tcPr>
            <w:tcW w:w="326" w:type="dxa"/>
            <w:tcBorders/>
            <w:vAlign w:val="center"/>
          </w:tcPr>
          <w:p>
            <w:pPr>
              <w:pStyle w:val="TableContents"/>
              <w:bidi w:val="0"/>
              <w:spacing w:before="0" w:after="0"/>
              <w:ind w:left="0" w:right="0" w:hanging="0"/>
              <w:jc w:val="right"/>
              <w:rPr/>
            </w:pPr>
            <w:r>
              <w:rPr/>
              <w:t>​</w:t>
            </w:r>
          </w:p>
        </w:tc>
        <w:tc>
          <w:tcPr>
            <w:tcW w:w="3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(8,796)</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(224,455)</w:t>
            </w:r>
          </w:p>
        </w:tc>
      </w:tr>
    </w:tbl>
    <w:p>
      <w:pPr>
        <w:pStyle w:val="TextBody"/>
        <w:pBdr/>
        <w:bidi w:val="0"/>
        <w:spacing w:before="0" w:after="0"/>
        <w:ind w:left="0" w:right="0" w:hanging="720"/>
        <w:jc w:val="left"/>
        <w:rPr/>
      </w:pPr>
      <w:r>
        <w:rPr/>
        <w:t>​</w:t>
      </w:r>
    </w:p>
    <w:p>
      <w:pPr>
        <w:pStyle w:val="TextBody"/>
        <w:pBdr/>
        <w:bidi w:val="0"/>
        <w:spacing w:before="0" w:after="0"/>
        <w:ind w:left="0" w:right="0" w:hanging="720"/>
        <w:jc w:val="left"/>
        <w:rPr/>
      </w:pPr>
      <w:r>
        <w:rPr/>
        <w:t>​</w:t>
      </w:r>
    </w:p>
    <w:p>
      <w:pPr>
        <w:pStyle w:val="TextBody"/>
        <w:bidi w:val="0"/>
        <w:spacing w:before="0" w:after="0"/>
        <w:ind w:left="0" w:right="0" w:hanging="0"/>
        <w:jc w:val="left"/>
        <w:rPr/>
      </w:pPr>
      <w:r>
        <w:rPr/>
        <w:t>​</w:t>
      </w:r>
    </w:p>
    <w:tbl>
      <w:tblPr>
        <w:tblW w:w="2222" w:type="dxa"/>
        <w:jc w:val="left"/>
        <w:tblInd w:w="0" w:type="dxa"/>
        <w:tblLayout w:type="fixed"/>
        <w:tblCellMar>
          <w:top w:w="0" w:type="dxa"/>
          <w:left w:w="0" w:type="dxa"/>
          <w:bottom w:w="0" w:type="dxa"/>
          <w:right w:w="0" w:type="dxa"/>
        </w:tblCellMar>
      </w:tblPr>
      <w:tblGrid>
        <w:gridCol w:w="376"/>
        <w:gridCol w:w="1846"/>
      </w:tblGrid>
      <w:tr>
        <w:trPr/>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14.</w:t>
            </w:r>
          </w:p>
        </w:tc>
        <w:tc>
          <w:tcPr>
            <w:tcW w:w="18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TREASURY STOCK</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March 10, 2023, the Company retired 170.0 million shares (stock split adjusted) of treasury stock owned by the Company. The retired stock had a carrying value of approximately$4.69 billion. The Company’s accounting policy upon the formal retirement of treasury stock is to deduct its par value from common stock and to reflect any excess of cost over par as a deduction from retained earnings.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14, 2022, the Company’s Board of Directors authorized a share repurchase program for the purchase of up to $500.0 million of the Company’s outstanding common stock (the “June 2022 Repurchase Plan”). During the three-months ended September 30, 2023, the Company purchased approximately 3.3 million shares of common stock at an average purchase price of $55.52 per share, for a total amount of approximately $182.8 million (excluding broker commissions), which exhausted the availability under the June 2022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 2022, the Company’s Board of Directors authorized a share repurchase program for the purchase of up to an additional $500.0 million of the Company’s outstanding common stock (the “November 2022 Repurchase Plan”). During the three-months ended September 30, 2023, the Company purchased approximately 4.0 million shares of common stock at an average purchase price of $54.26 per share, for a total amount of approximately $217.1 million (excluding broker commissions), under the November 2022 Repurchase Plan. As of November 6, 2023, $282.8 million remained available for repurchase under the November 2022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$282.8 million as of November 6, 2023.</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three-months ended September 30, 2023, 135 shares of common stock were purchased from employees in lieu of cash payments for options exercised or withholding taxes due for a total amount of $7,688. While such purchases are considered common stock repurchases, they are not counted as purchases against the Company’s authorized share repurchase programs. Such shares are included in common stock in treasury in the accompanying consolidated balance sheet at September 30, 2023.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26" w:name="Tc_RtrD5uswKEipgFEQwYX74w_6_9"/>
      <w:bookmarkStart w:id="2127" w:name="Tc_-or6S8iIyUGSAn80TUD0tA_6_7"/>
      <w:bookmarkStart w:id="2128" w:name="Tc_oK2n3PuwU024xuMrbIjzkA_6_5"/>
      <w:bookmarkStart w:id="2129" w:name="Tc_0-wvuJ7slkekNGm0HJFauQ_6_3"/>
      <w:bookmarkStart w:id="2130" w:name="Tc_ejRYhIqaYkGt3VeO6KBSRA_6_0"/>
      <w:bookmarkStart w:id="2131" w:name="Tc_g0l5z6AdJEG5jE1llD_F3w_5_9"/>
      <w:bookmarkStart w:id="2132" w:name="Tc_KEwd00Wii02D5q-z389bTQ_5_7"/>
      <w:bookmarkStart w:id="2133" w:name="Tc_zIvmpmQIE0-1eGMvvAiCGQ_5_5"/>
      <w:bookmarkStart w:id="2134" w:name="Tc_wxYkW9M-eEmFvjWdDejALA_5_3"/>
      <w:bookmarkStart w:id="2135" w:name="Tc_0ymaA8iX_kyHy-vjCM8gAg_5_0"/>
      <w:bookmarkStart w:id="2136" w:name="Tc_nnwAmOBF2UytekZoAS5jaA_4_9"/>
      <w:bookmarkStart w:id="2137" w:name="Tc_gW3wNp1FMkOrOd_azxg10Q_4_7"/>
      <w:bookmarkStart w:id="2138" w:name="Tc_fR6kwA1mvUuhSp1kNim3eQ_4_5"/>
      <w:bookmarkStart w:id="2139" w:name="Tc_WN0SpN6ZiEqBTGa8Q9ZLcA_4_3"/>
      <w:bookmarkStart w:id="2140" w:name="Tc_1WPEXrAbGk6vaKLY_4lyFA_4_0"/>
      <w:bookmarkStart w:id="2141" w:name="Tc_d-0dHV2klkarxbPlWD4M7g_3_9"/>
      <w:bookmarkStart w:id="2142" w:name="Tc_S8qwqZwaKUy6nfVkQC319g_3_7"/>
      <w:bookmarkStart w:id="2143" w:name="Tc_2wq1-rNtJkmrZy78XGFwVA_3_5"/>
      <w:bookmarkStart w:id="2144" w:name="Tc_bsAddImgyEiYbeWQm_btgA_3_3"/>
      <w:bookmarkStart w:id="2145" w:name="Tc_frCS4tMoO0u49taSZW5uOQ_3_0"/>
      <w:bookmarkStart w:id="2146" w:name="Tc_V3mcAyOCB0KMtnRd7ebJCw_2_8"/>
      <w:bookmarkStart w:id="2147" w:name="Tc_GLmSCLDmCkG2ZH6RLII4mg_2_6"/>
      <w:bookmarkStart w:id="2148" w:name="Tc_GfkriV7rqEai64L0zvTNNw_2_4"/>
      <w:bookmarkStart w:id="2149" w:name="Tc_YVbq2wVZgE-9iqaXIckBlw_2_2"/>
      <w:bookmarkStart w:id="2150" w:name="Tc_wFItFYbn40CkLmzp-s3ODg_1_6"/>
      <w:bookmarkStart w:id="2151" w:name="Tc_WbNpKdSZQ0C-1vvA-5kYZg_1_2"/>
      <w:bookmarkStart w:id="2152" w:name="Tc_RtrD5uswKEipgFEQwYX74w_6_9"/>
      <w:bookmarkStart w:id="2153" w:name="Tc_-or6S8iIyUGSAn80TUD0tA_6_7"/>
      <w:bookmarkStart w:id="2154" w:name="Tc_oK2n3PuwU024xuMrbIjzkA_6_5"/>
      <w:bookmarkStart w:id="2155" w:name="Tc_0-wvuJ7slkekNGm0HJFauQ_6_3"/>
      <w:bookmarkStart w:id="2156" w:name="Tc_ejRYhIqaYkGt3VeO6KBSRA_6_0"/>
      <w:bookmarkStart w:id="2157" w:name="Tc_g0l5z6AdJEG5jE1llD_F3w_5_9"/>
      <w:bookmarkStart w:id="2158" w:name="Tc_KEwd00Wii02D5q-z389bTQ_5_7"/>
      <w:bookmarkStart w:id="2159" w:name="Tc_zIvmpmQIE0-1eGMvvAiCGQ_5_5"/>
      <w:bookmarkStart w:id="2160" w:name="Tc_wxYkW9M-eEmFvjWdDejALA_5_3"/>
      <w:bookmarkStart w:id="2161" w:name="Tc_0ymaA8iX_kyHy-vjCM8gAg_5_0"/>
      <w:bookmarkStart w:id="2162" w:name="Tc_nnwAmOBF2UytekZoAS5jaA_4_9"/>
      <w:bookmarkStart w:id="2163" w:name="Tc_gW3wNp1FMkOrOd_azxg10Q_4_7"/>
      <w:bookmarkStart w:id="2164" w:name="Tc_fR6kwA1mvUuhSp1kNim3eQ_4_5"/>
      <w:bookmarkStart w:id="2165" w:name="Tc_WN0SpN6ZiEqBTGa8Q9ZLcA_4_3"/>
      <w:bookmarkStart w:id="2166" w:name="Tc_1WPEXrAbGk6vaKLY_4lyFA_4_0"/>
      <w:bookmarkStart w:id="2167" w:name="Tc_d-0dHV2klkarxbPlWD4M7g_3_9"/>
      <w:bookmarkStart w:id="2168" w:name="Tc_S8qwqZwaKUy6nfVkQC319g_3_7"/>
      <w:bookmarkStart w:id="2169" w:name="Tc_2wq1-rNtJkmrZy78XGFwVA_3_5"/>
      <w:bookmarkStart w:id="2170" w:name="Tc_bsAddImgyEiYbeWQm_btgA_3_3"/>
      <w:bookmarkStart w:id="2171" w:name="Tc_frCS4tMoO0u49taSZW5uOQ_3_0"/>
      <w:bookmarkStart w:id="2172" w:name="Tc_V3mcAyOCB0KMtnRd7ebJCw_2_8"/>
      <w:bookmarkStart w:id="2173" w:name="Tc_GLmSCLDmCkG2ZH6RLII4mg_2_6"/>
      <w:bookmarkStart w:id="2174" w:name="Tc_GfkriV7rqEai64L0zvTNNw_2_4"/>
      <w:bookmarkStart w:id="2175" w:name="Tc_YVbq2wVZgE-9iqaXIckBlw_2_2"/>
      <w:bookmarkStart w:id="2176" w:name="Tc_wFItFYbn40CkLmzp-s3ODg_1_6"/>
      <w:bookmarkStart w:id="2177" w:name="Tc_WbNpKdSZQ0C-1vvA-5kYZg_1_2"/>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p>
    <w:tbl>
      <w:tblPr>
        <w:tblW w:w="3392" w:type="dxa"/>
        <w:jc w:val="left"/>
        <w:tblInd w:w="0" w:type="dxa"/>
        <w:tblLayout w:type="fixed"/>
        <w:tblCellMar>
          <w:top w:w="0" w:type="dxa"/>
          <w:left w:w="0" w:type="dxa"/>
          <w:bottom w:w="0" w:type="dxa"/>
          <w:right w:w="0" w:type="dxa"/>
        </w:tblCellMar>
      </w:tblPr>
      <w:tblGrid>
        <w:gridCol w:w="376"/>
        <w:gridCol w:w="3016"/>
      </w:tblGrid>
      <w:tr>
        <w:trPr/>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15.</w:t>
            </w:r>
          </w:p>
        </w:tc>
        <w:tc>
          <w:tcPr>
            <w:tcW w:w="301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STOCK-BASED COMPENSATION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two stock-based compensation plans under which shares were available for grant at September 30, 2023: (i) the Monster Beverage Corporation 2020 Omnibus Incentive Plan, including the Monster Beverage Corporation Deferred Compensation Plan as a sub-plan thereunder, and (ii) the Monster Beverage Corporation 2017 Compensation Plan for Non-Employee Directors as Amended and Restated on February 23, 2022, including the Monster Beverage Corporation Deferred Compensation Plan for Non-Employee Directors as a sub-plan thereunder.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recorded $17.9 million and $16.6 million of compensation expense relating to outstanding options, restricted stock units, performance share units and other share-based awards during the three-months ended September 30, 2023 and 2022, respectively. The Company recorded $52.5 million and $49.2 million of compensation expense relating to outstanding options, restricted stock units, performance share units and other share-based awards during the nine-months ended September 30, 2023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tax benefit for tax deductions from non-qualified stock option exercises, disqualifying dispositions of incentive stock options and vesting of restricted stock units and performance share units for the three-months ended September 30, 2023 and 2022 was ($0.2) million and $2.0 million, respectively. The tax benefit for tax deductions from non-qualified stock option exercises, disqualifying dispositions of incentive stock options and vesting of restricted stock units and performance share units for the nine-months ended September 30, 2023 and 2022 was $29.9 million and $4.6 million,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Company’s stock-based compensation plans, all stock options granted as of September 30, 2023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weighted-average assumptions were used to estimate the fair value of options granted during:</w:t>
      </w:r>
    </w:p>
    <w:p>
      <w:pPr>
        <w:pStyle w:val="TextBody"/>
        <w:bidi w:val="0"/>
        <w:spacing w:before="0" w:after="0"/>
        <w:ind w:left="0" w:right="0" w:firstLine="720"/>
        <w:jc w:val="both"/>
        <w:rPr/>
      </w:pPr>
      <w:r>
        <w:rPr/>
        <w:t>​</w:t>
      </w:r>
    </w:p>
    <w:tbl>
      <w:tblPr>
        <w:tblW w:w="9254" w:type="dxa"/>
        <w:jc w:val="left"/>
        <w:tblInd w:w="0" w:type="dxa"/>
        <w:tblLayout w:type="fixed"/>
        <w:tblCellMar>
          <w:top w:w="0" w:type="dxa"/>
          <w:left w:w="0" w:type="dxa"/>
          <w:bottom w:w="0" w:type="dxa"/>
          <w:right w:w="0" w:type="dxa"/>
        </w:tblCellMar>
      </w:tblPr>
      <w:tblGrid>
        <w:gridCol w:w="1846"/>
        <w:gridCol w:w="326"/>
        <w:gridCol w:w="1010"/>
        <w:gridCol w:w="1010"/>
        <w:gridCol w:w="1010"/>
        <w:gridCol w:w="526"/>
        <w:gridCol w:w="985"/>
        <w:gridCol w:w="985"/>
        <w:gridCol w:w="985"/>
        <w:gridCol w:w="57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172210" cy="175260"/>
                      <wp:effectExtent l="0" t="0" r="0" b="0"/>
                      <wp:wrapNone/>
                      <wp:docPr id="380" name="Frame380"/>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1350" cy="175260"/>
                      <wp:effectExtent l="0" t="0" r="0" b="0"/>
                      <wp:wrapNone/>
                      <wp:docPr id="382" name="Frame382"/>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1350" cy="175260"/>
                      <wp:effectExtent l="0" t="0" r="0" b="0"/>
                      <wp:wrapNone/>
                      <wp:docPr id="383" name="Frame383"/>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1350" cy="175260"/>
                      <wp:effectExtent l="0" t="0" r="0" b="0"/>
                      <wp:wrapNone/>
                      <wp:docPr id="384" name="Frame384"/>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334010" cy="175260"/>
                      <wp:effectExtent l="0" t="0" r="0" b="0"/>
                      <wp:wrapNone/>
                      <wp:docPr id="385" name="Frame385"/>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25475" cy="175260"/>
                      <wp:effectExtent l="0" t="0" r="0" b="0"/>
                      <wp:wrapNone/>
                      <wp:docPr id="386" name="Frame386"/>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25475" cy="175260"/>
                      <wp:effectExtent l="0" t="0" r="0" b="0"/>
                      <wp:wrapNone/>
                      <wp:docPr id="387" name="Frame387"/>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25475" cy="175260"/>
                      <wp:effectExtent l="0" t="0" r="0" b="0"/>
                      <wp:wrapNone/>
                      <wp:docPr id="388" name="Frame388"/>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62585" cy="175260"/>
                      <wp:effectExtent l="0" t="0" r="0" b="0"/>
                      <wp:wrapNone/>
                      <wp:docPr id="389" name="Frame3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September 30,</w:t>
            </w:r>
          </w:p>
        </w:tc>
        <w:tc>
          <w:tcPr>
            <w:tcW w:w="526" w:type="dxa"/>
            <w:tcBorders/>
            <w:vAlign w:val="center"/>
          </w:tcPr>
          <w:p>
            <w:pPr>
              <w:pStyle w:val="TableContents"/>
              <w:bidi w:val="0"/>
              <w:spacing w:before="0" w:after="0"/>
              <w:ind w:left="0" w:right="0" w:hanging="0"/>
              <w:jc w:val="left"/>
              <w:rPr/>
            </w:pPr>
            <w:r>
              <w:rPr/>
              <w:t>​</w:t>
            </w:r>
          </w:p>
        </w:tc>
        <w:tc>
          <w:tcPr>
            <w:tcW w:w="295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 September 30,</w:t>
            </w:r>
          </w:p>
        </w:tc>
        <w:tc>
          <w:tcPr>
            <w:tcW w:w="57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1010" w:type="dxa"/>
            <w:tcBorders/>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526" w:type="dxa"/>
            <w:tcBorders/>
            <w:vAlign w:val="center"/>
          </w:tcPr>
          <w:p>
            <w:pPr>
              <w:pStyle w:val="TableContents"/>
              <w:bidi w:val="0"/>
              <w:spacing w:before="0" w:after="0"/>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985" w:type="dxa"/>
            <w:tcBorders/>
            <w:vAlign w:val="center"/>
          </w:tcPr>
          <w:p>
            <w:pPr>
              <w:pStyle w:val="TableContents"/>
              <w:bidi w:val="0"/>
              <w:spacing w:before="0" w:after="0"/>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571"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26"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Volatility</w:t>
      </w:r>
      <w:r>
        <w:rPr>
          <w:rFonts w:ascii="Times New Roman;Times;serif" w:hAnsi="Times New Roman;Times;serif"/>
          <w:sz w:val="20"/>
        </w:rPr>
        <w:t>: The Company uses historical volatility as it provides a reasonable estimate of the expected volatility. Historical volatility is based on the most recent volatility of the stock price over a period of time equivalent to the expected term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Risk-Free Interest Rate</w:t>
      </w:r>
      <w:r>
        <w:rPr>
          <w:rFonts w:ascii="Times New Roman;Times;serif" w:hAnsi="Times New Roman;Times;serif"/>
          <w:sz w:val="20"/>
        </w:rPr>
        <w:t>: The risk-free interest rate is based on the U.S. treasury zero-coupon yield curve in effect at the time of grant for the expected term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Term</w:t>
      </w:r>
      <w:r>
        <w:rPr>
          <w:rFonts w:ascii="Times New Roman;Times;serif" w:hAnsi="Times New Roman;Times;serif"/>
          <w:sz w:val="20"/>
        </w:rPr>
        <w:t>: The Company’s expected term represents the weighted-average period that the Company’s stock options are 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2178" w:name="Tc_IUrOJUZ5xUaX4sL7-0GzlA_15_9"/>
      <w:bookmarkStart w:id="2179" w:name="Tc_A01JG_vqdE6puZW1rv4tWg_15_4"/>
      <w:bookmarkStart w:id="2180" w:name="Tc_DB1Ws8YHC0qQiKbkRcwfGQ_15_0"/>
      <w:bookmarkStart w:id="2181" w:name="Tc_yKLKGac9lkWlicWP8raEZQ_14_9"/>
      <w:bookmarkStart w:id="2182" w:name="Tc_H0OWl92ENkKfxYw5wYM-NA_14_4"/>
      <w:bookmarkStart w:id="2183" w:name="Tc_XXptvraZMUaEy4_kc3foNg_14_0"/>
      <w:bookmarkStart w:id="2184" w:name="Tc_cqezTmgIGUCI0jdFbTl3tg_13_9"/>
      <w:bookmarkStart w:id="2185" w:name="Tc_iHxn51vz9UyEljMA4utE-g_13_4"/>
      <w:bookmarkStart w:id="2186" w:name="Tc_5PcavqYArkSnP--ERa97GA_13_0"/>
      <w:bookmarkStart w:id="2187" w:name="Tc_VSdXnQAhv0aJMGap9Aphnw_12_4"/>
      <w:bookmarkStart w:id="2188" w:name="Tc_8UFAaQQtQEusHeU3H_-xhg_12_0"/>
      <w:bookmarkStart w:id="2189" w:name="Tc_8WD1Y2qaRk-34S_iaNh15Q_11_4"/>
      <w:bookmarkStart w:id="2190" w:name="Tc_2_Z0SWQsP0Wex529TXH1tA_11_0"/>
      <w:bookmarkStart w:id="2191" w:name="Tc_wC4WbSdy-kKRC6CR4P-Zvw_10_4"/>
      <w:bookmarkStart w:id="2192" w:name="Tc_Ju_7LwB66EWqzFuGeHjIYg_10_0"/>
      <w:bookmarkStart w:id="2193" w:name="Tc_hk3hMLY_aEKt5gxkSLPYsg_9_4"/>
      <w:bookmarkStart w:id="2194" w:name="Tc_mmDU9Wv2dEKQNeqImYNa0g_9_0"/>
      <w:bookmarkStart w:id="2195" w:name="Tc_oTBlTYjAc02-_knGYgoQGQ_8_4"/>
      <w:bookmarkStart w:id="2196" w:name="Tc_IXPPXLdAnky31dNn1OAXwA_8_0"/>
      <w:bookmarkStart w:id="2197" w:name="Tc_KKXa8Vzo3kGhLGAFfGIjkQ_7_9"/>
      <w:bookmarkStart w:id="2198" w:name="Tc_y_1T8YOta0qHjYxYrc2MRQ_7_4"/>
      <w:bookmarkStart w:id="2199" w:name="Tc_XvX9i3w47kSDvj3uTGItOg_7_0"/>
      <w:bookmarkStart w:id="2200" w:name="Tc_r2zLOMVEOESWIo8nSrwaaw_6_9"/>
      <w:bookmarkStart w:id="2201" w:name="Tc_GH36qaykJ0eZ4a7Srs7k7A_6_7"/>
      <w:bookmarkStart w:id="2202" w:name="Tc_ic_UrNEE80-iDeWJpaocKg_6_4"/>
      <w:bookmarkStart w:id="2203" w:name="Tc_Jam2NUsowEG-K8tgarfw8w_6_2"/>
      <w:bookmarkStart w:id="2204" w:name="Tc_K1qB825dJkyk-nSFya4S-A_6_0"/>
      <w:bookmarkStart w:id="2205" w:name="Tc_F9bb7vPJpkG26XeWZxGT-A_5_9"/>
      <w:bookmarkStart w:id="2206" w:name="Tc_Zh555uUyV0OjstwE0kEmOw_5_7"/>
      <w:bookmarkStart w:id="2207" w:name="Tc_hk9MZu5xzk6OJhIvovU9YQ_5_4"/>
      <w:bookmarkStart w:id="2208" w:name="Tc_7uYr8hYDC0GcVsghoh2HkA_5_2"/>
      <w:bookmarkStart w:id="2209" w:name="Tc_mHm5JsZ9WUm8BsLnVgk7JQ_4_7"/>
      <w:bookmarkStart w:id="2210" w:name="Tc_H6BdeEFEa0myuCUTsen8Ng_4_4"/>
      <w:bookmarkStart w:id="2211" w:name="Tc_pQY3ozu3ake56wqAVH9rzA_4_2"/>
      <w:bookmarkStart w:id="2212" w:name="Tc_3FsVr648uUGxWCXhx8XZLQ_3_7"/>
      <w:bookmarkStart w:id="2213" w:name="Tc_FKqh61CyV0iGe0cK66X0hQ_3_4"/>
      <w:bookmarkStart w:id="2214" w:name="Tc_ovXS9lRWhk2mqr3UmiCjIQ_2_7"/>
      <w:bookmarkStart w:id="2215" w:name="Tc_9_0_DpwYkUaSbCa8RY3qCw_2_4"/>
      <w:bookmarkStart w:id="2216" w:name="Tc_FE6h76xgKEihRrRSNEabVQ_1_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r>
        <w:rPr>
          <w:rFonts w:ascii="Times New Roman;Times;serif" w:hAnsi="Times New Roman;Times;serif"/>
          <w:sz w:val="20"/>
        </w:rPr>
        <w:t>The following table summarizes the Company’s activities with respect to its stock option plans as follows:</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4605"/>
        <w:gridCol w:w="326"/>
        <w:gridCol w:w="979"/>
        <w:gridCol w:w="326"/>
        <w:gridCol w:w="255"/>
        <w:gridCol w:w="692"/>
        <w:gridCol w:w="326"/>
        <w:gridCol w:w="1066"/>
        <w:gridCol w:w="326"/>
        <w:gridCol w:w="249"/>
        <w:gridCol w:w="1055"/>
      </w:tblGrid>
      <w:tr>
        <w:trPr/>
        <w:tc>
          <w:tcPr>
            <w:tcW w:w="4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924175" cy="175260"/>
                      <wp:effectExtent l="0" t="0" r="0" b="0"/>
                      <wp:wrapNone/>
                      <wp:docPr id="390" name="Frame390"/>
                      <a:graphic xmlns:a="http://schemas.openxmlformats.org/drawingml/2006/main">
                        <a:graphicData uri="http://schemas.microsoft.com/office/word/2010/wordprocessingShape">
                          <wps:wsp>
                            <wps:cNvSpPr txBox="1"/>
                            <wps:spPr>
                              <a:xfrm>
                                <a:off x="0" y="0"/>
                                <a:ext cx="292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21665" cy="175260"/>
                      <wp:effectExtent l="0" t="0" r="0" b="0"/>
                      <wp:wrapNone/>
                      <wp:docPr id="392" name="Frame392"/>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61925" cy="175260"/>
                      <wp:effectExtent l="0" t="0" r="0" b="0"/>
                      <wp:wrapNone/>
                      <wp:docPr id="394" name="Frame39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439420" cy="175260"/>
                      <wp:effectExtent l="0" t="0" r="0" b="0"/>
                      <wp:wrapNone/>
                      <wp:docPr id="395" name="Frame395"/>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76910" cy="175260"/>
                      <wp:effectExtent l="0" t="0" r="0" b="0"/>
                      <wp:wrapNone/>
                      <wp:docPr id="397" name="Frame39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8" name="Frame3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58115" cy="175260"/>
                      <wp:effectExtent l="0" t="0" r="0" b="0"/>
                      <wp:wrapNone/>
                      <wp:docPr id="399" name="Frame39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69925" cy="175260"/>
                      <wp:effectExtent l="0" t="0" r="0" b="0"/>
                      <wp:wrapNone/>
                      <wp:docPr id="400" name="Frame400"/>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center"/>
              <w:rPr/>
            </w:pPr>
            <w:r>
              <w:rPr/>
              <w:t>​</w:t>
            </w:r>
          </w:p>
        </w:tc>
      </w:tr>
      <w:tr>
        <w:trPr/>
        <w:tc>
          <w:tcPr>
            <w:tcW w:w="46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center"/>
              <w:rPr/>
            </w:pPr>
            <w:r>
              <w:rPr/>
              <w:t>​</w:t>
            </w:r>
          </w:p>
        </w:tc>
      </w:tr>
      <w:tr>
        <w:trPr/>
        <w:tc>
          <w:tcPr>
            <w:tcW w:w="46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Remaining</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center"/>
              <w:rPr/>
            </w:pPr>
            <w:r>
              <w:rPr/>
              <w:t>​</w:t>
            </w:r>
          </w:p>
        </w:tc>
      </w:tr>
      <w:tr>
        <w:trPr/>
        <w:tc>
          <w:tcPr>
            <w:tcW w:w="46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w:t>
            </w:r>
          </w:p>
        </w:tc>
        <w:tc>
          <w:tcPr>
            <w:tcW w:w="32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Exercise</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Contractual</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center"/>
              <w:rPr/>
            </w:pPr>
            <w:r>
              <w:rPr/>
              <w:t>​</w:t>
            </w:r>
          </w:p>
        </w:tc>
        <w:tc>
          <w:tcPr>
            <w:tcW w:w="1055" w:type="dxa"/>
            <w:tcBorders/>
            <w:vAlign w:val="center"/>
          </w:tcPr>
          <w:p>
            <w:pPr>
              <w:pStyle w:val="TableContents"/>
              <w:bidi w:val="0"/>
              <w:spacing w:before="0" w:after="0"/>
              <w:ind w:left="0" w:right="0" w:hanging="0"/>
              <w:jc w:val="center"/>
              <w:rPr/>
            </w:pPr>
            <w:r>
              <w:rPr/>
              <w:t>​</w:t>
            </w:r>
          </w:p>
        </w:tc>
      </w:tr>
      <w:tr>
        <w:trPr/>
        <w:tc>
          <w:tcPr>
            <w:tcW w:w="46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(in</w:t>
            </w:r>
          </w:p>
        </w:tc>
        <w:tc>
          <w:tcPr>
            <w:tcW w:w="32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Price Per</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Term (in</w:t>
            </w:r>
          </w:p>
        </w:tc>
        <w:tc>
          <w:tcPr>
            <w:tcW w:w="326" w:type="dxa"/>
            <w:tcBorders/>
            <w:vAlign w:val="center"/>
          </w:tcPr>
          <w:p>
            <w:pPr>
              <w:pStyle w:val="TableContents"/>
              <w:bidi w:val="0"/>
              <w:spacing w:before="0" w:after="0"/>
              <w:ind w:left="0" w:right="0" w:hanging="0"/>
              <w:jc w:val="left"/>
              <w:rPr/>
            </w:pPr>
            <w:r>
              <w:rPr/>
              <w:t>​</w:t>
            </w:r>
          </w:p>
        </w:tc>
        <w:tc>
          <w:tcPr>
            <w:tcW w:w="130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Aggregate</w:t>
            </w:r>
          </w:p>
        </w:tc>
      </w:tr>
      <w:tr>
        <w:trPr/>
        <w:tc>
          <w:tcPr>
            <w:tcW w:w="46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Options</w:t>
            </w:r>
          </w:p>
        </w:tc>
        <w:tc>
          <w:tcPr>
            <w:tcW w:w="326" w:type="dxa"/>
            <w:tcBorders/>
            <w:vAlign w:val="center"/>
          </w:tcPr>
          <w:p>
            <w:pPr>
              <w:pStyle w:val="TableContents"/>
              <w:bidi w:val="0"/>
              <w:spacing w:before="0" w:after="0"/>
              <w:ind w:left="0" w:right="0" w:hanging="0"/>
              <w:jc w:val="left"/>
              <w:rPr/>
            </w:pPr>
            <w:r>
              <w:rPr/>
              <w:t>    </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    </w:t>
            </w:r>
          </w:p>
        </w:tc>
        <w:tc>
          <w:tcPr>
            <w:tcW w:w="13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Intrinsic Value</w:t>
            </w:r>
          </w:p>
        </w:tc>
      </w:tr>
      <w:tr>
        <w:trPr/>
        <w:tc>
          <w:tcPr>
            <w:tcW w:w="46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29,710</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26.38</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724,651</w:t>
            </w:r>
          </w:p>
        </w:tc>
      </w:tr>
      <w:tr>
        <w:trPr/>
        <w:tc>
          <w:tcPr>
            <w:tcW w:w="46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01/01/23 - 03/31/23</w:t>
            </w:r>
          </w:p>
        </w:tc>
        <w:tc>
          <w:tcPr>
            <w:tcW w:w="326"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3,962</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50.82</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left"/>
              <w:rPr/>
            </w:pPr>
            <w:r>
              <w:rPr/>
              <w:t>​</w:t>
            </w:r>
          </w:p>
        </w:tc>
      </w:tr>
      <w:tr>
        <w:trPr/>
        <w:tc>
          <w:tcPr>
            <w:tcW w:w="46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04/01/23 - 06/30/23</w:t>
            </w:r>
          </w:p>
        </w:tc>
        <w:tc>
          <w:tcPr>
            <w:tcW w:w="326" w:type="dxa"/>
            <w:tcBorders/>
            <w:shd w:fill="CCEEFF" w:val="clear"/>
            <w:vAlign w:val="center"/>
          </w:tcPr>
          <w:p>
            <w:pPr>
              <w:pStyle w:val="TableContents"/>
              <w:bidi w:val="0"/>
              <w:spacing w:before="0" w:after="0"/>
              <w:ind w:left="0" w:right="0" w:hanging="0"/>
              <w:jc w:val="left"/>
              <w:rPr/>
            </w:pPr>
            <w:r>
              <w:rPr/>
              <w:t> </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59.36</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left"/>
              <w:rPr/>
            </w:pPr>
            <w:r>
              <w:rPr/>
              <w:t>​</w:t>
            </w:r>
          </w:p>
        </w:tc>
      </w:tr>
      <w:tr>
        <w:trPr/>
        <w:tc>
          <w:tcPr>
            <w:tcW w:w="46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07/01/23 - 09/30/23</w:t>
            </w:r>
          </w:p>
        </w:tc>
        <w:tc>
          <w:tcPr>
            <w:tcW w:w="326"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57.71</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left"/>
              <w:rPr/>
            </w:pPr>
            <w:r>
              <w:rPr/>
              <w:t>​</w:t>
            </w:r>
          </w:p>
        </w:tc>
      </w:tr>
      <w:tr>
        <w:trPr/>
        <w:tc>
          <w:tcPr>
            <w:tcW w:w="46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(4,218)</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left"/>
              <w:rPr/>
            </w:pPr>
            <w:r>
              <w:rPr/>
              <w:t>​</w:t>
            </w:r>
          </w:p>
        </w:tc>
      </w:tr>
      <w:tr>
        <w:trPr/>
        <w:tc>
          <w:tcPr>
            <w:tcW w:w="46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 or forfeited</w:t>
            </w:r>
          </w:p>
        </w:tc>
        <w:tc>
          <w:tcPr>
            <w:tcW w:w="326" w:type="dxa"/>
            <w:tcBorders/>
            <w:vAlign w:val="center"/>
          </w:tcPr>
          <w:p>
            <w:pPr>
              <w:pStyle w:val="TableContents"/>
              <w:bidi w:val="0"/>
              <w:spacing w:before="0" w:after="0"/>
              <w:ind w:left="0" w:right="0" w:hanging="0"/>
              <w:jc w:val="left"/>
              <w:rPr/>
            </w:pPr>
            <w:r>
              <w:rPr/>
              <w:t> </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40.05</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left"/>
              <w:rPr/>
            </w:pPr>
            <w:r>
              <w:rPr/>
              <w:t>​</w:t>
            </w:r>
          </w:p>
        </w:tc>
      </w:tr>
      <w:tr>
        <w:trPr/>
        <w:tc>
          <w:tcPr>
            <w:tcW w:w="46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September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29,204</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31.17</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636,250</w:t>
            </w:r>
          </w:p>
        </w:tc>
      </w:tr>
      <w:tr>
        <w:trPr/>
        <w:tc>
          <w:tcPr>
            <w:tcW w:w="46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in the future at September 30, 2023</w:t>
            </w:r>
          </w:p>
        </w:tc>
        <w:tc>
          <w:tcPr>
            <w:tcW w:w="32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28,330</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628,547</w:t>
            </w:r>
          </w:p>
        </w:tc>
      </w:tr>
      <w:tr>
        <w:trPr/>
        <w:tc>
          <w:tcPr>
            <w:tcW w:w="46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September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18,467</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521,638</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weighted-average grant-date fair value of options granted during the three-months ended September 30, 2023 and 2022 was $21.01 per share and $15.97 per share, respectively. The weighted-average grant-date fair value of options granted during the nine-months ended September 30, 2023 and 2022 was $18.27 per share and $11.68 per share,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total intrinsic value of options exercised during the three-months ended September 30, 2023 and 2022 was $7.1 million and $15.3 million, respectively. The total intrinsic value of options exercised during the nine-months ended September 30, 2023 and 2022 was $164.9 million and $38.2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received from option exercises under all plans for the three-months ended September 30, 2023 and 2022 was $5.9 million and $12.1 million, respectively. Cash received from option exercises under all plans for the nine-months ended September 30, 2023 and 2022 was $65.6 million and $34.8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September 30, 2023, there was $106.2 million of total unrecognized compensation expense related to non-vested options granted to employees under the Company’s stock-based compensation plans. That cost is expected to be recognized over a weighted-average period of 3.2 years.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Restricted Stock Units and Performance Share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2217" w:name="Tc_M-zSDYDAqkeRXpf55udqFQ_11_4"/>
      <w:bookmarkStart w:id="2218" w:name="Tc_vJYeNmTBKk-w4WP0oeyxvA_11_0"/>
      <w:bookmarkStart w:id="2219" w:name="Tc_9bmFW4464Ey8mqH_DKcg_w_10_4"/>
      <w:bookmarkStart w:id="2220" w:name="Tc_vG6jv8DAI0aI6_pXS_RT-Q_10_0"/>
      <w:bookmarkStart w:id="2221" w:name="Tc_qD8M-zGH-EKYQugMFB4fDg_9_4"/>
      <w:bookmarkStart w:id="2222" w:name="Tc_jeiuKvP-Cku9_vicv6Brdg_9_0"/>
      <w:bookmarkStart w:id="2223" w:name="Tc_ZSZqfPoZ6kqS80nhKlIUnw_8_4"/>
      <w:bookmarkStart w:id="2224" w:name="Tc_cn3Aseq94k6yTUwLJ4P3jg_8_0"/>
      <w:bookmarkStart w:id="2225" w:name="Tc_lEno6oUJwkuk9PyJSsMfHQ_7_4"/>
      <w:bookmarkStart w:id="2226" w:name="Tc_XiDmC34LY0Glcc0ti0Skkw_7_0"/>
      <w:bookmarkStart w:id="2227" w:name="Tc_q0fYNaBGUka38SAfGxhbwA_6_4"/>
      <w:bookmarkStart w:id="2228" w:name="Tc_xjoozCZ_CUaReg1EU4FBFA_6_0"/>
      <w:bookmarkStart w:id="2229" w:name="Tc_avsbpfrEdEa8ymEcH-D4Yw_5_4"/>
      <w:bookmarkStart w:id="2230" w:name="Tc_AmGvxLSyvEeLvJBG2HyQiQ_5_0"/>
      <w:bookmarkStart w:id="2231" w:name="Tc_hwaax8xVUEeyZOCDMYN7yw_4_4"/>
      <w:bookmarkStart w:id="2232" w:name="Tc_uwALMp2bMEW6Ao-fC27-Fg_4_2"/>
      <w:bookmarkStart w:id="2233" w:name="Tc_B93zJEBw_EuzuWg1q3XXxQ_3_4"/>
      <w:bookmarkStart w:id="2234" w:name="Tc_AKlN26sw_kCFwHbxkoQbZg_3_2"/>
      <w:bookmarkStart w:id="2235" w:name="Tc_tlB0o0vhgEOYS4loWFxy-A_2_4"/>
      <w:bookmarkStart w:id="2236" w:name="Tc_GKkhv76bUUCY6pelTWsjsw_2_2"/>
      <w:bookmarkStart w:id="2237" w:name="Tc_hmynQYMA9kee4PYQA6fjAw_1_4"/>
      <w:bookmarkStart w:id="2238" w:name="_ca0314b6_f814_41ad_8c96_66c4002846ac"/>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r>
        <w:rPr>
          <w:rFonts w:ascii="Times New Roman;Times;serif" w:hAnsi="Times New Roman;Times;serif"/>
          <w:sz w:val="20"/>
        </w:rPr>
        <w:t>The following table summarizes the Company’s activities with respect to non-vested restricted stock units and performance share units as follows:</w:t>
      </w:r>
    </w:p>
    <w:p>
      <w:pPr>
        <w:pStyle w:val="TextBody"/>
        <w:bidi w:val="0"/>
        <w:spacing w:before="0" w:after="0"/>
        <w:ind w:left="0" w:right="0" w:firstLine="720"/>
        <w:jc w:val="both"/>
        <w:rPr/>
      </w:pPr>
      <w:r>
        <w:rPr/>
        <w:t>​</w:t>
      </w:r>
    </w:p>
    <w:tbl>
      <w:tblPr>
        <w:tblW w:w="5590" w:type="dxa"/>
        <w:jc w:val="left"/>
        <w:tblInd w:w="0" w:type="dxa"/>
        <w:tblLayout w:type="fixed"/>
        <w:tblCellMar>
          <w:top w:w="0" w:type="dxa"/>
          <w:left w:w="0" w:type="dxa"/>
          <w:bottom w:w="0" w:type="dxa"/>
          <w:right w:w="0" w:type="dxa"/>
        </w:tblCellMar>
      </w:tblPr>
      <w:tblGrid>
        <w:gridCol w:w="2911"/>
        <w:gridCol w:w="326"/>
        <w:gridCol w:w="991"/>
        <w:gridCol w:w="326"/>
        <w:gridCol w:w="246"/>
        <w:gridCol w:w="790"/>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29285" cy="175260"/>
                      <wp:effectExtent l="0" t="0" r="0" b="0"/>
                      <wp:wrapNone/>
                      <wp:docPr id="402" name="Frame40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3"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56210" cy="175260"/>
                      <wp:effectExtent l="0" t="0" r="0" b="0"/>
                      <wp:wrapNone/>
                      <wp:docPr id="404" name="Frame404"/>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501650" cy="175260"/>
                      <wp:effectExtent l="0" t="0" r="0" b="0"/>
                      <wp:wrapNone/>
                      <wp:docPr id="405" name="Frame405"/>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(in</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Grant-Date</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0"/>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36.27</w:t>
            </w:r>
          </w:p>
        </w:tc>
      </w:tr>
      <w:tr>
        <w:trPr/>
        <w:tc>
          <w:tcPr>
            <w:tcW w:w="29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Granted 01/01/23 - 03/31/23</w:t>
            </w:r>
            <w:r>
              <w:rPr>
                <w:rFonts w:ascii="Times New Roman;Times;serif" w:hAnsi="Times New Roman;Times;serif"/>
                <w:sz w:val="17"/>
              </w:rPr>
              <w:t>1</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04/01/23 - 06/30/23</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59.70</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07/01/23 - 09/30/23</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56.38</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32.82</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32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32.71</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40.86</w:t>
            </w:r>
          </w:p>
        </w:tc>
      </w:tr>
    </w:tbl>
    <w:p>
      <w:pPr>
        <w:pStyle w:val="TextBody"/>
        <w:bidi w:val="0"/>
        <w:spacing w:before="0" w:after="0"/>
        <w:ind w:left="0" w:right="0" w:firstLine="720"/>
        <w:jc w:val="left"/>
        <w:rPr/>
      </w:pPr>
      <w:r>
        <w:rPr/>
        <w:t>​</w:t>
      </w:r>
    </w:p>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The grant activity for performance share units is recorded based on the target performance level earning 100%</w:t>
      </w:r>
      <w:r>
        <w:rPr>
          <w:rFonts w:ascii="Times New Roman;Times;serif" w:hAnsi="Times New Roman;Times;serif"/>
          <w:sz w:val="18"/>
        </w:rPr>
        <w:t xml:space="preserve"> </w:t>
      </w:r>
      <w:r>
        <w:rPr>
          <w:rFonts w:ascii="Times New Roman;Times;serif" w:hAnsi="Times New Roman;Times;serif"/>
          <w:i/>
          <w:sz w:val="18"/>
        </w:rPr>
        <w:t>of target performance share units. The actual number of performance share units earned could range from 0%</w:t>
      </w:r>
      <w:r>
        <w:rPr>
          <w:rFonts w:ascii="Times New Roman;Times;serif" w:hAnsi="Times New Roman;Times;serif"/>
          <w:sz w:val="18"/>
        </w:rPr>
        <w:t xml:space="preserve"> </w:t>
      </w:r>
      <w:r>
        <w:rPr>
          <w:rFonts w:ascii="Times New Roman;Times;serif" w:hAnsi="Times New Roman;Times;serif"/>
          <w:i/>
          <w:sz w:val="18"/>
        </w:rPr>
        <w:t>to 200%</w:t>
      </w:r>
      <w:r>
        <w:rPr>
          <w:rFonts w:ascii="Times New Roman;Times;serif" w:hAnsi="Times New Roman;Times;serif"/>
          <w:sz w:val="18"/>
        </w:rPr>
        <w:t xml:space="preserve"> </w:t>
      </w:r>
      <w:r>
        <w:rPr>
          <w:rFonts w:ascii="Times New Roman;Times;serif" w:hAnsi="Times New Roman;Times;serif"/>
          <w:i/>
          <w:sz w:val="18"/>
        </w:rPr>
        <w:t>of target depending on the achievement of pre-established performance goals.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weighted-average grant-date fair value of restricted stock units and/or performance share units granted during the three-months ended September 30, 2023 and 2022 was $56.38 and $47.59 per share, respectively. The weighted-average grant-date fair value of restricted stock units and/or performance share units granted during the nine-months ended September 30, 2023 and 2022 was $51.22 and $37.12 per share,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September 30, 2023, 1.9 million of restricted stock units and performance share units are expected to vest over their respective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September 30, 2023, total unrecognized compensation expense relating to non-vested restricted stock units and performance share units was $39.5 million, which is expected to be recognized over a weighted-average period of 1.4 years.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Share-Based Awards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September 30, 2023, other share-based awards outstanding included grants that vest over three years payable in the first quarters of 2024, 2025 and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September 30, 2023, there was $1.2 million of total unrecognized compensation expense related to nonvested other share-based awards granted to employees under the Company’s stock-based compensation plans. That expense is expected to be recognized over a weighted-average period of 1.6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239" w:name="Tc_GlqJuSr6206JJgmkwmhD9g_7_2"/>
      <w:bookmarkStart w:id="2240" w:name="Tc_RjgekbkRdk-nNQAg43nBLQ_7_0"/>
      <w:bookmarkStart w:id="2241" w:name="Tc_bkuUJb8610iV6dbT6SMEuA_6_0"/>
      <w:bookmarkStart w:id="2242" w:name="Tc_SVvWqVgKWUe2sZrU8xIdRw_5_0"/>
      <w:bookmarkStart w:id="2243" w:name="Tc_d23m0hgCCUO4Ul04HgWm1g_4_0"/>
      <w:bookmarkStart w:id="2244" w:name="Tc_0IgZWRBAy0mfj2Rqx7x_1w_3_2"/>
      <w:bookmarkStart w:id="2245" w:name="Tc_xrLW9e9uHUWJ5EqAAg_b6Q_3_0"/>
      <w:bookmarkStart w:id="2246" w:name="Tc_DlYG-609Qkys4YRPRsVYGw_2_2"/>
      <w:bookmarkStart w:id="2247" w:name="Tc_MvbLZS0BWU2vhr52HIL_1g_1_2"/>
      <w:bookmarkStart w:id="2248" w:name="Tc_GlqJuSr6206JJgmkwmhD9g_7_2"/>
      <w:bookmarkStart w:id="2249" w:name="Tc_RjgekbkRdk-nNQAg43nBLQ_7_0"/>
      <w:bookmarkStart w:id="2250" w:name="Tc_bkuUJb8610iV6dbT6SMEuA_6_0"/>
      <w:bookmarkStart w:id="2251" w:name="Tc_SVvWqVgKWUe2sZrU8xIdRw_5_0"/>
      <w:bookmarkStart w:id="2252" w:name="Tc_d23m0hgCCUO4Ul04HgWm1g_4_0"/>
      <w:bookmarkStart w:id="2253" w:name="Tc_0IgZWRBAy0mfj2Rqx7x_1w_3_2"/>
      <w:bookmarkStart w:id="2254" w:name="Tc_xrLW9e9uHUWJ5EqAAg_b6Q_3_0"/>
      <w:bookmarkStart w:id="2255" w:name="Tc_DlYG-609Qkys4YRPRsVYGw_2_2"/>
      <w:bookmarkStart w:id="2256" w:name="Tc_MvbLZS0BWU2vhr52HIL_1g_1_2"/>
      <w:bookmarkEnd w:id="2248"/>
      <w:bookmarkEnd w:id="2249"/>
      <w:bookmarkEnd w:id="2250"/>
      <w:bookmarkEnd w:id="2251"/>
      <w:bookmarkEnd w:id="2252"/>
      <w:bookmarkEnd w:id="2253"/>
      <w:bookmarkEnd w:id="2254"/>
      <w:bookmarkEnd w:id="2255"/>
      <w:bookmarkEnd w:id="2256"/>
    </w:p>
    <w:tbl>
      <w:tblPr>
        <w:tblW w:w="1952" w:type="dxa"/>
        <w:jc w:val="left"/>
        <w:tblInd w:w="0" w:type="dxa"/>
        <w:tblLayout w:type="fixed"/>
        <w:tblCellMar>
          <w:top w:w="0" w:type="dxa"/>
          <w:left w:w="0" w:type="dxa"/>
          <w:bottom w:w="0" w:type="dxa"/>
          <w:right w:w="0" w:type="dxa"/>
        </w:tblCellMar>
      </w:tblPr>
      <w:tblGrid>
        <w:gridCol w:w="376"/>
        <w:gridCol w:w="1576"/>
      </w:tblGrid>
      <w:tr>
        <w:trPr/>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16.</w:t>
            </w:r>
          </w:p>
        </w:tc>
        <w:tc>
          <w:tcPr>
            <w:tcW w:w="15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INCOME TAXES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a roll-forward of the Company’s total gross unrecognized tax benefits, not including interest and penalties, for the nine-months ended September 30, 2023:</w:t>
      </w:r>
    </w:p>
    <w:p>
      <w:pPr>
        <w:pStyle w:val="TextBody"/>
        <w:bidi w:val="0"/>
        <w:spacing w:before="0" w:after="0"/>
        <w:ind w:left="0" w:right="0" w:firstLine="720"/>
        <w:jc w:val="both"/>
        <w:rPr/>
      </w:pPr>
      <w:r>
        <w:rPr/>
        <w:t>​</w:t>
      </w:r>
    </w:p>
    <w:tbl>
      <w:tblPr>
        <w:tblW w:w="6568" w:type="dxa"/>
        <w:jc w:val="left"/>
        <w:tblInd w:w="0" w:type="dxa"/>
        <w:tblLayout w:type="fixed"/>
        <w:tblCellMar>
          <w:top w:w="0" w:type="dxa"/>
          <w:left w:w="0" w:type="dxa"/>
          <w:bottom w:w="0" w:type="dxa"/>
          <w:right w:w="0" w:type="dxa"/>
        </w:tblCellMar>
      </w:tblPr>
      <w:tblGrid>
        <w:gridCol w:w="4411"/>
        <w:gridCol w:w="326"/>
        <w:gridCol w:w="435"/>
        <w:gridCol w:w="1396"/>
      </w:tblGrid>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6" name="Frame4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76225" cy="175260"/>
                      <wp:effectExtent l="0" t="0" r="0" b="0"/>
                      <wp:wrapNone/>
                      <wp:docPr id="407" name="Frame407"/>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886460" cy="175260"/>
                      <wp:effectExtent l="0" t="0" r="0" b="0"/>
                      <wp:wrapNone/>
                      <wp:docPr id="408" name="Frame408"/>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3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 Unrecognized </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8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Tax Benefits</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current year</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prior years</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Decreases for tax positions related to the prior years</w:t>
            </w:r>
          </w:p>
        </w:tc>
        <w:tc>
          <w:tcPr>
            <w:tcW w:w="326" w:type="dxa"/>
            <w:tcBorders/>
            <w:vAlign w:val="center"/>
          </w:tcPr>
          <w:p>
            <w:pPr>
              <w:pStyle w:val="TableContents"/>
              <w:bidi w:val="0"/>
              <w:spacing w:before="0" w:after="0"/>
              <w:ind w:left="0" w:right="0" w:hanging="0"/>
              <w:jc w:val="left"/>
              <w:rPr/>
            </w:pPr>
            <w:r>
              <w:rPr/>
              <w:t>​</w:t>
            </w:r>
          </w:p>
        </w:tc>
        <w:tc>
          <w:tcPr>
            <w:tcW w:w="4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3,758</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recognizes accrued interest and penalties related to unrecognized tax benefits in the provision for income taxes in the Company’s condensed consolidated financial statements. As of September 30, 2023, the Company had approximately $0.7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subject to U.S. federal income tax as well as to income tax in multiple state and foreign jurisdictions.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is in various stages of examination with certain states and certain foreign jurisdictions. The Company’s 2019 through 2022 U.S. federal income tax returns are subject to examination by the IRS. The Company’s state income tax returns are subject to examination for the 2018 through 2022 tax years.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257" w:name="Tc_IqiP8QG28kaKMvCe-hk-ww_7_0"/>
      <w:bookmarkStart w:id="2258" w:name="Tc_zSEceYs-BE6AJ92q9qDGKw_6_0"/>
      <w:bookmarkStart w:id="2259" w:name="Tc_KmpbxYMnGESLKXN9lm7crQ_5_0"/>
      <w:bookmarkStart w:id="2260" w:name="Tc_71UgPcB68EG0wqn7qtHQig_4_0"/>
      <w:bookmarkStart w:id="2261" w:name="Tc_rXPxqUUI1U6sV4z8ubzbEg_3_8"/>
      <w:bookmarkStart w:id="2262" w:name="Tc_BuAChSQAWkKF7O0v-0BGew_3_6"/>
      <w:bookmarkStart w:id="2263" w:name="Tc_oF3ZleIBFUe2bnpfio2L2g_3_4"/>
      <w:bookmarkStart w:id="2264" w:name="Tc_CDFqhnZ_dUmdZ7FkUyKMFg_3_2"/>
      <w:bookmarkStart w:id="2265" w:name="Tc_6dCKQPWtVkOUH_1wKVVPEQ_2_6"/>
      <w:bookmarkStart w:id="2266" w:name="Tc_XON3qG7Zx0CMPirODNW_mQ_2_2"/>
      <w:bookmarkStart w:id="2267" w:name="Tc_2kBp09XGA0C8DODxuXH6wQ_1_6"/>
      <w:bookmarkStart w:id="2268" w:name="Tc_j63P-m9pKk6KikDIU13_xg_1_2"/>
      <w:bookmarkStart w:id="2269" w:name="_eddd514f_331a_4132_8b29_0f5b0858f646"/>
      <w:bookmarkStart w:id="2270" w:name="Tc_IqiP8QG28kaKMvCe-hk-ww_7_0"/>
      <w:bookmarkStart w:id="2271" w:name="Tc_zSEceYs-BE6AJ92q9qDGKw_6_0"/>
      <w:bookmarkStart w:id="2272" w:name="Tc_KmpbxYMnGESLKXN9lm7crQ_5_0"/>
      <w:bookmarkStart w:id="2273" w:name="Tc_71UgPcB68EG0wqn7qtHQig_4_0"/>
      <w:bookmarkStart w:id="2274" w:name="Tc_rXPxqUUI1U6sV4z8ubzbEg_3_8"/>
      <w:bookmarkStart w:id="2275" w:name="Tc_BuAChSQAWkKF7O0v-0BGew_3_6"/>
      <w:bookmarkStart w:id="2276" w:name="Tc_oF3ZleIBFUe2bnpfio2L2g_3_4"/>
      <w:bookmarkStart w:id="2277" w:name="Tc_CDFqhnZ_dUmdZ7FkUyKMFg_3_2"/>
      <w:bookmarkStart w:id="2278" w:name="Tc_6dCKQPWtVkOUH_1wKVVPEQ_2_6"/>
      <w:bookmarkStart w:id="2279" w:name="Tc_XON3qG7Zx0CMPirODNW_mQ_2_2"/>
      <w:bookmarkStart w:id="2280" w:name="Tc_2kBp09XGA0C8DODxuXH6wQ_1_6"/>
      <w:bookmarkStart w:id="2281" w:name="Tc_j63P-m9pKk6KikDIU13_xg_1_2"/>
      <w:bookmarkStart w:id="2282" w:name="_eddd514f_331a_4132_8b29_0f5b0858f646"/>
      <w:bookmarkEnd w:id="2270"/>
      <w:bookmarkEnd w:id="2271"/>
      <w:bookmarkEnd w:id="2272"/>
      <w:bookmarkEnd w:id="2273"/>
      <w:bookmarkEnd w:id="2274"/>
      <w:bookmarkEnd w:id="2275"/>
      <w:bookmarkEnd w:id="2276"/>
      <w:bookmarkEnd w:id="2277"/>
      <w:bookmarkEnd w:id="2278"/>
      <w:bookmarkEnd w:id="2279"/>
      <w:bookmarkEnd w:id="2280"/>
      <w:bookmarkEnd w:id="2281"/>
      <w:bookmarkEnd w:id="2282"/>
    </w:p>
    <w:tbl>
      <w:tblPr>
        <w:tblW w:w="2567" w:type="dxa"/>
        <w:jc w:val="left"/>
        <w:tblInd w:w="0" w:type="dxa"/>
        <w:tblLayout w:type="fixed"/>
        <w:tblCellMar>
          <w:top w:w="0" w:type="dxa"/>
          <w:left w:w="0" w:type="dxa"/>
          <w:bottom w:w="0" w:type="dxa"/>
          <w:right w:w="0" w:type="dxa"/>
        </w:tblCellMar>
      </w:tblPr>
      <w:tblGrid>
        <w:gridCol w:w="376"/>
        <w:gridCol w:w="2191"/>
      </w:tblGrid>
      <w:tr>
        <w:trPr/>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17.</w:t>
            </w:r>
          </w:p>
        </w:tc>
        <w:tc>
          <w:tcPr>
            <w:tcW w:w="219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EARNINGS PER SHARE</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reconciliation of the weighted-average shares used in the basic and diluted earnings per common share computations is presented below (in thousands):</w:t>
      </w:r>
    </w:p>
    <w:p>
      <w:pPr>
        <w:pStyle w:val="TextBody"/>
        <w:bidi w:val="0"/>
        <w:spacing w:before="0" w:after="0"/>
        <w:ind w:left="0" w:right="0" w:firstLine="720"/>
        <w:jc w:val="both"/>
        <w:rPr/>
      </w:pPr>
      <w:r>
        <w:rPr/>
        <w:t>​</w:t>
      </w:r>
    </w:p>
    <w:tbl>
      <w:tblPr>
        <w:tblW w:w="8359" w:type="dxa"/>
        <w:jc w:val="left"/>
        <w:tblInd w:w="0" w:type="dxa"/>
        <w:tblLayout w:type="fixed"/>
        <w:tblCellMar>
          <w:top w:w="0" w:type="dxa"/>
          <w:left w:w="0" w:type="dxa"/>
          <w:bottom w:w="0" w:type="dxa"/>
          <w:right w:w="0" w:type="dxa"/>
        </w:tblCellMar>
      </w:tblPr>
      <w:tblGrid>
        <w:gridCol w:w="3226"/>
        <w:gridCol w:w="326"/>
        <w:gridCol w:w="931"/>
        <w:gridCol w:w="326"/>
        <w:gridCol w:w="931"/>
        <w:gridCol w:w="326"/>
        <w:gridCol w:w="931"/>
        <w:gridCol w:w="326"/>
        <w:gridCol w:w="103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48510" cy="175260"/>
                      <wp:effectExtent l="0" t="0" r="0" b="0"/>
                      <wp:wrapNone/>
                      <wp:docPr id="409" name="Frame409"/>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10" name="Frame4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91185" cy="175260"/>
                      <wp:effectExtent l="0" t="0" r="0" b="0"/>
                      <wp:wrapNone/>
                      <wp:docPr id="411" name="Frame4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91185" cy="175260"/>
                      <wp:effectExtent l="0" t="0" r="0" b="0"/>
                      <wp:wrapNone/>
                      <wp:docPr id="413" name="Frame4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4"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91185" cy="175260"/>
                      <wp:effectExtent l="0" t="0" r="0" b="0"/>
                      <wp:wrapNone/>
                      <wp:docPr id="415" name="Frame4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6" name="Frame4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57860" cy="175260"/>
                      <wp:effectExtent l="0" t="0" r="0" b="0"/>
                      <wp:wrapNone/>
                      <wp:docPr id="417" name="Frame4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8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center"/>
              <w:rPr/>
            </w:pPr>
            <w:r>
              <w:rPr/>
              <w:t>​</w:t>
            </w:r>
          </w:p>
        </w:tc>
        <w:tc>
          <w:tcPr>
            <w:tcW w:w="229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center"/>
              <w:rPr/>
            </w:pPr>
            <w:r>
              <w:rPr/>
              <w:t>​</w:t>
            </w:r>
          </w:p>
        </w:tc>
        <w:tc>
          <w:tcPr>
            <w:tcW w:w="22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1,047,015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1,053,594</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1,046,337</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1,056,526</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13,006</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12,672</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1,059,966</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1,066,600</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1,059,809</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1,069,198</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the three-months ended September 30, 2023 and 2022, options and awards outstanding totaling 4.1 million shares and 7.0 million shares, respectively, were excluded from the calculations as their effect would have been antidilutive. For the nine-months ended September 30, 2023 and 2022, options and awards outstanding totaling 3.1 million shares and 5.8 million shares, respectively, were excluded from the calculations as their effect would have been antidilutive. </w:t>
      </w:r>
    </w:p>
    <w:p>
      <w:pPr>
        <w:pStyle w:val="TextBody"/>
        <w:bidi w:val="0"/>
        <w:spacing w:before="0" w:after="0"/>
        <w:ind w:left="0" w:right="0" w:firstLine="720"/>
        <w:jc w:val="both"/>
        <w:rPr/>
      </w:pPr>
      <w:r>
        <w:rPr/>
        <w:t>​</w:t>
      </w:r>
    </w:p>
    <w:tbl>
      <w:tblPr>
        <w:tblW w:w="2822" w:type="dxa"/>
        <w:jc w:val="left"/>
        <w:tblInd w:w="0" w:type="dxa"/>
        <w:tblLayout w:type="fixed"/>
        <w:tblCellMar>
          <w:top w:w="0" w:type="dxa"/>
          <w:left w:w="0" w:type="dxa"/>
          <w:bottom w:w="0" w:type="dxa"/>
          <w:right w:w="0" w:type="dxa"/>
        </w:tblCellMar>
      </w:tblPr>
      <w:tblGrid>
        <w:gridCol w:w="376"/>
        <w:gridCol w:w="2446"/>
      </w:tblGrid>
      <w:tr>
        <w:trPr/>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18.</w:t>
            </w:r>
          </w:p>
        </w:tc>
        <w:tc>
          <w:tcPr>
            <w:tcW w:w="24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SEGMENT INFORMATION</w:t>
            </w:r>
          </w:p>
        </w:tc>
      </w:tr>
    </w:tbl>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The Company has four operating and reportable segments: (i) Monster Energy® Drinks segment, which is primarily comprised of the Company’s Monster Energy® drinks, Reign Storm</w:t>
      </w:r>
      <w:r>
        <w:rPr>
          <w:rFonts w:ascii="Times New Roman;Times;serif" w:hAnsi="Times New Roman;Times;serif"/>
          <w:sz w:val="15"/>
        </w:rPr>
        <w:t>TM</w:t>
      </w:r>
      <w:r>
        <w:rPr>
          <w:rFonts w:ascii="Times New Roman;Times;serif" w:hAnsi="Times New Roman;Times;serif"/>
          <w:sz w:val="20"/>
        </w:rPr>
        <w:t xml:space="preserve"> total wellness energy drinks, Reign® Total Body Fuel high performance energy drinks, Bang Energy® drinks and Monster Tour Water® (ii) Strategic Brands segment, which is primarily comprised of the various energy drink brands acquired from TCCC in 2015 as well as the Company’s affordable energy brands, (iii) Alcohol Brands segment, which is primarily comprised of the various craft beers and hard seltzers purchased as part of the CANarchy Transaction on February 17, 2022 as well as The Beast Unleashed</w:t>
      </w:r>
      <w:r>
        <w:rPr>
          <w:rFonts w:ascii="Times New Roman;Times;serif" w:hAnsi="Times New Roman;Times;serif"/>
          <w:sz w:val="15"/>
        </w:rPr>
        <w:t>TM</w:t>
      </w:r>
      <w:r>
        <w:rPr>
          <w:rFonts w:ascii="Times New Roman;Times;serif" w:hAnsi="Times New Roman;Times;serif"/>
          <w:sz w:val="20"/>
        </w:rPr>
        <w:t xml:space="preserve"> FMBs and (iv) Other segment, which is primarily comprised of the AFF Third-Party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Monster Energy® Drinks segment generates higher per case net operating revenues, but lower per case gross profit margin percentages than the Strategic Brands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hard seltzers and FMBs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Alcohol Brands segment has lower gross profit margin percentages than the Monster Energy® Drinks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2283" w:name="Tc_FqedGrV08keKUiwDqGYrvg_10_11"/>
      <w:bookmarkStart w:id="2284" w:name="Tc_69bKAYGYXk-NWG5y-d-l1A_10_8"/>
      <w:bookmarkStart w:id="2285" w:name="Tc__AhB4VJZ1EqPvP4W5PVT6w_10_5"/>
      <w:bookmarkStart w:id="2286" w:name="Tc_DCOUidbPrkardeWu_Qg_2w_10_2"/>
      <w:bookmarkStart w:id="2287" w:name="Tc_hGDcMPLC7EibTDtp8gReVg_9_0"/>
      <w:bookmarkStart w:id="2288" w:name="Tc_uw7Ip_tPj0OfUfqfFlD8dw_8_0"/>
      <w:bookmarkStart w:id="2289" w:name="Tc_XpFtsWi89UmzXc2TJVdv-A_7_0"/>
      <w:bookmarkStart w:id="2290" w:name="Tc_cpTGUdCzhUSRJAgCnRaRGA_6_0"/>
      <w:bookmarkStart w:id="2291" w:name="Tc_q7YsymxKPkqSaCHNrJkgfA_5_11"/>
      <w:bookmarkStart w:id="2292" w:name="Tc_Ct2Wmx6gMkuN7VTOVayqkg_5_8"/>
      <w:bookmarkStart w:id="2293" w:name="Tc_Fd_v9XeiH06zgC4BblUmgg_5_5"/>
      <w:bookmarkStart w:id="2294" w:name="Tc_ESA3alwTsU6dZv56CTHhyw_5_2"/>
      <w:bookmarkStart w:id="2295" w:name="Tc__qUDq45Eukuefx8tV2S5cA_5_0"/>
      <w:bookmarkStart w:id="2296" w:name="Tc_WyvKtR55BEykIs3LsJr3pw_4_0"/>
      <w:bookmarkStart w:id="2297" w:name="Tc_YLh3_Vvu40maDITSTj545A_3_11"/>
      <w:bookmarkStart w:id="2298" w:name="Tc_Simv3K1hREeTvhXxXd4OOg_3_8"/>
      <w:bookmarkStart w:id="2299" w:name="Tc_gx6aPdbx5UWdSxEjJeUceA_3_5"/>
      <w:bookmarkStart w:id="2300" w:name="Tc_QNrgHGCCKkWO1eC7NxSGPA_3_2"/>
      <w:bookmarkStart w:id="2301" w:name="Tc_zYHqBodsK0mI_Kg_I0RoUg_2_8"/>
      <w:bookmarkStart w:id="2302" w:name="Tc_N3RnZ6k2cUWdxOsl3z9T7Q_2_2"/>
      <w:bookmarkStart w:id="2303" w:name="Tc_9dXQjt9d7U2CxpuyUAmouw_1_8"/>
      <w:bookmarkStart w:id="2304" w:name="Tc_Xza2xOLN1ky7exSUWSkCTw_1_2"/>
      <w:bookmarkStart w:id="2305" w:name="_2326e99b_b6a2_411b_965f_5a2b99a53c97"/>
      <w:bookmarkStart w:id="2306" w:name="Tc_631LbyxqIUqONvxbhJDmsg_10_11"/>
      <w:bookmarkStart w:id="2307" w:name="Tc_LghLxtfbE0e7s5ehUJM81Q_10_8"/>
      <w:bookmarkStart w:id="2308" w:name="Tc_UDu3tYcSxk6SF-AOrUmgvA_10_5"/>
      <w:bookmarkStart w:id="2309" w:name="Tc_diX5-yPUhkuo5G3GAl06Yg_10_2"/>
      <w:bookmarkStart w:id="2310" w:name="Tc_jCpgRtIUWkakU_8R1AHXeA_9_0"/>
      <w:bookmarkStart w:id="2311" w:name="Tc_POcxAgBD_0CgH-5wZwG5kw_8_0"/>
      <w:bookmarkStart w:id="2312" w:name="Tc_qg6C2TNQykmeq5hqCxLDIQ_7_0"/>
      <w:bookmarkStart w:id="2313" w:name="Tc_iIayjJvHx0So0Lebt0keYw_6_0"/>
      <w:bookmarkStart w:id="2314" w:name="Tc_Opsk5NQVZUGDEAE8cLGY4Q_5_11"/>
      <w:bookmarkStart w:id="2315" w:name="Tc_SWLk1Yb46EyYzZNosdNAtQ_5_8"/>
      <w:bookmarkStart w:id="2316" w:name="Tc_w73LBrZi00u_9E5Jhs2X0g_5_5"/>
      <w:bookmarkStart w:id="2317" w:name="Tc_n02oIHgkqE-a8Ed_FkrnJA_5_2"/>
      <w:bookmarkStart w:id="2318" w:name="Tc_BH4r1VZ5x0iYW55IZAGvlw_5_0"/>
      <w:bookmarkStart w:id="2319" w:name="Tc_IOmtM_M0eUiTaKd_a7W3jQ_4_0"/>
      <w:bookmarkStart w:id="2320" w:name="Tc_1S3Jiqx7bkiIFdn1-f6BmA_3_11"/>
      <w:bookmarkStart w:id="2321" w:name="Tc_-nwXqABKq0ift-x8XWtqCw_3_8"/>
      <w:bookmarkStart w:id="2322" w:name="Tc_fTY7A0OTj0OZa0vC3mwzWQ_3_5"/>
      <w:bookmarkStart w:id="2323" w:name="Tc_o9tI3_Sfg0OLMbqfAcVz-A_3_2"/>
      <w:bookmarkStart w:id="2324" w:name="Tc_kIoFqtBR5U-iLCo7bxxdfw_2_8"/>
      <w:bookmarkStart w:id="2325" w:name="Tc_aUA4ylQHv0OJkBdmB2eHQg_2_2"/>
      <w:bookmarkStart w:id="2326" w:name="Tc_46qV9c1ZpUaK6dpdZUD1aA_1_8"/>
      <w:bookmarkStart w:id="2327" w:name="Tc_97cELExxYk6KIwEShofKcQ_1_2"/>
      <w:bookmarkStart w:id="2328" w:name="_b4c9d00b_8e0a_44f3_95ce_2c2339aeca40"/>
      <w:bookmarkStart w:id="2329" w:name="Tc_OfvuUlko7UK9Iz0GC3ydOg_10_11"/>
      <w:bookmarkStart w:id="2330" w:name="Tc_BFrV23A1f0u5ZZQ3r02K_A_10_8"/>
      <w:bookmarkStart w:id="2331" w:name="Tc_WmDnYvRTfEWGKv2W37Olyg_10_5"/>
      <w:bookmarkStart w:id="2332" w:name="Tc_qX20RfBBxkixnLtP9U7oXA_10_2"/>
      <w:bookmarkStart w:id="2333" w:name="Tc_RSRvPC_bKkKTvmDLq3LLOQ_9_0"/>
      <w:bookmarkStart w:id="2334" w:name="Tc_lIaUDEeFREaxNKyuciUKig_8_0"/>
      <w:bookmarkStart w:id="2335" w:name="Tc_cFtyf7CYjUOl0dHcMSd_-A_7_0"/>
      <w:bookmarkStart w:id="2336" w:name="Tc_o7Jm_6KRlUKFFEGa6ccYGA_6_0"/>
      <w:bookmarkStart w:id="2337" w:name="Tc_vDYDpT9FUUidqTrj9MLAZw_5_11"/>
      <w:bookmarkStart w:id="2338" w:name="Tc_XF_1o4MKnUSbKZqqi1700g_5_8"/>
      <w:bookmarkStart w:id="2339" w:name="Tc_ONQQ3ZiMt0O0Hd1DqE6EqA_5_5"/>
      <w:bookmarkStart w:id="2340" w:name="Tc_Xt-Pb5AwGkur_W_u4GGAxA_5_2"/>
      <w:bookmarkStart w:id="2341" w:name="Tc_1aREs24EGU2dehWemz413w_5_0"/>
      <w:bookmarkStart w:id="2342" w:name="Tc_I32HcSkhz0y3D1EgobEz1g_4_0"/>
      <w:bookmarkStart w:id="2343" w:name="Tc_C_xBIxskKEGAtxD6yAt3wA_3_11"/>
      <w:bookmarkStart w:id="2344" w:name="Tc_22R_RQe-mUWmdEvw3BjH5g_3_8"/>
      <w:bookmarkStart w:id="2345" w:name="Tc_eLlJDEZzwESGDtmv_QBpeA_3_5"/>
      <w:bookmarkStart w:id="2346" w:name="Tc_vuIhGvFpiEqByfQW3TXczQ_3_2"/>
      <w:bookmarkStart w:id="2347" w:name="Tc_FKWGwl2zBkublmgk8bu5Kg_2_8"/>
      <w:bookmarkStart w:id="2348" w:name="Tc_DLMr84vc8k-ZMeuw7Obreg_2_2"/>
      <w:bookmarkStart w:id="2349" w:name="Tc_044Y5hDD3k2RKgt12Z7aBw_1_8"/>
      <w:bookmarkStart w:id="2350" w:name="Tc_Sk_Ajyw8NUm2i9i-OnR5VA_1_2"/>
      <w:bookmarkStart w:id="2351" w:name="_f220666d_4b43_4a60_bacb_57793d45d121"/>
      <w:bookmarkStart w:id="2352" w:name="Tc_4Rhs1Sui3UCMA9jvFGTYIQ_10_11"/>
      <w:bookmarkStart w:id="2353" w:name="Tc__cxeOyjjoUyyZsz-BqALlA_10_8"/>
      <w:bookmarkStart w:id="2354" w:name="Tc_SP3nve1hWkm_44vflz5n4g_10_5"/>
      <w:bookmarkStart w:id="2355" w:name="Tc_epVSqplHKUG9EanuA7-6Bg_10_2"/>
      <w:bookmarkStart w:id="2356" w:name="Tc_oyfP2ZR4rE2SiZePjoIvgA_9_0"/>
      <w:bookmarkStart w:id="2357" w:name="Tc_OWh50sDeikOk6kb0xiQ7sg_8_0"/>
      <w:bookmarkStart w:id="2358" w:name="Tc_FY5ibpz9dE6Ca5A3PrglWA_7_0"/>
      <w:bookmarkStart w:id="2359" w:name="Tc_j_DbZRqtPkSHTLFyWJkNaw_6_0"/>
      <w:bookmarkStart w:id="2360" w:name="Tc_5V1JGx5_OkO2f4_oMsFc1Q_5_11"/>
      <w:bookmarkStart w:id="2361" w:name="Tc_VpLG00jCOU2SD1XWGchJuA_5_8"/>
      <w:bookmarkStart w:id="2362" w:name="Tc_vX14XtgkJEiluHr7LyyXjw_5_5"/>
      <w:bookmarkStart w:id="2363" w:name="Tc_G7XRqLoTA0mY2k8iFmdneA_5_2"/>
      <w:bookmarkStart w:id="2364" w:name="Tc_FHD0_XAfiESqFMkuPtP6fA_5_0"/>
      <w:bookmarkStart w:id="2365" w:name="Tc_ITfxk2-zOk2Mv6bU2ZNVdg_4_0"/>
      <w:bookmarkStart w:id="2366" w:name="Tc_-RFWXYDUL0uf9FStl5DJKg_3_11"/>
      <w:bookmarkStart w:id="2367" w:name="Tc_vLtnHUcnKUyoMxJxo30zAg_3_8"/>
      <w:bookmarkStart w:id="2368" w:name="Tc_WY1YK90F6EGg0f8s5_OzOw_3_5"/>
      <w:bookmarkStart w:id="2369" w:name="Tc_6C5CUn1rSkibzK3j-f0NiA_3_2"/>
      <w:bookmarkStart w:id="2370" w:name="Tc_dqA3-DyOZk6CZ7OMaIzlxg_2_8"/>
      <w:bookmarkStart w:id="2371" w:name="Tc_8OxfmDqQNkyFcmbiyRNcgw_2_2"/>
      <w:bookmarkStart w:id="2372" w:name="Tc_d93e0uyNXkOlgiSrPYuwag_1_8"/>
      <w:bookmarkStart w:id="2373" w:name="Tc_xw6UcNMsdU-o0ZrFzlFddQ_1_2"/>
      <w:bookmarkStart w:id="2374" w:name="_cc5717f4_0c2b_4f2e_ac51_39258d0b10db"/>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r>
        <w:rPr>
          <w:rFonts w:ascii="Times New Roman;Times;serif" w:hAnsi="Times New Roman;Times;serif"/>
          <w:sz w:val="20"/>
        </w:rPr>
        <w:t>The net revenues derived from the Company’s reportable segments and other financial information related thereto for the three- and nine-months ended September 30, 2023 and 2022 were as follows:</w:t>
      </w:r>
    </w:p>
    <w:p>
      <w:pPr>
        <w:pStyle w:val="TextBody"/>
        <w:bidi w:val="0"/>
        <w:spacing w:before="0" w:after="0"/>
        <w:ind w:left="0" w:right="0" w:firstLine="720"/>
        <w:jc w:val="both"/>
        <w:rPr/>
      </w:pPr>
      <w:r>
        <w:rPr/>
        <w:t>​</w:t>
      </w:r>
    </w:p>
    <w:tbl>
      <w:tblPr>
        <w:tblW w:w="8258" w:type="dxa"/>
        <w:jc w:val="left"/>
        <w:tblInd w:w="0" w:type="dxa"/>
        <w:tblLayout w:type="fixed"/>
        <w:tblCellMar>
          <w:top w:w="0" w:type="dxa"/>
          <w:left w:w="0" w:type="dxa"/>
          <w:bottom w:w="0" w:type="dxa"/>
          <w:right w:w="0" w:type="dxa"/>
        </w:tblCellMar>
      </w:tblPr>
      <w:tblGrid>
        <w:gridCol w:w="2281"/>
        <w:gridCol w:w="326"/>
        <w:gridCol w:w="211"/>
        <w:gridCol w:w="931"/>
        <w:gridCol w:w="326"/>
        <w:gridCol w:w="211"/>
        <w:gridCol w:w="931"/>
        <w:gridCol w:w="326"/>
        <w:gridCol w:w="211"/>
        <w:gridCol w:w="931"/>
        <w:gridCol w:w="326"/>
        <w:gridCol w:w="211"/>
        <w:gridCol w:w="1036"/>
      </w:tblGrid>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8"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591185" cy="175260"/>
                      <wp:effectExtent l="0" t="0" r="0" b="0"/>
                      <wp:wrapNone/>
                      <wp:docPr id="419" name="Frame41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3985" cy="175260"/>
                      <wp:effectExtent l="0" t="0" r="0" b="0"/>
                      <wp:wrapNone/>
                      <wp:docPr id="421" name="Frame4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591185" cy="175260"/>
                      <wp:effectExtent l="0" t="0" r="0" b="0"/>
                      <wp:wrapNone/>
                      <wp:docPr id="422" name="Frame4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7010" cy="175260"/>
                      <wp:effectExtent l="0" t="0" r="0" b="0"/>
                      <wp:wrapNone/>
                      <wp:docPr id="423" name="Frame4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3985" cy="175260"/>
                      <wp:effectExtent l="0" t="0" r="0" b="0"/>
                      <wp:wrapNone/>
                      <wp:docPr id="424" name="Frame4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591185" cy="175260"/>
                      <wp:effectExtent l="0" t="0" r="0" b="0"/>
                      <wp:wrapNone/>
                      <wp:docPr id="425" name="Frame4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7010" cy="175260"/>
                      <wp:effectExtent l="0" t="0" r="0" b="0"/>
                      <wp:wrapNone/>
                      <wp:docPr id="426" name="Frame4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33985" cy="175260"/>
                      <wp:effectExtent l="0" t="0" r="0" b="0"/>
                      <wp:wrapNone/>
                      <wp:docPr id="427" name="Frame4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57860" cy="175260"/>
                      <wp:effectExtent l="0" t="0" r="0" b="0"/>
                      <wp:wrapNone/>
                      <wp:docPr id="428" name="Frame42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2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r>
              <w:rPr>
                <w:rFonts w:ascii="Times New Roman;Times;serif" w:hAnsi="Times New Roman;Times;serif"/>
                <w:sz w:val="15"/>
              </w:rPr>
              <w:t>1</w:t>
            </w:r>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1,708,242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1,502,219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4,956,797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4,444,755</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284,810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260,536</w:t>
            </w:r>
          </w:p>
        </w:tc>
      </w:tr>
      <w:tr>
        <w:trPr/>
        <w:tc>
          <w:tcPr>
            <w:tcW w:w="22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Alcohol Brands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74,472</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18,356</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unallocated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2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1,624,286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5,409,919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4,798,119</w:t>
            </w:r>
          </w:p>
        </w:tc>
      </w:tr>
    </w:tbl>
    <w:p>
      <w:pPr>
        <w:pStyle w:val="TextBody"/>
        <w:bidi w:val="0"/>
        <w:spacing w:before="0" w:after="0"/>
        <w:ind w:left="0" w:right="0" w:firstLine="720"/>
        <w:jc w:val="both"/>
        <w:rPr/>
      </w:pPr>
      <w:r>
        <w:rPr/>
        <w:t>​</w:t>
      </w:r>
    </w:p>
    <w:tbl>
      <w:tblPr>
        <w:tblW w:w="8198" w:type="dxa"/>
        <w:jc w:val="left"/>
        <w:tblInd w:w="0" w:type="dxa"/>
        <w:tblLayout w:type="fixed"/>
        <w:tblCellMar>
          <w:top w:w="0" w:type="dxa"/>
          <w:left w:w="0" w:type="dxa"/>
          <w:bottom w:w="0" w:type="dxa"/>
          <w:right w:w="0" w:type="dxa"/>
        </w:tblCellMar>
      </w:tblPr>
      <w:tblGrid>
        <w:gridCol w:w="2281"/>
        <w:gridCol w:w="326"/>
        <w:gridCol w:w="211"/>
        <w:gridCol w:w="901"/>
        <w:gridCol w:w="326"/>
        <w:gridCol w:w="211"/>
        <w:gridCol w:w="901"/>
        <w:gridCol w:w="326"/>
        <w:gridCol w:w="211"/>
        <w:gridCol w:w="931"/>
        <w:gridCol w:w="326"/>
        <w:gridCol w:w="211"/>
        <w:gridCol w:w="1036"/>
      </w:tblGrid>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9" name="Frame4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72135" cy="175260"/>
                      <wp:effectExtent l="0" t="0" r="0" b="0"/>
                      <wp:wrapNone/>
                      <wp:docPr id="430" name="Frame43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2"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572135" cy="175260"/>
                      <wp:effectExtent l="0" t="0" r="0" b="0"/>
                      <wp:wrapNone/>
                      <wp:docPr id="433" name="Frame43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3985" cy="175260"/>
                      <wp:effectExtent l="0" t="0" r="0" b="0"/>
                      <wp:wrapNone/>
                      <wp:docPr id="435" name="Frame4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591185" cy="175260"/>
                      <wp:effectExtent l="0" t="0" r="0" b="0"/>
                      <wp:wrapNone/>
                      <wp:docPr id="436" name="Frame4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8" name="Frame4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57860" cy="175260"/>
                      <wp:effectExtent l="0" t="0" r="0" b="0"/>
                      <wp:wrapNone/>
                      <wp:docPr id="439" name="Frame43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2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603,670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492,534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1,762,410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1,388,815</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145,977</w:t>
            </w:r>
          </w:p>
        </w:tc>
      </w:tr>
      <w:tr>
        <w:trPr/>
        <w:tc>
          <w:tcPr>
            <w:tcW w:w="22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Alcohol Brands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(19,873)</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3,138</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unallocated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(380,114)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(327,688)</w:t>
            </w:r>
          </w:p>
        </w:tc>
      </w:tr>
      <w:tr>
        <w:trPr/>
        <w:tc>
          <w:tcPr>
            <w:tcW w:w="22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510,527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417,930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1,519,396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1,190,369</w:t>
            </w:r>
          </w:p>
        </w:tc>
      </w:tr>
    </w:tbl>
    <w:p>
      <w:pPr>
        <w:pStyle w:val="TextBody"/>
        <w:bidi w:val="0"/>
        <w:spacing w:before="0" w:after="0"/>
        <w:ind w:left="0" w:right="0" w:firstLine="720"/>
        <w:jc w:val="both"/>
        <w:rPr/>
      </w:pPr>
      <w:r>
        <w:rPr/>
        <w:t>​</w:t>
      </w:r>
    </w:p>
    <w:tbl>
      <w:tblPr>
        <w:tblW w:w="8093" w:type="dxa"/>
        <w:jc w:val="left"/>
        <w:tblInd w:w="0" w:type="dxa"/>
        <w:tblLayout w:type="fixed"/>
        <w:tblCellMar>
          <w:top w:w="0" w:type="dxa"/>
          <w:left w:w="0" w:type="dxa"/>
          <w:bottom w:w="0" w:type="dxa"/>
          <w:right w:w="0" w:type="dxa"/>
        </w:tblCellMar>
      </w:tblPr>
      <w:tblGrid>
        <w:gridCol w:w="2281"/>
        <w:gridCol w:w="326"/>
        <w:gridCol w:w="211"/>
        <w:gridCol w:w="796"/>
        <w:gridCol w:w="326"/>
        <w:gridCol w:w="211"/>
        <w:gridCol w:w="901"/>
        <w:gridCol w:w="326"/>
        <w:gridCol w:w="211"/>
        <w:gridCol w:w="931"/>
        <w:gridCol w:w="326"/>
        <w:gridCol w:w="211"/>
        <w:gridCol w:w="1036"/>
      </w:tblGrid>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3985" cy="175260"/>
                      <wp:effectExtent l="0" t="0" r="0" b="0"/>
                      <wp:wrapNone/>
                      <wp:docPr id="440" name="Frame4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505460" cy="175260"/>
                      <wp:effectExtent l="0" t="0" r="0" b="0"/>
                      <wp:wrapNone/>
                      <wp:docPr id="441" name="Frame44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3985" cy="175260"/>
                      <wp:effectExtent l="0" t="0" r="0" b="0"/>
                      <wp:wrapNone/>
                      <wp:docPr id="443"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572135" cy="175260"/>
                      <wp:effectExtent l="0" t="0" r="0" b="0"/>
                      <wp:wrapNone/>
                      <wp:docPr id="444" name="Frame44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5"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3985" cy="175260"/>
                      <wp:effectExtent l="0" t="0" r="0" b="0"/>
                      <wp:wrapNone/>
                      <wp:docPr id="446"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91185" cy="175260"/>
                      <wp:effectExtent l="0" t="0" r="0" b="0"/>
                      <wp:wrapNone/>
                      <wp:docPr id="447" name="Frame44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33985" cy="175260"/>
                      <wp:effectExtent l="0" t="0" r="0" b="0"/>
                      <wp:wrapNone/>
                      <wp:docPr id="449" name="Frame4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57860" cy="175260"/>
                      <wp:effectExtent l="0" t="0" r="0" b="0"/>
                      <wp:wrapNone/>
                      <wp:docPr id="450" name="Frame45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center"/>
              <w:rPr/>
            </w:pPr>
            <w:r>
              <w:rPr/>
              <w:t>​</w:t>
            </w:r>
          </w:p>
        </w:tc>
        <w:tc>
          <w:tcPr>
            <w:tcW w:w="271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center"/>
              <w:rPr/>
            </w:pPr>
            <w:r>
              <w:rPr/>
              <w:t>​</w:t>
            </w:r>
          </w:p>
        </w:tc>
        <w:tc>
          <w:tcPr>
            <w:tcW w:w="27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604,688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493,486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1,765,018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1,391,026</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159,683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146,082</w:t>
            </w:r>
          </w:p>
        </w:tc>
      </w:tr>
      <w:tr>
        <w:trPr/>
        <w:tc>
          <w:tcPr>
            <w:tcW w:w="22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Alcohol Brands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(19,620)</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3,139</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unallocated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(283,766)</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(342,190)</w:t>
            </w:r>
          </w:p>
        </w:tc>
      </w:tr>
      <w:tr>
        <w:trPr/>
        <w:tc>
          <w:tcPr>
            <w:tcW w:w="22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581,884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420,079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1,618,406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1,178,437</w:t>
            </w:r>
          </w:p>
        </w:tc>
      </w:tr>
    </w:tbl>
    <w:p>
      <w:pPr>
        <w:pStyle w:val="TextBody"/>
        <w:bidi w:val="0"/>
        <w:spacing w:before="0" w:after="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(1)</w:t>
            </w:r>
          </w:p>
        </w:tc>
        <w:tc>
          <w:tcPr>
            <w:tcW w:w="9904" w:type="dxa"/>
            <w:tcBorders/>
            <w:vAlign w:val="center"/>
          </w:tcPr>
          <w:p>
            <w:pPr>
              <w:pStyle w:val="TableContents"/>
              <w:bidi w:val="0"/>
              <w:spacing w:before="0" w:after="283"/>
              <w:jc w:val="left"/>
              <w:rPr/>
            </w:pPr>
            <w:r>
              <w:rPr>
                <w:rFonts w:ascii="Times New Roman;Times;serif" w:hAnsi="Times New Roman;Times;serif"/>
                <w:b w:val="false"/>
                <w:i/>
                <w:sz w:val="16"/>
              </w:rPr>
              <w:t>Includes $10.0 million for both the three-months ended September 30, 2023 and 2022 related to the recognition of deferred revenue. Includes $30.0</w:t>
            </w:r>
            <w:r>
              <w:rPr/>
              <w:t xml:space="preserve"> </w:t>
            </w:r>
            <w:r>
              <w:rPr>
                <w:rFonts w:ascii="Times New Roman;Times;serif" w:hAnsi="Times New Roman;Times;serif"/>
                <w:b w:val="false"/>
                <w:i/>
                <w:sz w:val="16"/>
              </w:rPr>
              <w:t>million for both the nine-months ended September 30, 2023 and 2022 related to the recognition of deferred revenue.</w:t>
            </w:r>
          </w:p>
        </w:tc>
      </w:tr>
    </w:tbl>
    <w:tbl>
      <w:tblPr>
        <w:tblW w:w="7952" w:type="dxa"/>
        <w:jc w:val="left"/>
        <w:tblInd w:w="0" w:type="dxa"/>
        <w:tblLayout w:type="fixed"/>
        <w:tblCellMar>
          <w:top w:w="0" w:type="dxa"/>
          <w:left w:w="0" w:type="dxa"/>
          <w:bottom w:w="0" w:type="dxa"/>
          <w:right w:w="0" w:type="dxa"/>
        </w:tblCellMar>
      </w:tblPr>
      <w:tblGrid>
        <w:gridCol w:w="331"/>
        <w:gridCol w:w="7621"/>
      </w:tblGrid>
      <w:tr>
        <w:trPr/>
        <w:tc>
          <w:tcPr>
            <w:tcW w:w="331" w:type="dxa"/>
            <w:tcBorders/>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(2)</w:t>
            </w:r>
          </w:p>
        </w:tc>
        <w:tc>
          <w:tcPr>
            <w:tcW w:w="7621"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For the nine-months ended September 30, 2022, effectively from February 17, 2022 to September 30, 2022.</w:t>
            </w:r>
          </w:p>
        </w:tc>
      </w:tr>
    </w:tbl>
    <w:p>
      <w:pPr>
        <w:pStyle w:val="TextBody"/>
        <w:bidi w:val="0"/>
        <w:spacing w:before="0" w:after="0"/>
        <w:ind w:left="0" w:right="0" w:hanging="0"/>
        <w:jc w:val="left"/>
        <w:rPr/>
      </w:pPr>
      <w:r>
        <w:rPr/>
        <w:t>​</w:t>
      </w:r>
    </w:p>
    <w:tbl>
      <w:tblPr>
        <w:tblW w:w="7613" w:type="dxa"/>
        <w:jc w:val="left"/>
        <w:tblInd w:w="0" w:type="dxa"/>
        <w:tblLayout w:type="fixed"/>
        <w:tblCellMar>
          <w:top w:w="0" w:type="dxa"/>
          <w:left w:w="0" w:type="dxa"/>
          <w:bottom w:w="0" w:type="dxa"/>
          <w:right w:w="0" w:type="dxa"/>
        </w:tblCellMar>
      </w:tblPr>
      <w:tblGrid>
        <w:gridCol w:w="2656"/>
        <w:gridCol w:w="326"/>
        <w:gridCol w:w="211"/>
        <w:gridCol w:w="676"/>
        <w:gridCol w:w="326"/>
        <w:gridCol w:w="211"/>
        <w:gridCol w:w="676"/>
        <w:gridCol w:w="326"/>
        <w:gridCol w:w="211"/>
        <w:gridCol w:w="676"/>
        <w:gridCol w:w="326"/>
        <w:gridCol w:w="211"/>
        <w:gridCol w:w="781"/>
      </w:tblGrid>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51" name="Frame4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429260" cy="175260"/>
                      <wp:effectExtent l="0" t="0" r="0" b="0"/>
                      <wp:wrapNone/>
                      <wp:docPr id="452" name="Frame4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3985" cy="175260"/>
                      <wp:effectExtent l="0" t="0" r="0" b="0"/>
                      <wp:wrapNone/>
                      <wp:docPr id="454" name="Frame4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429260" cy="175260"/>
                      <wp:effectExtent l="0" t="0" r="0" b="0"/>
                      <wp:wrapNone/>
                      <wp:docPr id="455" name="Frame4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7010" cy="175260"/>
                      <wp:effectExtent l="0" t="0" r="0" b="0"/>
                      <wp:wrapNone/>
                      <wp:docPr id="456"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33985" cy="175260"/>
                      <wp:effectExtent l="0" t="0" r="0" b="0"/>
                      <wp:wrapNone/>
                      <wp:docPr id="457" name="Frame4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429260" cy="175260"/>
                      <wp:effectExtent l="0" t="0" r="0" b="0"/>
                      <wp:wrapNone/>
                      <wp:docPr id="458" name="Frame4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9"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33985" cy="175260"/>
                      <wp:effectExtent l="0" t="0" r="0" b="0"/>
                      <wp:wrapNone/>
                      <wp:docPr id="460" name="Frame4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95935" cy="175260"/>
                      <wp:effectExtent l="0" t="0" r="0" b="0"/>
                      <wp:wrapNone/>
                      <wp:docPr id="461" name="Frame4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24,035</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9,679</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3,345</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unallocated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8,272</w:t>
            </w:r>
          </w:p>
        </w:tc>
      </w:tr>
      <w:tr>
        <w:trPr/>
        <w:tc>
          <w:tcPr>
            <w:tcW w:w="26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46,040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2375" w:name="Tc_fQ6bBvNIfEOk3J6dLlcrEQ_8_5"/>
      <w:bookmarkStart w:id="2376" w:name="Tc_vB70geKN4Ea8y1j2eVkBDg_8_2"/>
      <w:bookmarkStart w:id="2377" w:name="Tc_xGvI49ttSUmYhMYqYbCO3w_7_0"/>
      <w:bookmarkStart w:id="2378" w:name="Tc_9YqkrKNuDkqZ6S7-EXd8nA_6_0"/>
      <w:bookmarkStart w:id="2379" w:name="Tc_L3qpIPvv3USSNSXZkRl2pg_5_0"/>
      <w:bookmarkStart w:id="2380" w:name="Tc_N39Lr7OImUmciWl4EhUlkg_4_5"/>
      <w:bookmarkStart w:id="2381" w:name="Tc_JBAeoU2z0UadxkAHnFuJ4w_4_2"/>
      <w:bookmarkStart w:id="2382" w:name="Tc_DTfXqZY9PEWs_URsip6F4g_4_0"/>
      <w:bookmarkStart w:id="2383" w:name="Tc_wlVOWVKsa06nqV2-FU7Ydg_3_0"/>
      <w:bookmarkStart w:id="2384" w:name="Tc_6fdnChHitUm12SCPsqai7A_2_5"/>
      <w:bookmarkStart w:id="2385" w:name="Tc_q8AoEb0bVU-uP6J9VbsVug_2_2"/>
      <w:bookmarkStart w:id="2386" w:name="Tc_G_y8MMX1vUGi2QBt6Fdt2w_1_5"/>
      <w:bookmarkStart w:id="2387" w:name="Tc_4vPi-Szwy0e_NfuvFzc2pg_1_2"/>
      <w:bookmarkEnd w:id="2375"/>
      <w:bookmarkEnd w:id="2376"/>
      <w:bookmarkEnd w:id="2377"/>
      <w:bookmarkEnd w:id="2378"/>
      <w:bookmarkEnd w:id="2379"/>
      <w:bookmarkEnd w:id="2380"/>
      <w:bookmarkEnd w:id="2381"/>
      <w:bookmarkEnd w:id="2382"/>
      <w:bookmarkEnd w:id="2383"/>
      <w:bookmarkEnd w:id="2384"/>
      <w:bookmarkEnd w:id="2385"/>
      <w:bookmarkEnd w:id="2386"/>
      <w:bookmarkEnd w:id="2387"/>
      <w:r>
        <w:rPr>
          <w:rFonts w:ascii="Times New Roman;Times;serif" w:hAnsi="Times New Roman;Times;serif"/>
          <w:sz w:val="20"/>
        </w:rPr>
        <w:t>Corporate and unallocated expenses for the three-months ended September 30, 2023 include $82.7 million of payroll costs, of which $17.4 million was attributable to stock-based compensation expenses (see Note 15 “Stock-Based Compensation”), as well as $27.3 million attributable to professional service expenses, including accounting and legal costs, and $25.4 million of other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Corporate and unallocated expenses for the three-months ended September 30, 2022 include $69.4 million of payroll costs, of which $16.2 million was attributable to stock-based compensation expenses (see Note 15 “Stock-Based Compensation”), as well as $26.0 million attributable to professional service expenses, including accounting and legal costs, and $17.2 million of other operating expenses.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Corporate and unallocated expenses for the nine-months ended September 30, 2023 include $245.5 million of payroll costs, of which $51.1 million was attributable to stock-based compensation expenses (see Note 15 “Stock-Based Compensation”), as well as $74.7 million attributable to professional service expenses, including accounting and legal costs, and $59.9 million of other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Corporate and unallocated expenses for the nine-months ended September 30, 2022 include $207.6 million of payroll costs, of which $48.5 million was attributable to stock-based compensation expenses (see Note 15 “Stock-Based Compensation”), as well as $69.3 million attributable to professional service expenses, including accounting and legal costs, and $50.8 million of other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Europacific Partners accounted for approximately 14% and 12% of the Company’s net sales for the three-months ended September 30, 2023 and 2022, respectively. Coca-Cola Europacific Partners accounted for approximately 13% of the Company’s net sales for both the nine-months ended September 30, 2023 and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Consolidated, Inc. accounted for approximately 10% and 11% of the Company’s net sales for the three-months ended September 30, 2023 and 2022, respectively. Coca-Cola Consolidated, Inc. accounted for approximately 10% of the Company’s net sales for both the nine-months ended September 30, 2023 and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Reyes Holdings, LLC accounted for approximately 9% and 10% of the Company’s net sales for the three-months ended September 30, 2023 and 2022, respectively. Reyes Holdings, LLC accounted for approximately 9% and 10% of the Company’s net sales for the nine-months ended September 30, 2023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customers outside the United States amounted to $733.7 million and $610.6 million for the three-months ended September 30, 2023 and 2022, respectively. Such sales were approximately 40% and 38% of net sales for the three-months ended September 30, 2023 and 2022, respectively. Net sales to customers outside the United States amounted to $2.07 billion and $1.81 billion for the nine-months ended September 30, 2023 and 2022, respectively. Such sales were approximately 38% of net sales for both the nine-months ended September 30, 2023 and 2022.</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Goodwill and other intangible assets for the Company’s reportable segments as of September 30, 2023 and December 31, 2022 were as follows:</w:t>
      </w:r>
    </w:p>
    <w:p>
      <w:pPr>
        <w:pStyle w:val="TextBody"/>
        <w:bidi w:val="0"/>
        <w:spacing w:before="0" w:after="0"/>
        <w:ind w:left="0" w:right="0" w:firstLine="720"/>
        <w:jc w:val="both"/>
        <w:rPr/>
      </w:pPr>
      <w:r>
        <w:rPr/>
        <w:t>​</w:t>
      </w:r>
    </w:p>
    <w:tbl>
      <w:tblPr>
        <w:tblW w:w="6413" w:type="dxa"/>
        <w:jc w:val="left"/>
        <w:tblInd w:w="0" w:type="dxa"/>
        <w:tblLayout w:type="fixed"/>
        <w:tblCellMar>
          <w:top w:w="0" w:type="dxa"/>
          <w:left w:w="0" w:type="dxa"/>
          <w:bottom w:w="0" w:type="dxa"/>
          <w:right w:w="0" w:type="dxa"/>
        </w:tblCellMar>
      </w:tblPr>
      <w:tblGrid>
        <w:gridCol w:w="3151"/>
        <w:gridCol w:w="326"/>
        <w:gridCol w:w="240"/>
        <w:gridCol w:w="1065"/>
        <w:gridCol w:w="326"/>
        <w:gridCol w:w="220"/>
        <w:gridCol w:w="1085"/>
      </w:tblGrid>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2"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52400" cy="175260"/>
                      <wp:effectExtent l="0" t="0" r="0" b="0"/>
                      <wp:wrapNone/>
                      <wp:docPr id="463" name="Frame46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76275" cy="175260"/>
                      <wp:effectExtent l="0" t="0" r="0" b="0"/>
                      <wp:wrapNone/>
                      <wp:docPr id="464" name="Frame464"/>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5" name="Frame4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39700" cy="175260"/>
                      <wp:effectExtent l="0" t="0" r="0" b="0"/>
                      <wp:wrapNone/>
                      <wp:docPr id="466" name="Frame466"/>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88975" cy="175260"/>
                      <wp:effectExtent l="0" t="0" r="0" b="0"/>
                      <wp:wrapNone/>
                      <wp:docPr id="467" name="Frame467"/>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and other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1,667,462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1,424,212</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982,311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979,896</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227,615</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233,140</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w: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2,877,388</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2,638,351</w:t>
            </w:r>
          </w:p>
        </w:tc>
      </w:tr>
    </w:tbl>
    <w:p>
      <w:pPr>
        <w:pStyle w:val="TextBody"/>
        <w:pBdr/>
        <w:bidi w:val="0"/>
        <w:spacing w:before="0" w:after="0"/>
        <w:ind w:left="0" w:right="0" w:hanging="720"/>
        <w:jc w:val="left"/>
        <w:rPr/>
      </w:pPr>
      <w:r>
        <w:rPr/>
        <w:t>​</w:t>
      </w:r>
    </w:p>
    <w:p>
      <w:pPr>
        <w:pStyle w:val="TextBody"/>
        <w:pBdr/>
        <w:bidi w:val="0"/>
        <w:spacing w:before="0" w:after="0"/>
        <w:ind w:left="0" w:right="0" w:hanging="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88" w:name="Tc__j-U9LOSYUi7Fl7Wo8c8zA_6_5"/>
      <w:bookmarkStart w:id="2389" w:name="Tc_nC4QmSicA0a6vxwMWBqxzA_6_2"/>
      <w:bookmarkStart w:id="2390" w:name="Tc_thVqKpxgMEKDrh8I9QVMmg_6_0"/>
      <w:bookmarkStart w:id="2391" w:name="Tc_oSreQvqoREWgyKzVqFuEPw_5_5"/>
      <w:bookmarkStart w:id="2392" w:name="Tc_qMWJJvsyQEe5_O-bhiLxLQ_5_2"/>
      <w:bookmarkStart w:id="2393" w:name="Tc_FKyTR3Zm9UKC8VpYM2YyNg_5_0"/>
      <w:bookmarkStart w:id="2394" w:name="Tc_isiTgDBoCUmVvHciVAIWXw_4_5"/>
      <w:bookmarkStart w:id="2395" w:name="Tc_WFQ2Fw5UfE-efxNl-EbWIw_4_2"/>
      <w:bookmarkStart w:id="2396" w:name="Tc_uUBZrhQgDUibZ-i-aIlouQ_4_0"/>
      <w:bookmarkStart w:id="2397" w:name="Tc_TmVM0co5YkSClOp2DRYJWA_3_5"/>
      <w:bookmarkStart w:id="2398" w:name="Tc_puhnKdoLJ0OfVORF9OCFkw_3_2"/>
      <w:bookmarkStart w:id="2399" w:name="Tc_jnAh8El4z0SwJFx50iqJ2A_3_0"/>
      <w:bookmarkStart w:id="2400" w:name="Tc_cLz9dnqYbEmDJA-tVo9dPA_2_5"/>
      <w:bookmarkStart w:id="2401" w:name="Tc_VFAA0SNRD0a305en6EiOcA_2_2"/>
      <w:bookmarkStart w:id="2402" w:name="Tc_yGbJopHVbUilASxT8SYOJA_1_5"/>
      <w:bookmarkStart w:id="2403" w:name="Tc_GkcgbHbUN0-n7CGP05dIqw_1_2"/>
      <w:bookmarkStart w:id="2404" w:name="Tc__j-U9LOSYUi7Fl7Wo8c8zA_6_5"/>
      <w:bookmarkStart w:id="2405" w:name="Tc_nC4QmSicA0a6vxwMWBqxzA_6_2"/>
      <w:bookmarkStart w:id="2406" w:name="Tc_thVqKpxgMEKDrh8I9QVMmg_6_0"/>
      <w:bookmarkStart w:id="2407" w:name="Tc_oSreQvqoREWgyKzVqFuEPw_5_5"/>
      <w:bookmarkStart w:id="2408" w:name="Tc_qMWJJvsyQEe5_O-bhiLxLQ_5_2"/>
      <w:bookmarkStart w:id="2409" w:name="Tc_FKyTR3Zm9UKC8VpYM2YyNg_5_0"/>
      <w:bookmarkStart w:id="2410" w:name="Tc_isiTgDBoCUmVvHciVAIWXw_4_5"/>
      <w:bookmarkStart w:id="2411" w:name="Tc_WFQ2Fw5UfE-efxNl-EbWIw_4_2"/>
      <w:bookmarkStart w:id="2412" w:name="Tc_uUBZrhQgDUibZ-i-aIlouQ_4_0"/>
      <w:bookmarkStart w:id="2413" w:name="Tc_TmVM0co5YkSClOp2DRYJWA_3_5"/>
      <w:bookmarkStart w:id="2414" w:name="Tc_puhnKdoLJ0OfVORF9OCFkw_3_2"/>
      <w:bookmarkStart w:id="2415" w:name="Tc_jnAh8El4z0SwJFx50iqJ2A_3_0"/>
      <w:bookmarkStart w:id="2416" w:name="Tc_cLz9dnqYbEmDJA-tVo9dPA_2_5"/>
      <w:bookmarkStart w:id="2417" w:name="Tc_VFAA0SNRD0a305en6EiOcA_2_2"/>
      <w:bookmarkStart w:id="2418" w:name="Tc_yGbJopHVbUilASxT8SYOJA_1_5"/>
      <w:bookmarkStart w:id="2419" w:name="Tc_GkcgbHbUN0-n7CGP05dIqw_1_2"/>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p>
    <w:tbl>
      <w:tblPr>
        <w:tblW w:w="3587" w:type="dxa"/>
        <w:jc w:val="left"/>
        <w:tblInd w:w="0" w:type="dxa"/>
        <w:tblLayout w:type="fixed"/>
        <w:tblCellMar>
          <w:top w:w="0" w:type="dxa"/>
          <w:left w:w="0" w:type="dxa"/>
          <w:bottom w:w="0" w:type="dxa"/>
          <w:right w:w="0" w:type="dxa"/>
        </w:tblCellMar>
      </w:tblPr>
      <w:tblGrid>
        <w:gridCol w:w="376"/>
        <w:gridCol w:w="3211"/>
      </w:tblGrid>
      <w:tr>
        <w:trPr/>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19.</w:t>
            </w:r>
          </w:p>
        </w:tc>
        <w:tc>
          <w:tcPr>
            <w:tcW w:w="3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RELATED PARTY TRANSACTIONS</w:t>
            </w:r>
          </w:p>
        </w:tc>
      </w:tr>
    </w:tbl>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TCCC controls approximately 19.6% of the voting interests of the Company. The TCCC Subsidiaries, the TCCC Related Parties and certain TCCC independent bottlers/distributors purchase and distribute the Company’s products in domestic and certain international markets. The Company also pays TCCC a commission based on certain sales within the TCCC distribution network.</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the TCCC Subsidiaries and the TCCC Related Parties, were $21.4 million and $12.8 million for the three-months ended September 30, 2023 and 2022, respectively, and are included as a reduction to net sales. TCCC commissions, based on sales to the TCCC Subsidiaries and the TCCC Related Parties, were $55.2 million and $41.3 million for the nine-months ended September 30, 2023 and 2022, respectively, and are included as a reduction to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TCCC independent bottlers/distributors, were $8.8 million and $5.5 million for the three-months ended September 30, 2023 and 2022, respectively, and are included in operating expenses. TCCC commissions, based on sales to TCCC independent bottlers/distributors, were $25.7 million and $24.4 million for the nine-months ended September 30, 2023 and 2022, respectively, and are included in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the TCCC Subsidiaries for the three-months ended September 30, 2023 and 2022 were $40.2 million and $36.6 million, respectively. Net sales to the TCCC Subsidiaries for the nine-months ended September 30, 2023 and 2022 were $108.4 million and $95.0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also purchases concentrates from TCCC, which are then sold to certain of the Company’s bottlers/distributors. Concentrate purchases from TCCC were $7.8 million and $6.5 million for the three-months ended September 30, 2023 and 2022, respectively. Concentrate purchases from TCCC were $22.5 million and $21.5 million for the nine-months ended September 30, 2023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TCCC Subsidiaries also contract manufacture certain of the Company’s energy drinks. Such contract manufacturing expenses were $10.1 million and $9.1 million for the three-months ended September 30, 2023 and 2022, respectively. Such contract manufacturing expenses were $25.1 million and $23.1 million for the nine-months ended September 30, 2023 and 2022,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Accounts receivable, accounts payable, accrued promotional allowances and accrued liabilities related to the TCCC Subsidiaries were as follows at:</w:t>
      </w:r>
    </w:p>
    <w:p>
      <w:pPr>
        <w:pStyle w:val="TextBody"/>
        <w:bidi w:val="0"/>
        <w:spacing w:before="0" w:after="0"/>
        <w:ind w:left="0" w:right="0" w:firstLine="720"/>
        <w:jc w:val="both"/>
        <w:rPr/>
      </w:pPr>
      <w:r>
        <w:rPr/>
        <w:t>​</w:t>
      </w:r>
    </w:p>
    <w:tbl>
      <w:tblPr>
        <w:tblW w:w="6053" w:type="dxa"/>
        <w:jc w:val="left"/>
        <w:tblInd w:w="0" w:type="dxa"/>
        <w:tblLayout w:type="fixed"/>
        <w:tblCellMar>
          <w:top w:w="0" w:type="dxa"/>
          <w:left w:w="0" w:type="dxa"/>
          <w:bottom w:w="0" w:type="dxa"/>
          <w:right w:w="0" w:type="dxa"/>
        </w:tblCellMar>
      </w:tblPr>
      <w:tblGrid>
        <w:gridCol w:w="2791"/>
        <w:gridCol w:w="326"/>
        <w:gridCol w:w="277"/>
        <w:gridCol w:w="1028"/>
        <w:gridCol w:w="326"/>
        <w:gridCol w:w="277"/>
        <w:gridCol w:w="1028"/>
      </w:tblGrid>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68" name="Frame4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75895" cy="175260"/>
                      <wp:effectExtent l="0" t="0" r="0" b="0"/>
                      <wp:wrapNone/>
                      <wp:docPr id="469" name="Frame469"/>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52780" cy="175260"/>
                      <wp:effectExtent l="0" t="0" r="0" b="0"/>
                      <wp:wrapNone/>
                      <wp:docPr id="470" name="Frame470"/>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71" name="Frame4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75895" cy="175260"/>
                      <wp:effectExtent l="0" t="0" r="0" b="0"/>
                      <wp:wrapNone/>
                      <wp:docPr id="472" name="Frame47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52780" cy="175260"/>
                      <wp:effectExtent l="0" t="0" r="0" b="0"/>
                      <wp:wrapNone/>
                      <wp:docPr id="473" name="Frame473"/>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138,987</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88,169</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(49,937)</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(35,467)</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(13,256)</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(11,222)</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(21,789)</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(14,733)</w:t>
            </w:r>
          </w:p>
        </w:tc>
      </w:tr>
    </w:tbl>
    <w:p>
      <w:pPr>
        <w:pStyle w:val="TextBody"/>
        <w:pBdr/>
        <w:bidi w:val="0"/>
        <w:spacing w:before="0" w:after="0"/>
        <w:ind w:left="0" w:right="0" w:hanging="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One director of the Company through certain trusts, and a family member of one director are the principal owners of a company that provides promotional materials to the Company. Expenses incurred with such company in connection with promotional materials purchased during the three-months ended September 30, 2023 and 2022 were $0.9 million and $1.3 million, respectively. Expenses incurred with such company in connection with promotional materials purchased during the nine-months ended September 30, 2023 and 2022 were $3.0 million and $4.7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occasionally charters a private aircraft that is indirectly owned by Mr. Rodney C. Sacks, Co-Chief Executive Officer and Chairman of the Board of Directors. On certain occasions, Mr. Sacks is accompanied by guests and other Company personnel when using such aircraft for business travel. During the three-months ended September 30, 2023, the Company incurred costs of $0.10 million, amounts the Company believes is commensurate with market rates for comparable travel. No amounts were incurred during the three-months ended September 30, 2022. During the nine-months ended September 30, 2023 and 2022, the Company incurred costs of $0.13 million and $0.08 million, respectively, amounts the Company believes is commensurate with market rates for comparable travel.</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December 2018, the Company and a director of the Company entered into a 50-50 partnership that purchased land, and real property thereon, in Kona, Hawaii for the purpose of producing coffee products. This partnership meets the definition of a Variable Interest Entity (“VIE”) for which the Company has determined that it is the primary beneficiary. Therefore, the Company consolidates the VIE in the accompanying condensed consolidated financial statements. The aggregate carrying values of the VIE’s assets and liabilities, after elimination of any intercompany transactions and balances, as well as the results of operations for all periods presented, are not material to the Company’s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2420" w:name="ITEM2MANAGEMENTSDISCUSSIONANDANALYSIS_40"/>
      <w:bookmarkStart w:id="2421" w:name="_6755e254_67e0_433a_932e_50146875e3c4"/>
      <w:bookmarkEnd w:id="2420"/>
      <w:bookmarkEnd w:id="2421"/>
      <w:r>
        <w:rPr>
          <w:rFonts w:ascii="Times New Roman;Times;serif" w:hAnsi="Times New Roman;Times;serif"/>
          <w:b/>
          <w:sz w:val="20"/>
        </w:rPr>
        <w:t>ITEM 2.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and to a lesser extent, craft beers, hard seltzers and flavored malt beverages (“FMBs”).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Bang Energy</w:t>
      </w:r>
      <w:r>
        <w:rPr>
          <w:rFonts w:ascii="Times New Roman;Times;serif" w:hAnsi="Times New Roman;Times;serif"/>
          <w:i/>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July 31, 2023, we completed our acquisition of substantially all of the assets of Vital Pharmaceuticals, Inc. and its debtor affiliates (collectively, “Bang Energy”) (the “Bang Transaction”). The acquired assets primarily include Bang Energy® drinks and a beverage production facility in Phoenix, AZ.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Inventory purchased as part of the Bang Transaction was recorded at fair value. Certain of the purchased inventory was subsequently sold in the three-months ended September 30, 2023 and was recognized through cost of sales at fair value (the “Bang Inventory Step-Up”). Gross profit was negatively impacted by approximately $7.8 million during the three-months ended September 30, 2023 as a result.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three-months ended September 30, 2023, in connection with the Bang Transaction, we recorded a gain of $45.4 million in interest and other income (expense), net within the condensed consolidated statements of income and reported within the Corporate and Unallocated segment (the “Bang Transaction Gain”).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 and nine-months ended September 30, 2023, we incurred approximately $8.0 million and $15.1 million, respectively, of acquisition costs related to the Bang Transaction (the “Bang Transaction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Split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28, 2023, we announced a two-for-one stock split of our common stock to be effected in the form of a 100% stock dividend (the “Stock Split”). The common stock dividend was issued on March 27, 2023 and our common stock began trading at the split adjusted price on March 28, 2023. Accordingly, all per share amounts, average common stock outstanding, common stock outstanding, common stock repurchased and equity-based compensation presented in this Form 10-Q have been adjusted retroactively, where applicable, to reflect the Stock Split.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Pricing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implemented a price increase effective September 1, 2022 in the United States and implemented price increases at various times in certain international markets during 2022 and the first, second and third quarters of 2023 (the “Pricing Actions”), all of which positively impacted gross profit margins in the third quarter of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Gross Profit Margins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as a percentage of net sales for the three-months ended September 30, 2023 improved to 53.0% (53.4% exclusive of the Bang Inventory Step-Up) from 51.3% for the comparative three-months ended September 30, 2022. This improvement was primarily attributable to (i) Pricing Actions, (ii) a reduction in certain freight-in costs and (iii) decreased aluminum can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develop, market, sell and distribute energy drink beverages and concentrates for energy drink beverages, primarily under the following brand names:</w:t>
      </w:r>
    </w:p>
    <w:p>
      <w:pPr>
        <w:pStyle w:val="TextBody"/>
        <w:bidi w:val="0"/>
        <w:spacing w:before="0" w:after="0"/>
        <w:ind w:left="0" w:right="0" w:firstLine="720"/>
        <w:jc w:val="both"/>
        <w:rPr/>
      </w:pPr>
      <w:r>
        <w:rPr/>
        <w:t>​</w:t>
      </w:r>
    </w:p>
    <w:tbl>
      <w:tblPr>
        <w:tblW w:w="6857" w:type="dxa"/>
        <w:jc w:val="left"/>
        <w:tblInd w:w="0" w:type="dxa"/>
        <w:tblLayout w:type="fixed"/>
        <w:tblCellMar>
          <w:top w:w="0" w:type="dxa"/>
          <w:left w:w="0" w:type="dxa"/>
          <w:bottom w:w="0" w:type="dxa"/>
          <w:right w:w="0" w:type="dxa"/>
        </w:tblCellMar>
      </w:tblPr>
      <w:tblGrid>
        <w:gridCol w:w="3436"/>
        <w:gridCol w:w="3421"/>
      </w:tblGrid>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Monster Energy®</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NOS®</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Monster Energy Ultra®</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Full Throttle®</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Monster Rehab®</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Burn®</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Monster Energy® Nitro</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Mother®</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Java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Nalu®</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Punch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Ultra Energy®</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Juice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Play® and Power Play® (stylized)</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Monster Hydro® Energy Water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Relentless®</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Monster Hydro® Super Sport</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BPM®</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Monster Super Fuel®</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BU®</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Monster Dragon Tea®</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Gladiator®</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Reign® Total Body Fuel</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Samurai®</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Reign Inferno® Thermogenic Fuel</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Live+®</w:t>
            </w:r>
          </w:p>
        </w:tc>
      </w:tr>
      <w:tr>
        <w:trPr/>
        <w:tc>
          <w:tcPr>
            <w:tcW w:w="3436" w:type="dxa"/>
            <w:tcBorders/>
            <w:vAlign w:val="center"/>
          </w:tcPr>
          <w:p>
            <w:pPr>
              <w:pStyle w:val="TableContents"/>
              <w:bidi w:val="0"/>
              <w:spacing w:lineRule="auto" w:line="240" w:before="0" w:after="0"/>
              <w:ind w:left="0" w:right="0" w:hanging="0"/>
              <w:jc w:val="left"/>
              <w:rPr/>
            </w:pPr>
            <w:r>
              <w:rPr/>
              <w:t>●      </w:t>
            </w:r>
            <w:r>
              <w:rPr>
                <w:rFonts w:ascii="Times New Roman;Times;serif" w:hAnsi="Times New Roman;Times;serif"/>
                <w:sz w:val="20"/>
              </w:rPr>
              <w:t>Reign Storm</w:t>
            </w:r>
            <w:r>
              <w:rPr>
                <w:rFonts w:ascii="Times New Roman;Times;serif" w:hAnsi="Times New Roman;Times;serif"/>
                <w:sz w:val="15"/>
              </w:rPr>
              <w:t>TM</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Predator®</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True North®</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Fury®</w:t>
            </w:r>
          </w:p>
        </w:tc>
      </w:tr>
      <w:tr>
        <w:trPr/>
        <w:tc>
          <w:tcPr>
            <w:tcW w:w="34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Burn®</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Bang Energy®</w:t>
            </w:r>
          </w:p>
        </w:tc>
      </w:tr>
    </w:tbl>
    <w:p>
      <w:pPr>
        <w:pStyle w:val="TextBody"/>
        <w:bidi w:val="0"/>
        <w:spacing w:before="0" w:after="0"/>
        <w:ind w:left="0" w:right="0" w:hanging="0"/>
        <w:jc w:val="left"/>
        <w:rPr/>
      </w:pPr>
      <w:r>
        <w:rPr/>
        <w: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craft beers, FMBs and hard seltzers under a number of brands, including Jai Alai® IPA, Florida Man</w:t>
      </w:r>
      <w:r>
        <w:rPr>
          <w:rFonts w:ascii="Times New Roman;Times;serif" w:hAnsi="Times New Roman;Times;serif"/>
          <w:sz w:val="15"/>
        </w:rPr>
        <w:t>TM</w:t>
      </w:r>
      <w:r>
        <w:rPr>
          <w:rFonts w:ascii="Times New Roman;Times;serif" w:hAnsi="Times New Roman;Times;serif"/>
          <w:sz w:val="20"/>
        </w:rPr>
        <w:t xml:space="preserve"> IPA, Dale’s Pale Ale®, Wild Basin® Hard Seltzers, Dallas Blonde®, Deep Ellum</w:t>
      </w:r>
      <w:r>
        <w:rPr>
          <w:rFonts w:ascii="Times New Roman;Times;serif" w:hAnsi="Times New Roman;Times;serif"/>
          <w:sz w:val="15"/>
        </w:rPr>
        <w:t>TM</w:t>
      </w:r>
      <w:r>
        <w:rPr>
          <w:rFonts w:ascii="Times New Roman;Times;serif" w:hAnsi="Times New Roman;Times;serif"/>
          <w:sz w:val="20"/>
        </w:rPr>
        <w:t xml:space="preserve"> IPA, Perrin Brewing Company</w:t>
      </w:r>
      <w:r>
        <w:rPr>
          <w:rFonts w:ascii="Times New Roman;Times;serif" w:hAnsi="Times New Roman;Times;serif"/>
          <w:sz w:val="15"/>
        </w:rPr>
        <w:t>TM</w:t>
      </w:r>
      <w:r>
        <w:rPr>
          <w:rFonts w:ascii="Times New Roman;Times;serif" w:hAnsi="Times New Roman;Times;serif"/>
          <w:sz w:val="20"/>
        </w:rPr>
        <w:t xml:space="preserve"> Black Ale, Hop Rising® Double IPA, Wasatch® Apricot Hefeweizen, The Beast Unleashed</w:t>
      </w:r>
      <w:r>
        <w:rPr>
          <w:rFonts w:ascii="Times New Roman;Times;serif" w:hAnsi="Times New Roman;Times;serif"/>
          <w:sz w:val="15"/>
        </w:rPr>
        <w:t>TM</w:t>
      </w:r>
      <w:r>
        <w:rPr>
          <w:rFonts w:ascii="Times New Roman;Times;serif" w:hAnsi="Times New Roman;Times;serif"/>
          <w:sz w:val="20"/>
        </w:rPr>
        <w:t xml:space="preserve"> and a host of other brands.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still and sparkling waters under the Monster Tour Water® brand name.</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We have four operating and reportable segments: (i) Monster Energy® Drinks segment (“Monster Energy® Drinks”), which is primarily comprised of our Monster Energy® drinks, Reign Storm</w:t>
      </w:r>
      <w:r>
        <w:rPr>
          <w:rFonts w:ascii="Times New Roman;Times;serif" w:hAnsi="Times New Roman;Times;serif"/>
          <w:sz w:val="15"/>
        </w:rPr>
        <w:t>TM</w:t>
      </w:r>
      <w:r>
        <w:rPr>
          <w:rFonts w:ascii="Times New Roman;Times;serif" w:hAnsi="Times New Roman;Times;serif"/>
          <w:sz w:val="20"/>
        </w:rPr>
        <w:t xml:space="preserve"> total wellness energy drinks, Reign® Total Body Fuel high performance energy drinks, Bang Energy® drinks and Monster Tour Water® (ii) Strategic Brands segment (“Strategic Brands”), which is primarily comprised of the various energy drink brands acquired from The Coca-Cola Company (“TCCC”) in 2015 as well as our affordable energy brands, (iii) Alcohol Brands segment (“Alcohol Brands”), which is primarily comprised of the various craft beers and hard seltzers purchased as part of our acquisition of CANarchy Craft Brewery Collective LLC (“CANarchy”) on February 17, 2022 (the “CANarchy Transaction”) as well as The Beast Unleashed</w:t>
      </w:r>
      <w:r>
        <w:rPr>
          <w:rFonts w:ascii="Times New Roman;Times;serif" w:hAnsi="Times New Roman;Times;serif"/>
          <w:sz w:val="15"/>
        </w:rPr>
        <w:t>TM</w:t>
      </w:r>
      <w:r>
        <w:rPr>
          <w:rFonts w:ascii="Times New Roman;Times;serif" w:hAnsi="Times New Roman;Times;serif"/>
          <w:sz w:val="20"/>
        </w:rPr>
        <w:t xml:space="preserve"> FMBs and (iv) Other segment (“Other”), which is primarily comprised of certain products sold by American Fruits and Flavors LLC (“AFF”), a wholly-owned subsidiary of the Company, to independent third-party customers (the “AFF Third-Party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three-months ended September 30, 2023, we continued to expand our existing drink portfolio by adding additional products to our portfolio in a number of countries and further developed our distribution markets. During the three-months ended September 30, 2023, we sold the following new products to our customers:</w:t>
      </w:r>
    </w:p>
    <w:tbl>
      <w:tblPr>
        <w:tblW w:w="3516" w:type="dxa"/>
        <w:jc w:val="left"/>
        <w:tblInd w:w="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 Energy® Black Cherry Vanilla</w:t>
            </w:r>
          </w:p>
        </w:tc>
      </w:tr>
    </w:tbl>
    <w:tbl>
      <w:tblPr>
        <w:tblW w:w="2781" w:type="dxa"/>
        <w:jc w:val="left"/>
        <w:tblInd w:w="0" w:type="dxa"/>
        <w:tblLayout w:type="fixed"/>
        <w:tblCellMar>
          <w:top w:w="28" w:type="dxa"/>
          <w:left w:w="28" w:type="dxa"/>
          <w:bottom w:w="28" w:type="dxa"/>
          <w:right w:w="28" w:type="dxa"/>
        </w:tblCellMar>
      </w:tblPr>
      <w:tblGrid>
        <w:gridCol w:w="124"/>
        <w:gridCol w:w="256"/>
        <w:gridCol w:w="2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 Energy® Blue Razz®</w:t>
            </w:r>
          </w:p>
        </w:tc>
      </w:tr>
    </w:tbl>
    <w:tbl>
      <w:tblPr>
        <w:tblW w:w="3501" w:type="dxa"/>
        <w:jc w:val="left"/>
        <w:tblInd w:w="0" w:type="dxa"/>
        <w:tblLayout w:type="fixed"/>
        <w:tblCellMar>
          <w:top w:w="28" w:type="dxa"/>
          <w:left w:w="28" w:type="dxa"/>
          <w:bottom w:w="28" w:type="dxa"/>
          <w:right w:w="28" w:type="dxa"/>
        </w:tblCellMar>
      </w:tblPr>
      <w:tblGrid>
        <w:gridCol w:w="124"/>
        <w:gridCol w:w="256"/>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 Energy® Candy Apple Crisp®</w:t>
            </w:r>
          </w:p>
        </w:tc>
      </w:tr>
    </w:tbl>
    <w:tbl>
      <w:tblPr>
        <w:tblW w:w="2946" w:type="dxa"/>
        <w:jc w:val="left"/>
        <w:tblInd w:w="0" w:type="dxa"/>
        <w:tblLayout w:type="fixed"/>
        <w:tblCellMar>
          <w:top w:w="28" w:type="dxa"/>
          <w:left w:w="28" w:type="dxa"/>
          <w:bottom w:w="28" w:type="dxa"/>
          <w:right w:w="28" w:type="dxa"/>
        </w:tblCellMar>
      </w:tblPr>
      <w:tblGrid>
        <w:gridCol w:w="124"/>
        <w:gridCol w:w="256"/>
        <w:gridCol w:w="2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 Energy® Cotton Candy</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Bang Energy® Delish Strawberry Kiss</w:t>
            </w:r>
            <w:r>
              <w:rPr>
                <w:rFonts w:ascii="Times New Roman;Times;serif" w:hAnsi="Times New Roman;Times;serif"/>
                <w:b w:val="false"/>
                <w:i w:val="false"/>
                <w:caps w:val="false"/>
                <w:smallCaps w:val="false"/>
                <w:sz w:val="15"/>
              </w:rPr>
              <w:t>TM</w:t>
            </w:r>
          </w:p>
        </w:tc>
      </w:tr>
    </w:tbl>
    <w:tbl>
      <w:tblPr>
        <w:tblW w:w="2946" w:type="dxa"/>
        <w:jc w:val="left"/>
        <w:tblInd w:w="0" w:type="dxa"/>
        <w:tblLayout w:type="fixed"/>
        <w:tblCellMar>
          <w:top w:w="28" w:type="dxa"/>
          <w:left w:w="28" w:type="dxa"/>
          <w:bottom w:w="28" w:type="dxa"/>
          <w:right w:w="28" w:type="dxa"/>
        </w:tblCellMar>
      </w:tblPr>
      <w:tblGrid>
        <w:gridCol w:w="124"/>
        <w:gridCol w:w="256"/>
        <w:gridCol w:w="2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Bang Energy® Peach Mango </w:t>
            </w:r>
          </w:p>
        </w:tc>
      </w:tr>
    </w:tbl>
    <w:tbl>
      <w:tblPr>
        <w:tblW w:w="2991" w:type="dxa"/>
        <w:jc w:val="left"/>
        <w:tblInd w:w="0" w:type="dxa"/>
        <w:tblLayout w:type="fixed"/>
        <w:tblCellMar>
          <w:top w:w="28" w:type="dxa"/>
          <w:left w:w="28" w:type="dxa"/>
          <w:bottom w:w="28" w:type="dxa"/>
          <w:right w:w="28" w:type="dxa"/>
        </w:tblCellMar>
      </w:tblPr>
      <w:tblGrid>
        <w:gridCol w:w="124"/>
        <w:gridCol w:w="25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Bang Energy® Purple Haze</w:t>
            </w:r>
            <w:r>
              <w:rPr>
                <w:rFonts w:ascii="Times New Roman;Times;serif" w:hAnsi="Times New Roman;Times;serif"/>
                <w:b w:val="false"/>
                <w:i w:val="false"/>
                <w:caps w:val="false"/>
                <w:smallCaps w:val="false"/>
                <w:sz w:val="15"/>
              </w:rPr>
              <w:t>TM</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 Energy® Radical Skadattle®</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 Energy® Rainbow Unicorn®</w:t>
            </w:r>
          </w:p>
        </w:tc>
      </w:tr>
    </w:tbl>
    <w:tbl>
      <w:tblPr>
        <w:tblW w:w="2856" w:type="dxa"/>
        <w:jc w:val="left"/>
        <w:tblInd w:w="0" w:type="dxa"/>
        <w:tblLayout w:type="fixed"/>
        <w:tblCellMar>
          <w:top w:w="28" w:type="dxa"/>
          <w:left w:w="28" w:type="dxa"/>
          <w:bottom w:w="28" w:type="dxa"/>
          <w:right w:w="28"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 Energy® Sour Heads®</w:t>
            </w:r>
          </w:p>
        </w:tc>
      </w:tr>
    </w:tbl>
    <w:tbl>
      <w:tblPr>
        <w:tblW w:w="2721" w:type="dxa"/>
        <w:jc w:val="left"/>
        <w:tblInd w:w="0" w:type="dxa"/>
        <w:tblLayout w:type="fixed"/>
        <w:tblCellMar>
          <w:top w:w="28" w:type="dxa"/>
          <w:left w:w="28" w:type="dxa"/>
          <w:bottom w:w="28" w:type="dxa"/>
          <w:right w:w="28" w:type="dxa"/>
        </w:tblCellMar>
      </w:tblPr>
      <w:tblGrid>
        <w:gridCol w:w="124"/>
        <w:gridCol w:w="256"/>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 Energy® Star Blast®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786" w:type="dxa"/>
        <w:jc w:val="left"/>
        <w:tblInd w:w="0" w:type="dxa"/>
        <w:tblLayout w:type="fixed"/>
        <w:tblCellMar>
          <w:top w:w="28" w:type="dxa"/>
          <w:left w:w="28" w:type="dxa"/>
          <w:bottom w:w="28" w:type="dxa"/>
          <w:right w:w="28" w:type="dxa"/>
        </w:tblCellMar>
      </w:tblPr>
      <w:tblGrid>
        <w:gridCol w:w="124"/>
        <w:gridCol w:w="256"/>
        <w:gridCol w:w="3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06"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Bang Energy® Wyldin’ Watermelon</w:t>
            </w:r>
            <w:r>
              <w:rPr>
                <w:rFonts w:ascii="Times New Roman;Times;serif" w:hAnsi="Times New Roman;Times;serif"/>
                <w:b w:val="false"/>
                <w:i w:val="false"/>
                <w:caps w:val="false"/>
                <w:smallCaps w:val="false"/>
                <w:sz w:val="15"/>
              </w:rPr>
              <w:t>TM</w:t>
            </w:r>
            <w:r>
              <w:rPr>
                <w:caps w:val="false"/>
                <w:smallCaps w:val="false"/>
              </w:rPr>
              <w:t xml:space="preserve"> </w:t>
            </w:r>
          </w:p>
        </w:tc>
      </w:tr>
    </w:tbl>
    <w:tbl>
      <w:tblPr>
        <w:tblW w:w="2721" w:type="dxa"/>
        <w:jc w:val="left"/>
        <w:tblInd w:w="0" w:type="dxa"/>
        <w:tblLayout w:type="fixed"/>
        <w:tblCellMar>
          <w:top w:w="28" w:type="dxa"/>
          <w:left w:w="28" w:type="dxa"/>
          <w:bottom w:w="28" w:type="dxa"/>
          <w:right w:w="28" w:type="dxa"/>
        </w:tblCellMar>
      </w:tblPr>
      <w:tblGrid>
        <w:gridCol w:w="124"/>
        <w:gridCol w:w="256"/>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Mother® Rainbow Sherbet</w:t>
            </w:r>
          </w:p>
        </w:tc>
      </w:tr>
    </w:tbl>
    <w:tbl>
      <w:tblPr>
        <w:tblW w:w="1986" w:type="dxa"/>
        <w:jc w:val="left"/>
        <w:tblInd w:w="0" w:type="dxa"/>
        <w:tblLayout w:type="fixed"/>
        <w:tblCellMar>
          <w:top w:w="28" w:type="dxa"/>
          <w:left w:w="28" w:type="dxa"/>
          <w:bottom w:w="28" w:type="dxa"/>
          <w:right w:w="28" w:type="dxa"/>
        </w:tblCellMar>
      </w:tblPr>
      <w:tblGrid>
        <w:gridCol w:w="124"/>
        <w:gridCol w:w="256"/>
        <w:gridCol w:w="1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NOS® Zero Sugar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business, we discontinue certain products and/or product lines. Those products or product lines discontinued in the three- and nine-months ended September 30, 2023, either individually or in aggregate, did not have a material adverse impact on our financial position, results of operations or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net sales of $1.86 billion for the three-months ended September 30, 2023 represented record sales for our third fiscal quarter. Net changes in foreign currency exchange rates had an unfavorable impact on net sales of approximately $29.2 million for the three-months ended September 30, 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vast majority of our net sales are derived from our Monster Energy® Drinks segment. Net sales of our Monster Energy® Drinks segment were $1.71 billion for the three-months ended September 30, 2023. Net sales of our Strategic Brands segment were $98.8 million for the three-months ended September 30, 2023. Net sales of our Alcohol Brands segment were $42.3 million for the three-months ended September 30, 2023. Net sales of our Other segment were $6.7 million for the three-months ended September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Monster Energy® Drinks segment represented 92.0% and 92.5% of our net sales for the three-months ended September 30, 2023 and 2022, respectively. Our Strategic Brands segment represented 5.3% and 5.5% of our net sales for the three-months ended September 30, 2023 and 2022, respectively. Our Alcohol Brands segment represented 2.3% and 1.7% of our net sales for the three-months ended September 30, 2023 and 2022, respectively. Our Other segment represented 0.4% and 0.3% of our net sales for the three-months ended September 30, 2023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growth strategy includes further developing our domestic markets, expanding our international business and growing our business into new sectors, such as the alcohol beverage sector. Net sales to customers outside the United States were $733.7 million for the three-months ended September 30, 2023, an increase of approximately $123.1 million, or 20.2% higher than net sales to customers outside of the United States of $610.6 million for the three-months ended September 30, 2022. Such sales were approximately 40% and 38% of net sales for the three-months ended September 30, 2023 and 2022, respectively. Net changes in foreign currency exchange rates had an unfavorable impact on net sales to customers outside of the United States of approximately $29.2 million for the three-months ended September 30, 2023. Net sales to customers outside the United States, on a foreign currency adjusted basis, increased 24.9% for the three-months ended September 30, 2023.</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non-alcohol customers are primarily full service beverage bottlers/distributors, retail grocery and specialty chains, wholesalers, club stores, mass merchandisers, convenience and gas chains, foodservice customers, value stores, e-commerce retailers and the military. Our alcohol customers are primarily beer distributors who in turn sell to retailers within the alcohol distribution system. Percentages of our gross billings to our various customer types for the three- and nine-months ended September 30, 2023 and 2022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pStyle w:val="TextBody"/>
        <w:bidi w:val="0"/>
        <w:spacing w:before="0" w:after="0"/>
        <w:ind w:left="0" w:right="0" w:firstLine="720"/>
        <w:jc w:val="both"/>
        <w:rPr/>
      </w:pPr>
      <w:r>
        <w:rPr/>
        <w:t>​</w:t>
      </w:r>
    </w:p>
    <w:tbl>
      <w:tblPr>
        <w:tblW w:w="10193" w:type="dxa"/>
        <w:jc w:val="left"/>
        <w:tblInd w:w="0" w:type="dxa"/>
        <w:tblLayout w:type="fixed"/>
        <w:tblCellMar>
          <w:top w:w="0" w:type="dxa"/>
          <w:left w:w="0" w:type="dxa"/>
          <w:bottom w:w="0" w:type="dxa"/>
          <w:right w:w="0" w:type="dxa"/>
        </w:tblCellMar>
      </w:tblPr>
      <w:tblGrid>
        <w:gridCol w:w="5641"/>
        <w:gridCol w:w="326"/>
        <w:gridCol w:w="681"/>
        <w:gridCol w:w="467"/>
        <w:gridCol w:w="681"/>
        <w:gridCol w:w="326"/>
        <w:gridCol w:w="670"/>
        <w:gridCol w:w="415"/>
        <w:gridCol w:w="670"/>
        <w:gridCol w:w="316"/>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3582035" cy="175260"/>
                      <wp:effectExtent l="0" t="0" r="0" b="0"/>
                      <wp:wrapNone/>
                      <wp:docPr id="474" name="Frame474"/>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75" name="Frame4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432435" cy="175260"/>
                      <wp:effectExtent l="0" t="0" r="0" b="0"/>
                      <wp:wrapNone/>
                      <wp:docPr id="476" name="Frame476"/>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96545" cy="175260"/>
                      <wp:effectExtent l="0" t="0" r="0" b="0"/>
                      <wp:wrapNone/>
                      <wp:docPr id="477" name="Frame477"/>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32435" cy="175260"/>
                      <wp:effectExtent l="0" t="0" r="0" b="0"/>
                      <wp:wrapNone/>
                      <wp:docPr id="478" name="Frame478"/>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9" name="Frame4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425450" cy="175260"/>
                      <wp:effectExtent l="0" t="0" r="0" b="0"/>
                      <wp:wrapNone/>
                      <wp:docPr id="480" name="Frame480"/>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63525" cy="175260"/>
                      <wp:effectExtent l="0" t="0" r="0" b="0"/>
                      <wp:wrapNone/>
                      <wp:docPr id="481" name="Frame481"/>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25450" cy="175260"/>
                      <wp:effectExtent l="0" t="0" r="0" b="0"/>
                      <wp:wrapNone/>
                      <wp:docPr id="482" name="Frame482"/>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0660" cy="175260"/>
                      <wp:effectExtent l="0" t="0" r="0" b="0"/>
                      <wp:wrapNone/>
                      <wp:docPr id="483" name="Frame48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2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left"/>
              <w:rPr/>
            </w:pPr>
            <w:r>
              <w:rPr/>
              <w:t>​</w:t>
            </w:r>
          </w:p>
        </w:tc>
        <w:tc>
          <w:tcPr>
            <w:tcW w:w="175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w:t>
            </w:r>
          </w:p>
        </w:tc>
        <w:tc>
          <w:tcPr>
            <w:tcW w:w="316" w:type="dxa"/>
            <w:tcBorders/>
            <w:vAlign w:val="center"/>
          </w:tcPr>
          <w:p>
            <w:pPr>
              <w:pStyle w:val="TableContents"/>
              <w:bidi w:val="0"/>
              <w:spacing w:before="0" w:after="0"/>
              <w:ind w:left="0" w:right="0" w:hanging="0"/>
              <w:jc w:val="left"/>
              <w:rPr/>
            </w:pPr>
            <w:r>
              <w:rPr/>
              <w:t>​</w:t>
            </w:r>
          </w:p>
        </w:tc>
      </w:tr>
      <w:tr>
        <w:trPr/>
        <w:tc>
          <w:tcPr>
            <w:tcW w:w="5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2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left"/>
              <w:rPr/>
            </w:pPr>
            <w:r>
              <w:rPr/>
              <w:t>​</w:t>
            </w:r>
          </w:p>
        </w:tc>
        <w:tc>
          <w:tcPr>
            <w:tcW w:w="175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16" w:type="dxa"/>
            <w:tcBorders/>
            <w:vAlign w:val="center"/>
          </w:tcPr>
          <w:p>
            <w:pPr>
              <w:pStyle w:val="TableContents"/>
              <w:bidi w:val="0"/>
              <w:spacing w:before="0" w:after="0"/>
              <w:ind w:left="0" w:right="0" w:hanging="0"/>
              <w:jc w:val="left"/>
              <w:rPr/>
            </w:pPr>
            <w:r>
              <w:rPr/>
              <w:t>​</w:t>
            </w:r>
          </w:p>
        </w:tc>
      </w:tr>
      <w:tr>
        <w:trPr/>
        <w:tc>
          <w:tcPr>
            <w:tcW w:w="5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467" w:type="dxa"/>
            <w:tcBorders/>
            <w:vAlign w:val="center"/>
          </w:tcPr>
          <w:p>
            <w:pPr>
              <w:pStyle w:val="TableContents"/>
              <w:bidi w:val="0"/>
              <w:spacing w:before="0" w:after="0"/>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    </w:t>
            </w:r>
          </w:p>
        </w:tc>
        <w:tc>
          <w:tcPr>
            <w:tcW w:w="6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415" w:type="dxa"/>
            <w:tcBorders/>
            <w:vAlign w:val="center"/>
          </w:tcPr>
          <w:p>
            <w:pPr>
              <w:pStyle w:val="TableContents"/>
              <w:bidi w:val="0"/>
              <w:spacing w:before="0" w:after="0"/>
              <w:ind w:left="0" w:right="0" w:hanging="0"/>
              <w:jc w:val="left"/>
              <w:rPr/>
            </w:pPr>
            <w:r>
              <w:rPr/>
              <w:t>    </w:t>
            </w:r>
          </w:p>
        </w:tc>
        <w:tc>
          <w:tcPr>
            <w:tcW w:w="6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16" w:type="dxa"/>
            <w:tcBorders/>
            <w:vAlign w:val="center"/>
          </w:tcPr>
          <w:p>
            <w:pPr>
              <w:pStyle w:val="TableContents"/>
              <w:bidi w:val="0"/>
              <w:spacing w:before="0" w:after="0"/>
              <w:ind w:left="0" w:right="0" w:hanging="0"/>
              <w:jc w:val="left"/>
              <w:rPr/>
            </w:pPr>
            <w:r>
              <w:rPr/>
              <w:t>​</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full service bottlers/distributors</w:t>
            </w:r>
          </w:p>
        </w:tc>
        <w:tc>
          <w:tcPr>
            <w:tcW w:w="326" w:type="dxa"/>
            <w:tcBorders/>
            <w:shd w:fill="CCEEFF" w:val="clear"/>
            <w:vAlign w:val="center"/>
          </w:tcPr>
          <w:p>
            <w:pPr>
              <w:pStyle w:val="TableContents"/>
              <w:bidi w:val="0"/>
              <w:spacing w:before="0" w:after="0"/>
              <w:ind w:left="0" w:right="0" w:hanging="0"/>
              <w:jc w:val="left"/>
              <w:rPr/>
            </w:pPr>
            <w:r>
              <w:rPr/>
              <w:t> </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4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full service bottlers/distributors</w:t>
            </w:r>
          </w:p>
        </w:tc>
        <w:tc>
          <w:tcPr>
            <w:tcW w:w="32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4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Club stores and e-commerce retailers</w:t>
            </w:r>
          </w:p>
        </w:tc>
        <w:tc>
          <w:tcPr>
            <w:tcW w:w="326" w:type="dxa"/>
            <w:tcBorders/>
            <w:shd w:fill="CCEEFF" w:val="clear"/>
            <w:vAlign w:val="center"/>
          </w:tcPr>
          <w:p>
            <w:pPr>
              <w:pStyle w:val="TableContents"/>
              <w:bidi w:val="0"/>
              <w:spacing w:before="0" w:after="0"/>
              <w:ind w:left="0" w:right="0" w:hanging="0"/>
              <w:jc w:val="left"/>
              <w:rPr/>
            </w:pPr>
            <w:r>
              <w:rPr/>
              <w:t> </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grocery, direct convenience, specialty chains and wholesalers</w:t>
            </w:r>
          </w:p>
        </w:tc>
        <w:tc>
          <w:tcPr>
            <w:tcW w:w="326"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value stores and other</w:t>
            </w:r>
          </w:p>
        </w:tc>
        <w:tc>
          <w:tcPr>
            <w:tcW w:w="326" w:type="dxa"/>
            <w:tcBorders/>
            <w:shd w:fill="CCEEFF" w:val="clear"/>
            <w:vAlign w:val="center"/>
          </w:tcPr>
          <w:p>
            <w:pPr>
              <w:pStyle w:val="TableContents"/>
              <w:bidi w:val="0"/>
              <w:spacing w:before="0" w:after="0"/>
              <w:ind w:left="0" w:right="0" w:hanging="0"/>
              <w:jc w:val="left"/>
              <w:rPr/>
            </w:pPr>
            <w:r>
              <w:rPr/>
              <w:t> </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non-alcohol customers include Coca-Cola Canada Bottling Limited, Coca-Cola Consolidated, Inc., Coca-Cola Bottling Company United, Inc., Reyes Coca-Cola Bottling, LLC, Coca-Cola Southwest Beverages LLC, The Coca-Cola Bottling Company of Northern New England, Inc., Swire Pacific Holdings, Inc. (USA), Liberty Coca-Cola Beverages, LLC, Coca-Cola Europacific Partners (formerly Coca-Cola European Partners and Coca-Cola Amatil), Coca-Cola Hellenic, Coca-Cola FEMSA, Swire Coca-Cola (China),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COFCO Coca-Cola, Coca-Cola Beverages Africa, Coca-Cola İçecek and certain other TCCC network bottlers, Asahi Soft Drinks, Co., Ltd., Wal-Mart, Inc. (including Sam’s Club), Costco Wholesale Corporation and Amazon.com, Inc.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alcohol customers include Reyes Beverage Group, Ben E. Keith Company, J.J. Taylor Distributing and Sheehan Family Companies.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decision by any large customer to decrease amounts purchased from us or to cease carrying our products could have a material adverse effect on our financial condition and consolidated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Europacific Partners accounted for approximately 14% and 12% of our net sales for the three-months ended September 30, 2023 and 2022, respectively. Coca-Cola Europacific Partners accounted for approximately 13% of our net sales for both the nine-months ended September 30, 2023 and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Consolidated, Inc. accounted for approximately 10% and 11% of our net sales for the three-months ended September 30, 2023 and 2022, respectively. Coca-Cola Consolidated, Inc. accounted for approximately 10% of our net sales for both the nine-months ended September 30, 2023 and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Reyes Holdings, LLC accounted for approximately 9% and 10% of our net sales for the three-months ended September 30, 2023 and 2022, respectively. Reyes Holdings, LLC accounted for approximately 9% and 10% of our net sales for the nine-months ended September 30, 2023 and 2022,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key statistics for the three- and nine-months ended September 30, 2023 and 2022.</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278"/>
        <w:gridCol w:w="326"/>
        <w:gridCol w:w="211"/>
        <w:gridCol w:w="931"/>
        <w:gridCol w:w="361"/>
        <w:gridCol w:w="211"/>
        <w:gridCol w:w="931"/>
        <w:gridCol w:w="361"/>
        <w:gridCol w:w="991"/>
        <w:gridCol w:w="361"/>
        <w:gridCol w:w="211"/>
        <w:gridCol w:w="931"/>
        <w:gridCol w:w="326"/>
        <w:gridCol w:w="211"/>
        <w:gridCol w:w="931"/>
        <w:gridCol w:w="326"/>
        <w:gridCol w:w="991"/>
        <w:gridCol w:w="316"/>
      </w:tblGrid>
      <w:tr>
        <w:trPr/>
        <w:tc>
          <w:tcPr>
            <w:tcW w:w="12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07010" cy="175260"/>
                      <wp:effectExtent l="0" t="0" r="0" b="0"/>
                      <wp:wrapNone/>
                      <wp:docPr id="484" name="Frame4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33985" cy="175260"/>
                      <wp:effectExtent l="0" t="0" r="0" b="0"/>
                      <wp:wrapNone/>
                      <wp:docPr id="485" name="Frame4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591185" cy="175260"/>
                      <wp:effectExtent l="0" t="0" r="0" b="0"/>
                      <wp:wrapNone/>
                      <wp:docPr id="486" name="Frame48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29235" cy="175260"/>
                      <wp:effectExtent l="0" t="0" r="0" b="0"/>
                      <wp:wrapNone/>
                      <wp:docPr id="487" name="Frame48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33985" cy="175260"/>
                      <wp:effectExtent l="0" t="0" r="0" b="0"/>
                      <wp:wrapNone/>
                      <wp:docPr id="488" name="Frame4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591185" cy="175260"/>
                      <wp:effectExtent l="0" t="0" r="0" b="0"/>
                      <wp:wrapNone/>
                      <wp:docPr id="489" name="Frame4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29235" cy="175260"/>
                      <wp:effectExtent l="0" t="0" r="0" b="0"/>
                      <wp:wrapNone/>
                      <wp:docPr id="490" name="Frame49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29285" cy="175260"/>
                      <wp:effectExtent l="0" t="0" r="0" b="0"/>
                      <wp:wrapNone/>
                      <wp:docPr id="491" name="Frame49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29235" cy="175260"/>
                      <wp:effectExtent l="0" t="0" r="0" b="0"/>
                      <wp:wrapNone/>
                      <wp:docPr id="492" name="Frame49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33985" cy="175260"/>
                      <wp:effectExtent l="0" t="0" r="0" b="0"/>
                      <wp:wrapNone/>
                      <wp:docPr id="493" name="Frame4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591185" cy="175260"/>
                      <wp:effectExtent l="0" t="0" r="0" b="0"/>
                      <wp:wrapNone/>
                      <wp:docPr id="494" name="Frame49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33985" cy="175260"/>
                      <wp:effectExtent l="0" t="0" r="0" b="0"/>
                      <wp:wrapNone/>
                      <wp:docPr id="496" name="Frame4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591185" cy="175260"/>
                      <wp:effectExtent l="0" t="0" r="0" b="0"/>
                      <wp:wrapNone/>
                      <wp:docPr id="497" name="Frame49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07010" cy="175260"/>
                      <wp:effectExtent l="0" t="0" r="0" b="0"/>
                      <wp:wrapNone/>
                      <wp:docPr id="498" name="Frame4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29285" cy="175260"/>
                      <wp:effectExtent l="0" t="0" r="0" b="0"/>
                      <wp:wrapNone/>
                      <wp:docPr id="499" name="Frame499"/>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0660" cy="175260"/>
                      <wp:effectExtent l="0" t="0" r="0" b="0"/>
                      <wp:wrapNone/>
                      <wp:docPr id="500" name="Frame50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4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6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61"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16" w:type="dxa"/>
            <w:tcBorders/>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per share amounts)</w:t>
            </w:r>
          </w:p>
        </w:tc>
        <w:tc>
          <w:tcPr>
            <w:tcW w:w="326" w:type="dxa"/>
            <w:tcBorders/>
            <w:vAlign w:val="center"/>
          </w:tcPr>
          <w:p>
            <w:pPr>
              <w:pStyle w:val="TableContents"/>
              <w:bidi w:val="0"/>
              <w:spacing w:before="0" w:after="0"/>
              <w:ind w:left="0" w:right="0" w:hanging="0"/>
              <w:jc w:val="left"/>
              <w:rPr/>
            </w:pPr>
            <w:r>
              <w:rPr/>
              <w:t>​</w:t>
            </w:r>
          </w:p>
        </w:tc>
        <w:tc>
          <w:tcPr>
            <w:tcW w:w="26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61"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Change</w:t>
            </w:r>
          </w:p>
        </w:tc>
        <w:tc>
          <w:tcPr>
            <w:tcW w:w="361" w:type="dxa"/>
            <w:tcBorders/>
            <w:vAlign w:val="center"/>
          </w:tcPr>
          <w:p>
            <w:pPr>
              <w:pStyle w:val="TableContents"/>
              <w:bidi w:val="0"/>
              <w:spacing w:before="0" w:after="0"/>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Change</w:t>
            </w:r>
          </w:p>
        </w:tc>
        <w:tc>
          <w:tcPr>
            <w:tcW w:w="316" w:type="dxa"/>
            <w:tcBorders/>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61"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61"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 vs. 22</w:t>
            </w:r>
          </w:p>
        </w:tc>
        <w:tc>
          <w:tcPr>
            <w:tcW w:w="361"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 vs. 22</w:t>
            </w:r>
          </w:p>
        </w:tc>
        <w:tc>
          <w:tcPr>
            <w:tcW w:w="316" w:type="dxa"/>
            <w:tcBorders/>
            <w:vAlign w:val="center"/>
          </w:tcPr>
          <w:p>
            <w:pPr>
              <w:pStyle w:val="TableContents"/>
              <w:bidi w:val="0"/>
              <w:spacing w:before="0" w:after="0"/>
              <w:ind w:left="0" w:right="0" w:hanging="0"/>
              <w:jc w:val="left"/>
              <w:rPr/>
            </w:pPr>
            <w:r>
              <w:rPr/>
              <w:t>​</w:t>
            </w:r>
          </w:p>
        </w:tc>
      </w:tr>
      <w:tr>
        <w:trPr/>
        <w:tc>
          <w:tcPr>
            <w:tcW w:w="127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1,856,028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1,624,286</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5,409,919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4,798,119</w:t>
            </w:r>
          </w:p>
        </w:tc>
        <w:tc>
          <w:tcPr>
            <w:tcW w:w="32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872,265</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790,561</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2,554,086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2,407,867</w:t>
            </w:r>
          </w:p>
        </w:tc>
        <w:tc>
          <w:tcPr>
            <w:tcW w:w="32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Gross profit*</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983,763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833,725</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2,855,833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2,390,252</w:t>
            </w:r>
          </w:p>
        </w:tc>
        <w:tc>
          <w:tcPr>
            <w:tcW w:w="32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as a percentage of net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7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473,236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415,795</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1,336,437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1,199,883</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 as a percentage of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7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510,527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417,930</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1,519,396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1,190,369</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as a percentage of net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7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71,357</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3,220.5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(11,932)</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581,884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420,079</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1,618,406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1,178,437</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129,190</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97,692</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354,397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288,487</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as a percentage of income before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7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452,694</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322,387</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1,264,009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889,950</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as a percentage of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0.84</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0.83</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drink case sales (in thousands) (in 192</w:t>
              <w:noBreakHyphen/>
              <w:t>ounce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203,087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182,460</w:t>
            </w:r>
          </w:p>
        </w:tc>
        <w:tc>
          <w:tcPr>
            <w:tcW w:w="36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583,937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535,451</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i/>
          <w:sz w:val="17"/>
        </w:rPr>
        <w:t>1</w:t>
      </w:r>
      <w:r>
        <w:rPr>
          <w:rFonts w:ascii="Times New Roman;Times;serif" w:hAnsi="Times New Roman;Times;serif"/>
          <w:i/>
          <w:sz w:val="20"/>
        </w:rPr>
        <w:t>Includes $10.0 million for both the three-months ended September 30, 2023 and 2022 related to the recognition of deferred revenue. Includes $30.0 million for both the nine-months ended September 30, 2023 and 2022 related to the recognition of deferred revenue.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Three-Months Ended September 30, 2023 Compared to the Three-Months Ended September 30, 2022</w:t>
      </w:r>
      <w:r>
        <w:rPr>
          <w:rFonts w:ascii="Times New Roman;Times;serif" w:hAnsi="Times New Roman;Times;serif"/>
          <w:b/>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 Sales.</w:t>
      </w:r>
      <w:r>
        <w:rPr>
          <w:rFonts w:ascii="Times New Roman;Times;serif" w:hAnsi="Times New Roman;Times;serif"/>
          <w:sz w:val="20"/>
        </w:rPr>
        <w:t xml:space="preserve"> Net sales were $1.86 billion for the three-months ended September 30, 2023, an increase of approximately $231.7 million, or 14.3% higher than net sales of $1.62 billion for the three-months ended September 30, 2022. Net sales increased primarily due to increased worldwide sales by volume of our Monster Energy® brand energy drinks as a result of increased consumer demand, as well as due to Pricing Actions in certain markets. Net changes in foreign currency exchange rates had an unfavorable impact on net sales of approximately $29.2 million for the three-months ended September 30, 2023. Net sales on a foreign currency adjusted basis increased 16.1% for the three-months ended September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sales in EMEA, Asia Pacific (including Oceania), Latin America and the Caribbean were $687.1 million for the three-months ended September 30, 2023, an increase of approximately $123.1 million, or 21.8% higher than net sales in EMEA, Asia Pacific, Latin America and the Caribbean of $564.0 million for the three-months ended September 30, 2022.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Monster Energy® Drinks segment were $1.71 billion for the three-months ended September 30, 2023, an increase of approximately $206.0 million, or 13.7% higher than net sales of $1.50 billion for the three-months ended September 30, 2022. Net sales for the Monster Energy® Drinks segment increased primarily due to increased worldwide sales by volume of our Monster Energy® brand energy drinks as a result of increased consumer demand as well as due to Pricing Actions in certain markets. Net changes in foreign currency exchange rates had an unfavorable impact on net sales for the Monster Energy® Drinks segment of approximately $20.2 million for the three-months ended September 30, 2023. Net sales for the Monster Energy® Drinks segment on a foreign currency adjusted basis increased 15.1% for the three-months ended September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Strategic Brands segment were $98.8 million for the three-months ended September 30, 2023, an increase of approximately $10.0 million, or 11.2% higher than net sales of $88.8 million for the three-months ended September 30, 2022. Net sales for the Strategic Brands segment increased primarily due to increased sales by volume of our NOS® and Burn® brand energy drinks. Net changes in foreign currency exchange rates had an unfavorable impact on net sales of approximately $9.0 million for the Strategic Brands segment for the three-months ended September 30, 2023. Net sales for the Strategic Brands segment on a foreign currency adjusted basis increased 21.3% for the three-months ended September 30, 2023. Net sales of concentrates within the Strategic Brands segment tend to have more pronounced fluctuations from period to period as compared to net sales of our finished goods within the Monster Energy Drinks® segment.</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Alcohol Brands segment were $42.3 million for the three-months ended September 30, 2023, an increase of approximately $15.5 million, or 57.8% higher than net sales of $26.8 million for the three-months ended September 30, 2022. Net sales of The Beast Unleashed</w:t>
      </w:r>
      <w:r>
        <w:rPr>
          <w:rFonts w:ascii="Times New Roman;Times;serif" w:hAnsi="Times New Roman;Times;serif"/>
          <w:sz w:val="15"/>
        </w:rPr>
        <w:t>TM</w:t>
      </w:r>
      <w:r>
        <w:rPr>
          <w:rFonts w:ascii="Times New Roman;Times;serif" w:hAnsi="Times New Roman;Times;serif"/>
          <w:sz w:val="20"/>
        </w:rPr>
        <w:t xml:space="preserve"> FMBs, which launched during the 2023 first quarter in the United States on a rolling state basis, were $19.0 million for the three-months ended September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sales for the Other segment were $6.7 million for the three-months ended September 30, 2023, an increase of approximately $0.3 million, or 3.9% higher than net sales of $6.4 million for the three-months ended September 30, 2022.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energy drink products, in 192-ounce case equivalents, were 203.1 million cases for the three-months ended September 30, 2023, an increase of approximately 20.6 million cases or 11.3% higher than case sales of 182.5 million cases for the three-months ended September 30, 2022. The overall average net sales per case increased to $8.90 for the three-months ended September 30, 2023, which was 2.0% higher than the average net sales per case of $8.72 for the three-months ended September 30,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craft beers, hard seltzers and FMBs, in 192-ounce equivalents, were 3.0 million cases for the three-months ended September 30, 2023, an increase of approximately 1.3 million cases or 78.9% higher than case sales of 1.7 million cases for the three-months ended September 30, 2022. Barrel sales for our craft beers, hard seltzers and FMBs, in 31 U.S. gallon equivalents, were 0.15 million barrels for the three-months ended September 30, 2023, an increase of approximately 0.07 million barrels or 78.9% higher than barrel sales of 0.08 million barrels for the three-months ended September 30,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was $983.8 million for the three-months ended September 30, 2023, an increase of approximately $150.0 million, or 18.0% higher than the gross profit of $833.7 million for the three-months ended September 30, 2022. The increase in gross profit dollars was primarily the result of the $231.8 million increase in net sales for the three-months ended September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as a percentage of net sales increased to 53.0% for the three-months ended September 30, 2023 from 51.3% for the three-months ended September 30, 2022. The increase in gross profit as a percentage of net sales for the three-months ended September 30, 2023 was primarily the result of Pricing Actions in certain markets, decreased freight-in costs as well as decreased aluminum can costs. Gross profit as a percentage of gross sales was 53.4% for the three-months ended September 30, 2023, exclusive of the Bang Inventory Step-Up.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Total operating expenses were $473.2 million for the three-months ended September 30, 2023, an increase of approximately $57.4 million, or 13.8% higher than total operating expenses of $415.8 million for the three-months ended September 30, 2022.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operating expenses was primarily due to increased selling and marketing expenses of $19.9 million, increased payroll expenses of $19.3 million (of which $2.1 million was related to the Alcohol Brands segment) and increased travel and entertainment expenses of $8.9 million. Operating expenses as a percentage of net sales for the three-months ended September 30, 2023 were 25.5% as compared to 25.6% for the three-months ended September 30, 2022. Operating expenses for the three-months ended September 30, 2023 included approximately $8.0 million acquisition costs related to the Bang Transaction.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Operating income was $510.5 million for the three-months ended September 30, 2023, an increase of approximately $92.6 million, or 22.2% higher than operating income of $417.9 million for the three-months ended September 30, 2022. Operating income as a percentage of net sales increased to 27.5% for the three-months ended September 30, 2023 from 25.7% for the three-months ended September 30, 2022. The increase in operating income was primarily the result of an increase in net sales, as well as an increase in gross profit as a percentage of net sales.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Operating income was $114.1 million and $89.9 million for the three-months ended September 30, 2023 and 2022, respectively, for our operations in EMEA, Asia Pacific (including Oceania), Latin America and the Caribbean.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Monster Energy® Drinks segment, exclusive of corporate and unallocated expenses, was $603.7 million for the three-months ended September 30, 2023, an increase of approximately $111.1 million, or 22.6% higher than operating income of $492.5 million for the three-months ended September 30, 2022. The increase in operating income for the Monster Energy® Drinks segment was primarily the result of an increase in net sales as well as an increase in gross profit as a percentage of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Strategic Brands segment, exclusive of corporate and unallocated expenses, was $52.7 million for the three-months ended September 30, 2023, an increase of approximately $5.4 million, or 11.5% higher than operating income of $47.3 million for the three-months ended September 30, 2022. The increase in operating income for the Strategic Brands segment was primarily the result of an increase in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loss for the Alcohol Brands segment, exclusive of corporate and unallocated expenses, was $11.7 million for the three-months ended September 30, 2023, an increase of approximately $1.5 million, or 14.3% higher than the operating loss of $10.3 million for the three-months ended September 30, 2022. The operating losses for the three-months ended September 30, 2023 were primarily due to expenses and infrastructure investments for the expansion of the Alcohol Brands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Other segment, exclusive of corporate and unallocated expenses, was $1.3 million for the three-months ended September 30, 2023, as compared to operating income of $1.0 million for the three-months ended September 30,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and Other Income (expense),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and other non-operating income (expense), net, was $71.4 million for the three-months ended September 30, 2023, as compared to interest and other non-operating income (expense), net, of $2.1 million for the three-months ended September 30, 2022. Foreign currency transaction losses were $13.2 million and $6.2 million for the three-months ended September 30, 2023 and 2022, respectively. Interest income was $39.3 million and $9.6 million for the three-months ended September 30, 2023 and 2022, respectively. Interest and other income (expense), net, for the three-months ended September 30, 2023 included the Bang Transaction Gain.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Provision for income taxes was $129.2 million for the three-months ended September 30, 2023, an increase of $31.5 million, or 32.2% higher than the provision for income taxes of $97.7 million for the three-months ended September 30, 2022. The effective combined federal, state and foreign tax rate decreased to 22.2% from 23.3% for the three-months ended September 30, 2023 and 2022, respectively. The decrease in the effective tax rate was primarily attributable to an increase in deductible interest expense.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income was $452.7 million for the three-months ended September 30, 2023, an increase of $130.3 million, or 40.4% higher than net income of $322.4 million for the three-months ended September 30, 2022. The increase in net income for the three-months ended September 30, 2023 was primarily due to the increase in net sales, the increase in the gross profit percentage of net sales, the decrease in the effective combined federal, state and foreign tax rate as well as the Bang Transaction Gain. The increase in net income for the three-months ended September 30, 2023 was partially offset by the Bang Inventory Step-Up and the Bang Transaction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Nine-Months Ended September 30, 2023 Compared to the Nine-Months Ended September 30, 2022</w:t>
      </w:r>
      <w:r>
        <w:rPr>
          <w:rFonts w:ascii="Times New Roman;Times;serif" w:hAnsi="Times New Roman;Times;serif"/>
          <w:b/>
          <w:sz w:val="20"/>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Sales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 Sales.</w:t>
      </w:r>
      <w:r>
        <w:rPr>
          <w:rFonts w:ascii="Times New Roman;Times;serif" w:hAnsi="Times New Roman;Times;serif"/>
          <w:sz w:val="20"/>
        </w:rPr>
        <w:t xml:space="preserve"> Net sales were $5.41 billion for the nine-months ended September 30, 2023, an increase of approximately $611.8 million, or 12.8% higher than net sales of $4.80 billion for the nine-months ended September 30, 2022. Net sales increased primarily due to increased worldwide sales by volume of our Monster Energy® brand energy drinks as a result of increased consumer demand, as well as due to Pricing Actions in certain markets. Net changes in foreign currency exchange rates had an unfavorable impact on net sales of approximately $119.6 million for the nine-months ended September 30, 2023. Net sales on a foreign currency adjusted basis increased 15.2% for the nine-months ended September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in EMEA, Asia Pacific (including Oceania), Latin America and the Caribbean for the nine-months ended September 30, 2023 were $1.94 billion, an increase of approximately $253.7 million, or 15.0% higher than net sales in EMEA, Asia Pacific, Latin America and the Caribbean of $1.69 billion for the nine-months ended September 30,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sales for the Monster Energy® Drinks segment were $4.96 billion for the nine-months ended September 30, 2023, an increase of approximately $512.0 million, or 11.5% higher than net sales of $4.44 billion for the nine-months ended September 30, 2022. Net sales for the Monster Energy® Drinks segment increased primarily due to increased worldwide sales by volume of our Monster Energy® brand energy drinks as a result of increased consumer demand as well as due to Pricing Actions in certain markets. Net changes in foreign currency exchange rates had an unfavorable impact on net sales for the Monster Energy® Drinks segment of approximately $105.4 million for the nine-months ended September 30, 2023. Net sales for the Monster Energy® Drinks segment on a foreign currency adjusted basis increased 13.9% for the nine-months ended September 30, 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Strategic Brands segment were $284.8 million for the nine-months ended September 30, 2023, an increase of approximately $24.3 million, or 9.3% higher than net sales of $260.5 million for the nine-months ended September 30, 2022. Net sales for the Strategic Brands segment increased primarily due to increased sales by volume of our Burn®, NOS®, Fury® and Predator® brand energy drinks. Net changes in foreign currency exchange rates had an unfavorable impact on net sales of approximately $14.1 million for the Strategic Brands segment for the nine-months ended September 30, 2023. Net sales for the Strategic Brands segment on a foreign currency adjusted basis increased 14.7% for the nine-months ended September 30, 2023. Net sales of concentrates within the Strategic Brands segment tend to have more pronounced fluctuations from period to period as compared to net sales of our finished goods within the Monster Energy Drinks® segment.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Alcohol Brands segment were $149.7 million for the nine-months ended September 30, 2023, an increase of approximately $75.2 million, or 101.0% higher than net sales of $74.5 million for the nine-months ended September 30, 2022. The comparative 2022 net sales for the Alcohol Brands segment were effectively from February 17, 2022 to September 30, 2022, as we completed the CANarchy Transaction on February 17, 2022. Net sales of The Beast Unleashed</w:t>
      </w:r>
      <w:r>
        <w:rPr>
          <w:rFonts w:ascii="Times New Roman;Times;serif" w:hAnsi="Times New Roman;Times;serif"/>
          <w:sz w:val="15"/>
        </w:rPr>
        <w:t>TM</w:t>
      </w:r>
      <w:r>
        <w:rPr>
          <w:rFonts w:ascii="Times New Roman;Times;serif" w:hAnsi="Times New Roman;Times;serif"/>
          <w:sz w:val="20"/>
        </w:rPr>
        <w:t xml:space="preserve"> FMBs, which launched during the 2023 first quarter in the United States on a rolling state basis, were $73.0 million for the nine-months ended September 30, 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Other segment were $18.6 million for the nine-months ended September 30, 2023, an increase of approximately $0.3 million, or 1.4% higher than net sales of $18.4 million for the nine-months ended September 30,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Case sales for our energy drink products, in 192-ounce case equivalents, were 583.9 million cases for the nine-months ended September 30, 2023, an increase of approximately 48.5 million cases or 9.1% higher than case sales of 535.5 million cases for the nine-months ended September 30, 2022. The overall average net sales per case increased to $8.98 for the nine-months ended September 30, 2023, which was 2.2% higher than the average net sales per case of $8.79 for the nine-months ended September 30, 2022.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craft beers, hard seltzers and FMBs, in 192-ounce equivalents, were 10.6 million cases for the nine-months ended September 30, 2023, an increase of approximately 5.8 million cases or 120.1% higher than case sales of 4.8 million cases for the nine-months ended September 30, 2022. Barrel sales for our craft beers, hard seltzers and FMBs, in 31 U.S. gallon equivalents, were 0.5 million barrels for the nine-months ended September 30, 2023, an increase of approximately 0.3 million barrels or 120.1% higher than barrel sales of 0.2 million barrels for the nine-months ended September 30, 2022.</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Gross profit was $2.86 billion for the nine-months ended September 30, 2023, an increase of approximately $465.6 million, or 19.5% higher than the gross profit of $2.39 billion for the nine-months ended September 30, 2022. The increase in gross profit dollars was primarily the result of the $611.8 million increase in net sales for the nine-months ended September 30, 2023.</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Gross profit as a percentage of net sales increased to 52.8% for the nine-months ended September 30, 2023 from 49.8% for the nine-months ended September 30, 2022. The increase in gross profit as a percentage of net sales for the nine-months ended September 30, 2023 was primarily the result of Pricing Actions in certain markets, decreased freight-in costs as well as decreased aluminum can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Operating Expenses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operating expenses were $1.34 billion for the nine-months ended September 30, 2023, an increase of approximately $136.6 million, or 11.4% higher than total operating expenses of $1.20 billion for the nine-months ended September 30, 2022.</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increase in operating expenses was primarily due to increased selling and marketing expenses of $60.7 million, increased warehouse expenses of $15.3 million, increased travel and entertainment expenses of $9.5 million as well as increased payroll expenses of $59.7 million (of which $10.0 million was related to the Alcohol Brands segment). The increase in operating expenses was partially offset by a decrease in out-bound fuel and freight expenses of $26.6 million for the nine-months ended September 30, 2023. Operating expenses as a percentage of net sales for the nine-months ended September 30, 2023 were 24.7% as compared to 25.0% for the nine-months ended September 30, 2022. Operating expenses for the nine-months ended September 30, 2023, included approximately $15.1 million acquisition costs related to the Bang Transaction.</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was $1.52 billion for the nine-months ended September 30, 2023, an increase of approximately $329.0 million, or 27.6% higher than operating income of $1.19 billion for the nine-months ended September 30, 2022. Operating income as a percentage of net sales increased to 28.1% for the nine-months ended September 30, 2023 from 24.8% for the nine-months ended September 30, 2022. The increase in operating income was primarily the result of an increase in net sales, as well as an increase in gross profit as a percentage of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was $322.0 million and $244.3 million for the nine-months ended September 30, 2023 and 2022, respectively, for our operations in EMEA, Asia Pacific (including Oceania), Latin America and the Caribbean.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Monster Energy® Drinks segment, exclusive of corporate and unallocated expenses, was $1.76 billion for the nine-months ended September 30, 2023, an increase of approximately $373.6 million, or 26.9% higher than operating income of $1.39 billion for the nine-months ended September 30, 2022. The increase in operating income for the Monster Energy® Drinks segment was primarily the result of an increase in net sales as well as an increase in gross profit as a percentage of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Strategic Brands segment, exclusive of corporate and unallocated expenses, was $159.6 million for the nine-months ended September 30, 2023, an increase of approximately $13.7 million, or 9.4% higher than operating income of $146.0 million for the nine-months ended September 30, 2022. The increase in operating income for the Strategic Brands segment was primarily the result of an increase in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loss for the Alcohol Brands segment, exclusive of corporate and unallocated expenses, was $25.2 million for the nine-months ended September 30, 2023, an increase of approximately $5.3 million, or 26.8% higher than operating loss of $19.9 million for the nine-months ended September 30, 2022 (effectively from February 17, 2022 to September 30, 2022). The operating losses for the nine-months ended September 30, 2023 were primarily due to expenses and infrastructure investments for the expansion of the Alcohol Brands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Operating income for the Other segment, exclusive of corporate and unallocated expenses, was $2.7 million for the nine-months ended September 30, 2023, as compared to operating income of $3.1 million for the nine-months ended September 30, 2022.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and Other Income (Expense), net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Interest and other non-operating income (expense), net, was $99.0 million for the nine-months ended September 30, 2023, as compared to interest and other non-operating income (expense), net, of ($11.9) million for the nine-months ended September 30, 2022. Foreign currency transaction losses were $38.6 million and $22.9 million for the nine-months ended September 30, 2023 and 2022, respectively. Interest income was $92.1 million and $14.8 million for the nine-months ended September 30, 2023 and 2022, respectively. Interest and other income (expense), net, for the nine-months ended September 30, 2023 included the Bang Transaction Gain.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Provision for income taxes was $354.4 million for the nine-months ended September 30, 2023, an increase of $65.9 million, or 22.8% higher than the provision for income taxes of $288.5 million for the nine-months ended September 30, 2022. The effective combined federal, state and foreign tax rate decreased to 21.9% from 24.5% for the nine-months ended September 30, 2023 and 2022, respectively. The decrease in the effective tax rate was primarily attributable to the increase in the stock compensation deduction and the increase in deductible interest expense in the nine-months ended September 30,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Net Income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income was $1.26 billion for the nine-months ended September 30, 2023, an increase of $374.1 million, or 42.0% higher than net income of $890.0 million for the nine-months ended September 30, 2022. The increase in net income for the nine-months ended September 30, 2023 was primarily due to the increase in net sales, the increase in the gross profit percentage of net sales as well as the decrease in the effective combined federal, state and foreign tax rate.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Business Metrics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 and Other Key Metrics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Billings**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were $2.15 billion for the three-months ended September 30, 2023, an increase of approximately $281.9 million, or 15.1% higher than gross billings of $1.87 billion for the three-months ended September 30, 2022. Net changes in foreign currency exchange rates had an unfavorable impact on gross billings of approximately $24.3 million for the three-months ended September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Monster Energy® Drinks segment were $1.99 billion for the three-months ended September 30, 2023, an increase of approximately $252.9 million, or 14.6% higher than gross billings of $1.73 billion for the three-months ended September 30, 2022. Gross billings for the Monster Energy® Drinks segment increased primarily due to increased worldwide sales by volume of our Monster Energy® brand energy drinks as a result of increased consumer demand as well as due to Pricing Actions in certain markets. Net changes in foreign currency exchange rates had an unfavorable impact on gross billings for the Monster Energy® Drinks segment of approximately $15.5 million for the three-months ended September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Gross billings for the Strategic Brands segment were $112.5 million for the three-months ended September 30, 2023, an increase of $12.9 million, or 13.0% higher than gross billings of $99.6 million for the three-months ended September 30, 2022. Gross Billings for the Strategic Brands segment increased primarily due to increased sales by volume of our Burn® and NOS® brand energy drinks. Net changes in foreign currency exchange rates had an unfavorable impact on gross billings in the Strategic Brands segment of approximately $8.8 million for the three-months ended September 30, 2023. </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Alcohol Brands segment were $43.1 million for the three-months ended September 30, 2023, an increase of approximately $15.9 million, or 58.2% higher than gross billings of $27.3 million for the three-months ended September 30, 2022. Gross Billings of The Beast Unleashed</w:t>
      </w:r>
      <w:r>
        <w:rPr>
          <w:rFonts w:ascii="Times New Roman;Times;serif" w:hAnsi="Times New Roman;Times;serif"/>
          <w:sz w:val="15"/>
        </w:rPr>
        <w:t>TM</w:t>
      </w:r>
      <w:r>
        <w:rPr>
          <w:rFonts w:ascii="Times New Roman;Times;serif" w:hAnsi="Times New Roman;Times;serif"/>
          <w:sz w:val="20"/>
        </w:rPr>
        <w:t xml:space="preserve"> FMBs, which launched during the 2023 first quarter in the United States on a rolling state basis, were $19.3 million for the three-months ended September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Other segment were $6.7 million for the three-months ended September 30, 2023, an increase of $0.2 million, or 3.8% higher than gross billings of $6.4 million for the three-months ended September 30,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allowances, commissions and other expenses, as described in the footnote below, were $302.8 million for the three-months ended September 30, 2023, an increase of $50.3 million, or 19.9% higher than promotional allowances, commissions and other expenses of $252.6 million for the three-months ended September 30, 2022. Promotional allowances, commissions and other expenses as a percentage of gross billings increased to 14.1% from 13.5% for the three-months ended September 30, 2023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were $6.25 billion for the nine-months ended September 30, 2023, an increase of approximately $730.0 million, or 13.2% higher than gross billings of $5.52 billion for the nine-months ended September 30, 2022. Net changes in foreign currency exchange rates had an unfavorable impact on gross billings of approximately $127.3 million for the nine-months ended September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Monster Energy® Drinks segment were $5.75 billion for the nine-months ended September 30, 2023, an increase of approximately $623.9 million, or 12.2% higher than gross billings of $5.13 billion for the nine-months ended September 30, 2022. Gross billings for the Monster Energy® Drinks segment increased primarily due to increased worldwide sales by volume of our Monster Energy® brand energy drinks as a result of increased consumer demand as well as due to Pricing Actions in certain markets. Net changes in foreign currency exchange rates had an unfavorable impact on gross billings for the Monster Energy® Drinks segment of approximately $113.5 million for the nine-months ended September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Strategic Brands segment were $322.8 million for the nine-months ended September 30, 2023, an increase of $29.1 million, or 9.9% higher than gross billings of $293.7 million for the nine-months ended September 30, 2022. Gross Billings for the Strategic Brands segment increased primarily due to increased sales by volume of our Burn®, NOS®, Fury® and Predator® brand energy drinks. Net changes in foreign currency exchange rates had an unfavorable impact on gross billings in the Strategic Brands segment of approximately $13.8 million for the nine-months ended September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Alcohol Brands segment were $152.3 million for the nine-months ended September 30, 2023, an increase of approximately $76.7 million, or 101.5% higher than gross billings of $75.6 million for the nine-months ended September 30, 2022. The comparative 2022 gross billings for the Alcohol Brands segment were effectively from February 17, 2022 to September 30, 2022 as we completed the CANarchy Transaction on February 17, 2022. Gross billings of The Beast Unleashed</w:t>
      </w:r>
      <w:r>
        <w:rPr>
          <w:rFonts w:ascii="Times New Roman;Times;serif" w:hAnsi="Times New Roman;Times;serif"/>
          <w:sz w:val="15"/>
        </w:rPr>
        <w:t>TM</w:t>
      </w:r>
      <w:r>
        <w:rPr>
          <w:rFonts w:ascii="Times New Roman;Times;serif" w:hAnsi="Times New Roman;Times;serif"/>
          <w:sz w:val="20"/>
        </w:rPr>
        <w:t xml:space="preserve"> FMBs, which launched during the 2023 first quarter on the United States on a rolling state basis, were $74.2 million for the nine-months ended September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Other segment were $18.6 million for the nine-months ended September 30, 2023, as compared to gross billings of $18.4 million for the nine-months ended September 30,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allowances, commissions and other expenses, as described in the footnote below, were $866.0 million for the nine-months ended September 30, 2023, an increase of $118.2 million, or 15.8% higher than promotional allowances, commissions and other expenses of $747.9 million for the nine-months ended September 30, 2022. Promotional allowances, commissions and other expenses as a percentage of gross billings increased to 13.9% from 13.6% for the nine-months ended September 30, 2023 and 2022,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**Gross Billings represent amounts invoiced to customers net of cash discounts, returns and excise taxes.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reconciles the non-GAAP financial measure of gross billings with the most directly comparable GAAP financial measure of net sales:</w:t>
      </w:r>
    </w:p>
    <w:tbl>
      <w:tblPr>
        <w:tblW w:w="10205" w:type="dxa"/>
        <w:jc w:val="left"/>
        <w:tblInd w:w="0" w:type="dxa"/>
        <w:tblLayout w:type="fixed"/>
        <w:tblCellMar>
          <w:top w:w="0" w:type="dxa"/>
          <w:left w:w="0" w:type="dxa"/>
          <w:bottom w:w="0" w:type="dxa"/>
          <w:right w:w="0" w:type="dxa"/>
        </w:tblCellMar>
      </w:tblPr>
      <w:tblGrid>
        <w:gridCol w:w="2158"/>
        <w:gridCol w:w="326"/>
        <w:gridCol w:w="196"/>
        <w:gridCol w:w="826"/>
        <w:gridCol w:w="326"/>
        <w:gridCol w:w="196"/>
        <w:gridCol w:w="826"/>
        <w:gridCol w:w="326"/>
        <w:gridCol w:w="856"/>
        <w:gridCol w:w="331"/>
        <w:gridCol w:w="196"/>
        <w:gridCol w:w="826"/>
        <w:gridCol w:w="326"/>
        <w:gridCol w:w="196"/>
        <w:gridCol w:w="826"/>
        <w:gridCol w:w="326"/>
        <w:gridCol w:w="856"/>
        <w:gridCol w:w="286"/>
      </w:tblGrid>
      <w:tr>
        <w:trPr/>
        <w:tc>
          <w:tcPr>
            <w:tcW w:w="21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501" name="Frame5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24460" cy="175260"/>
                      <wp:effectExtent l="0" t="0" r="0" b="0"/>
                      <wp:wrapNone/>
                      <wp:docPr id="502" name="Frame5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524510" cy="175260"/>
                      <wp:effectExtent l="0" t="0" r="0" b="0"/>
                      <wp:wrapNone/>
                      <wp:docPr id="503" name="Frame50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4" name="Frame5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24460" cy="175260"/>
                      <wp:effectExtent l="0" t="0" r="0" b="0"/>
                      <wp:wrapNone/>
                      <wp:docPr id="505" name="Frame5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524510" cy="175260"/>
                      <wp:effectExtent l="0" t="0" r="0" b="0"/>
                      <wp:wrapNone/>
                      <wp:docPr id="506" name="Frame50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7010" cy="175260"/>
                      <wp:effectExtent l="0" t="0" r="0" b="0"/>
                      <wp:wrapNone/>
                      <wp:docPr id="507" name="Frame5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543560" cy="175260"/>
                      <wp:effectExtent l="0" t="0" r="0" b="0"/>
                      <wp:wrapNone/>
                      <wp:docPr id="508" name="Frame50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10185" cy="175260"/>
                      <wp:effectExtent l="0" t="0" r="0" b="0"/>
                      <wp:wrapNone/>
                      <wp:docPr id="509" name="Frame50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24460" cy="175260"/>
                      <wp:effectExtent l="0" t="0" r="0" b="0"/>
                      <wp:wrapNone/>
                      <wp:docPr id="510" name="Frame5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524510" cy="175260"/>
                      <wp:effectExtent l="0" t="0" r="0" b="0"/>
                      <wp:wrapNone/>
                      <wp:docPr id="511" name="Frame51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7010" cy="175260"/>
                      <wp:effectExtent l="0" t="0" r="0" b="0"/>
                      <wp:wrapNone/>
                      <wp:docPr id="512" name="Frame5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24460" cy="175260"/>
                      <wp:effectExtent l="0" t="0" r="0" b="0"/>
                      <wp:wrapNone/>
                      <wp:docPr id="513" name="Frame5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24510" cy="175260"/>
                      <wp:effectExtent l="0" t="0" r="0" b="0"/>
                      <wp:wrapNone/>
                      <wp:docPr id="514" name="Frame51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7010" cy="175260"/>
                      <wp:effectExtent l="0" t="0" r="0" b="0"/>
                      <wp:wrapNone/>
                      <wp:docPr id="515"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543560" cy="175260"/>
                      <wp:effectExtent l="0" t="0" r="0" b="0"/>
                      <wp:wrapNone/>
                      <wp:docPr id="516" name="Frame516"/>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81610" cy="175260"/>
                      <wp:effectExtent l="0" t="0" r="0" b="0"/>
                      <wp:wrapNone/>
                      <wp:docPr id="517" name="Frame51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70"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Three-Months Ended</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Percentage</w:t>
            </w:r>
          </w:p>
        </w:tc>
        <w:tc>
          <w:tcPr>
            <w:tcW w:w="33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2174" w:type="dxa"/>
            <w:gridSpan w:val="4"/>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Nine-Months Ended</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Percentage</w:t>
            </w:r>
          </w:p>
        </w:tc>
        <w:tc>
          <w:tcPr>
            <w:tcW w:w="286" w:type="dxa"/>
            <w:tcBorders/>
            <w:vAlign w:val="center"/>
          </w:tcPr>
          <w:p>
            <w:pPr>
              <w:pStyle w:val="TableContents"/>
              <w:bidi w:val="0"/>
              <w:spacing w:before="0" w:after="0"/>
              <w:ind w:left="0" w:right="0" w:hanging="0"/>
              <w:jc w:val="left"/>
              <w:rPr/>
            </w:pPr>
            <w:r>
              <w:rPr/>
              <w:t>​</w:t>
            </w:r>
          </w:p>
        </w:tc>
      </w:tr>
      <w:tr>
        <w:trPr/>
        <w:tc>
          <w:tcPr>
            <w:tcW w:w="215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26" w:type="dxa"/>
            <w:tcBorders/>
            <w:vAlign w:val="center"/>
          </w:tcPr>
          <w:p>
            <w:pPr>
              <w:pStyle w:val="TableContents"/>
              <w:bidi w:val="0"/>
              <w:spacing w:before="0" w:after="0"/>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Change</w:t>
            </w:r>
          </w:p>
        </w:tc>
        <w:tc>
          <w:tcPr>
            <w:tcW w:w="331" w:type="dxa"/>
            <w:tcBorders/>
            <w:vAlign w:val="center"/>
          </w:tcPr>
          <w:p>
            <w:pPr>
              <w:pStyle w:val="TableContents"/>
              <w:bidi w:val="0"/>
              <w:spacing w:before="0" w:after="0"/>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September 30, </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Change</w:t>
            </w:r>
          </w:p>
        </w:tc>
        <w:tc>
          <w:tcPr>
            <w:tcW w:w="286" w:type="dxa"/>
            <w:tcBorders/>
            <w:vAlign w:val="center"/>
          </w:tcPr>
          <w:p>
            <w:pPr>
              <w:pStyle w:val="TableContents"/>
              <w:bidi w:val="0"/>
              <w:spacing w:before="0" w:after="0"/>
              <w:ind w:left="0" w:right="0" w:hanging="0"/>
              <w:jc w:val="left"/>
              <w:rPr/>
            </w:pPr>
            <w:r>
              <w:rPr/>
              <w:t>​</w:t>
            </w:r>
          </w:p>
        </w:tc>
      </w:tr>
      <w:tr>
        <w:trPr/>
        <w:tc>
          <w:tcPr>
            <w:tcW w:w="21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23 vs. 22</w:t>
            </w:r>
          </w:p>
        </w:tc>
        <w:tc>
          <w:tcPr>
            <w:tcW w:w="331"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23 vs. 22</w:t>
            </w:r>
          </w:p>
        </w:tc>
        <w:tc>
          <w:tcPr>
            <w:tcW w:w="286" w:type="dxa"/>
            <w:tcBorders/>
            <w:vAlign w:val="center"/>
          </w:tcPr>
          <w:p>
            <w:pPr>
              <w:pStyle w:val="TableContents"/>
              <w:bidi w:val="0"/>
              <w:spacing w:before="0" w:after="0"/>
              <w:ind w:left="0" w:right="0" w:hanging="0"/>
              <w:jc w:val="left"/>
              <w:rPr/>
            </w:pPr>
            <w:r>
              <w:rPr/>
              <w:t>​</w:t>
            </w:r>
          </w:p>
        </w:tc>
      </w:tr>
      <w:tr>
        <w:trPr/>
        <w:tc>
          <w:tcPr>
            <w:tcW w:w="215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Billings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2,148,834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1,866,888</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6,245,968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5,515,964</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15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9,955</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29,974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30,026</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15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Promotional allowances, commissions and other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302,849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252,557</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866,023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747,871</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15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Sales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1,856,028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1,624,286</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5,409,919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4,798,119</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18"/>
        </w:rPr>
      </w:pPr>
      <w:r>
        <w:rPr>
          <w:rFonts w:ascii="Times New Roman;Times;serif" w:hAnsi="Times New Roman;Times;serif"/>
          <w:i/>
          <w:sz w:val="18"/>
        </w:rPr>
        <w:t xml:space="preserve">***Although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for our energy drink products primarily include consideration given to our non-alcohol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for our energy drink products constitute a material portion of our marketing activities. Our promotional allowance programs for our energy drink products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Promotional and other allowances for our Alcohol Brands segment primarily include price promotions where permitted. </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below discloses selected quarterly data regarding sales for the three- and nine-months ended September 30, 2023 and 2022, respectively. Data from any one or more quarters or periods is not necessarily indicative of annual results or continuing trends.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our products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quarterly results of operations reflect seasonal trends that are primarily the result of increased demand in the warmer months of the year. Beverage sales tend to be lower during the first and fourth quarters of each calendar year. However, our experience with our energy drink products suggests they are less seasonal than the seasonality expected from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marketing and promotional expenses.</w:t>
      </w:r>
    </w:p>
    <w:p>
      <w:pPr>
        <w:pStyle w:val="TextBody"/>
        <w:bidi w:val="0"/>
        <w:spacing w:before="0" w:after="0"/>
        <w:ind w:left="0" w:right="0" w:hanging="0"/>
        <w:jc w:val="left"/>
        <w:rPr/>
      </w:pPr>
      <w:r>
        <w:rPr/>
        <w:t>​</w:t>
      </w:r>
    </w:p>
    <w:tbl>
      <w:tblPr>
        <w:tblW w:w="9923" w:type="dxa"/>
        <w:jc w:val="left"/>
        <w:tblInd w:w="0" w:type="dxa"/>
        <w:tblLayout w:type="fixed"/>
        <w:tblCellMar>
          <w:top w:w="0" w:type="dxa"/>
          <w:left w:w="0" w:type="dxa"/>
          <w:bottom w:w="0" w:type="dxa"/>
          <w:right w:w="0" w:type="dxa"/>
        </w:tblCellMar>
      </w:tblPr>
      <w:tblGrid>
        <w:gridCol w:w="4006"/>
        <w:gridCol w:w="326"/>
        <w:gridCol w:w="211"/>
        <w:gridCol w:w="931"/>
        <w:gridCol w:w="326"/>
        <w:gridCol w:w="211"/>
        <w:gridCol w:w="931"/>
        <w:gridCol w:w="326"/>
        <w:gridCol w:w="211"/>
        <w:gridCol w:w="931"/>
        <w:gridCol w:w="326"/>
        <w:gridCol w:w="211"/>
        <w:gridCol w:w="976"/>
      </w:tblGrid>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07010" cy="175260"/>
                      <wp:effectExtent l="0" t="0" r="0" b="0"/>
                      <wp:wrapNone/>
                      <wp:docPr id="518" name="Frame5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33985" cy="175260"/>
                      <wp:effectExtent l="0" t="0" r="0" b="0"/>
                      <wp:wrapNone/>
                      <wp:docPr id="519" name="Frame5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591185" cy="175260"/>
                      <wp:effectExtent l="0" t="0" r="0" b="0"/>
                      <wp:wrapNone/>
                      <wp:docPr id="520" name="Frame5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07010" cy="175260"/>
                      <wp:effectExtent l="0" t="0" r="0" b="0"/>
                      <wp:wrapNone/>
                      <wp:docPr id="521" name="Frame5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33985" cy="175260"/>
                      <wp:effectExtent l="0" t="0" r="0" b="0"/>
                      <wp:wrapNone/>
                      <wp:docPr id="522" name="Frame5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591185" cy="175260"/>
                      <wp:effectExtent l="0" t="0" r="0" b="0"/>
                      <wp:wrapNone/>
                      <wp:docPr id="523" name="Frame5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07010" cy="175260"/>
                      <wp:effectExtent l="0" t="0" r="0" b="0"/>
                      <wp:wrapNone/>
                      <wp:docPr id="524" name="Frame5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33985" cy="175260"/>
                      <wp:effectExtent l="0" t="0" r="0" b="0"/>
                      <wp:wrapNone/>
                      <wp:docPr id="525" name="Frame5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591185" cy="175260"/>
                      <wp:effectExtent l="0" t="0" r="0" b="0"/>
                      <wp:wrapNone/>
                      <wp:docPr id="526" name="Frame52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07010" cy="175260"/>
                      <wp:effectExtent l="0" t="0" r="0" b="0"/>
                      <wp:wrapNone/>
                      <wp:docPr id="527" name="Frame5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33985" cy="175260"/>
                      <wp:effectExtent l="0" t="0" r="0" b="0"/>
                      <wp:wrapNone/>
                      <wp:docPr id="528" name="Frame5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19760" cy="175260"/>
                      <wp:effectExtent l="0" t="0" r="0" b="0"/>
                      <wp:wrapNone/>
                      <wp:docPr id="529" name="Frame52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Drinks:</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w: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average net sales per case)</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1,624,286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5,409,919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4,798,119</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Alcohol Brands segment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(74,472)</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(18,355)</w:t>
            </w:r>
          </w:p>
        </w:tc>
      </w:tr>
      <w:tr>
        <w:trPr/>
        <w:tc>
          <w:tcPr>
            <w:tcW w:w="40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Adjusted net sales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1,807,004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1,591,021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5,241,607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4,705,292</w:t>
            </w:r>
          </w:p>
        </w:tc>
      </w:tr>
      <w:tr>
        <w:trPr/>
        <w:tc>
          <w:tcPr>
            <w:tcW w:w="4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Case sales by segment:</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479,964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447,233</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88,218</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case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583,937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535,451</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net sales per case - Energy Drinks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8.79</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Excludes Alcohol Brands segment and Other segment net sales.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changes in foreign currency exchange rates had an unfavorable impact on the overall average net sales per case for the three- and nine-months ended September 30, 2023.</w:t>
      </w:r>
    </w:p>
    <w:p>
      <w:pPr>
        <w:pStyle w:val="TextBody"/>
        <w:bidi w:val="0"/>
        <w:spacing w:before="0" w:after="0"/>
        <w:ind w:left="0" w:right="0" w:hanging="0"/>
        <w:jc w:val="left"/>
        <w:rPr/>
      </w:pPr>
      <w:r>
        <w:rPr/>
        <w:t>​</w:t>
      </w:r>
    </w:p>
    <w:tbl>
      <w:tblPr>
        <w:tblW w:w="9008" w:type="dxa"/>
        <w:jc w:val="left"/>
        <w:tblInd w:w="0" w:type="dxa"/>
        <w:tblLayout w:type="fixed"/>
        <w:tblCellMar>
          <w:top w:w="0" w:type="dxa"/>
          <w:left w:w="0" w:type="dxa"/>
          <w:bottom w:w="0" w:type="dxa"/>
          <w:right w:w="0" w:type="dxa"/>
        </w:tblCellMar>
      </w:tblPr>
      <w:tblGrid>
        <w:gridCol w:w="4006"/>
        <w:gridCol w:w="326"/>
        <w:gridCol w:w="211"/>
        <w:gridCol w:w="676"/>
        <w:gridCol w:w="326"/>
        <w:gridCol w:w="211"/>
        <w:gridCol w:w="676"/>
        <w:gridCol w:w="326"/>
        <w:gridCol w:w="211"/>
        <w:gridCol w:w="781"/>
        <w:gridCol w:w="326"/>
        <w:gridCol w:w="211"/>
        <w:gridCol w:w="721"/>
      </w:tblGrid>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7010" cy="175260"/>
                      <wp:effectExtent l="0" t="0" r="0" b="0"/>
                      <wp:wrapNone/>
                      <wp:docPr id="530" name="Frame5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33985" cy="175260"/>
                      <wp:effectExtent l="0" t="0" r="0" b="0"/>
                      <wp:wrapNone/>
                      <wp:docPr id="531" name="Frame5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429260" cy="175260"/>
                      <wp:effectExtent l="0" t="0" r="0" b="0"/>
                      <wp:wrapNone/>
                      <wp:docPr id="532" name="Frame5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010" cy="175260"/>
                      <wp:effectExtent l="0" t="0" r="0" b="0"/>
                      <wp:wrapNone/>
                      <wp:docPr id="533" name="Frame5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33985" cy="175260"/>
                      <wp:effectExtent l="0" t="0" r="0" b="0"/>
                      <wp:wrapNone/>
                      <wp:docPr id="534" name="Frame5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429260" cy="175260"/>
                      <wp:effectExtent l="0" t="0" r="0" b="0"/>
                      <wp:wrapNone/>
                      <wp:docPr id="535" name="Frame5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07010" cy="175260"/>
                      <wp:effectExtent l="0" t="0" r="0" b="0"/>
                      <wp:wrapNone/>
                      <wp:docPr id="536" name="Frame5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33985" cy="175260"/>
                      <wp:effectExtent l="0" t="0" r="0" b="0"/>
                      <wp:wrapNone/>
                      <wp:docPr id="537" name="Frame5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495935" cy="175260"/>
                      <wp:effectExtent l="0" t="0" r="0" b="0"/>
                      <wp:wrapNone/>
                      <wp:docPr id="538" name="Frame5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07010" cy="175260"/>
                      <wp:effectExtent l="0" t="0" r="0" b="0"/>
                      <wp:wrapNone/>
                      <wp:docPr id="539" name="Frame5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33985" cy="175260"/>
                      <wp:effectExtent l="0" t="0" r="0" b="0"/>
                      <wp:wrapNone/>
                      <wp:docPr id="540" name="Frame5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57835" cy="175260"/>
                      <wp:effectExtent l="0" t="0" r="0" b="0"/>
                      <wp:wrapNone/>
                      <wp:docPr id="541" name="Frame54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Craft Beers, Hard Seltzers and FMBs:</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center"/>
              <w:rPr/>
            </w:pPr>
            <w:r>
              <w:rPr/>
              <w:t>​</w:t>
            </w:r>
          </w:p>
        </w:tc>
        <w:tc>
          <w:tcPr>
            <w:tcW w:w="225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Nine-Months Ended</w: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average net sales per case)</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w:t>
            </w:r>
          </w:p>
        </w:tc>
        <w:tc>
          <w:tcPr>
            <w:tcW w:w="326" w:type="dxa"/>
            <w:tcBorders/>
            <w:vAlign w:val="center"/>
          </w:tcPr>
          <w:p>
            <w:pPr>
              <w:pStyle w:val="TableContents"/>
              <w:bidi w:val="0"/>
              <w:spacing w:before="0" w:after="0"/>
              <w:ind w:left="0" w:right="0" w:hanging="0"/>
              <w:jc w:val="center"/>
              <w:rPr/>
            </w:pPr>
            <w:r>
              <w:rPr/>
              <w:t>​</w:t>
            </w:r>
          </w:p>
        </w:tc>
        <w:tc>
          <w:tcPr>
            <w:tcW w:w="22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righ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 segment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74,472</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Case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4,807</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net sales per case - 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15.49</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2, “Management’s Discussion and Analysis of Financial Condition and Results of Operations – Results of Operations” for additional information related to the increase in sales.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 xml:space="preserve">Cash and cash equivalents, short-term and long-term investments. </w:t>
      </w:r>
      <w:r>
        <w:rPr>
          <w:rFonts w:ascii="Times New Roman;Times;serif" w:hAnsi="Times New Roman;Times;serif"/>
          <w:sz w:val="20"/>
        </w:rPr>
        <w:t xml:space="preserve">At September 30, 2023, we had $1.77 billion in cash and cash equivalents, $1.24 billion in short-term investments and $52.6 million in long-term investments, including certificates of deposit, commercial paper, U.S. government agency securities, municipal securities, U.S. treasuries and corporate bonds.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Of our $1.77 billion of cash and cash equivalents held at September 30, 2023, $924.7 million was held by our foreign subsidiaries. No short-term or long-term investments were held by our foreign subsidiaries at September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purchases of real property, acquisitions and purchases of shares of our common stock, through at least the next 12 months. Based on our current plans, at this time we estimate that capital expenditures (exclusive of common stock repurchases) are likely to be less than $500 million through September 30, 2024. However, future business opportunities may cause a change in this estimate.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Purchases of inventories, increases in accounts receivable and other assets, acquisition of property and equipment (including real property, personal property, plant and manufacturing equipment,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summarizes our cash flows for the nine-months ended September 30, 2023 and 2022 (in thousands):</w:t>
      </w:r>
    </w:p>
    <w:tbl>
      <w:tblPr>
        <w:tblW w:w="5607" w:type="dxa"/>
        <w:jc w:val="left"/>
        <w:tblInd w:w="0" w:type="dxa"/>
        <w:tblLayout w:type="fixed"/>
        <w:tblCellMar>
          <w:top w:w="0" w:type="dxa"/>
          <w:left w:w="0" w:type="dxa"/>
          <w:bottom w:w="0" w:type="dxa"/>
          <w:right w:w="0" w:type="dxa"/>
        </w:tblCellMar>
      </w:tblPr>
      <w:tblGrid>
        <w:gridCol w:w="2656"/>
        <w:gridCol w:w="326"/>
        <w:gridCol w:w="211"/>
        <w:gridCol w:w="931"/>
        <w:gridCol w:w="326"/>
        <w:gridCol w:w="211"/>
        <w:gridCol w:w="94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686560" cy="175260"/>
                      <wp:effectExtent l="0" t="0" r="0" b="0"/>
                      <wp:wrapNone/>
                      <wp:docPr id="542" name="Frame542"/>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07010" cy="175260"/>
                      <wp:effectExtent l="0" t="0" r="0" b="0"/>
                      <wp:wrapNone/>
                      <wp:docPr id="543" name="Frame5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33985" cy="175260"/>
                      <wp:effectExtent l="0" t="0" r="0" b="0"/>
                      <wp:wrapNone/>
                      <wp:docPr id="544" name="Frame5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591185" cy="175260"/>
                      <wp:effectExtent l="0" t="0" r="0" b="0"/>
                      <wp:wrapNone/>
                      <wp:docPr id="545" name="Frame5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07010" cy="175260"/>
                      <wp:effectExtent l="0" t="0" r="0" b="0"/>
                      <wp:wrapNone/>
                      <wp:docPr id="546" name="Frame5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33985" cy="175260"/>
                      <wp:effectExtent l="0" t="0" r="0" b="0"/>
                      <wp:wrapNone/>
                      <wp:docPr id="547" name="Frame5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00710" cy="175260"/>
                      <wp:effectExtent l="0" t="0" r="0" b="0"/>
                      <wp:wrapNone/>
                      <wp:docPr id="548" name="Frame54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1,283,426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589,186</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(57,743)</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(433,793)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(459,275)</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Cash flows provided by operating activities.</w:t>
      </w:r>
      <w:r>
        <w:rPr>
          <w:rFonts w:ascii="Times New Roman;Times;serif" w:hAnsi="Times New Roman;Times;serif"/>
          <w:sz w:val="20"/>
        </w:rPr>
        <w:t xml:space="preserve"> Cash provided by operating activities was $1.28 billion for the nine-months ended September 30, 2023, as compared with cash provided by operating activities of $589.2 million for the nine-months ended September 30,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nine-months ended September 30, 2023, cash provided by operating activities was primarily attributable to net income earned of $1.26 billion and adjustments for certain non-cash expenses, consisting of $50.4 million of depreciation and amortization, $52.5 million of stock-based compensation, $6.5 million of non-cash lease expense and $2.8 million loss on impairment of intangibles, partially offset by the $45.4 million Bang Transaction Gain. For the nine-months ended September 30, 2023, cash provided by operating activities also increased due to a $109.8 million increase in accounts payable, a $69.8 million decrease in inventories, a $42.4 million increase in accrued promotional allowances, a $24.7 million increase in accrued liabilities, a $8.0 million decrease in prepaid income taxes, a $4.2 million increase in income taxes payable and a $3.5 million increase in accrued compensation. For the nine-months ended September 30, 2023, cash used in operating activities was primarily attributable to a $218.8 million increase in accounts receivable, a $67.4 million increase in prepaid expenses and other assets, a $19.3 million decrease in deferred revenue and a $3.6 million decrease in other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nine-months ended September 30, 2022, cash provided by operating activities was primarily attributable to net income earned of $890.0 million and adjustments for certain non-cash expenses, consisting of $49.2 million of stock-based compensation and $51.2 million of depreciation and amortization and non-cash lease expense. For the nine-months ended September 30, 2022, cash provided by operating activities also increased due to a $52.7 million increase in accounts payable, an $89.2 million increase in accrued promotional allowances, a $29.7 million decrease in deferred income taxes and a $7.9 million decrease in prepaid income taxes. For the nine-months ended September 30, 2022, cash used in operating activities was primarily attributable to a $297.1 million increase in inventories, a $202.4 million increase in accounts receivable, a $39.2 million increase in prepaid expenses and other assets, a $16.1 million decrease in deferred revenue, a $12.8 million decrease in income taxes payable, a $2.6 million decrease in accrued liabilities, a $6.6 million decrease in accrued compensation and a $3.5 million decrease in other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Cash flows used in investing activities.</w:t>
      </w:r>
      <w:r>
        <w:rPr>
          <w:rFonts w:ascii="Times New Roman;Times;serif" w:hAnsi="Times New Roman;Times;serif"/>
          <w:sz w:val="20"/>
        </w:rPr>
        <w:t xml:space="preserve"> Cash used in investing activities was $360.0 million for the nine-months ended September 30, 2023 as compared to cash used in investing activities of $57.7 million for nine-months ended September 30,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both the nine-months ended September 30, 2023 and 2022, cash provided by investing activities was primarily attributable to sales of available-for-sale investments. For the nine-months ended September 30, 2023, cash used in investing activities included $363.4 million related to the Bang Transaction. For the nine-months ended September 30, 2022, cash used in investing activities included $329.5 million net of cash acquired, related to the CANarchy Transaction. For both the nine-months ended September 30, 2023 and 2022, cash used in investing activities was primarily attributable to purchases of available-for-sale investments. To a lesser extent, for both the nine-months ended September 30, 2023 and 2022,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construction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plant and production equipment required to produce certain of our existing and/or new products) to develop our brand in international markets, acquisitions and for other corporate purposes. From time to time, we may also use cash to purchase additional real property related to our beverage business and/or acquire compatible businesses.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Cash flow used in financing activities.</w:t>
      </w:r>
      <w:r>
        <w:rPr>
          <w:rFonts w:ascii="Times New Roman;Times;serif" w:hAnsi="Times New Roman;Times;serif"/>
          <w:sz w:val="20"/>
        </w:rPr>
        <w:t xml:space="preserve"> Cash used in financing activities was $433.8 million for the nine-months ended September 30, 2023 as compared to cash used in financing activities of $459.3 million for the nine-months ended September 30, 2022. Cash used in financing activities for both the nine-months ended September 30, 2023 and 2022 was primarily the result of the repurchases of our common stock. Cash provided by financing activities for both the nine-months ended September 30, 2023 and 2022 was primarily attributable to the issuance of our common stock under our stock-based compensation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represents a summary of the Company’s contractual commitments and related scheduled maturities as of September 30, 2023:</w:t>
      </w:r>
    </w:p>
    <w:tbl>
      <w:tblPr>
        <w:tblW w:w="8646" w:type="dxa"/>
        <w:jc w:val="left"/>
        <w:tblInd w:w="0" w:type="dxa"/>
        <w:tblLayout w:type="fixed"/>
        <w:tblCellMar>
          <w:top w:w="0" w:type="dxa"/>
          <w:left w:w="0" w:type="dxa"/>
          <w:bottom w:w="0" w:type="dxa"/>
          <w:right w:w="0" w:type="dxa"/>
        </w:tblCellMar>
      </w:tblPr>
      <w:tblGrid>
        <w:gridCol w:w="2161"/>
        <w:gridCol w:w="326"/>
        <w:gridCol w:w="211"/>
        <w:gridCol w:w="781"/>
        <w:gridCol w:w="326"/>
        <w:gridCol w:w="211"/>
        <w:gridCol w:w="781"/>
        <w:gridCol w:w="326"/>
        <w:gridCol w:w="211"/>
        <w:gridCol w:w="781"/>
        <w:gridCol w:w="326"/>
        <w:gridCol w:w="211"/>
        <w:gridCol w:w="676"/>
        <w:gridCol w:w="326"/>
        <w:gridCol w:w="211"/>
        <w:gridCol w:w="781"/>
      </w:tblGrid>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07010" cy="175260"/>
                      <wp:effectExtent l="0" t="0" r="0" b="0"/>
                      <wp:wrapNone/>
                      <wp:docPr id="549" name="Frame5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33985" cy="175260"/>
                      <wp:effectExtent l="0" t="0" r="0" b="0"/>
                      <wp:wrapNone/>
                      <wp:docPr id="550" name="Frame5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495935" cy="175260"/>
                      <wp:effectExtent l="0" t="0" r="0" b="0"/>
                      <wp:wrapNone/>
                      <wp:docPr id="551" name="Frame5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07010" cy="175260"/>
                      <wp:effectExtent l="0" t="0" r="0" b="0"/>
                      <wp:wrapNone/>
                      <wp:docPr id="552" name="Frame5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33985" cy="175260"/>
                      <wp:effectExtent l="0" t="0" r="0" b="0"/>
                      <wp:wrapNone/>
                      <wp:docPr id="553" name="Frame5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495935" cy="175260"/>
                      <wp:effectExtent l="0" t="0" r="0" b="0"/>
                      <wp:wrapNone/>
                      <wp:docPr id="554" name="Frame5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175260"/>
                      <wp:effectExtent l="0" t="0" r="0" b="0"/>
                      <wp:wrapNone/>
                      <wp:docPr id="555" name="Frame5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33985" cy="175260"/>
                      <wp:effectExtent l="0" t="0" r="0" b="0"/>
                      <wp:wrapNone/>
                      <wp:docPr id="556" name="Frame5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495935" cy="175260"/>
                      <wp:effectExtent l="0" t="0" r="0" b="0"/>
                      <wp:wrapNone/>
                      <wp:docPr id="557" name="Frame5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07010" cy="175260"/>
                      <wp:effectExtent l="0" t="0" r="0" b="0"/>
                      <wp:wrapNone/>
                      <wp:docPr id="558" name="Frame5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33985" cy="175260"/>
                      <wp:effectExtent l="0" t="0" r="0" b="0"/>
                      <wp:wrapNone/>
                      <wp:docPr id="559" name="Frame5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429260" cy="175260"/>
                      <wp:effectExtent l="0" t="0" r="0" b="0"/>
                      <wp:wrapNone/>
                      <wp:docPr id="560" name="Frame56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07010" cy="175260"/>
                      <wp:effectExtent l="0" t="0" r="0" b="0"/>
                      <wp:wrapNone/>
                      <wp:docPr id="561" name="Frame5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33985" cy="175260"/>
                      <wp:effectExtent l="0" t="0" r="0" b="0"/>
                      <wp:wrapNone/>
                      <wp:docPr id="562" name="Frame5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95935" cy="175260"/>
                      <wp:effectExtent l="0" t="0" r="0" b="0"/>
                      <wp:wrapNone/>
                      <wp:docPr id="563" name="Frame5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5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Payments due by period (in thousands)</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noBreakHyphen/>
              <w:t>3 </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noBreakHyphen/>
              <w:t>5 </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More than</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Obligations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year</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 years</w:t>
            </w:r>
          </w:p>
        </w:tc>
      </w:tr>
      <w:tr>
        <w:trPr/>
        <w:tc>
          <w:tcPr>
            <w:tcW w:w="21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Contractual Obligations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451,257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357,971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15,285</w:t>
            </w:r>
          </w:p>
        </w:tc>
      </w:tr>
      <w:tr>
        <w:trPr/>
        <w:tc>
          <w:tcPr>
            <w:tcW w:w="21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Purchase Commitments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269,941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782,602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556,905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190,851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15,366</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Contractual obligations include our obligations related to sponsorships and other commitments.</w:t>
      </w:r>
    </w:p>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Purchase commitments include obligations made by us and our subsidiaries to various suppliers for raw materials used in the production of our products. These obligations vary in terms, but are generally satisfied within one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approximately $3.8 million of unrecognized tax benefits have been recorded as liabilities as of September 30, 2023. It is expected that the amount of unrecognized tax benefits will not significantly change within the next 12 months. As of September 30, 2023, we had $0.7 million of accrued interest and penalties related to unrecognized tax benefits.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There have been no material changes to our critical accounting policies or estimates from the information provided in “Part II, Item 7, Management’s Discussion and Analysis of Financial Condition and Results of Operations” and “Part II, Item 8 – Financial Statements and Supplementary Data – Note 1 – Organization and Summary of Significant Accounting Policies”, included in our Annual Report on Form 10-K for the fiscal year ended December 31, 2022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no changes in recently issued or adopted accounting pronouncements that would materially impact the Company from those disclosed in our Annual Report on Form 10-K for the fiscal year ended December 31,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inflation did not have a significant impact on our results of operations for the three- and nine-months ended September 30,2023.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“estimates” and similar expressions are intended to identify 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the Bang Energy® business and recognize the anticipated benefits of the transaction;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transition the acquired Bang Energy® beverages to the Company’s primary bottlers/distributors;</w:t>
            </w:r>
          </w:p>
        </w:tc>
      </w:tr>
    </w:tbl>
    <w:tbl>
      <w:tblPr>
        <w:tblW w:w="9546" w:type="dxa"/>
        <w:jc w:val="left"/>
        <w:tblInd w:w="0" w:type="dxa"/>
        <w:tblLayout w:type="fixed"/>
        <w:tblCellMar>
          <w:top w:w="28" w:type="dxa"/>
          <w:left w:w="28" w:type="dxa"/>
          <w:bottom w:w="28" w:type="dxa"/>
          <w:right w:w="28" w:type="dxa"/>
        </w:tblCellMar>
      </w:tblPr>
      <w:tblGrid>
        <w:gridCol w:w="124"/>
        <w:gridCol w:w="25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procure shelf space, retain customers and increase sales of the acquired Bang Energy® beverages;</w:t>
            </w:r>
          </w:p>
        </w:tc>
      </w:tr>
    </w:tbl>
    <w:tbl>
      <w:tblPr>
        <w:tblW w:w="9321" w:type="dxa"/>
        <w:jc w:val="left"/>
        <w:tblInd w:w="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consolidate operations and/or rationalize brands acquired from CANarchy and Bang Energy®;</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profitability within our Alcohol Brands segment;</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absorb, mitigate or pass on cost increases to our bottlers/distributors and/or consumers;</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rising costs, interest rates and inflation on the discretionary income of our consumers;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an economic slowdown or recession that could negatively impact the financial condition of our customers and could result in a reduced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military conflict in Ukraine as well as tensions across the Taiwan Straits, Israel and Gaza, including supply chain disruptions, volatility in commodity and energy prices, increased economic uncertainty and escalating geopolitical tensions;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growth and/or growth rates (positive or negative) of the domestic and international energy drink categories generally, including in the convenience and gas channel (which is our largest channel) and the impact on demand for our products resulting from deteriorating economic conditions and/or financial uncertainties;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temporary or permanent facility closures, production slowdowns and disruptions in operations experienced by our manufacturing facilities, our suppliers, and/or bottlers/distributors, and/or co-packers, and/or breweries, including any material disruptions on the production and distribution of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to our and/or our copackers’ manufacturing facilities and operations due to severe weather, natural disasters, climate change, labor-related issues, production difficulties, capacity limitations, or other causes, which could impair our ability to produce or deliver finished products, resulting in a negative impact on our operating results;</w:t>
            </w:r>
          </w:p>
        </w:tc>
      </w:tr>
    </w:tbl>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modify our manufacturing facilities to comply with safety, health, environmental, and other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co-packers leading us to increasingly rely on fewer co-packing groups, certain of which account for a large percentage of our co-packing capacity for our Monster Energy® drinks;</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logistical issues and delays, including shortages of shipping containers and port of entry congestion;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human and economic consequences of a material reemergence of COVID-19, including new variants, as well as the measures that may be taken by governments and businesses (including the Company and its suppliers, bottlers/distributors, co-packers, and other service providers) and the public at large to limit the spread of COVID-19, including, but not limited to, lockdowns, labor issues, delays, and/or decreased sponsorship, endorsement, sampling, and/or innovation activities, which may have an adverse impact on our business and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extensive commercial arrangements with TCCC and, as a result, our future performance is substantially dependent on the success of our relationship with TCCC;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TCCC’s bottlers/distributors distributing Coca-Cola brand energy drinks and possible reductions in the number of our SKUs carried by such bottlers/distributors and/or such bottlers/distributors imposing limitations on distributing new product SKUs;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TCCC being one of our significant stockholders and the potential divergence of TCCC’s interests from those of our other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relationships with TCCC system bottlers/distributors and manage their ongoing commitment to focus on our non-alcohol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in distribution channels and/or decline in sales due to the termination and/or insolvency of existing and/or new domestic and/or international bottlers/distributors;</w:t>
            </w:r>
          </w:p>
        </w:tc>
      </w:tr>
    </w:tbl>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anticipated demand for our products in domestic and/or international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inventory levels or those of our bottlers/distributors, planned or otherwise, and the resultant impact on our revenues;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regulations, including taxation, age restrictions imposed on the sale, purchase, or consumption of our products, marketing restrictions, product registration requirements, tariffs, trade restrictions, container size limitations and/or ingredient restrictions;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inquiries from, and/or actions by, state attorneys general, the Federal Trade Commission (the “FTC”), the Food and Drug Administration (the “FDA”), the Bureau of Alcohol, Tobacco, Firearms and Explosives (the “ATF”),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products, including voluntary and/or required changes to our business practices;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laws, regulations and evolving industry standards regarding consumer privacy and data use and security, including, but not limited to, with respect to the General Data Protection Regulation and the California Consumer Privacy Act of 2018;</w:t>
            </w:r>
          </w:p>
        </w:tc>
      </w:tr>
    </w:tbl>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profitability and/or repatriate cash from certain of our operations outside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tax laws as a result of any legislation proposed by the U.S. Presidential Administration or U.S. Congress, which may include efforts to change or repeal the 2017 Tax Cuts and Jobs Act and the federal corporate income tax rate reduction;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produce our products in international markets in which they are sold, thereby reducing freight costs and/or product damages;</w:t>
            </w:r>
          </w:p>
        </w:tc>
      </w:tr>
    </w:tbl>
    <w:tbl>
      <w:tblPr>
        <w:tblW w:w="7161" w:type="dxa"/>
        <w:jc w:val="left"/>
        <w:tblInd w:w="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manage our inventories and/or our accounts receivables;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foreign currency exchange rate risk with respect to our sales, expenses, profits, assets and liabilities denominated in currencies other than the U.S. dollar, which will continue to increase as foreign sales increase;</w:t>
            </w:r>
          </w:p>
        </w:tc>
      </w:tr>
    </w:tbl>
    <w:tbl>
      <w:tblPr>
        <w:tblW w:w="8376" w:type="dxa"/>
        <w:jc w:val="left"/>
        <w:tblInd w:w="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long-term impact of the United Kingdom’s departure from the European Union (or “Brexit”);</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may affect our reported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Implications of the Organization for Economic Cooperation and Development’s base erosion and profit shifting project;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proceedings which may be brought against us by the Securities and Exchange Commission (the “SEC”), the FDA, the FTC, the ATF or other governmental agencies or bodies;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and/or possibility of future shareholder derivative actions or shareholder securities litigation that may be filed against us and/or against certain of our officers and directors, and the possibility of other private shareholder litigation;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significant liabilities due to litigation, legal or regulatory proceedings, including litigation directed at the energy and alcohol beverage industries generally or at the Company in particular;</w:t>
            </w:r>
          </w:p>
        </w:tc>
      </w:tr>
    </w:tbl>
    <w:tbl>
      <w:tblPr>
        <w:tblW w:w="3231" w:type="dxa"/>
        <w:jc w:val="left"/>
        <w:tblInd w:w="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injunctions;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resolution of possible tax matters;</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and volatility in the domestic and global economies, including risk of counterparty default or failure;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address any significant deficiencies or material weakness in our internal controls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generate sufficient cash flows to support our expansion plans and general operating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products resulting from changes in consumer preferences, including, but not limited to: changes in demand for different packages, sizes and configurations; changes due to perceived health concerns such as obesity, ingredients in our products or packaging, and alcohol abuse; changes due to product safety concerns and/or changes due to decreased consumer discretionary spending power;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publicity surrounding obesity, alcohol consumption, and other health concerns related to our products, product safety and quality, water usage, environmental impact and sustainability, human rights, our culture, workforce and labor and workplace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or comply with sustainability-related expectations, standards, and regulations, including forthcoming rules set forth by the SEC and European Commission;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demand that are weather or season related and/or for other reasons, including changes in product category and/or package consumption and changes in cost and availability of certain key ingredients including aluminum cans, as well as disruptions to the supply chain, as a result of climate change and poor or extreme weather conditions;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unstable political conditions, civil unrest, large scale terrorist acts, the outbreak or escalation of armed hostilities, major natural disasters and extreme weather conditions, or widespread outbreaks of infectious diseases (such as the COVID-19 pandemic), or unforeseen economic and political changes and local or international catastrophic events;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competitive products and pricing pressures and our ability to increase or maintain our market share as a result of actions by competitors, including unsubstantiated and/or misleading claims, false advertising claims and tortious interference, as well as competitors selling misbranded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trademark and trade dress infringement proceedings brought against us relating to any of our brands, which could result in an injunction barring us from selling certain of our products and/or require changes to be made to our current trade dress;</w:t>
            </w:r>
          </w:p>
        </w:tc>
      </w:tr>
    </w:tbl>
    <w:tbl>
      <w:tblPr>
        <w:tblW w:w="9846" w:type="dxa"/>
        <w:jc w:val="left"/>
        <w:tblInd w:w="0" w:type="dxa"/>
        <w:tblLayout w:type="fixed"/>
        <w:tblCellMar>
          <w:top w:w="28" w:type="dxa"/>
          <w:left w:w="28" w:type="dxa"/>
          <w:bottom w:w="28" w:type="dxa"/>
          <w:right w:w="28" w:type="dxa"/>
        </w:tblCellMar>
      </w:tblPr>
      <w:tblGrid>
        <w:gridCol w:w="124"/>
        <w:gridCol w:w="25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and/or maintain price increases, including through reductions in promotional allowances;</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achieve volume growth through product and packaging initiatives;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sustain the current level of sales and/or achieve growth for our Monster Energy® brand energy drinks and/or our other products, including our Strategic Brands and Alcohol Brands;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growth strategy, including expanding our business in existing and new sectors, such as the alcohol beverage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inherent operational risks presented by the alcohol beverage industry that may not be adequately covered by insurance or lead to litigation relating to alcohol marketing, advertising, or distribution practices, alcohol abuse problems and other health consequences arising from excessive consumption of or other misuse of alcohol, including death;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transition distribution agreements in our Alcohol Brands segment and/or the impact of higher costs to change distributors for our alcohol beverages;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criticism of our products and/or the energy drink and/or alcohol beverage markets generally and/or legislation enacted (whether as a result of such criticism or otherwise) that restricts the marketing or sale of energy drinks and/or alcohol beverages (including prohibiting the sale of energy and/or alcohol drinks at certain establishments or pursuant to certain governmental programs), limits caffeine or alcohol content in beverages, requires certain product labeling disclosures and/or warnings, imposes excise and/or sales taxes, limits product sizes and/or imposes age restrictions for the sale of energy and/or alcohol drinks;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comply with and/or resulting lower consumer demand and/or lower profit margins for energy drinks and/or alcohol beverages due to proposed and/or future U.S. federal, state and local laws and regulations and/or proposed or existing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In addition, our business may be adversely impacted by changes in other food, drug or similar laws in the United States and internationally, especially those changes that may restrict the sale of energy and/or alcohol drinks (including prohibiting the sale of energy and/or alcohol drinks at certain establishments or pursuant to certain governmental programs), limit caffeine or alcohol content in beverages, require certain product labeling disclosures and/or warnings, impose excise taxes, impose sugar taxes, limit product sizes, or impose age restrictions for the sale of energy and/or alcohol drinks, as well as laws and regulations or rules made or enforced by the ATF and/or the FTC or their foreign counterparts;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in the timely import or export of our products and/or ingredients including flavors, flavor ingredients and supplement ingredients due to port congestion, strikes and related labor issues or otherwise;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all criteria set forth in any model energy and/or alcohol drink guidelines, including, without limitation, those adopted by the American Beverage Association, of which we are a member, and/or any international beverage associations and the impact of our failure to satisfy such guidelines may have on our business;</w:t>
            </w:r>
          </w:p>
        </w:tc>
      </w:tr>
    </w:tbl>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unfavorable or adverse public relations, press, articles, comments and/or media attention;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cost, quality and availability of containers, packaging materials, aluminum cans or kegs, the Midwest and other premiums, raw materials, including flavors and flavor ingredients, and other ingredients and juice concentrates, and our ability to obtain and/or maintain favorable supply arrangements and relationships and procure timely and/or sufficient production of all or any of our products to meet customer demand;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shortages that may be experienced in the procurement of containers and/or other raw materials including, without limitation, water, flavors, flavor ingredients, supplement ingredients, aluminum cans generally, PET containers used for our Monster Hydro® energy drinks, 24-ounce aluminum cap cans, 19.2-ounce cans and 550ml BRE aluminum cans with resealable ends;</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in procuring sufficient quantities of aluminum cans;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secure sufficient quantities of aluminum cans and sufficient co-packing availability in the future, we may be required to commit to minimum purchase volumes and/or minimum co-packing volumes. In the event that we over-estimate future demand for our products and therefore may not purchase such minimum quantities in full, or utilize such minimum co-packing volumes in full, we may incur claims and/or costs or losses in respect of such shortfalls;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cost of sales of corporate activity among the limited number of suppliers from whom we purchase certain raw materials;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pass on to our customers all or a portion of any increases in the costs of raw materials, ingredients, commodities and/or other cost inputs affecting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penetrate new domestic and/or international markets and/or gain approval or mitigate the delay in securing approval for the sale of our products in various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sales and/or marketing efforts by us and/or by the bottlers/distributors of our products, most of whom distribute products that may be regarded as competitive with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Unilateral decisions by bottlers/distributors, buying groups, convenience and gas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the sizes of containers of our products and/or devote less resources to the sale of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certain activities by competitors and others to persuade regulators and/or retailers and/or customers in certain countries to reduce the permitted or maximum container sizes for our products from those currently being sold and marketed by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possible trading disputes between our bottler/distributors and their customers and/or one or more buying groups which may result in the delisting of certain of the Company products, temporarily or otherwise;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retailer consolidation on our business and our ability to successfully adapt to the rapidly changing retail landscape, including, but not limited to, competition from new entrants, consolidations by competitors and retailers, and other competitive activities;</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adapt to the changing retail landscape with the rapid growth in e-commerce retailers;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bottler/distributor consolidation on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and/or effectiveness, now or in the future, of our sponsorships and endorsements, marketing and promotional strategies;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sports marketing, social media and other general marketing endeavors both domestically and internationally;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product recalls and/or reformulations of certain of our products and/or market withdrawals of certain of our products due to defective and/or non-compliant formulas or production in one or more jurisdictions;</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our bottlers and/or co-packers to manufacture our products on a timely basis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suitable arrangements for the timely procurement of non-defective raw materials;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protect and/or the loss of our intellectual property rights and/or our inability to use our trademarks, trade names or designs and/or trade dress in certain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of stock prices which may restrict stock sales, stock purchases or other opportunities as well as negatively impact the motivation of equity award grantees;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organizational documents and/or control by insiders which may prevent changes in control even if such changes would be beneficial to other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disruption in and/or lack of effectiveness of our information technology systems, including a breach of cyber security, that disrupts our business or negatively impacts customer relationships, as well as cybersecurity incidents involving data shared with third parties;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Succession plans for and/or the recruitment and retention of senior management, other key employees and our employee base in general.</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foregoing list of important factors and other risks detailed from time to time in our reports filed with the SEC is not exhaustive. See the section entitled “Risk Factors” in our Form 10-K and in Item 1A of this Quarterly Report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pStyle w:val="TextBody"/>
        <w:bidi w:val="0"/>
        <w:spacing w:before="0" w:after="0"/>
        <w:ind w:left="0" w:right="0" w:hanging="0"/>
        <w:jc w:val="left"/>
        <w:rPr/>
      </w:pPr>
      <w:r>
        <w:rPr/>
        <w:t>​</w:t>
      </w:r>
    </w:p>
    <w:p>
      <w:pPr>
        <w:pStyle w:val="TextBody"/>
        <w:pBdr/>
        <w:bidi w:val="0"/>
        <w:spacing w:before="0" w:after="240"/>
        <w:ind w:left="0" w:right="0" w:hanging="1152"/>
        <w:jc w:val="both"/>
        <w:rPr>
          <w:rFonts w:ascii="Times New Roman;Times;serif" w:hAnsi="Times New Roman;Times;serif"/>
          <w:b/>
          <w:sz w:val="20"/>
        </w:rPr>
      </w:pPr>
      <w:bookmarkStart w:id="2422" w:name="ITEM3QUANTITATIVEANDQUALITATIVEDISCLOSUR"/>
      <w:bookmarkStart w:id="2423" w:name="_10c40942_4d30_42ff_8cc5_6f40253c1915"/>
      <w:bookmarkEnd w:id="2422"/>
      <w:bookmarkEnd w:id="2423"/>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in our market risks during the three-months ended September 30, 2023 compared with the disclosures in Part II, Item 7A of our Form 10-K.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2424" w:name="ITEM4CONTROLSANDPROCEDURES_270637"/>
      <w:bookmarkStart w:id="2425" w:name="_4c6f487b_d1d9_4801_8c3b_dfff9aaa6a2e"/>
      <w:bookmarkEnd w:id="2424"/>
      <w:bookmarkEnd w:id="2425"/>
      <w:r>
        <w:rPr>
          <w:rFonts w:ascii="Times New Roman;Times;serif" w:hAnsi="Times New Roman;Times;serif"/>
          <w:b/>
          <w:sz w:val="20"/>
        </w:rPr>
        <w:t>ITEM 4.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Evaluation of Disclosure Controls and Procedures</w:t>
      </w:r>
      <w:r>
        <w:rPr>
          <w:rFonts w:ascii="Times New Roman;Times;serif" w:hAnsi="Times New Roman;Times;serif"/>
          <w:sz w:val="20"/>
        </w:rPr>
        <w:t xml:space="preserve"> – Under the supervision and with the participation of the Company’s management, including our Co-Chief Executive Officers and Chief Financial Officer, we have evaluated the effectiveness of the design and operation of our disclosure controls and procedures (as defined in Rules 13(a)-15(e) and 15(d)-15(e) of the Exchange Act) as of the end of the period covered by this report. Based upon this evaluation, the Co-Chief Executive Officers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Changes in Internal Control Over Financial Reporting</w:t>
      </w:r>
      <w:r>
        <w:rPr>
          <w:rFonts w:ascii="Times New Roman;Times;serif" w:hAnsi="Times New Roman;Times;serif"/>
          <w:sz w:val="20"/>
        </w:rPr>
        <w:t xml:space="preserve"> – There were no changes in the Company’s internal controls over financial reporting during the quarter ended September 30, 2023,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2426" w:name="PARTIIOTHERINFORMATION_669833"/>
      <w:bookmarkStart w:id="2427" w:name="_a9df5b38_fa75_411f_9a0e_a2d0917b89ab"/>
      <w:bookmarkEnd w:id="2426"/>
      <w:bookmarkEnd w:id="2427"/>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sz w:val="20"/>
        </w:rPr>
      </w:pPr>
      <w:bookmarkStart w:id="2428" w:name="ITEM1LEGALPROCEEDINGS_448899"/>
      <w:bookmarkEnd w:id="2428"/>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herein by reference to the Notes to Condensed Consolidated Financial Statements - Note 12. Commitments and Contingencies: Litigation in Part I, Item 1, of this Quarterly Report on Form 10-Q.</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429" w:name="ITEM1ARISKFACTORS_609704"/>
      <w:bookmarkStart w:id="2430" w:name="_c3520272_22e1_4f40_aa52_55c40e6e915d"/>
      <w:bookmarkEnd w:id="2429"/>
      <w:bookmarkEnd w:id="2430"/>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If any of these risks occur or continue to occur, our business, reputation, financial condition and/or operating results could be materially adversely affected. We also note that the risk factors described in this report and our Form 10-K are not the only risks facing our Company, and such additional risks or uncertainties that we currently deem to be immaterial or are unknown to us could negatively impact our business, operations, or financial results.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431" w:name="ITEM2UNREGISTEREDSALESOFEQUITY_417570"/>
      <w:bookmarkStart w:id="2432" w:name="_416cd2dd_f8ab_4720_9fe9_bcdcbdee16b2"/>
      <w:bookmarkStart w:id="2433" w:name="ITEM2UNREGISTEREDSALESOFEQUITY_417570"/>
      <w:bookmarkStart w:id="2434" w:name="_416cd2dd_f8ab_4720_9fe9_bcdcbdee16b2"/>
      <w:bookmarkEnd w:id="2433"/>
      <w:bookmarkEnd w:id="2434"/>
    </w:p>
    <w:tbl>
      <w:tblPr>
        <w:tblW w:w="7817" w:type="dxa"/>
        <w:jc w:val="left"/>
        <w:tblInd w:w="0" w:type="dxa"/>
        <w:tblLayout w:type="fixed"/>
        <w:tblCellMar>
          <w:top w:w="0" w:type="dxa"/>
          <w:left w:w="0" w:type="dxa"/>
          <w:bottom w:w="0" w:type="dxa"/>
          <w:right w:w="0" w:type="dxa"/>
        </w:tblCellMar>
      </w:tblPr>
      <w:tblGrid>
        <w:gridCol w:w="841"/>
        <w:gridCol w:w="697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6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June 14, 2022, the Company’s Board of Directors authorized a share repurchase program for the purchase of up to $500.0 million of the Company’s outstanding common stock (the “June 2022 Repurchase Plan”). During the three-months ended September 30, 2023, the Company purchased approximately 3.3 million shares of common stock at an average purchase price of $55.52 per share for a total amount of approximately $182.8 million (excluding broker commissions), which exhausted the availability under the June 2022 Repurchase Plan.</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 2022, the Company’s Board of Directors authorized a share repurchase program for the purchase of up to an additional $500.0 million of the Company’s outstanding common stock (the “November 2022 Repurchase Plan”). During the three-months ended September 30, 2023, the Company purchased approximately 4.0 million shares of common stock at an average purchase price of $54.26 per share, for a total amount of approximately $217.1 million (excluding broker commissions), under the November 2022 Repurchase Plan. As of November 6, 2023, $282.8 million remained available for repurchase under the November 2022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$282.8 million as of November 6, 2023.</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tabular summary reflects the Company’s repurchase activity during the quarter ended September 30, 2023:</w:t>
      </w:r>
    </w:p>
    <w:p>
      <w:pPr>
        <w:pStyle w:val="TextBody"/>
        <w:bidi w:val="0"/>
        <w:spacing w:before="0" w:after="0"/>
        <w:ind w:left="0" w:right="0" w:hanging="0"/>
        <w:jc w:val="left"/>
        <w:rPr/>
      </w:pPr>
      <w:r>
        <w:rPr/>
        <w:t>​</w:t>
      </w:r>
    </w:p>
    <w:tbl>
      <w:tblPr>
        <w:tblW w:w="9257" w:type="dxa"/>
        <w:jc w:val="left"/>
        <w:tblInd w:w="0" w:type="dxa"/>
        <w:tblLayout w:type="fixed"/>
        <w:tblCellMar>
          <w:top w:w="0" w:type="dxa"/>
          <w:left w:w="0" w:type="dxa"/>
          <w:bottom w:w="0" w:type="dxa"/>
          <w:right w:w="0" w:type="dxa"/>
        </w:tblCellMar>
      </w:tblPr>
      <w:tblGrid>
        <w:gridCol w:w="1921"/>
        <w:gridCol w:w="326"/>
        <w:gridCol w:w="1231"/>
        <w:gridCol w:w="326"/>
        <w:gridCol w:w="332"/>
        <w:gridCol w:w="898"/>
        <w:gridCol w:w="326"/>
        <w:gridCol w:w="1576"/>
        <w:gridCol w:w="326"/>
        <w:gridCol w:w="383"/>
        <w:gridCol w:w="1612"/>
      </w:tblGrid>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64" name="Frame5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781685" cy="175260"/>
                      <wp:effectExtent l="0" t="0" r="0" b="0"/>
                      <wp:wrapNone/>
                      <wp:docPr id="565" name="Frame56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07010" cy="175260"/>
                      <wp:effectExtent l="0" t="0" r="0" b="0"/>
                      <wp:wrapNone/>
                      <wp:docPr id="566" name="Frame5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10820" cy="175260"/>
                      <wp:effectExtent l="0" t="0" r="0" b="0"/>
                      <wp:wrapNone/>
                      <wp:docPr id="567" name="Frame567"/>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570230" cy="175260"/>
                      <wp:effectExtent l="0" t="0" r="0" b="0"/>
                      <wp:wrapNone/>
                      <wp:docPr id="568" name="Frame568"/>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07010" cy="175260"/>
                      <wp:effectExtent l="0" t="0" r="0" b="0"/>
                      <wp:wrapNone/>
                      <wp:docPr id="569" name="Frame5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000760" cy="175260"/>
                      <wp:effectExtent l="0" t="0" r="0" b="0"/>
                      <wp:wrapNone/>
                      <wp:docPr id="570" name="Frame570"/>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07010" cy="175260"/>
                      <wp:effectExtent l="0" t="0" r="0" b="0"/>
                      <wp:wrapNone/>
                      <wp:docPr id="571" name="Frame5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43205" cy="175260"/>
                      <wp:effectExtent l="0" t="0" r="0" b="0"/>
                      <wp:wrapNone/>
                      <wp:docPr id="572" name="Frame572"/>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023620" cy="175260"/>
                      <wp:effectExtent l="0" t="0" r="0" b="0"/>
                      <wp:wrapNone/>
                      <wp:docPr id="573" name="Frame573"/>
                      <a:graphic xmlns:a="http://schemas.openxmlformats.org/drawingml/2006/main">
                        <a:graphicData uri="http://schemas.microsoft.com/office/word/2010/wordprocessingShape">
                          <wps:wsp>
                            <wps:cNvSpPr txBox="1"/>
                            <wps:spPr>
                              <a:xfrm>
                                <a:off x="0" y="0"/>
                                <a:ext cx="1023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Maximum Number (or</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Approximate Dollar</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 Number of</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 of Shares that</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Purchased</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Yet Be Purchased</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 Number</w:t>
            </w:r>
          </w:p>
        </w:tc>
        <w:tc>
          <w:tcPr>
            <w:tcW w:w="32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Part of Publicly</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Under the Plans or</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Shares</w:t>
            </w:r>
          </w:p>
        </w:tc>
        <w:tc>
          <w:tcPr>
            <w:tcW w:w="326" w:type="dxa"/>
            <w:tcBorders/>
            <w:vAlign w:val="center"/>
          </w:tcPr>
          <w:p>
            <w:pPr>
              <w:pStyle w:val="TableContents"/>
              <w:bidi w:val="0"/>
              <w:spacing w:before="0" w:after="0"/>
              <w:ind w:left="0" w:right="0" w:hanging="0"/>
              <w:jc w:val="center"/>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 Price</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Announced Plans</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Programs (In</w:t>
            </w:r>
          </w:p>
        </w:tc>
      </w:tr>
      <w:tr>
        <w:trPr/>
        <w:tc>
          <w:tcPr>
            <w:tcW w:w="19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Period</w:t>
            </w:r>
          </w:p>
        </w:tc>
        <w:tc>
          <w:tcPr>
            <w:tcW w:w="326" w:type="dxa"/>
            <w:tcBorders/>
            <w:vAlign w:val="center"/>
          </w:tcPr>
          <w:p>
            <w:pPr>
              <w:pStyle w:val="TableContents"/>
              <w:bidi w:val="0"/>
              <w:spacing w:before="0" w:after="0"/>
              <w:ind w:left="0" w:right="0" w:hanging="0"/>
              <w:jc w:val="center"/>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Purchased</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 Share¹</w:t>
            </w:r>
          </w:p>
        </w:tc>
        <w:tc>
          <w:tcPr>
            <w:tcW w:w="326" w:type="dxa"/>
            <w:tcBorders/>
            <w:vAlign w:val="center"/>
          </w:tcPr>
          <w:p>
            <w:pPr>
              <w:pStyle w:val="TableContents"/>
              <w:bidi w:val="0"/>
              <w:spacing w:before="0" w:after="0"/>
              <w:ind w:left="0" w:right="0" w:hanging="0"/>
              <w:jc w:val="center"/>
              <w:rPr/>
            </w:pPr>
            <w:r>
              <w:rPr/>
              <w:t>    </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 Programs</w:t>
            </w:r>
          </w:p>
        </w:tc>
        <w:tc>
          <w:tcPr>
            <w:tcW w:w="326" w:type="dxa"/>
            <w:tcBorders/>
            <w:vAlign w:val="center"/>
          </w:tcPr>
          <w:p>
            <w:pPr>
              <w:pStyle w:val="TableContents"/>
              <w:bidi w:val="0"/>
              <w:spacing w:before="0" w:after="0"/>
              <w:ind w:left="0" w:right="0" w:hanging="0"/>
              <w:jc w:val="center"/>
              <w:rPr/>
            </w:pPr>
            <w:r>
              <w:rPr/>
              <w:t>    </w:t>
            </w:r>
          </w:p>
        </w:tc>
        <w:tc>
          <w:tcPr>
            <w:tcW w:w="1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thousands)²</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 1 – Jul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682,838</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 1 – Aug 31, 2023</w:t>
            </w:r>
          </w:p>
        </w:tc>
        <w:tc>
          <w:tcPr>
            <w:tcW w:w="32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682,838</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 1 – Sep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7,293,834</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54.83</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7,293,834</w:t>
            </w:r>
          </w:p>
        </w:tc>
        <w:tc>
          <w:tcPr>
            <w:tcW w:w="32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2"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282,838</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¹Excluding broker commissions paid.</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²Net of broker commissions paid.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three-months ended September 30, 2023, 135 shares of common stock were purchased from employees in lieu of cash payments for options exercised or withholding taxes due for a total amount of $7,688. While such purchases are considered common stock repurchases, they are not counted as purchases against the Company’s authorized share repurchase programs. Such shares are included in common stock in treasury in the accompanying consolidated balance sheet at September 30, 2023.</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bookmarkStart w:id="2435" w:name="ITEM3DEFAULTSUPONSENIORSECURITIES_753663"/>
      <w:bookmarkStart w:id="2436" w:name="_8fcba8f4_98dc_418c_a48e_e214fb04d39e"/>
      <w:bookmarkEnd w:id="2435"/>
      <w:bookmarkEnd w:id="2436"/>
      <w:r>
        <w:rPr>
          <w:rFonts w:ascii="Times New Roman;Times;serif" w:hAnsi="Times New Roman;Times;serif"/>
          <w:b/>
          <w:i w:val="false"/>
          <w:caps w:val="false"/>
          <w:smallCaps w:val="false"/>
          <w:sz w:val="20"/>
        </w:rPr>
        <w:t>ITEM 3.</w:t>
      </w:r>
      <w:r>
        <w:rPr>
          <w:rFonts w:ascii="Times New Roman;Times;serif" w:hAnsi="Times New Roman;Times;serif"/>
          <w:b/>
          <w:sz w:val="20"/>
        </w:rPr>
        <w:t>DEFAULTS UPON SENIOR SECURITIES</w:t>
      </w:r>
    </w:p>
    <w:p>
      <w:pPr>
        <w:pStyle w:val="TextBody"/>
        <w:bidi w:val="0"/>
        <w:spacing w:before="0" w:after="0"/>
        <w:ind w:left="0" w:right="0" w:firstLine="726"/>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437" w:name="ITEM4MINESAFETYDISCLOSURES_417702"/>
      <w:bookmarkStart w:id="2438" w:name="_f72ea637_ad6d_4da7_998e_695b8f192e9e"/>
      <w:bookmarkEnd w:id="2437"/>
      <w:bookmarkEnd w:id="2438"/>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0"/>
        <w:ind w:left="0" w:right="0" w:firstLine="726"/>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439" w:name="ITEM5OTHERINFORMATION_353440"/>
      <w:bookmarkStart w:id="2440" w:name="_0bf3f71a_a3ee_417f_a406_72057d808f05"/>
      <w:bookmarkEnd w:id="2439"/>
      <w:bookmarkEnd w:id="2440"/>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bidi w:val="0"/>
        <w:spacing w:before="0" w:after="0"/>
        <w:ind w:left="0" w:right="0" w:firstLine="726"/>
        <w:jc w:val="both"/>
        <w:rPr>
          <w:rFonts w:ascii="Times New Roman;Times;serif" w:hAnsi="Times New Roman;Times;serif"/>
          <w:sz w:val="20"/>
        </w:rPr>
      </w:pPr>
      <w:r>
        <w:rPr>
          <w:rFonts w:ascii="Times New Roman;Times;serif" w:hAnsi="Times New Roman;Times;serif"/>
          <w:sz w:val="20"/>
        </w:rPr>
        <w:t>During the three-months ended September 30, 2023, none of the Company’s directors or officers adopted, modified or terminated a Rule 10b5-1 trading arrangement or a non-Rule 10b5-1 trading arrangement (each as defined in Item 408 of Regulation S-K under the Securities Exchange Act of 1934, as amended).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2441" w:name="ITEM6EXHIBITS_20622"/>
      <w:bookmarkStart w:id="2442" w:name="_8d444418_491e_4d1e_9531_d9adae30b899"/>
      <w:bookmarkEnd w:id="2441"/>
      <w:bookmarkEnd w:id="2442"/>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2"/>
        <w:gridCol w:w="266"/>
        <w:gridCol w:w="9447"/>
      </w:tblGrid>
      <w:tr>
        <w:trPr/>
        <w:tc>
          <w:tcPr>
            <w:tcW w:w="492"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447" w:type="dxa"/>
            <w:tcBorders/>
            <w:vAlign w:val="center"/>
          </w:tcPr>
          <w:p>
            <w:pPr>
              <w:pStyle w:val="TableContents"/>
              <w:bidi w:val="0"/>
              <w:spacing w:before="0" w:after="0"/>
              <w:ind w:left="0" w:right="0" w:hanging="0"/>
              <w:jc w:val="left"/>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266" w:type="dxa"/>
            <w:tcBorders/>
            <w:vAlign w:val="center"/>
          </w:tcPr>
          <w:p>
            <w:pPr>
              <w:pStyle w:val="TableContents"/>
              <w:bidi w:val="0"/>
              <w:spacing w:before="0" w:after="0"/>
              <w:ind w:left="0" w:right="0" w:hanging="0"/>
              <w:jc w:val="both"/>
              <w:rPr/>
            </w:pPr>
            <w:r>
              <w:rPr/>
              <w:t>​</w:t>
            </w:r>
          </w:p>
        </w:tc>
        <w:tc>
          <w:tcPr>
            <w:tcW w:w="9447"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Second Amended and Restated Certificate of Incorporation of the Company (incorporated by reference to Exhibit 3.1 to our Form 8-K dated June 27, 2023).</w:t>
              </w:r>
            </w:hyperlink>
          </w:p>
        </w:tc>
      </w:tr>
      <w:tr>
        <w:trPr/>
        <w:tc>
          <w:tcPr>
            <w:tcW w:w="492" w:type="dxa"/>
            <w:tcBorders/>
            <w:vAlign w:val="center"/>
          </w:tcPr>
          <w:p>
            <w:pPr>
              <w:pStyle w:val="TableContents"/>
              <w:pBdr/>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7" w:type="dxa"/>
            <w:tcBorders/>
            <w:vAlign w:val="center"/>
          </w:tcPr>
          <w:p>
            <w:pPr>
              <w:pStyle w:val="TableContents"/>
              <w:bidi w:val="0"/>
              <w:spacing w:before="0" w:after="0"/>
              <w:ind w:left="0" w:right="0" w:hanging="0"/>
              <w:jc w:val="both"/>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66" w:type="dxa"/>
            <w:tcBorders/>
            <w:vAlign w:val="center"/>
          </w:tcPr>
          <w:p>
            <w:pPr>
              <w:pStyle w:val="TableContents"/>
              <w:bidi w:val="0"/>
              <w:spacing w:before="0" w:after="0"/>
              <w:ind w:left="0" w:right="0" w:hanging="0"/>
              <w:jc w:val="both"/>
              <w:rPr/>
            </w:pPr>
            <w:r>
              <w:rPr/>
              <w:t>​</w:t>
            </w:r>
          </w:p>
        </w:tc>
        <w:tc>
          <w:tcPr>
            <w:tcW w:w="9447"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Third Amended and Restated By-laws of the Company (incorporated by reference to Exhibit 3.2 to our Form 8-K dated June 27, 2023).</w:t>
              </w:r>
            </w:hyperlink>
          </w:p>
        </w:tc>
      </w:tr>
      <w:tr>
        <w:trPr/>
        <w:tc>
          <w:tcPr>
            <w:tcW w:w="492" w:type="dxa"/>
            <w:tcBorders/>
            <w:vAlign w:val="center"/>
          </w:tcPr>
          <w:p>
            <w:pPr>
              <w:pStyle w:val="TableContents"/>
              <w:pBdr/>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7" w:type="dxa"/>
            <w:tcBorders/>
            <w:vAlign w:val="center"/>
          </w:tcPr>
          <w:p>
            <w:pPr>
              <w:pStyle w:val="TableContents"/>
              <w:bidi w:val="0"/>
              <w:spacing w:before="0" w:after="0"/>
              <w:ind w:left="0" w:right="0" w:hanging="0"/>
              <w:jc w:val="both"/>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66" w:type="dxa"/>
            <w:tcBorders/>
            <w:vAlign w:val="center"/>
          </w:tcPr>
          <w:p>
            <w:pPr>
              <w:pStyle w:val="TableContents"/>
              <w:bidi w:val="0"/>
              <w:spacing w:before="0" w:after="0"/>
              <w:ind w:left="0" w:right="0" w:hanging="0"/>
              <w:jc w:val="both"/>
              <w:rPr/>
            </w:pPr>
            <w:r>
              <w:rPr/>
              <w:t>   </w:t>
            </w:r>
          </w:p>
        </w:tc>
        <w:tc>
          <w:tcPr>
            <w:tcW w:w="9447" w:type="dxa"/>
            <w:tcBorders/>
            <w:vAlign w:val="center"/>
          </w:tcPr>
          <w:p>
            <w:pPr>
              <w:pStyle w:val="TableContents"/>
              <w:bidi w:val="0"/>
              <w:spacing w:before="0" w:after="0"/>
              <w:ind w:left="0" w:right="0" w:hanging="0"/>
              <w:jc w:val="both"/>
              <w:rPr/>
            </w:pPr>
            <w:hyperlink w:anchor="mnst-20230930xex31d1.htm">
              <w:r>
                <w:rPr>
                  <w:rStyle w:val="InternetLink"/>
                  <w:rFonts w:ascii="Times New Roman;Times;serif" w:hAnsi="Times New Roman;Times;serif"/>
                  <w:b w:val="false"/>
                  <w:i w:val="false"/>
                  <w:caps w:val="false"/>
                  <w:smallCaps w:val="false"/>
                  <w:sz w:val="20"/>
                </w:rPr>
                <w:t>Certification by Co-Chief Executive Officer pursuant to Rule 13A-14(a) or 15D-14(a) of the Securities Exchange Act of 1934, as adopted pursuant to Section 302 of the Sarbanes-Oxley Act of 2002</w:t>
              </w:r>
            </w:hyperlink>
          </w:p>
        </w:tc>
      </w:tr>
      <w:tr>
        <w:trPr/>
        <w:tc>
          <w:tcPr>
            <w:tcW w:w="492"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7" w:type="dxa"/>
            <w:tcBorders/>
            <w:vAlign w:val="center"/>
          </w:tcPr>
          <w:p>
            <w:pPr>
              <w:pStyle w:val="TableContents"/>
              <w:bidi w:val="0"/>
              <w:spacing w:before="0" w:after="0"/>
              <w:ind w:left="0" w:right="0" w:hanging="0"/>
              <w:jc w:val="both"/>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266" w:type="dxa"/>
            <w:tcBorders/>
            <w:vAlign w:val="center"/>
          </w:tcPr>
          <w:p>
            <w:pPr>
              <w:pStyle w:val="TableContents"/>
              <w:bidi w:val="0"/>
              <w:spacing w:before="0" w:after="0"/>
              <w:ind w:left="0" w:right="0" w:hanging="0"/>
              <w:jc w:val="left"/>
              <w:rPr/>
            </w:pPr>
            <w:r>
              <w:rPr/>
              <w:t>​</w:t>
            </w:r>
          </w:p>
        </w:tc>
        <w:tc>
          <w:tcPr>
            <w:tcW w:w="9447" w:type="dxa"/>
            <w:tcBorders/>
            <w:vAlign w:val="center"/>
          </w:tcPr>
          <w:p>
            <w:pPr>
              <w:pStyle w:val="TableContents"/>
              <w:bidi w:val="0"/>
              <w:spacing w:before="0" w:after="0"/>
              <w:ind w:left="0" w:right="0" w:hanging="0"/>
              <w:jc w:val="left"/>
              <w:rPr/>
            </w:pPr>
            <w:hyperlink w:anchor="mnst-20230930xex31d2.htm">
              <w:r>
                <w:rPr>
                  <w:rStyle w:val="InternetLink"/>
                  <w:rFonts w:ascii="Times New Roman;Times;serif" w:hAnsi="Times New Roman;Times;serif"/>
                  <w:b w:val="false"/>
                  <w:i w:val="false"/>
                  <w:caps w:val="false"/>
                  <w:smallCaps w:val="false"/>
                  <w:sz w:val="20"/>
                </w:rPr>
                <w:t>Certification by Co-Chief Executive Officer pursuant to Rule 13A-14(a) or 15D-14(a) of the Securities Exchange Act of 1934, as adopted pursuant to Section 302 of the Sarbanes-Oxley Act of 2002</w:t>
              </w:r>
            </w:hyperlink>
          </w:p>
        </w:tc>
      </w:tr>
      <w:tr>
        <w:trPr/>
        <w:tc>
          <w:tcPr>
            <w:tcW w:w="492"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7" w:type="dxa"/>
            <w:tcBorders/>
            <w:vAlign w:val="center"/>
          </w:tcPr>
          <w:p>
            <w:pPr>
              <w:pStyle w:val="TableContents"/>
              <w:bidi w:val="0"/>
              <w:spacing w:before="0" w:after="0"/>
              <w:ind w:left="0" w:right="0" w:hanging="0"/>
              <w:jc w:val="both"/>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31.3*</w:t>
            </w:r>
          </w:p>
        </w:tc>
        <w:tc>
          <w:tcPr>
            <w:tcW w:w="266" w:type="dxa"/>
            <w:tcBorders/>
            <w:vAlign w:val="center"/>
          </w:tcPr>
          <w:p>
            <w:pPr>
              <w:pStyle w:val="TableContents"/>
              <w:bidi w:val="0"/>
              <w:spacing w:before="0" w:after="0"/>
              <w:ind w:left="0" w:right="0" w:hanging="0"/>
              <w:jc w:val="both"/>
              <w:rPr/>
            </w:pPr>
            <w:r>
              <w:rPr/>
              <w:t>​</w:t>
            </w:r>
          </w:p>
        </w:tc>
        <w:tc>
          <w:tcPr>
            <w:tcW w:w="9447" w:type="dxa"/>
            <w:tcBorders/>
            <w:vAlign w:val="center"/>
          </w:tcPr>
          <w:p>
            <w:pPr>
              <w:pStyle w:val="TableContents"/>
              <w:bidi w:val="0"/>
              <w:spacing w:before="0" w:after="0"/>
              <w:ind w:left="0" w:right="0" w:hanging="0"/>
              <w:jc w:val="both"/>
              <w:rPr/>
            </w:pPr>
            <w:hyperlink w:anchor="mnst-20230930xex31d3.htm">
              <w:r>
                <w:rPr>
                  <w:rStyle w:val="InternetLink"/>
                  <w:rFonts w:ascii="Times New Roman;Times;serif" w:hAnsi="Times New Roman;Times;serif"/>
                  <w:b w:val="false"/>
                  <w:i w:val="false"/>
                  <w:caps w:val="false"/>
                  <w:smallCaps w:val="false"/>
                  <w:sz w:val="20"/>
                </w:rPr>
                <w:t>Certification by Chief Financial Officer pursuant to Rule 13A-14(a) or 15D-14(a) of the Securities Exchange Act of 1934, as adopted pursuant to Section 302 of the Sarbanes-Oxley Act of 2002</w:t>
              </w:r>
            </w:hyperlink>
          </w:p>
        </w:tc>
      </w:tr>
      <w:tr>
        <w:trPr/>
        <w:tc>
          <w:tcPr>
            <w:tcW w:w="492"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7" w:type="dxa"/>
            <w:tcBorders/>
            <w:vAlign w:val="center"/>
          </w:tcPr>
          <w:p>
            <w:pPr>
              <w:pStyle w:val="TableContents"/>
              <w:bidi w:val="0"/>
              <w:spacing w:before="0" w:after="0"/>
              <w:ind w:left="0" w:right="0" w:hanging="0"/>
              <w:jc w:val="both"/>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266" w:type="dxa"/>
            <w:tcBorders/>
            <w:vAlign w:val="center"/>
          </w:tcPr>
          <w:p>
            <w:pPr>
              <w:pStyle w:val="TableContents"/>
              <w:bidi w:val="0"/>
              <w:spacing w:before="0" w:after="0"/>
              <w:ind w:left="0" w:right="0" w:hanging="0"/>
              <w:jc w:val="both"/>
              <w:rPr/>
            </w:pPr>
            <w:r>
              <w:rPr/>
              <w:t>​</w:t>
            </w:r>
          </w:p>
        </w:tc>
        <w:tc>
          <w:tcPr>
            <w:tcW w:w="9447" w:type="dxa"/>
            <w:tcBorders/>
            <w:vAlign w:val="center"/>
          </w:tcPr>
          <w:p>
            <w:pPr>
              <w:pStyle w:val="TableContents"/>
              <w:bidi w:val="0"/>
              <w:spacing w:before="0" w:after="0"/>
              <w:ind w:left="0" w:right="0" w:hanging="0"/>
              <w:jc w:val="both"/>
              <w:rPr/>
            </w:pPr>
            <w:hyperlink w:anchor="mnst-20230930xex32d1.htm">
              <w:r>
                <w:rPr>
                  <w:rStyle w:val="InternetLink"/>
                  <w:rFonts w:ascii="Times New Roman;Times;serif" w:hAnsi="Times New Roman;Times;serif"/>
                  <w:b w:val="false"/>
                  <w:i w:val="false"/>
                  <w:caps w:val="false"/>
                  <w:smallCaps w:val="false"/>
                  <w:sz w:val="20"/>
                </w:rPr>
                <w:t>Certification by Co-Chief Executive Officer pursuant to 18 U.S.C. Section 1350, as adopted pursuant to Section 906 of the Sarbanes-Oxley Act of 2002</w:t>
              </w:r>
            </w:hyperlink>
          </w:p>
        </w:tc>
      </w:tr>
      <w:tr>
        <w:trPr/>
        <w:tc>
          <w:tcPr>
            <w:tcW w:w="492"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7" w:type="dxa"/>
            <w:tcBorders/>
            <w:vAlign w:val="center"/>
          </w:tcPr>
          <w:p>
            <w:pPr>
              <w:pStyle w:val="TableContents"/>
              <w:bidi w:val="0"/>
              <w:spacing w:before="0" w:after="0"/>
              <w:ind w:left="0" w:right="0" w:hanging="0"/>
              <w:jc w:val="both"/>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266" w:type="dxa"/>
            <w:tcBorders/>
            <w:vAlign w:val="center"/>
          </w:tcPr>
          <w:p>
            <w:pPr>
              <w:pStyle w:val="TableContents"/>
              <w:bidi w:val="0"/>
              <w:spacing w:before="0" w:after="0"/>
              <w:ind w:left="0" w:right="0" w:hanging="0"/>
              <w:jc w:val="both"/>
              <w:rPr/>
            </w:pPr>
            <w:r>
              <w:rPr/>
              <w:t>​</w:t>
            </w:r>
          </w:p>
        </w:tc>
        <w:tc>
          <w:tcPr>
            <w:tcW w:w="9447" w:type="dxa"/>
            <w:tcBorders/>
            <w:vAlign w:val="center"/>
          </w:tcPr>
          <w:p>
            <w:pPr>
              <w:pStyle w:val="TableContents"/>
              <w:bidi w:val="0"/>
              <w:spacing w:before="0" w:after="0"/>
              <w:ind w:left="0" w:right="0" w:hanging="0"/>
              <w:jc w:val="both"/>
              <w:rPr/>
            </w:pPr>
            <w:hyperlink w:anchor="mnst-20230930xex32d2.htm">
              <w:r>
                <w:rPr>
                  <w:rStyle w:val="InternetLink"/>
                  <w:rFonts w:ascii="Times New Roman;Times;serif" w:hAnsi="Times New Roman;Times;serif"/>
                  <w:b w:val="false"/>
                  <w:i w:val="false"/>
                  <w:caps w:val="false"/>
                  <w:smallCaps w:val="false"/>
                  <w:sz w:val="20"/>
                </w:rPr>
                <w:t>Certification by Co-Chief Executive Officer pursuant to 18 U.S.C. Section 1350, as adopted pursuant to Section 906 of the Sarbanes-Oxley Act of 2002</w:t>
              </w:r>
            </w:hyperlink>
          </w:p>
        </w:tc>
      </w:tr>
      <w:tr>
        <w:trPr/>
        <w:tc>
          <w:tcPr>
            <w:tcW w:w="492"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7" w:type="dxa"/>
            <w:tcBorders/>
            <w:vAlign w:val="center"/>
          </w:tcPr>
          <w:p>
            <w:pPr>
              <w:pStyle w:val="TableContents"/>
              <w:bidi w:val="0"/>
              <w:spacing w:before="0" w:after="0"/>
              <w:ind w:left="0" w:right="0" w:hanging="0"/>
              <w:jc w:val="both"/>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32.3*</w:t>
            </w:r>
          </w:p>
        </w:tc>
        <w:tc>
          <w:tcPr>
            <w:tcW w:w="266" w:type="dxa"/>
            <w:tcBorders/>
            <w:vAlign w:val="center"/>
          </w:tcPr>
          <w:p>
            <w:pPr>
              <w:pStyle w:val="TableContents"/>
              <w:bidi w:val="0"/>
              <w:spacing w:before="0" w:after="0"/>
              <w:ind w:left="0" w:right="0" w:hanging="0"/>
              <w:jc w:val="both"/>
              <w:rPr/>
            </w:pPr>
            <w:r>
              <w:rPr/>
              <w:t>​</w:t>
            </w:r>
          </w:p>
        </w:tc>
        <w:tc>
          <w:tcPr>
            <w:tcW w:w="9447" w:type="dxa"/>
            <w:tcBorders/>
            <w:vAlign w:val="center"/>
          </w:tcPr>
          <w:p>
            <w:pPr>
              <w:pStyle w:val="TableContents"/>
              <w:bidi w:val="0"/>
              <w:spacing w:before="0" w:after="0"/>
              <w:ind w:left="0" w:right="0" w:hanging="0"/>
              <w:jc w:val="both"/>
              <w:rPr/>
            </w:pPr>
            <w:hyperlink w:anchor="mnst-20230930xex32d3.htm">
              <w:r>
                <w:rPr>
                  <w:rStyle w:val="InternetLink"/>
                  <w:rFonts w:ascii="Times New Roman;Times;serif" w:hAnsi="Times New Roman;Times;serif"/>
                  <w:b w:val="false"/>
                  <w:i w:val="false"/>
                  <w:caps w:val="false"/>
                  <w:smallCaps w:val="false"/>
                  <w:sz w:val="20"/>
                </w:rPr>
                <w:t>Certification by Chief Financial Officer pursuant to 18 U.S.C. Section 1350, as adopted pursuant to Section 906 of the Sarbanes-Oxley Act of 2002</w:t>
              </w:r>
            </w:hyperlink>
          </w:p>
        </w:tc>
      </w:tr>
      <w:tr>
        <w:trPr/>
        <w:tc>
          <w:tcPr>
            <w:tcW w:w="492"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7" w:type="dxa"/>
            <w:tcBorders/>
            <w:vAlign w:val="center"/>
          </w:tcPr>
          <w:p>
            <w:pPr>
              <w:pStyle w:val="TableContents"/>
              <w:bidi w:val="0"/>
              <w:spacing w:before="0" w:after="0"/>
              <w:ind w:left="0" w:right="0" w:hanging="0"/>
              <w:jc w:val="both"/>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266" w:type="dxa"/>
            <w:tcBorders/>
            <w:vAlign w:val="center"/>
          </w:tcPr>
          <w:p>
            <w:pPr>
              <w:pStyle w:val="TableContents"/>
              <w:bidi w:val="0"/>
              <w:spacing w:before="0" w:after="0"/>
              <w:ind w:left="0" w:right="0" w:hanging="0"/>
              <w:jc w:val="both"/>
              <w:rPr/>
            </w:pPr>
            <w:r>
              <w:rPr/>
              <w:t>​</w:t>
            </w:r>
          </w:p>
        </w:tc>
        <w:tc>
          <w:tcPr>
            <w:tcW w:w="944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financial information from Monster Beverage Corporation’s Quarterly Report on Form 10-Q for the quarter ended September 30, 2023, formatted in iXBRL (Inline eXtensible Business Reporting Language): (i) Condensed Consolidated Balance Sheets as of September 30, 2023 and December 31, 2022, (ii) Condensed Consolidated Statements of Income for the three- and nine-months ended September 30, 2023 and 2022, (iii) Condensed Consolidated Statements of Comprehensive Income for the three- and nine-months ended September 30, 2023 and 2022, (iv) Condensed Consolidated Statements of Stockholders’ Equity for the three- and nine-months ended September 30, 2023 and 2022, (v) Condensed Consolidated Statements of Cash Flows for the nine-months ended September 30, 2023 and 2022, and (vi) the Notes to Condensed Consolidated Financial Statements.</w:t>
            </w:r>
          </w:p>
        </w:tc>
      </w:tr>
      <w:tr>
        <w:trPr/>
        <w:tc>
          <w:tcPr>
            <w:tcW w:w="492"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both"/>
              <w:rPr/>
            </w:pPr>
            <w:r>
              <w:rPr/>
              <w:t>​</w:t>
            </w:r>
          </w:p>
        </w:tc>
        <w:tc>
          <w:tcPr>
            <w:tcW w:w="9447" w:type="dxa"/>
            <w:tcBorders/>
            <w:vAlign w:val="center"/>
          </w:tcPr>
          <w:p>
            <w:pPr>
              <w:pStyle w:val="TableContents"/>
              <w:bidi w:val="0"/>
              <w:spacing w:before="0" w:after="0"/>
              <w:ind w:left="0" w:right="0" w:hanging="0"/>
              <w:jc w:val="both"/>
              <w:rPr/>
            </w:pPr>
            <w:r>
              <w:rPr/>
              <w:t>​</w:t>
            </w:r>
          </w:p>
        </w:tc>
      </w:tr>
      <w:tr>
        <w:trPr/>
        <w:tc>
          <w:tcPr>
            <w:tcW w:w="49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66" w:type="dxa"/>
            <w:tcBorders/>
            <w:vAlign w:val="center"/>
          </w:tcPr>
          <w:p>
            <w:pPr>
              <w:pStyle w:val="TableContents"/>
              <w:bidi w:val="0"/>
              <w:spacing w:before="0" w:after="0"/>
              <w:ind w:left="0" w:right="0" w:hanging="0"/>
              <w:jc w:val="both"/>
              <w:rPr/>
            </w:pPr>
            <w:r>
              <w:rPr/>
              <w:t>​</w:t>
            </w:r>
          </w:p>
        </w:tc>
        <w:tc>
          <w:tcPr>
            <w:tcW w:w="944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cover page from Monster Beverage Corporation’s Quarterly Report on Form 10-Q for the quarter ended September 30, 2023, formatted in iXBRL (Inline eXtensible Business Reporting Language)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443" w:name="SIGNATURES_652864"/>
      <w:bookmarkStart w:id="2444" w:name="_b11740eb_dad1_4098_9bfb_7a92ce991e81"/>
      <w:bookmarkEnd w:id="2443"/>
      <w:bookmarkEnd w:id="2444"/>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w:t>
      </w:r>
    </w:p>
    <w:tbl>
      <w:tblPr>
        <w:tblW w:w="5672" w:type="dxa"/>
        <w:jc w:val="left"/>
        <w:tblInd w:w="0" w:type="dxa"/>
        <w:tblLayout w:type="fixed"/>
        <w:tblCellMar>
          <w:top w:w="0" w:type="dxa"/>
          <w:left w:w="0" w:type="dxa"/>
          <w:bottom w:w="0" w:type="dxa"/>
          <w:right w:w="0" w:type="dxa"/>
        </w:tblCellMar>
      </w:tblPr>
      <w:tblGrid>
        <w:gridCol w:w="2101"/>
        <w:gridCol w:w="3571"/>
      </w:tblGrid>
      <w:tr>
        <w:trPr/>
        <w:tc>
          <w:tcPr>
            <w:tcW w:w="2101"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BEVERAGE CORPORATION</w:t>
            </w:r>
          </w:p>
        </w:tc>
      </w:tr>
      <w:tr>
        <w:trPr/>
        <w:tc>
          <w:tcPr>
            <w:tcW w:w="2101"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2101"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2023</w:t>
            </w:r>
          </w:p>
        </w:tc>
        <w:tc>
          <w:tcPr>
            <w:tcW w:w="3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RODNEY C. SACKS</w:t>
            </w:r>
          </w:p>
        </w:tc>
      </w:tr>
      <w:tr>
        <w:trPr/>
        <w:tc>
          <w:tcPr>
            <w:tcW w:w="2101" w:type="dxa"/>
            <w:tcBorders/>
            <w:vAlign w:val="center"/>
          </w:tcPr>
          <w:p>
            <w:pPr>
              <w:pStyle w:val="TableContents"/>
              <w:bidi w:val="0"/>
              <w:spacing w:before="0" w:after="0"/>
              <w:ind w:left="0" w:right="0" w:hanging="0"/>
              <w:jc w:val="left"/>
              <w:rPr/>
            </w:pPr>
            <w:r>
              <w:rPr/>
              <w:t>​</w:t>
            </w:r>
          </w:p>
        </w:tc>
        <w:tc>
          <w:tcPr>
            <w:tcW w:w="3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Rodney C. Sacks</w:t>
            </w:r>
          </w:p>
        </w:tc>
      </w:tr>
      <w:tr>
        <w:trPr/>
        <w:tc>
          <w:tcPr>
            <w:tcW w:w="2101"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r>
      <w:tr>
        <w:trPr/>
        <w:tc>
          <w:tcPr>
            <w:tcW w:w="2101"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w:t>
            </w:r>
          </w:p>
        </w:tc>
      </w:tr>
      <w:tr>
        <w:trPr/>
        <w:tc>
          <w:tcPr>
            <w:tcW w:w="2101"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2023</w:t>
            </w:r>
          </w:p>
        </w:tc>
        <w:tc>
          <w:tcPr>
            <w:tcW w:w="3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2101" w:type="dxa"/>
            <w:tcBorders/>
            <w:vAlign w:val="center"/>
          </w:tcPr>
          <w:p>
            <w:pPr>
              <w:pStyle w:val="TableContents"/>
              <w:bidi w:val="0"/>
              <w:spacing w:before="0" w:after="0"/>
              <w:ind w:left="0" w:right="0" w:hanging="0"/>
              <w:jc w:val="left"/>
              <w:rPr/>
            </w:pPr>
            <w:r>
              <w:rPr/>
              <w:t>​</w:t>
            </w:r>
          </w:p>
        </w:tc>
        <w:tc>
          <w:tcPr>
            <w:tcW w:w="3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2101"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w:t>
            </w:r>
          </w:p>
        </w:tc>
      </w:tr>
      <w:tr>
        <w:trPr/>
        <w:tc>
          <w:tcPr>
            <w:tcW w:w="2101"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0"/>
        <w:ind w:left="0" w:right="0" w:hanging="0"/>
        <w:jc w:val="right"/>
        <w:rPr>
          <w:rFonts w:ascii="Times New Roman;Times;serif" w:hAnsi="Times New Roman;Times;serif"/>
          <w:b/>
          <w:sz w:val="20"/>
        </w:rPr>
      </w:pPr>
      <w:bookmarkStart w:id="2445" w:name="mnst-20230930xex31d1.htm"/>
      <w:bookmarkStart w:id="2446" w:name="ksmnst20230930xex31d1"/>
      <w:bookmarkEnd w:id="2445"/>
      <w:bookmarkEnd w:id="2446"/>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Rodney Sacks, certify that:</w:t>
      </w:r>
    </w:p>
    <w:p>
      <w:pPr>
        <w:pStyle w:val="TextBody"/>
        <w:bidi w:val="0"/>
        <w:spacing w:before="0" w:after="0"/>
        <w:ind w:left="0" w:right="0" w:hanging="0"/>
        <w:jc w:val="left"/>
        <w:rPr/>
      </w:pPr>
      <w:r>
        <w:rPr/>
        <w:t>​</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9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Monster Beverage Corporation;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5.  </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148" w:type="dxa"/>
        <w:jc w:val="center"/>
        <w:tblInd w:w="0" w:type="dxa"/>
        <w:tblLayout w:type="fixed"/>
        <w:tblCellMar>
          <w:top w:w="0" w:type="dxa"/>
          <w:left w:w="0" w:type="dxa"/>
          <w:bottom w:w="0" w:type="dxa"/>
          <w:right w:w="0" w:type="dxa"/>
        </w:tblCellMar>
      </w:tblPr>
      <w:tblGrid>
        <w:gridCol w:w="556"/>
        <w:gridCol w:w="1606"/>
        <w:gridCol w:w="2986"/>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6, 2023</w:t>
            </w:r>
          </w:p>
        </w:tc>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Rodney C. Sacks</w:t>
            </w:r>
          </w:p>
        </w:tc>
      </w:tr>
      <w:tr>
        <w:trPr/>
        <w:tc>
          <w:tcPr>
            <w:tcW w:w="55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Rodney C. Sacks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47" w:name="mnst-20230930xex31d2.htm"/>
      <w:bookmarkStart w:id="2448" w:name="ksmnst20230930xex31d2"/>
      <w:bookmarkEnd w:id="2447"/>
      <w:bookmarkEnd w:id="2448"/>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Hilton Schlosberg, certify that:</w:t>
      </w:r>
    </w:p>
    <w:p>
      <w:pPr>
        <w:pStyle w:val="TextBody"/>
        <w:bidi w:val="0"/>
        <w:spacing w:before="0" w:after="0"/>
        <w:ind w:left="0" w:right="0" w:hanging="0"/>
        <w:jc w:val="left"/>
        <w:rPr/>
      </w:pPr>
      <w:r>
        <w:rPr/>
        <w:t>​</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9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Monster Beverage Corporation;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8178" w:type="dxa"/>
        <w:jc w:val="center"/>
        <w:tblInd w:w="0" w:type="dxa"/>
        <w:tblLayout w:type="fixed"/>
        <w:tblCellMar>
          <w:top w:w="0" w:type="dxa"/>
          <w:left w:w="0" w:type="dxa"/>
          <w:bottom w:w="0" w:type="dxa"/>
          <w:right w:w="0" w:type="dxa"/>
        </w:tblCellMar>
      </w:tblPr>
      <w:tblGrid>
        <w:gridCol w:w="556"/>
        <w:gridCol w:w="1606"/>
        <w:gridCol w:w="6016"/>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6, 2023</w:t>
            </w:r>
          </w:p>
        </w:tc>
        <w:tc>
          <w:tcPr>
            <w:tcW w:w="6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55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c>
          <w:tcPr>
            <w:tcW w:w="6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 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49" w:name="mnst-20230930xex31d3.htm"/>
      <w:bookmarkStart w:id="2450" w:name="ksmnst20230930xex31d3"/>
      <w:bookmarkEnd w:id="2449"/>
      <w:bookmarkEnd w:id="2450"/>
      <w:r>
        <w:rPr>
          <w:rFonts w:ascii="Times New Roman;Times;serif" w:hAnsi="Times New Roman;Times;serif"/>
          <w:b/>
          <w:sz w:val="20"/>
        </w:rPr>
        <w:t>EXHIBIT 31.3</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Thomas Kelly, certify that:</w:t>
      </w:r>
    </w:p>
    <w:p>
      <w:pPr>
        <w:pStyle w:val="TextBody"/>
        <w:bidi w:val="0"/>
        <w:spacing w:before="0" w:after="0"/>
        <w:ind w:left="0" w:right="0" w:hanging="0"/>
        <w:jc w:val="left"/>
        <w:rPr/>
      </w:pPr>
      <w:r>
        <w:rPr/>
        <w:t>​</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9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Monster Beverage Corporation;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173" w:type="dxa"/>
        <w:jc w:val="center"/>
        <w:tblInd w:w="0" w:type="dxa"/>
        <w:tblLayout w:type="fixed"/>
        <w:tblCellMar>
          <w:top w:w="0" w:type="dxa"/>
          <w:left w:w="0" w:type="dxa"/>
          <w:bottom w:w="0" w:type="dxa"/>
          <w:right w:w="0" w:type="dxa"/>
        </w:tblCellMar>
      </w:tblPr>
      <w:tblGrid>
        <w:gridCol w:w="556"/>
        <w:gridCol w:w="1606"/>
        <w:gridCol w:w="2011"/>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6, 2023</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55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51" w:name="mnst-20230930xex32d1.htm"/>
      <w:bookmarkStart w:id="2452" w:name="ksmnst20230930xex32d1"/>
      <w:bookmarkEnd w:id="2451"/>
      <w:bookmarkEnd w:id="2452"/>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Monster Beverage Corporation (the “Company”) on Form 10-Q for the quarter ended September 30, 2023 as filed with the Securities and Exchange Commission (the “Report”), the undersigned, Rodney C. Sacks, Chairman of the Board of Directors and Co-Chief Executive Officer of the Company, certifies, pursuant to 18 U.S.C. 1350, as adopted pursuant to Section 906 of the Sarbanes-Oxley Act of 2002, that:</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148" w:type="dxa"/>
        <w:jc w:val="center"/>
        <w:tblInd w:w="0" w:type="dxa"/>
        <w:tblLayout w:type="fixed"/>
        <w:tblCellMar>
          <w:top w:w="0" w:type="dxa"/>
          <w:left w:w="0" w:type="dxa"/>
          <w:bottom w:w="0" w:type="dxa"/>
          <w:right w:w="0" w:type="dxa"/>
        </w:tblCellMar>
      </w:tblPr>
      <w:tblGrid>
        <w:gridCol w:w="556"/>
        <w:gridCol w:w="1606"/>
        <w:gridCol w:w="2986"/>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6, 2023</w:t>
            </w:r>
          </w:p>
        </w:tc>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Rodney C. Sacks</w:t>
            </w:r>
          </w:p>
        </w:tc>
      </w:tr>
      <w:tr>
        <w:trPr/>
        <w:tc>
          <w:tcPr>
            <w:tcW w:w="55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Rodney C. Sacks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53" w:name="mnst-20230930xex32d2.htm"/>
      <w:bookmarkStart w:id="2454" w:name="ksmnst20230930xex32d2"/>
      <w:bookmarkEnd w:id="2453"/>
      <w:bookmarkEnd w:id="2454"/>
      <w:r>
        <w:rPr>
          <w:rFonts w:ascii="Times New Roman;Times;serif" w:hAnsi="Times New Roman;Times;serif"/>
          <w:b/>
          <w:sz w:val="20"/>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Monster Beverage Corporation (the “Company”) on Form 10-Q for the quarter ended September 30, 2023 as filed with the Securities and Exchange Commission (the “Report”), the undersigned, Hilton H. Schlosberg, Vice Chairman of the Board of Directors and Co-Chief Executive Officer of the Company, certifies, pursuant to 18 U.S.C. 1350, as adopted pursuant to Section 906 of the Sarbanes-Oxley Act of 2002, that:</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8178" w:type="dxa"/>
        <w:jc w:val="center"/>
        <w:tblInd w:w="0" w:type="dxa"/>
        <w:tblLayout w:type="fixed"/>
        <w:tblCellMar>
          <w:top w:w="0" w:type="dxa"/>
          <w:left w:w="0" w:type="dxa"/>
          <w:bottom w:w="0" w:type="dxa"/>
          <w:right w:w="0" w:type="dxa"/>
        </w:tblCellMar>
      </w:tblPr>
      <w:tblGrid>
        <w:gridCol w:w="556"/>
        <w:gridCol w:w="1606"/>
        <w:gridCol w:w="6016"/>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6, 2023</w:t>
            </w:r>
          </w:p>
        </w:tc>
        <w:tc>
          <w:tcPr>
            <w:tcW w:w="6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55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c>
          <w:tcPr>
            <w:tcW w:w="6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 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55" w:name="mnst-20230930xex32d3.htm"/>
      <w:bookmarkStart w:id="2456" w:name="ksmnst20230930xex32d3"/>
      <w:bookmarkEnd w:id="2455"/>
      <w:bookmarkEnd w:id="2456"/>
      <w:r>
        <w:rPr>
          <w:rFonts w:ascii="Times New Roman;Times;serif" w:hAnsi="Times New Roman;Times;serif"/>
          <w:b/>
          <w:sz w:val="20"/>
        </w:rPr>
        <w:t>EXHIBIT 32.3</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Monster Beverage Corporation (the “Company”) on Form 10-Q for the quarter ended September 30, 2023 as filed with the Securities and Exchange Commission (the “Report”), the undersigned, Thomas J. Kelly, Chief Financial Officer of the Company, certifies, pursuant to 18 U.S.C. 1350, as adopted pursuant to Section 906 of the Sarbanes-Oxley Act of 2002, that:</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173" w:type="dxa"/>
        <w:jc w:val="center"/>
        <w:tblInd w:w="0" w:type="dxa"/>
        <w:tblLayout w:type="fixed"/>
        <w:tblCellMar>
          <w:top w:w="0" w:type="dxa"/>
          <w:left w:w="0" w:type="dxa"/>
          <w:bottom w:w="0" w:type="dxa"/>
          <w:right w:w="0" w:type="dxa"/>
        </w:tblCellMar>
      </w:tblPr>
      <w:tblGrid>
        <w:gridCol w:w="556"/>
        <w:gridCol w:w="1606"/>
        <w:gridCol w:w="2011"/>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6, 2023</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55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65752/000110465923074933/tm2319592d1_ex3-1.htm" TargetMode="External"/><Relationship Id="rId3" Type="http://schemas.openxmlformats.org/officeDocument/2006/relationships/hyperlink" Target="https://www.sec.gov/Archives/edgar/data/865752/000110465923074933/tm2319592d1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29587</Words>
  <Characters>169607</Characters>
  <CharactersWithSpaces>202412</CharactersWithSpaces>
  <Paragraphs>10150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