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spacing w:after="0"/>
        <w:tabs>
          <w:tab w:leader="none" w:pos="6780" w:val="left"/>
        </w:tabs>
        <w:rPr>
          <w:sz w:val="20"/>
          <w:szCs w:val="20"/>
          <w:color w:val="auto"/>
        </w:rPr>
      </w:pPr>
      <w:r>
        <w:rPr>
          <w:rFonts w:ascii="Times New Roman" w:cs="Times New Roman" w:eastAsia="Times New Roman" w:hAnsi="Times New Roman"/>
          <w:sz w:val="18"/>
          <w:szCs w:val="18"/>
          <w:color w:val="auto"/>
        </w:rPr>
        <w:t>For the quarterly period ended September 30, 2019</w:t>
      </w:r>
      <w:r>
        <w:rPr>
          <w:sz w:val="20"/>
          <w:szCs w:val="20"/>
          <w:color w:val="auto"/>
        </w:rPr>
        <w:tab/>
      </w:r>
      <w:r>
        <w:rPr>
          <w:rFonts w:ascii="Times New Roman" w:cs="Times New Roman" w:eastAsia="Times New Roman" w:hAnsi="Times New Roman"/>
          <w:sz w:val="18"/>
          <w:szCs w:val="18"/>
          <w:color w:val="auto"/>
        </w:rPr>
        <w:t>Commission File Number 001-18761</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3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47-1809393</w:t>
            </w:r>
          </w:p>
        </w:tc>
      </w:tr>
      <w:tr>
        <w:trPr>
          <w:trHeight w:val="193"/>
        </w:trPr>
        <w:tc>
          <w:tcPr>
            <w:tcW w:w="2380" w:type="dxa"/>
            <w:vAlign w:val="bottom"/>
          </w:tcPr>
          <w:p>
            <w:pPr>
              <w:spacing w:after="0"/>
              <w:rPr>
                <w:sz w:val="16"/>
                <w:szCs w:val="16"/>
                <w:color w:val="auto"/>
              </w:rPr>
            </w:pPr>
          </w:p>
        </w:tc>
        <w:tc>
          <w:tcPr>
            <w:tcW w:w="36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9"/>
        </w:trPr>
        <w:tc>
          <w:tcPr>
            <w:tcW w:w="2380" w:type="dxa"/>
            <w:vAlign w:val="bottom"/>
          </w:tcPr>
          <w:p>
            <w:pPr>
              <w:spacing w:after="0"/>
              <w:rPr>
                <w:sz w:val="16"/>
                <w:szCs w:val="16"/>
                <w:color w:val="auto"/>
              </w:rPr>
            </w:pPr>
          </w:p>
        </w:tc>
        <w:tc>
          <w:tcPr>
            <w:tcW w:w="36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6"/>
        </w:trPr>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w w:val="98"/>
              </w:rPr>
              <w:t>1 Monster Way</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8"/>
        </w:trPr>
        <w:tc>
          <w:tcPr>
            <w:tcW w:w="2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40" w:type="dxa"/>
            <w:vAlign w:val="bottom"/>
            <w:gridSpan w:val="4"/>
          </w:tcPr>
          <w:p>
            <w:pPr>
              <w:jc w:val="center"/>
              <w:ind w:right="311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311"/>
        </w:trPr>
        <w:tc>
          <w:tcPr>
            <w:tcW w:w="2380" w:type="dxa"/>
            <w:vAlign w:val="bottom"/>
          </w:tcPr>
          <w:p>
            <w:pPr>
              <w:spacing w:after="0"/>
              <w:rPr>
                <w:sz w:val="24"/>
                <w:szCs w:val="24"/>
                <w:color w:val="auto"/>
              </w:rPr>
            </w:pPr>
          </w:p>
        </w:tc>
        <w:tc>
          <w:tcPr>
            <w:tcW w:w="3680" w:type="dxa"/>
            <w:vAlign w:val="bottom"/>
            <w:gridSpan w:val="3"/>
          </w:tcPr>
          <w:p>
            <w:pPr>
              <w:jc w:val="center"/>
              <w:ind w:left="1539"/>
              <w:spacing w:after="0"/>
              <w:rPr>
                <w:sz w:val="20"/>
                <w:szCs w:val="20"/>
                <w:color w:val="auto"/>
              </w:rPr>
            </w:pPr>
            <w:r>
              <w:rPr>
                <w:rFonts w:ascii="Times New Roman" w:cs="Times New Roman" w:eastAsia="Times New Roman" w:hAnsi="Times New Roman"/>
                <w:sz w:val="18"/>
                <w:szCs w:val="18"/>
                <w:color w:val="auto"/>
              </w:rPr>
              <w:t>(951) 739 - 6200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8"/>
        </w:trPr>
        <w:tc>
          <w:tcPr>
            <w:tcW w:w="2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40" w:type="dxa"/>
            <w:vAlign w:val="bottom"/>
            <w:gridSpan w:val="4"/>
          </w:tcPr>
          <w:p>
            <w:pPr>
              <w:jc w:val="center"/>
              <w:ind w:right="311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60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1"/>
        </w:trPr>
        <w:tc>
          <w:tcPr>
            <w:tcW w:w="23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3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Common Stock</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MNST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9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ind w:left="4440"/>
        <w:spacing w:after="0"/>
        <w:tabs>
          <w:tab w:leader="none" w:pos="508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 ___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 ___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97"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5"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color w:val="auto"/>
        </w:rPr>
        <w:t xml:space="preserve">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3359785</wp:posOffset>
            </wp:positionH>
            <wp:positionV relativeFrom="paragraph">
              <wp:posOffset>10160</wp:posOffset>
            </wp:positionV>
            <wp:extent cx="168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6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registrant had 537,681,684 shares of common stock, par value $0.005 per share, outstanding as of October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694690</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111760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31"/>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17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60" w:type="dxa"/>
            <w:vAlign w:val="bottom"/>
            <w:gridSpan w:val="13"/>
          </w:tcPr>
          <w:p>
            <w:pPr>
              <w:jc w:val="center"/>
              <w:ind w:right="33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38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gridSpan w:val="4"/>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3660" w:type="dxa"/>
            <w:vAlign w:val="bottom"/>
            <w:gridSpan w:val="15"/>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580" w:type="dxa"/>
            <w:vAlign w:val="bottom"/>
            <w:tcBorders>
              <w:top w:val="single" w:sz="8" w:color="auto"/>
            </w:tcBorders>
            <w:gridSpan w:val="2"/>
          </w:tcPr>
          <w:p>
            <w:pPr>
              <w:spacing w:after="0"/>
              <w:rPr>
                <w:sz w:val="24"/>
                <w:szCs w:val="24"/>
                <w:color w:val="auto"/>
              </w:rPr>
            </w:pPr>
          </w:p>
        </w:tc>
        <w:tc>
          <w:tcPr>
            <w:tcW w:w="3980" w:type="dxa"/>
            <w:vAlign w:val="bottom"/>
            <w:gridSpan w:val="10"/>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12"/>
        </w:trPr>
        <w:tc>
          <w:tcPr>
            <w:tcW w:w="500" w:type="dxa"/>
            <w:vAlign w:val="bottom"/>
          </w:tcPr>
          <w:p>
            <w:pPr>
              <w:spacing w:after="0"/>
              <w:rPr>
                <w:rFonts w:ascii="Times New Roman" w:cs="Times New Roman" w:eastAsia="Times New Roman" w:hAnsi="Times New Roman"/>
                <w:sz w:val="18"/>
                <w:szCs w:val="18"/>
                <w:color w:val="0000EE"/>
                <w:w w:val="90"/>
              </w:rPr>
            </w:pPr>
            <w:hyperlink w:anchor="page3">
              <w:r>
                <w:rPr>
                  <w:rFonts w:ascii="Times New Roman" w:cs="Times New Roman" w:eastAsia="Times New Roman" w:hAnsi="Times New Roman"/>
                  <w:sz w:val="18"/>
                  <w:szCs w:val="18"/>
                  <w:color w:val="0000EE"/>
                  <w:w w:val="90"/>
                </w:rPr>
                <w:t>Item 1.</w:t>
              </w:r>
            </w:hyperlink>
          </w:p>
        </w:tc>
        <w:tc>
          <w:tcPr>
            <w:tcW w:w="580" w:type="dxa"/>
            <w:vAlign w:val="bottom"/>
            <w:gridSpan w:val="3"/>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2019 and December 31, 2018</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for the Three- and Nine-Months Ended September 30, 2019 and</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Nine-Months Ended</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2019 and 2018</w:t>
              </w:r>
            </w:hyperlink>
          </w:p>
        </w:tc>
        <w:tc>
          <w:tcPr>
            <w:tcW w:w="6060" w:type="dxa"/>
            <w:vAlign w:val="bottom"/>
            <w:gridSpan w:val="16"/>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for the  Nine-Months Ended September 30, 2019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20" w:type="dxa"/>
            <w:vAlign w:val="bottom"/>
            <w:gridSpan w:val="2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2018</w:t>
              </w:r>
            </w:hyperlink>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Nine-Months Ended September 30, 2019 and 2018</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Condensed Consolidated Financial Statements</w:t>
              </w:r>
            </w:hyperlink>
          </w:p>
        </w:tc>
        <w:tc>
          <w:tcPr>
            <w:tcW w:w="3940" w:type="dxa"/>
            <w:vAlign w:val="bottom"/>
            <w:tcBorders>
              <w:top w:val="single" w:sz="8" w:color="0000EE"/>
            </w:tcBorders>
            <w:gridSpan w:val="9"/>
          </w:tcPr>
          <w:p>
            <w:pPr>
              <w:spacing w:after="0"/>
              <w:rPr>
                <w:sz w:val="24"/>
                <w:szCs w:val="24"/>
                <w:color w:val="auto"/>
              </w:rPr>
            </w:pPr>
          </w:p>
        </w:tc>
        <w:tc>
          <w:tcPr>
            <w:tcW w:w="280" w:type="dxa"/>
            <w:vAlign w:val="bottom"/>
            <w:gridSpan w:val="2"/>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2.</w:t>
              </w:r>
            </w:hyperlink>
          </w:p>
        </w:tc>
        <w:tc>
          <w:tcPr>
            <w:tcW w:w="580" w:type="dxa"/>
            <w:vAlign w:val="bottom"/>
            <w:gridSpan w:val="3"/>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45">
              <w:r>
                <w:rPr>
                  <w:rFonts w:ascii="Times New Roman" w:cs="Times New Roman" w:eastAsia="Times New Roman" w:hAnsi="Times New Roman"/>
                  <w:sz w:val="18"/>
                  <w:szCs w:val="18"/>
                  <w:color w:val="0000EE"/>
                  <w:w w:val="90"/>
                </w:rPr>
                <w:t>Item 3.</w:t>
              </w:r>
            </w:hyperlink>
          </w:p>
        </w:tc>
        <w:tc>
          <w:tcPr>
            <w:tcW w:w="58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760" w:type="dxa"/>
            <w:vAlign w:val="bottom"/>
            <w:gridSpan w:val="5"/>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0"/>
              </w:rPr>
            </w:pPr>
            <w:hyperlink w:anchor="page45">
              <w:r>
                <w:rPr>
                  <w:rFonts w:ascii="Times New Roman" w:cs="Times New Roman" w:eastAsia="Times New Roman" w:hAnsi="Times New Roman"/>
                  <w:sz w:val="18"/>
                  <w:szCs w:val="18"/>
                  <w:color w:val="0000EE"/>
                  <w:w w:val="90"/>
                </w:rPr>
                <w:t>Item 4.</w:t>
              </w:r>
            </w:hyperlink>
          </w:p>
        </w:tc>
        <w:tc>
          <w:tcPr>
            <w:tcW w:w="580" w:type="dxa"/>
            <w:vAlign w:val="bottom"/>
            <w:gridSpan w:val="3"/>
          </w:tcPr>
          <w:p>
            <w:pPr>
              <w:spacing w:after="0"/>
              <w:rPr>
                <w:sz w:val="24"/>
                <w:szCs w:val="24"/>
                <w:color w:val="auto"/>
              </w:rPr>
            </w:pP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Controls and Procedures</w:t>
              </w:r>
            </w:hyperlink>
          </w:p>
        </w:tc>
        <w:tc>
          <w:tcPr>
            <w:tcW w:w="6440" w:type="dxa"/>
            <w:vAlign w:val="bottom"/>
            <w:gridSpan w:val="1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580" w:type="dxa"/>
            <w:vAlign w:val="bottom"/>
            <w:gridSpan w:val="2"/>
          </w:tcPr>
          <w:p>
            <w:pPr>
              <w:spacing w:after="0"/>
              <w:rPr>
                <w:rFonts w:ascii="Times New Roman" w:cs="Times New Roman" w:eastAsia="Times New Roman" w:hAnsi="Times New Roman"/>
                <w:sz w:val="18"/>
                <w:szCs w:val="18"/>
                <w:b w:val="1"/>
                <w:bCs w:val="1"/>
                <w:color w:val="0000EE"/>
                <w:w w:val="98"/>
              </w:rPr>
            </w:pPr>
            <w:hyperlink w:anchor="page46">
              <w:r>
                <w:rPr>
                  <w:rFonts w:ascii="Times New Roman" w:cs="Times New Roman" w:eastAsia="Times New Roman" w:hAnsi="Times New Roman"/>
                  <w:sz w:val="18"/>
                  <w:szCs w:val="18"/>
                  <w:b w:val="1"/>
                  <w:bCs w:val="1"/>
                  <w:color w:val="0000EE"/>
                  <w:w w:val="98"/>
                </w:rPr>
                <w:t>Part II.</w:t>
              </w:r>
            </w:hyperlink>
          </w:p>
        </w:tc>
        <w:tc>
          <w:tcPr>
            <w:tcW w:w="500" w:type="dxa"/>
            <w:vAlign w:val="bottom"/>
            <w:gridSpan w:val="2"/>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OTHER INFORMATION</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46">
              <w:r>
                <w:rPr>
                  <w:rFonts w:ascii="Times New Roman" w:cs="Times New Roman" w:eastAsia="Times New Roman" w:hAnsi="Times New Roman"/>
                  <w:sz w:val="18"/>
                  <w:szCs w:val="18"/>
                  <w:color w:val="0000EE"/>
                  <w:w w:val="90"/>
                </w:rPr>
                <w:t>Item 1.</w:t>
              </w:r>
            </w:hyperlink>
          </w:p>
        </w:tc>
        <w:tc>
          <w:tcPr>
            <w:tcW w:w="8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200" w:type="dxa"/>
            <w:vAlign w:val="bottom"/>
            <w:gridSpan w:val="17"/>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2"/>
        </w:trPr>
        <w:tc>
          <w:tcPr>
            <w:tcW w:w="1080" w:type="dxa"/>
            <w:vAlign w:val="bottom"/>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1A.</w:t>
              </w:r>
            </w:hyperlink>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Risk Factors</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0"/>
              </w:rPr>
            </w:pPr>
            <w:hyperlink w:anchor="page46">
              <w:r>
                <w:rPr>
                  <w:rFonts w:ascii="Times New Roman" w:cs="Times New Roman" w:eastAsia="Times New Roman" w:hAnsi="Times New Roman"/>
                  <w:sz w:val="18"/>
                  <w:szCs w:val="18"/>
                  <w:color w:val="0000EE"/>
                  <w:w w:val="90"/>
                </w:rPr>
                <w:t>Item 2.</w:t>
              </w:r>
            </w:hyperlink>
          </w:p>
        </w:tc>
        <w:tc>
          <w:tcPr>
            <w:tcW w:w="1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Unregistered Sales of Equity Securities and Use of Proceeds</w:t>
              </w:r>
            </w:hyperlink>
          </w:p>
        </w:tc>
        <w:tc>
          <w:tcPr>
            <w:tcW w:w="3860" w:type="dxa"/>
            <w:vAlign w:val="bottom"/>
            <w:gridSpan w:val="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2"/>
        </w:trPr>
        <w:tc>
          <w:tcPr>
            <w:tcW w:w="500" w:type="dxa"/>
            <w:vAlign w:val="bottom"/>
          </w:tcPr>
          <w:p>
            <w:pPr>
              <w:spacing w:after="0"/>
              <w:rPr>
                <w:rFonts w:ascii="Times New Roman" w:cs="Times New Roman" w:eastAsia="Times New Roman" w:hAnsi="Times New Roman"/>
                <w:sz w:val="18"/>
                <w:szCs w:val="18"/>
                <w:color w:val="0000EE"/>
                <w:w w:val="90"/>
              </w:rPr>
            </w:pPr>
            <w:hyperlink w:anchor="page47">
              <w:r>
                <w:rPr>
                  <w:rFonts w:ascii="Times New Roman" w:cs="Times New Roman" w:eastAsia="Times New Roman" w:hAnsi="Times New Roman"/>
                  <w:sz w:val="18"/>
                  <w:szCs w:val="18"/>
                  <w:color w:val="0000EE"/>
                  <w:w w:val="90"/>
                </w:rPr>
                <w:t>Item 3.</w:t>
              </w:r>
            </w:hyperlink>
          </w:p>
        </w:tc>
        <w:tc>
          <w:tcPr>
            <w:tcW w:w="580" w:type="dxa"/>
            <w:vAlign w:val="bottom"/>
            <w:gridSpan w:val="3"/>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Defaults Upon Senior Securities</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2"/>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47">
              <w:r>
                <w:rPr>
                  <w:rFonts w:ascii="Times New Roman" w:cs="Times New Roman" w:eastAsia="Times New Roman" w:hAnsi="Times New Roman"/>
                  <w:sz w:val="18"/>
                  <w:szCs w:val="18"/>
                  <w:color w:val="0000EE"/>
                  <w:w w:val="90"/>
                </w:rPr>
                <w:t>Item 4.</w:t>
              </w:r>
            </w:hyperlink>
          </w:p>
        </w:tc>
        <w:tc>
          <w:tcPr>
            <w:tcW w:w="58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5900" w:type="dxa"/>
            <w:vAlign w:val="bottom"/>
            <w:gridSpan w:val="15"/>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2"/>
        </w:trPr>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0"/>
              </w:rPr>
            </w:pPr>
            <w:hyperlink w:anchor="page47">
              <w:r>
                <w:rPr>
                  <w:rFonts w:ascii="Times New Roman" w:cs="Times New Roman" w:eastAsia="Times New Roman" w:hAnsi="Times New Roman"/>
                  <w:sz w:val="18"/>
                  <w:szCs w:val="18"/>
                  <w:color w:val="0000EE"/>
                  <w:w w:val="90"/>
                </w:rPr>
                <w:t>Item 5.</w:t>
              </w:r>
            </w:hyperlink>
          </w:p>
        </w:tc>
        <w:tc>
          <w:tcPr>
            <w:tcW w:w="580" w:type="dxa"/>
            <w:vAlign w:val="bottom"/>
            <w:gridSpan w:val="3"/>
          </w:tcPr>
          <w:p>
            <w:pPr>
              <w:spacing w:after="0"/>
              <w:rPr>
                <w:sz w:val="24"/>
                <w:szCs w:val="24"/>
                <w:color w:val="auto"/>
              </w:rPr>
            </w:pPr>
          </w:p>
        </w:tc>
        <w:tc>
          <w:tcPr>
            <w:tcW w:w="1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Other Information</w:t>
              </w:r>
            </w:hyperlink>
          </w:p>
        </w:tc>
        <w:tc>
          <w:tcPr>
            <w:tcW w:w="6900" w:type="dxa"/>
            <w:vAlign w:val="bottom"/>
            <w:gridSpan w:val="21"/>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2"/>
        </w:trPr>
        <w:tc>
          <w:tcPr>
            <w:tcW w:w="500" w:type="dxa"/>
            <w:vAlign w:val="bottom"/>
          </w:tcPr>
          <w:p>
            <w:pPr>
              <w:spacing w:after="0"/>
              <w:rPr>
                <w:rFonts w:ascii="Times New Roman" w:cs="Times New Roman" w:eastAsia="Times New Roman" w:hAnsi="Times New Roman"/>
                <w:sz w:val="18"/>
                <w:szCs w:val="18"/>
                <w:color w:val="0000EE"/>
                <w:w w:val="90"/>
              </w:rPr>
            </w:pPr>
            <w:hyperlink w:anchor="page48">
              <w:r>
                <w:rPr>
                  <w:rFonts w:ascii="Times New Roman" w:cs="Times New Roman" w:eastAsia="Times New Roman" w:hAnsi="Times New Roman"/>
                  <w:sz w:val="18"/>
                  <w:szCs w:val="18"/>
                  <w:color w:val="0000EE"/>
                  <w:w w:val="90"/>
                </w:rPr>
                <w:t>Item 6.</w:t>
              </w:r>
            </w:hyperlink>
          </w:p>
        </w:tc>
        <w:tc>
          <w:tcPr>
            <w:tcW w:w="580" w:type="dxa"/>
            <w:vAlign w:val="bottom"/>
            <w:gridSpan w:val="3"/>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Exhibits</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60" w:type="dxa"/>
            <w:vAlign w:val="bottom"/>
            <w:gridSpan w:val="2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20" w:type="dxa"/>
            <w:vAlign w:val="bottom"/>
            <w:gridSpan w:val="27"/>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Signatures</w:t>
              </w:r>
            </w:hyperlink>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90" w:lineRule="exact"/>
        <w:rPr>
          <w:sz w:val="20"/>
          <w:szCs w:val="20"/>
          <w:color w:val="auto"/>
        </w:rPr>
      </w:pPr>
    </w:p>
    <w:p>
      <w:pPr>
        <w:ind w:right="4940"/>
        <w:spacing w:after="0" w:line="274"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BALANCE SHEETS AS OF SEPTEMBER 30, 2019 AND DECEMBER 31,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388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9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36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717,617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2,360,760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46,212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CCEEFF"/>
            </w:tcBorders>
            <w:gridSpan w:val="4"/>
            <w:shd w:val="clear" w:color="auto" w:fill="CCEEFF"/>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5,137,366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spacing w:after="0"/>
              <w:rPr>
                <w:sz w:val="15"/>
                <w:szCs w:val="15"/>
                <w:color w:val="auto"/>
              </w:rPr>
            </w:pPr>
          </w:p>
        </w:tc>
        <w:tc>
          <w:tcPr>
            <w:tcW w:w="5680" w:type="dxa"/>
            <w:vAlign w:val="bottom"/>
            <w:gridSpan w:val="4"/>
            <w:shd w:val="clear" w:color="auto" w:fill="CCEEFF"/>
          </w:tcPr>
          <w:p>
            <w:pPr>
              <w:jc w:val="center"/>
              <w:ind w:right="218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00" w:type="dxa"/>
            <w:vAlign w:val="bottom"/>
            <w:tcBorders>
              <w:top w:val="single" w:sz="8" w:color="auto"/>
            </w:tcBorders>
            <w:gridSpan w:val="3"/>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9"/>
                <w:szCs w:val="29"/>
                <w:color w:val="auto"/>
                <w:w w:val="97"/>
              </w:rPr>
              <w:t>292,101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1,250,000 shares authorized; 636,235 shares issued and 540,591 shares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outstanding as of September 30, 2019; 630,970 shares issued and 543,676 shares outstanding as of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4,370,280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4,767,526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(43,083)</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95,644 shares and 87,294 shares as of September 30, 2019 and December 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2018, respectively</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(4,989,926)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(4,512,205)</w:t>
            </w:r>
          </w:p>
        </w:tc>
        <w:tc>
          <w:tcPr>
            <w:tcW w:w="0" w:type="dxa"/>
            <w:vAlign w:val="bottom"/>
          </w:tcPr>
          <w:p>
            <w:pPr>
              <w:spacing w:after="0"/>
              <w:rPr>
                <w:sz w:val="1"/>
                <w:szCs w:val="1"/>
                <w:color w:val="auto"/>
              </w:rPr>
            </w:pPr>
          </w:p>
        </w:tc>
      </w:tr>
      <w:tr>
        <w:trPr>
          <w:trHeight w:val="199"/>
        </w:trPr>
        <w:tc>
          <w:tcPr>
            <w:tcW w:w="7660" w:type="dxa"/>
            <w:vAlign w:val="bottom"/>
            <w:tcBorders>
              <w:top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4,107,978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5680" w:type="dxa"/>
            <w:vAlign w:val="bottom"/>
            <w:gridSpan w:val="4"/>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5,137,366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940"/>
        <w:spacing w:after="0" w:line="278"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STATEMENTS OF INCOME</w:t>
      </w:r>
    </w:p>
    <w:p>
      <w:pPr>
        <w:spacing w:after="0" w:line="2" w:lineRule="exact"/>
        <w:rPr>
          <w:sz w:val="20"/>
          <w:szCs w:val="20"/>
          <w:color w:val="auto"/>
        </w:rPr>
      </w:pPr>
    </w:p>
    <w:p>
      <w:pPr>
        <w:ind w:right="3380"/>
        <w:spacing w:after="0" w:line="261" w:lineRule="auto"/>
        <w:rPr>
          <w:sz w:val="20"/>
          <w:szCs w:val="20"/>
          <w:color w:val="auto"/>
        </w:rPr>
      </w:pPr>
      <w:r>
        <w:rPr>
          <w:rFonts w:ascii="Times New Roman" w:cs="Times New Roman" w:eastAsia="Times New Roman" w:hAnsi="Times New Roman"/>
          <w:sz w:val="18"/>
          <w:szCs w:val="18"/>
          <w:b w:val="1"/>
          <w:bCs w:val="1"/>
          <w:color w:val="auto"/>
        </w:rPr>
        <w:t>FOR THE THREE- AND NINE-MONTHS ENDED SEPTEMBER 30, 2019 AND 2018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Three-Months Ended</w:t>
            </w:r>
          </w:p>
        </w:tc>
        <w:tc>
          <w:tcPr>
            <w:tcW w:w="22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Nine-Months Ended</w:t>
            </w:r>
          </w:p>
        </w:tc>
      </w:tr>
      <w:tr>
        <w:trPr>
          <w:trHeight w:val="238"/>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2,882,953</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1,275,796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1,139,780</w:t>
            </w: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1,743,173</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766,065</w:t>
            </w: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977,108</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982,377</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228,480</w:t>
            </w: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298,923</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753,897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97"/>
        </w:trPr>
        <w:tc>
          <w:tcPr>
            <w:tcW w:w="50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060"/>
          </w:cols>
          <w:pgMar w:left="920" w:top="661" w:right="919" w:bottom="1440" w:gutter="0" w:footer="0" w:header="0"/>
        </w:sectPr>
      </w:pPr>
    </w:p>
    <w:p>
      <w:pPr>
        <w:spacing w:after="0" w:line="261" w:lineRule="auto"/>
        <w:rPr>
          <w:sz w:val="20"/>
          <w:szCs w:val="20"/>
          <w:color w:val="auto"/>
        </w:rPr>
      </w:pPr>
      <w:r>
        <w:rPr>
          <w:rFonts w:ascii="Times New Roman" w:cs="Times New Roman" w:eastAsia="Times New Roman" w:hAnsi="Times New Roman"/>
          <w:sz w:val="18"/>
          <w:szCs w:val="18"/>
          <w:color w:val="auto"/>
        </w:rPr>
        <w:t>WEIGHTED AVERAGE NUMBER OF SHARES OF COMMON STOCK AND COMMON STOCK EQUIVALENTS:</w:t>
      </w:r>
    </w:p>
    <w:p>
      <w:pPr>
        <w:ind w:left="22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552,694</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543,804</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559,472</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548,422</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559,955</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548,387</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566,791</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-599440</wp:posOffset>
            </wp:positionV>
            <wp:extent cx="638873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7432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-179705</wp:posOffset>
            </wp:positionV>
            <wp:extent cx="638873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20" w:space="220"/>
            <w:col w:w="5020"/>
          </w:cols>
          <w:pgMar w:left="920" w:top="661" w:right="9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jc w:val="both"/>
        <w:ind w:right="338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 AND NINE-MONTHS ENDED SEPTEMBER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388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40" w:type="dxa"/>
            <w:vAlign w:val="bottom"/>
          </w:tcPr>
          <w:p>
            <w:pPr>
              <w:spacing w:after="0"/>
              <w:rPr>
                <w:sz w:val="18"/>
                <w:szCs w:val="18"/>
                <w:color w:val="auto"/>
              </w:rPr>
            </w:pPr>
          </w:p>
        </w:tc>
        <w:tc>
          <w:tcPr>
            <w:tcW w:w="21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Nine-Months Ended</w:t>
            </w:r>
          </w:p>
        </w:tc>
      </w:tr>
      <w:tr>
        <w:trPr>
          <w:trHeight w:val="238"/>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0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753,897</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(10,586)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available-for-sale investments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842,662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740,779</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FOR THE NINE-MONTHS ENDED SEPTEMBER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6388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40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630,970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$ 4,238,170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$ 3,914,645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(4,512,205)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(222,792)</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$ 4,288,638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$ 4,176,130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(34,125)</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(4,734,997)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$ 4,350,177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$ 4,468,603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(4,735,618)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(4,340)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(254,308)</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(14,359)</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2019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636,235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$ 4,370,280</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$ 4,767,526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(43,083)</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(4,989,926)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FOR THE NINE-MONTHS ENDED SEPTEMBER 30, 2019 AND 2018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6388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40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629,255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$ 4,150,628</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$ 2,928,226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(3,170,129)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ASU No. 2016-16 adoption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(6,585)</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(4,362)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(251,949)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$ 4,170,565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$ 3,137,691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(3,422,078)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excess tax from</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periods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(10,554)</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(553,200)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(11,988)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$ 4,194,676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$ 3,407,807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(3,975,278)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net on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(4,463)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267,733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630,825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$ 4,219,628</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$ 3,675,540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(29,777)</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(3,975,278)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60"/>
        <w:spacing w:after="0" w:line="237"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3887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7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Nine-Months Ended</w:t>
      </w:r>
    </w:p>
    <w:p>
      <w:pPr>
        <w:ind w:left="84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852,881</w:t>
            </w:r>
          </w:p>
        </w:tc>
        <w:tc>
          <w:tcPr>
            <w:tcW w:w="2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47,843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(179,838)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Distributor receivables</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(44,947)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(16,121)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69,480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(9,592)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55,799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distributor terminations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(19,631)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821,069</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558,128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(835,964)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(44,392)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intangibles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(1,289)</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top w:val="single" w:sz="8" w:color="CCEEFF"/>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(328,185)</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debt</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(12,841)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85,245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(477,721)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top w:val="single" w:sz="8" w:color="CCEEFF"/>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(405,317)</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(782,150)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(7,463)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80,104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637,513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717,617</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6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226,883</w:t>
            </w:r>
          </w:p>
        </w:tc>
        <w:tc>
          <w:tcPr>
            <w:tcW w:w="200" w:type="dxa"/>
            <w:vAlign w:val="bottom"/>
          </w:tcPr>
          <w:p>
            <w:pPr>
              <w:spacing w:after="0"/>
              <w:rPr>
                <w:sz w:val="11"/>
                <w:szCs w:val="11"/>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134,377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6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2019 AND 2018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388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September 30, 2019 and 2018 were $8.6 million and $10.9 million, respectively, related to additions to other intangible assets.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Included in accounts payable as of September 30, 2019 were available-for-sale short-term investment purchases of $3.0 million.</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9" w:name="page10"/>
    <w:bookmarkEnd w:id="9"/>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hanging="641"/>
        <w:spacing w:after="0"/>
        <w:tabs>
          <w:tab w:leader="none" w:pos="6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2018 (“Form 10-K”)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2019 and 2018,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0" w:lineRule="exact"/>
        <w:rPr>
          <w:sz w:val="20"/>
          <w:szCs w:val="20"/>
          <w:color w:val="auto"/>
        </w:rPr>
      </w:pPr>
    </w:p>
    <w:p>
      <w:pPr>
        <w:ind w:left="641" w:hanging="641"/>
        <w:spacing w:after="0"/>
        <w:tabs>
          <w:tab w:leader="none" w:pos="6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227"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The Company is currently evaluating the impact of ASU No. 2018-15 on its financial position, results of operations and liquidity.</w:t>
      </w:r>
    </w:p>
    <w:p>
      <w:pPr>
        <w:spacing w:after="0" w:line="189" w:lineRule="exact"/>
        <w:rPr>
          <w:sz w:val="20"/>
          <w:szCs w:val="20"/>
          <w:color w:val="auto"/>
        </w:rPr>
      </w:pPr>
    </w:p>
    <w:p>
      <w:pPr>
        <w:jc w:val="both"/>
        <w:ind w:left="1"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The Company is currently evaluating the impact of ASU No. 2018-14 on its financial position, results of operations and liquidity.</w:t>
      </w:r>
    </w:p>
    <w:p>
      <w:pPr>
        <w:spacing w:after="0" w:line="188" w:lineRule="exact"/>
        <w:rPr>
          <w:sz w:val="20"/>
          <w:szCs w:val="20"/>
          <w:color w:val="auto"/>
        </w:rPr>
      </w:pPr>
    </w:p>
    <w:p>
      <w:pPr>
        <w:jc w:val="both"/>
        <w:ind w:left="1" w:firstLine="648"/>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 applied on a retrospective basis and others on a prospective basis. The Company is currently evaluating the impact of ASU No. 2018-13 on its financial position, results of operations and liquidity.</w:t>
      </w:r>
    </w:p>
    <w:p>
      <w:pPr>
        <w:spacing w:after="0" w:line="189"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In January 2017, the FASB issued ASU No. 2017-04, "Intangibles and Other (Topic 350): Simplifying the Test for Goodwill Impairment", which eliminates the requirement to calculate the implied fair value of goodwill, but rather requires an entity to record an</w:t>
      </w:r>
    </w:p>
    <w:p>
      <w:pPr>
        <w:sectPr>
          <w:pgSz w:w="11900" w:h="16838" w:orient="portrait"/>
          <w:cols w:equalWidth="0" w:num="1">
            <w:col w:w="10061"/>
          </w:cols>
          <w:pgMar w:left="919" w:top="661" w:right="9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10" w:name="page11"/>
    <w:bookmarkEnd w:id="10"/>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and results of operations.</w:t>
      </w:r>
    </w:p>
    <w:p>
      <w:pPr>
        <w:spacing w:after="0" w:line="176"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The Company is currently evaluating the impact of ASU No. 2016-13 on its financial position, results of operations and liquidity.</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227"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ASU No. 2018-02 (ASU No. 2018-02), “Income Statement - Reporting Comprehensive Income (Topic 220)”, which amended the previous guidance to allow for certain tax effects “stranded” in accumulated other comprehensive income, which are impacted by the Tax Reform Act signed into law on December 22, 2017, to be reclassified from accumulated other comprehensive income into retained earnings. This amendment pertains only to those items impacted by the new tax law and does not apply to any future tax effects stranded in accumulated other comprehensive income. This standard was effective for fiscal years beginning after December 15, 2018, and allowed for early adoption. The adoption of ASU No. 2018-02 did not have an impact on the Company’s financial position, results of operations and liquidity.</w:t>
      </w:r>
    </w:p>
    <w:p>
      <w:pPr>
        <w:spacing w:after="0" w:line="189" w:lineRule="exact"/>
        <w:rPr>
          <w:sz w:val="20"/>
          <w:szCs w:val="20"/>
          <w:color w:val="auto"/>
        </w:rPr>
      </w:pPr>
    </w:p>
    <w:p>
      <w:pPr>
        <w:jc w:val="both"/>
        <w:ind w:left="1"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No. 2016-02 requires the recognition of lease assets and lease liabilities on the balance sheet for leases classified as operating leases under previous guidance. The accounting for finance leases (capital leases) was substantially unchanged. The original guidance required application on a modified retrospective basis with adjustments to the earliest comparative period presented. In August 2018, the FASB issued ASU No. 2018-11, “Targeted Improvements to ASC 842,” which included an option to not restate comparative periods in transition and elect to use the effective date of ASU No. 2016-02 as the date of initial application, which the Company elected. As a result, the consolidated balance sheet prior to January 1, 2019 was not restated, and continues to be reported under previous guidance that did not require the recognition of operating lease liabilities and corresponding lease assets on the consolidated balance sheet. With the adoption of ASU No. 2016-02 on January 1, 2019, the Company recorded operating lease right-of-use assets of $26.3 million and operating lease liabilities of $22.6 million. The adoption of ASU No. 2016-02 had an immaterial impact on the Company’s condensed consolidated statement of income and condensed consolidated statement of cash flows for the nine-month period ended September 30, 2019. In addition, the Company elected the package of practical expedients permitted under the transition guidance within the new standard, which allowed the Company to carry forward the historical lease classification, not reassess prior conclusions related to expired or existing contracts that are or that contain leases, and not reassess the accounting for initial direct costs. Additional information and disclosures required by ASU No. 2016-02 are contained in Note 4.</w:t>
      </w:r>
    </w:p>
    <w:p>
      <w:pPr>
        <w:spacing w:after="0" w:line="199" w:lineRule="exact"/>
        <w:rPr>
          <w:sz w:val="20"/>
          <w:szCs w:val="20"/>
          <w:color w:val="auto"/>
        </w:rPr>
      </w:pPr>
    </w:p>
    <w:p>
      <w:pPr>
        <w:ind w:left="641" w:hanging="641"/>
        <w:spacing w:after="0"/>
        <w:tabs>
          <w:tab w:leader="none" w:pos="6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ind w:left="1" w:firstLine="648"/>
        <w:spacing w:after="0" w:line="209" w:lineRule="auto"/>
        <w:rPr>
          <w:sz w:val="20"/>
          <w:szCs w:val="20"/>
          <w:color w:val="auto"/>
        </w:rPr>
      </w:pPr>
      <w:r>
        <w:rPr>
          <w:rFonts w:ascii="Times New Roman" w:cs="Times New Roman" w:eastAsia="Times New Roman" w:hAnsi="Times New Roman"/>
          <w:sz w:val="18"/>
          <w:szCs w:val="18"/>
          <w:color w:val="auto"/>
        </w:rPr>
        <w:t>The Company has three operating and reportable segments, (i) Monster Energy® Drinks segment (“Monster Energy® Drinks”), which is primarily comprised of the Company’s Monster Energy® drinks and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w:t>
      </w:r>
    </w:p>
    <w:p>
      <w:pPr>
        <w:spacing w:after="0" w:line="2" w:lineRule="exact"/>
        <w:rPr>
          <w:sz w:val="20"/>
          <w:szCs w:val="20"/>
          <w:color w:val="auto"/>
        </w:rPr>
      </w:pPr>
    </w:p>
    <w:p>
      <w:pPr>
        <w:jc w:val="both"/>
        <w:ind w:left="1" w:hanging="1"/>
        <w:spacing w:after="0" w:line="253"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Brands segment (“Strategic Brands”), which is comprised primarily of the various energy drink brands acquired from The Coca-Cola Company (“TCCC”) in 2015 as well as the Company’s affordable energy brands, and (iii) Other segment (“Other”), which is comprised of certain products sold by American Fruits and Flavors LLC (“AFF”), a wholly-owned subsidiary of the Company, to independent third-party customers (the “AFF Third-Party Products”).</w:t>
      </w:r>
    </w:p>
    <w:p>
      <w:pPr>
        <w:spacing w:after="0" w:line="188"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76"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w:t>
      </w:r>
    </w:p>
    <w:p>
      <w:pPr>
        <w:sectPr>
          <w:pgSz w:w="11900" w:h="16838" w:orient="portrait"/>
          <w:cols w:equalWidth="0" w:num="1">
            <w:col w:w="10061"/>
          </w:cols>
          <w:pgMar w:left="919" w:top="661" w:right="9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drinks are then sold by such bottlers to other bottlers and full service distributors and to retail grocery and specialty chains, wholesalers, club stores, mass merchandisers, convenience chains, foodservice customers, drug stores and the military. To a lesser extent, the Strategic Brands segment generates net operating revenues by selling certain ready-to-drink packaged energy drinks to bottlers and full service beverage distributors.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2019 or December 31, 2018.</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 after manufacture are accounted for within operating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2" w:lineRule="exact"/>
        <w:rPr>
          <w:sz w:val="20"/>
          <w:szCs w:val="20"/>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320" w:hanging="322"/>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20" w:right="20" w:hanging="322"/>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w:t>
      </w:r>
    </w:p>
    <w:p>
      <w:pPr>
        <w:spacing w:after="0" w:line="9" w:lineRule="exact"/>
        <w:rPr>
          <w:rFonts w:ascii="Times New Roman" w:cs="Times New Roman" w:eastAsia="Times New Roman" w:hAnsi="Times New Roman"/>
          <w:sz w:val="18"/>
          <w:szCs w:val="18"/>
          <w:color w:val="auto"/>
        </w:rPr>
      </w:pPr>
    </w:p>
    <w:p>
      <w:pPr>
        <w:ind w:left="1320" w:right="20" w:hanging="322"/>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320" w:right="20" w:hanging="322"/>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20" w:hanging="322"/>
        <w:spacing w:after="0" w:line="255"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paid to TCCC based on the Company’s sales to certain wholly-owned subsidiaries of TCCC (the “TCCC Subsidiaries”) and/or to certain companies accounted for by TCCC under the equity method (“the TCCC Related Parties”).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over 20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rPr>
              <w:t>Three-Months Ended September 30, 2019</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7"/>
                <w:szCs w:val="27"/>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1,061,384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786,522</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195,242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1,133,577</w:t>
            </w: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6"/>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color w:val="auto"/>
                <w:w w:val="99"/>
              </w:rPr>
              <w:t>Three-Months Ended September 30,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7"/>
                <w:szCs w:val="27"/>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764,390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1,016,160</w:t>
            </w: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6"/>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rPr>
              <w:t>Nine-Months Ended September 30,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7"/>
                <w:szCs w:val="27"/>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2,950,877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2,268,183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521,029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262,585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3,183,613</w:t>
            </w: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6"/>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rPr>
              <w:t>Nine-Months Ended September 30,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Canada</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7"/>
                <w:szCs w:val="27"/>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Asia Pacific</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2,150,305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437,390</w:t>
            </w:r>
          </w:p>
        </w:tc>
        <w:tc>
          <w:tcPr>
            <w:tcW w:w="2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103,314</w:t>
            </w:r>
          </w:p>
        </w:tc>
        <w:tc>
          <w:tcPr>
            <w:tcW w:w="24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2,882,953</w:t>
            </w: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r>
        <w:rPr>
          <w:rFonts w:ascii="Times New Roman" w:cs="Times New Roman" w:eastAsia="Times New Roman" w:hAnsi="Times New Roman"/>
          <w:sz w:val="14"/>
          <w:szCs w:val="14"/>
          <w:i w:val="1"/>
          <w:iCs w:val="1"/>
          <w:color w:val="auto"/>
        </w:rPr>
        <w:t>Europe, Middle East and Africa (“EMEA”)</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13" w:name="page14"/>
    <w:bookmarkEnd w:id="13"/>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September 30, 2019, the Company had $335.9 million of deferred revenue, which is included in current and long-term deferred revenue in the Company’s condensed consolidated balance sheet. As of December 31, 2018, the Company had $356.3 million of deferred revenue, which is included in current and long-term deferred revenue in the Company’s condensed consolidated balance sheet. During the three-months ended September 30, 2019 and 2018, $10.7 million and $11.1 million, respectively, of deferred revenue was recognized in net sales. During the nine-months ended September 30, 2019 and 2018, $35.6 million and $33.3 million, respectively, of deferred revenue was recognized in net sales. See Note 11.</w:t>
      </w:r>
    </w:p>
    <w:p>
      <w:pPr>
        <w:spacing w:after="0" w:line="189" w:lineRule="exact"/>
        <w:rPr>
          <w:sz w:val="20"/>
          <w:szCs w:val="20"/>
          <w:color w:val="auto"/>
        </w:rPr>
      </w:pPr>
    </w:p>
    <w:p>
      <w:pPr>
        <w:ind w:left="641" w:hanging="641"/>
        <w:spacing w:after="0"/>
        <w:tabs>
          <w:tab w:leader="none" w:pos="6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based on criteria in Accounting Standards Codification (“ASC”)</w:t>
      </w:r>
    </w:p>
    <w:p>
      <w:pPr>
        <w:spacing w:after="0" w:line="27" w:lineRule="exact"/>
        <w:rPr>
          <w:sz w:val="20"/>
          <w:szCs w:val="20"/>
          <w:color w:val="auto"/>
        </w:rPr>
      </w:pPr>
    </w:p>
    <w:p>
      <w:pPr>
        <w:jc w:val="both"/>
        <w:ind w:left="1" w:hanging="1"/>
        <w:spacing w:after="0" w:line="254" w:lineRule="auto"/>
        <w:tabs>
          <w:tab w:leader="none" w:pos="3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leases are generally comprised of real estate and warehouse equipment, and the Company’s finance leases are generally comprised of vehicles. Operating leases are included in Other Assets, Accrued Liabilities and Other Liabilities in the condensed consolidated balance sheet. Finance leases are included in Property and Equipment and Accrued Liabilities in the condensed consolidated balance sheet.</w:t>
      </w:r>
    </w:p>
    <w:p>
      <w:pPr>
        <w:spacing w:after="0" w:line="186"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Right-of-use (“ROU”) assets and liabilities are recognized at the lease commencement date based on the present value of lease payments over the lease term. As the Company’s leases generally do not provide an implicit rate, the Company uses its incremental borrowing rate based on the information available at the lease commencement date if the implicit rate cannot be determined. ROU assets also include any lease payments made and exclude lease incentives. Lease terms may include options to extend or terminate the lease when it is reasonably certain that the Company will exercise that option.</w:t>
      </w:r>
    </w:p>
    <w:p>
      <w:pPr>
        <w:spacing w:after="0" w:line="184"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the operating expenses, including real estate taxes and insurance, are recorded as a period expense when incurred.</w:t>
      </w:r>
    </w:p>
    <w:p>
      <w:pPr>
        <w:spacing w:after="0" w:line="180"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consisting of lease payments, is recognized on a straight-line basis over the lease term. Included in lease expense are any variable lease payments incurred in the period that were not included in the initial lease liability. Lease expense for finance leases consists of the amortization of the ROU asset on a straight-line basis over the asset’s estimated useful life and interest expense is calculated using the amortized cost basis.</w:t>
      </w:r>
    </w:p>
    <w:p>
      <w:pPr>
        <w:spacing w:after="0" w:line="180"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less than one year to 15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lease cost for the three- and nine-months ended September 30, 2019 was as follows: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Three-Months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Ended September 30,</w:t>
            </w:r>
          </w:p>
        </w:tc>
        <w:tc>
          <w:tcPr>
            <w:tcW w:w="2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cost</w:t>
            </w: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 cost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for leases for the nine-months ended September 30, 2019 was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ROU assets for operating and finance leases at September 30, 2019 were comprised of the following: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r>
    </w:tbl>
    <w:p>
      <w:pPr>
        <w:spacing w:after="0" w:line="1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operating and finance leases at September 30, 2019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10"/>
        </w:trPr>
        <w:tc>
          <w:tcPr>
            <w:tcW w:w="10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3.2 %</w:t>
            </w:r>
          </w:p>
        </w:tc>
        <w:tc>
          <w:tcPr>
            <w:tcW w:w="1000" w:type="dxa"/>
            <w:vAlign w:val="bottom"/>
          </w:tcPr>
          <w:p>
            <w:pPr>
              <w:spacing w:after="0"/>
              <w:rPr>
                <w:sz w:val="20"/>
                <w:szCs w:val="20"/>
                <w:color w:val="auto"/>
              </w:rPr>
            </w:pPr>
          </w:p>
        </w:tc>
      </w:tr>
      <w:tr>
        <w:trPr>
          <w:trHeight w:val="84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61"/>
        </w:trPr>
        <w:tc>
          <w:tcPr>
            <w:tcW w:w="10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661" w:right="9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lease payments for operating and finance leases to the operating and finance leases recorded in the condensed consolidated balance sheet at September 30,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10"/>
        </w:trPr>
        <w:tc>
          <w:tcPr>
            <w:tcW w:w="726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Finance Leases</w:t>
            </w:r>
          </w:p>
        </w:tc>
        <w:tc>
          <w:tcPr>
            <w:tcW w:w="20" w:type="dxa"/>
            <w:vAlign w:val="bottom"/>
          </w:tcPr>
          <w:p>
            <w:pPr>
              <w:spacing w:after="0"/>
              <w:rPr>
                <w:sz w:val="18"/>
                <w:szCs w:val="18"/>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the nine-months ended September 30, 2019)</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Pr>
          <w:p>
            <w:pPr>
              <w:spacing w:after="0"/>
              <w:rPr>
                <w:sz w:val="18"/>
                <w:szCs w:val="18"/>
                <w:color w:val="auto"/>
              </w:rPr>
            </w:pPr>
          </w:p>
        </w:tc>
      </w:tr>
      <w:tr>
        <w:trPr>
          <w:trHeight w:val="216"/>
        </w:trPr>
        <w:tc>
          <w:tcPr>
            <w:tcW w:w="7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0"/>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 w:type="dxa"/>
            <w:vAlign w:val="bottom"/>
          </w:tcPr>
          <w:p>
            <w:pPr>
              <w:spacing w:after="0"/>
              <w:rPr>
                <w:sz w:val="18"/>
                <w:szCs w:val="18"/>
                <w:color w:val="auto"/>
              </w:rPr>
            </w:pP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did not have any significant additional operating or finance leases that have not yet commenced.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future minimum operating lease commitments, as of December 31, 2018, under ASC 840, the predecessor to ASC 842,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38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661" w:right="919" w:bottom="1440" w:gutter="0" w:footer="0" w:header="0"/>
        </w:sectPr>
      </w:pPr>
    </w:p>
    <w:bookmarkStart w:id="16" w:name="page17"/>
    <w:bookmarkEnd w:id="16"/>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hanging="641"/>
        <w:spacing w:after="0"/>
        <w:tabs>
          <w:tab w:leader="none" w:pos="6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rFonts w:ascii="Times New Roman" w:cs="Times New Roman" w:eastAsia="Times New Roman" w:hAnsi="Times New Roman"/>
          <w:sz w:val="18"/>
          <w:szCs w:val="18"/>
          <w:color w:val="auto"/>
        </w:rPr>
      </w:pPr>
    </w:p>
    <w:p>
      <w:pPr>
        <w:ind w:left="6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22"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Gross</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7"/>
              </w:rPr>
              <w:t>Gross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Continuous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Continuous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Amortized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2"/>
                <w:szCs w:val="12"/>
                <w:color w:val="auto"/>
              </w:rPr>
            </w:pPr>
          </w:p>
        </w:tc>
        <w:tc>
          <w:tcPr>
            <w:tcW w:w="7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7"/>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Loss Position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Loss Position</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September 30, 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Holding</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Holding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less than 12</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12</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Gains</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81,869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81,869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Certificates of deposit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treasuries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294,099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Variable rate demand notes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treasuries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601,447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601,726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Gross</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7"/>
              </w:rPr>
              <w:t>Gross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Continuous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Continuous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Amortized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2"/>
                <w:szCs w:val="12"/>
                <w:color w:val="auto"/>
              </w:rPr>
            </w:pPr>
          </w:p>
        </w:tc>
        <w:tc>
          <w:tcPr>
            <w:tcW w:w="7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7"/>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Loss Position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Loss Position</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Holding</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Holding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less than 12</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12</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Gains</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52,838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52,838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Certificates of deposit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treasuries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Variable rate demand notes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320,740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320,650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During the nine-months ended September 30, 2019 and 2018, realized gains or losses recognized on the sale of investments were not significant.</w:t>
      </w:r>
    </w:p>
    <w:p>
      <w:pPr>
        <w:spacing w:after="0" w:line="162" w:lineRule="exact"/>
        <w:rPr>
          <w:sz w:val="20"/>
          <w:szCs w:val="20"/>
          <w:color w:val="auto"/>
        </w:rPr>
      </w:pPr>
    </w:p>
    <w:p>
      <w:pPr>
        <w:jc w:val="both"/>
        <w:ind w:left="1" w:firstLine="648"/>
        <w:spacing w:after="0" w:line="256" w:lineRule="auto"/>
        <w:rPr>
          <w:sz w:val="20"/>
          <w:szCs w:val="20"/>
          <w:color w:val="auto"/>
        </w:rPr>
      </w:pPr>
      <w:r>
        <w:rPr>
          <w:rFonts w:ascii="Times New Roman" w:cs="Times New Roman" w:eastAsia="Times New Roman" w:hAnsi="Times New Roman"/>
          <w:sz w:val="18"/>
          <w:szCs w:val="18"/>
          <w:color w:val="auto"/>
        </w:rPr>
        <w:t>The Company’s investments at September 30, 2019 and December 31, 2018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17" w:name="page18"/>
    <w:bookmarkEnd w:id="17"/>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2019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10"/>
        </w:trPr>
        <w:tc>
          <w:tcPr>
            <w:tcW w:w="46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81,869</w:t>
            </w:r>
          </w:p>
        </w:tc>
        <w:tc>
          <w:tcPr>
            <w:tcW w:w="5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w:t>
            </w: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151,644</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w:t>
            </w: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11 - 20 years: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21 - 30 years: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33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31 - 40 years:</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6"/>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601,726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320,740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320,650</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41" w:hanging="641"/>
        <w:spacing w:after="0"/>
        <w:tabs>
          <w:tab w:leader="none" w:pos="6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0" w:lineRule="exact"/>
        <w:rPr>
          <w:sz w:val="20"/>
          <w:szCs w:val="20"/>
          <w:color w:val="auto"/>
        </w:rPr>
      </w:pPr>
    </w:p>
    <w:p>
      <w:pPr>
        <w:ind w:left="681" w:hanging="330"/>
        <w:spacing w:after="0"/>
        <w:tabs>
          <w:tab w:leader="none" w:pos="6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1" w:hanging="330"/>
        <w:spacing w:after="0" w:line="268" w:lineRule="auto"/>
        <w:tabs>
          <w:tab w:leader="none" w:pos="6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1" w:right="20" w:hanging="330"/>
        <w:spacing w:after="0" w:line="286" w:lineRule="auto"/>
        <w:tabs>
          <w:tab w:leader="none" w:pos="6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left="1"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2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557,925</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69,362</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95,972</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159,884</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314,441</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4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627,287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692,086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1,319,373</w:t>
            </w:r>
          </w:p>
        </w:tc>
      </w:tr>
      <w:tr>
        <w:trPr>
          <w:trHeight w:val="197"/>
        </w:trPr>
        <w:tc>
          <w:tcPr>
            <w:tcW w:w="4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included in: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627,287</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90,330</w:t>
            </w:r>
          </w:p>
        </w:tc>
        <w:tc>
          <w:tcPr>
            <w:tcW w:w="120" w:type="dxa"/>
            <w:vAlign w:val="bottom"/>
          </w:tcPr>
          <w:p>
            <w:pPr>
              <w:spacing w:after="0"/>
              <w:rPr>
                <w:sz w:val="18"/>
                <w:szCs w:val="18"/>
                <w:color w:val="auto"/>
              </w:rPr>
            </w:pPr>
          </w:p>
        </w:tc>
        <w:tc>
          <w:tcPr>
            <w:tcW w:w="1020" w:type="dxa"/>
            <w:vAlign w:val="bottom"/>
            <w:gridSpan w:val="2"/>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717,617</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587,356</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4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1,319,373</w:t>
            </w: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393,936</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191,358</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177,118</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78,157</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0"/>
        </w:trPr>
        <w:tc>
          <w:tcPr>
            <w:tcW w:w="4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585,294</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1"/>
                <w:szCs w:val="2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957,671</w:t>
            </w:r>
          </w:p>
        </w:tc>
      </w:tr>
      <w:tr>
        <w:trPr>
          <w:trHeight w:val="197"/>
        </w:trPr>
        <w:tc>
          <w:tcPr>
            <w:tcW w:w="4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included in: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585,294</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120" w:type="dxa"/>
            <w:vAlign w:val="bottom"/>
          </w:tcPr>
          <w:p>
            <w:pPr>
              <w:spacing w:after="0"/>
              <w:rPr>
                <w:sz w:val="18"/>
                <w:szCs w:val="18"/>
                <w:color w:val="auto"/>
              </w:rPr>
            </w:pPr>
          </w:p>
        </w:tc>
        <w:tc>
          <w:tcPr>
            <w:tcW w:w="1020" w:type="dxa"/>
            <w:vAlign w:val="bottom"/>
            <w:gridSpan w:val="2"/>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637,513</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320,650</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38"/>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29"/>
                <w:szCs w:val="29"/>
                <w:color w:val="auto"/>
                <w:w w:val="98"/>
              </w:rPr>
              <w:t>(535)</w:t>
            </w:r>
          </w:p>
        </w:tc>
      </w:tr>
      <w:tr>
        <w:trPr>
          <w:trHeight w:val="21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585,294</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957,671</w:t>
            </w: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the Company’s short-term and long-term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2019 or during the year-ended December 31, 2018, and there were no changes in the Company’s valuation techniques.</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19" w:name="page20"/>
    <w:bookmarkEnd w:id="19"/>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hanging="641"/>
        <w:spacing w:after="0"/>
        <w:tabs>
          <w:tab w:leader="none" w:pos="6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left="1"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three- and nine-months ended September 30, 2019 and the year-ended December 31, 2018,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2019 have terms of one month or less. The Company does not enter into forward currency exchange contracts for speculation or trading purposes.</w:t>
      </w:r>
    </w:p>
    <w:p>
      <w:pPr>
        <w:spacing w:after="0" w:line="188"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176"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 and fair value of all outstanding foreign currency derivative instruments in the condensed consolidated balance sheets consist of the following at: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91"/>
        </w:trPr>
        <w:tc>
          <w:tcPr>
            <w:tcW w:w="3920" w:type="dxa"/>
            <w:vAlign w:val="bottom"/>
            <w:tcBorders>
              <w:top w:val="single" w:sz="8" w:color="auto"/>
            </w:tcBorders>
          </w:tcPr>
          <w:p>
            <w:pPr>
              <w:jc w:val="center"/>
              <w:ind w:left="890"/>
              <w:spacing w:after="0" w:line="191" w:lineRule="exact"/>
              <w:rPr>
                <w:sz w:val="20"/>
                <w:szCs w:val="20"/>
                <w:color w:val="auto"/>
              </w:rPr>
            </w:pPr>
            <w:r>
              <w:rPr>
                <w:rFonts w:ascii="Times New Roman" w:cs="Times New Roman" w:eastAsia="Times New Roman" w:hAnsi="Times New Roman"/>
                <w:sz w:val="18"/>
                <w:szCs w:val="18"/>
                <w:color w:val="auto"/>
                <w:w w:val="99"/>
              </w:rPr>
              <w:t>Derivatives not designated as</w:t>
            </w: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39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Fair</w:t>
            </w:r>
          </w:p>
        </w:tc>
        <w:tc>
          <w:tcPr>
            <w:tcW w:w="2000" w:type="dxa"/>
            <w:vAlign w:val="bottom"/>
          </w:tcPr>
          <w:p>
            <w:pPr>
              <w:spacing w:after="0"/>
              <w:rPr>
                <w:sz w:val="18"/>
                <w:szCs w:val="18"/>
                <w:color w:val="auto"/>
              </w:rPr>
            </w:pPr>
          </w:p>
        </w:tc>
      </w:tr>
      <w:tr>
        <w:trPr>
          <w:trHeight w:val="234"/>
        </w:trPr>
        <w:tc>
          <w:tcPr>
            <w:tcW w:w="39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ASC 815-20</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Value</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GBP</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AUD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COP</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ZAR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NZD</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EUR/pay USD</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34"/>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SGD</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427"/>
        </w:trPr>
        <w:tc>
          <w:tcPr>
            <w:tcW w:w="3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December 31, 2018</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191"/>
        </w:trPr>
        <w:tc>
          <w:tcPr>
            <w:tcW w:w="3920" w:type="dxa"/>
            <w:vAlign w:val="bottom"/>
          </w:tcPr>
          <w:p>
            <w:pPr>
              <w:jc w:val="center"/>
              <w:ind w:left="890"/>
              <w:spacing w:after="0" w:line="191" w:lineRule="exact"/>
              <w:rPr>
                <w:sz w:val="20"/>
                <w:szCs w:val="20"/>
                <w:color w:val="auto"/>
              </w:rPr>
            </w:pPr>
            <w:r>
              <w:rPr>
                <w:rFonts w:ascii="Times New Roman" w:cs="Times New Roman" w:eastAsia="Times New Roman" w:hAnsi="Times New Roman"/>
                <w:sz w:val="18"/>
                <w:szCs w:val="18"/>
                <w:color w:val="auto"/>
                <w:w w:val="99"/>
              </w:rPr>
              <w:t>Derivatives not designated as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6"/>
        </w:trPr>
        <w:tc>
          <w:tcPr>
            <w:tcW w:w="39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hedging instruments under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Fair</w:t>
            </w:r>
          </w:p>
        </w:tc>
        <w:tc>
          <w:tcPr>
            <w:tcW w:w="2000" w:type="dxa"/>
            <w:vAlign w:val="bottom"/>
          </w:tcPr>
          <w:p>
            <w:pPr>
              <w:spacing w:after="0"/>
              <w:rPr>
                <w:sz w:val="18"/>
                <w:szCs w:val="18"/>
                <w:color w:val="auto"/>
              </w:rPr>
            </w:pPr>
          </w:p>
        </w:tc>
      </w:tr>
      <w:tr>
        <w:trPr>
          <w:trHeight w:val="234"/>
        </w:trPr>
        <w:tc>
          <w:tcPr>
            <w:tcW w:w="39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ASC 815-20</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Value</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SGD/pay USD</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338"/>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NOK/pay USD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3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GBP</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AUD</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ZAR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COP</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USD/pay NZD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USD/pay EUR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r>
    </w:tbl>
    <w:p>
      <w:pPr>
        <w:spacing w:after="0" w:line="200" w:lineRule="exact"/>
        <w:rPr>
          <w:sz w:val="20"/>
          <w:szCs w:val="20"/>
          <w:color w:val="auto"/>
        </w:rPr>
      </w:pPr>
    </w:p>
    <w:p>
      <w:pPr>
        <w:sectPr>
          <w:pgSz w:w="11900" w:h="16838" w:orient="portrait"/>
          <w:cols w:equalWidth="0" w:num="1">
            <w:col w:w="10061"/>
          </w:cols>
          <w:pgMar w:left="919" w:top="661" w:right="9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20" w:name="page21"/>
    <w:bookmarkEnd w:id="20"/>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net gains on derivative instruments in the condensed consolidated statements of income were as follows:</w:t>
      </w: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Amount of gain</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4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3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Location of gain</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derivatives</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33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rPr>
              <w:t>recognized in income on</w:t>
            </w:r>
          </w:p>
        </w:tc>
        <w:tc>
          <w:tcPr>
            <w:tcW w:w="140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1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ASC 815-20</w:t>
            </w: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derivatives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1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Amount of gain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4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3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Location of gain</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derivatives</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Nine-months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33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rPr>
              <w:t>recognized in income on</w:t>
            </w:r>
          </w:p>
        </w:tc>
        <w:tc>
          <w:tcPr>
            <w:tcW w:w="140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1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ASC 815-20</w:t>
            </w: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derivatives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1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1" w:hanging="641"/>
        <w:spacing w:after="0"/>
        <w:tabs>
          <w:tab w:leader="none" w:pos="6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94,421</w:t>
            </w:r>
          </w:p>
        </w:tc>
      </w:tr>
      <w:tr>
        <w:trPr>
          <w:trHeight w:val="216"/>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183,284</w:t>
            </w:r>
          </w:p>
        </w:tc>
      </w:tr>
      <w:tr>
        <w:trPr>
          <w:trHeight w:val="210"/>
        </w:trPr>
        <w:tc>
          <w:tcPr>
            <w:tcW w:w="7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317,745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277,705</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9.</w:t>
            </w: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44,261</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183,727</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115,242</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w:t>
            </w:r>
          </w:p>
        </w:tc>
      </w:tr>
      <w:tr>
        <w:trPr>
          <w:trHeight w:val="210"/>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417,092</w:t>
            </w: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(174,041)</w:t>
            </w:r>
          </w:p>
        </w:tc>
      </w:tr>
      <w:tr>
        <w:trPr>
          <w:trHeight w:val="210"/>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243,051</w:t>
            </w:r>
          </w:p>
        </w:tc>
      </w:tr>
      <w:tr>
        <w:trPr>
          <w:trHeight w:val="20"/>
        </w:trPr>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recorded was $11.6 million and $11.3 million for the three-months ended September 30, 2019 and 2018, respectively. Total depreciation and amortization expense recorded was $36.3 million and $33.5 million for the nine-months ended September 30, 2019 and 2018, respectively.</w:t>
      </w:r>
    </w:p>
    <w:p>
      <w:pPr>
        <w:sectPr>
          <w:pgSz w:w="11900" w:h="16838" w:orient="portrait"/>
          <w:cols w:equalWidth="0" w:num="1">
            <w:col w:w="10061"/>
          </w:cols>
          <w:pgMar w:left="919"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21" w:name="page22"/>
    <w:bookmarkEnd w:id="21"/>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21" w:hanging="621"/>
        <w:spacing w:after="0"/>
        <w:tabs>
          <w:tab w:leader="none" w:pos="6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goodwill for the nine-months ended September 30, 2019 and September 30, 2018 by reportable segment:</w:t>
      </w:r>
    </w:p>
    <w:p>
      <w:pPr>
        <w:spacing w:after="0" w:line="175" w:lineRule="exact"/>
        <w:rPr>
          <w:sz w:val="20"/>
          <w:szCs w:val="20"/>
          <w:color w:val="auto"/>
        </w:rPr>
      </w:pPr>
    </w:p>
    <w:tbl>
      <w:tblPr>
        <w:tblLayout w:type="fixed"/>
        <w:tblInd w:w="641"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Monster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71"/>
              <w:spacing w:after="0" w:line="216" w:lineRule="exact"/>
              <w:rPr>
                <w:sz w:val="20"/>
                <w:szCs w:val="20"/>
                <w:color w:val="auto"/>
              </w:rPr>
            </w:pPr>
            <w:r>
              <w:rPr>
                <w:rFonts w:ascii="Times New Roman" w:cs="Times New Roman" w:eastAsia="Times New Roman" w:hAnsi="Times New Roman"/>
                <w:sz w:val="17"/>
                <w:szCs w:val="17"/>
                <w:color w:val="auto"/>
              </w:rPr>
              <w:t>Energy</w:t>
            </w:r>
            <w:r>
              <w:rPr>
                <w:rFonts w:ascii="Times New Roman" w:cs="Times New Roman" w:eastAsia="Times New Roman" w:hAnsi="Times New Roman"/>
                <w:sz w:val="25"/>
                <w:szCs w:val="25"/>
                <w:color w:val="auto"/>
                <w:vertAlign w:val="superscript"/>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Drinks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Monster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71"/>
              <w:spacing w:after="0" w:line="216" w:lineRule="exact"/>
              <w:rPr>
                <w:sz w:val="20"/>
                <w:szCs w:val="20"/>
                <w:color w:val="auto"/>
              </w:rPr>
            </w:pPr>
            <w:r>
              <w:rPr>
                <w:rFonts w:ascii="Times New Roman" w:cs="Times New Roman" w:eastAsia="Times New Roman" w:hAnsi="Times New Roman"/>
                <w:sz w:val="17"/>
                <w:szCs w:val="17"/>
                <w:color w:val="auto"/>
              </w:rPr>
              <w:t>Energy</w:t>
            </w:r>
            <w:r>
              <w:rPr>
                <w:rFonts w:ascii="Times New Roman" w:cs="Times New Roman" w:eastAsia="Times New Roman" w:hAnsi="Times New Roman"/>
                <w:sz w:val="25"/>
                <w:szCs w:val="25"/>
                <w:color w:val="auto"/>
                <w:vertAlign w:val="superscript"/>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Drinks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66,952</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(46,227)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1,026,748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1,012,839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1,047,473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1,045,878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$2.9 million and $3.0 million for the three-months ended September 30, 2019 and 2018, respectively. Total amortization expense recorded was $8.7 million and $9.0 million for the nine-months ended September 30, 2019 and 2018, respectively.</w:t>
      </w:r>
    </w:p>
    <w:p>
      <w:pPr>
        <w:spacing w:after="0" w:line="184"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September 30, 2019:</w:t>
      </w:r>
    </w:p>
    <w:p>
      <w:pPr>
        <w:spacing w:after="0" w:line="257"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the nine-months ended September 30, 2019)</w:t>
            </w:r>
          </w:p>
        </w:tc>
        <w:tc>
          <w:tcPr>
            <w:tcW w:w="15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1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0"/>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r>
      <w:tr>
        <w:trPr>
          <w:trHeight w:val="459"/>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11</w:t>
            </w:r>
            <w:r>
              <w:rPr>
                <w:rFonts w:ascii="Times New Roman" w:cs="Times New Roman" w:eastAsia="Times New Roman" w:hAnsi="Times New Roman"/>
                <w:sz w:val="18"/>
                <w:szCs w:val="18"/>
                <w:color w:val="auto"/>
                <w:w w:val="89"/>
              </w:rPr>
              <w:t>.</w:t>
            </w: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DISTRIBUTION AGREEMENTS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92"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420, the Company expenses distributor termination costs in the period in which the written notification of termination occurs. The Company incurred no termination costs during the three-months ended September 30, 2019. The Company incurred termination costs of $14.1 million for the three-months ended September 30, 2018. The Company incurred termination costs of $11.0 million and $26.6 million for the nine-months ended September 30, 2019 and 2018, respectively.</w:t>
      </w:r>
    </w:p>
    <w:p>
      <w:pPr>
        <w:sectPr>
          <w:pgSz w:w="11900" w:h="16838" w:orient="portrait"/>
          <w:cols w:equalWidth="0" w:num="1">
            <w:col w:w="10061"/>
          </w:cols>
          <w:pgMar w:left="919" w:top="661" w:right="9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22" w:name="page23"/>
    <w:bookmarkEnd w:id="22"/>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$10.7 million and $11.1 million for the three-months ended September 30, 2019 and 2018, respectively. Revenue recognized was $35.6 million and $33.3 million for the nine-months ended September 30, 2019 and 2018, respectively.</w:t>
      </w:r>
    </w:p>
    <w:p>
      <w:pPr>
        <w:spacing w:after="0" w:line="184" w:lineRule="exact"/>
        <w:rPr>
          <w:sz w:val="20"/>
          <w:szCs w:val="20"/>
          <w:color w:val="auto"/>
        </w:rPr>
      </w:pPr>
    </w:p>
    <w:p>
      <w:pPr>
        <w:ind w:left="621" w:hanging="621"/>
        <w:spacing w:after="0"/>
        <w:tabs>
          <w:tab w:leader="none" w:pos="6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$29.3 million at September 30, 2019, which represented commitments made by the Company and its subsidiaries to various suppliers of raw materials for the production of its products. These obligations vary in terms, but are generally satisfied within one year.</w:t>
      </w:r>
    </w:p>
    <w:p>
      <w:pPr>
        <w:spacing w:after="0" w:line="176"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$171.6 million at September 30, 2019, which related primarily to sponsorships and other marketing activities.</w:t>
      </w:r>
    </w:p>
    <w:p>
      <w:pPr>
        <w:spacing w:after="0" w:line="162"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In February 2018, the working capital line limit for the Company's credit facility with HSBC Bank (China) Company Limited, Shanghai Branch, was increased from $9.0 million to $15.0 million. At September 30, 2019, the interest rate on borrowings under the line of credit was 5.5%. As of September 30, 2019, the Company had no amounts outstanding on this line of credit.</w:t>
      </w:r>
    </w:p>
    <w:p>
      <w:pPr>
        <w:spacing w:after="0" w:line="176"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September 30, 2019, the Company entered into an agreement to acquire a manufacturing plant and adjoining land in Athy, County Kildare, Ireland for a purchase price of $12.0 million, of which an initial $1.2 million was paid in October 2019. The acquisition of the facility is expected to close in late December 2019. The Company intends to utilize the facility to produce and supply ingredients for certain of its international markets.</w:t>
      </w:r>
    </w:p>
    <w:p>
      <w:pPr>
        <w:spacing w:after="0" w:line="180"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In addition, during the three-months ended September 30, 2019, the Company entered into an agreement to purchase approximately 7.66 acres of land in San Fernando, California for a purchase price of $33.7 million. The Company intends to construct a new production facility on such land in order to consolidate AFF’s operations into a single location. The full purchase price was paid in October 2019.</w:t>
      </w:r>
    </w:p>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3" w:lineRule="exact"/>
        <w:rPr>
          <w:sz w:val="20"/>
          <w:szCs w:val="20"/>
          <w:color w:val="auto"/>
        </w:rPr>
      </w:pPr>
    </w:p>
    <w:p>
      <w:pPr>
        <w:jc w:val="both"/>
        <w:ind w:left="1"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currently a defendant in a number of personal injury lawsuits, claiming that the death or other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82"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0"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2019, the Company’s condensed consolidated balance sheet included accrued loss contingencies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23" w:name="page24"/>
    <w:bookmarkEnd w:id="23"/>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21" w:hanging="621"/>
        <w:spacing w:after="0"/>
        <w:tabs>
          <w:tab w:leader="none" w:pos="6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ind w:left="1"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after tax, for the nine-months ended September 30, 2019 and 2018 are as follows: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(Gains) Losses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Translation</w:t>
            </w:r>
          </w:p>
        </w:tc>
        <w:tc>
          <w:tcPr>
            <w:tcW w:w="24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on Available-for-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Sale Securities</w:t>
            </w: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198"/>
        </w:trPr>
        <w:tc>
          <w:tcPr>
            <w:tcW w:w="51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(Gains) Losses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Translation</w:t>
            </w:r>
          </w:p>
        </w:tc>
        <w:tc>
          <w:tcPr>
            <w:tcW w:w="24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on Available-for-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Sale Securities</w:t>
            </w: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198"/>
        </w:trPr>
        <w:tc>
          <w:tcPr>
            <w:tcW w:w="51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 w:type="dxa"/>
            <w:vAlign w:val="bottom"/>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On August 7, 2018, the Company's Board of Directors authorized a share repurchase program for the purchase of up to $500.0 million of the Company's outstanding common stock (the “August 2018 Repurchase Plan”). During the three-months ended September 30, 2019, the Company purchased 0.4 million shares of common stock at an average purchase price of $58.32 per share, for a total amount of $20.6 million (excluding broker commissions), which exhausted the availability under the August 2018 Repurchase Plan. Such shares are included in common stock in treasury in the accompanying condensed consolidated balance sheet at September 30, 2019.</w:t>
      </w:r>
    </w:p>
    <w:p>
      <w:pPr>
        <w:spacing w:after="0" w:line="184" w:lineRule="exact"/>
        <w:rPr>
          <w:sz w:val="20"/>
          <w:szCs w:val="20"/>
          <w:color w:val="auto"/>
        </w:rPr>
      </w:pPr>
    </w:p>
    <w:p>
      <w:pPr>
        <w:jc w:val="both"/>
        <w:ind w:left="1" w:firstLine="648"/>
        <w:spacing w:after="0" w:line="256" w:lineRule="auto"/>
        <w:rPr>
          <w:sz w:val="20"/>
          <w:szCs w:val="20"/>
          <w:color w:val="auto"/>
        </w:rPr>
      </w:pPr>
      <w:r>
        <w:rPr>
          <w:rFonts w:ascii="Times New Roman" w:cs="Times New Roman" w:eastAsia="Times New Roman" w:hAnsi="Times New Roman"/>
          <w:sz w:val="18"/>
          <w:szCs w:val="18"/>
          <w:color w:val="auto"/>
        </w:rPr>
        <w:t>On February 26, 2019, the Company’s Board of Directors authorized a new share repurchase program for the purchase of up to $500.0 million of the Company’s outstanding common stock (the “February 2019 Repurchase Plan”). During the three-months ended September 30, 2019, the Company purchased 4.0 million shares of common stock at an average purchase price of $58.62 per share, for a total amount of $233.7 million (excluding broker commissions), under the February 2019 Repurchase Plan. Such shares are included in common stock in treasury in the accompanying condensed consolidated balance sheet at September 30, 2019. As of November 6, 2019, $36.6 million remained available for repurchase under the February 2019 Repurchase Plan.</w:t>
      </w:r>
    </w:p>
    <w:p>
      <w:pPr>
        <w:spacing w:after="0" w:line="188"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September 30, 2019, no shares of common stock were purchased from employees in lieu of cash payments for options exercised or withholding taxes due.</w:t>
      </w:r>
    </w:p>
    <w:p>
      <w:pPr>
        <w:spacing w:after="0" w:line="162" w:lineRule="exact"/>
        <w:rPr>
          <w:sz w:val="20"/>
          <w:szCs w:val="20"/>
          <w:color w:val="auto"/>
        </w:rPr>
      </w:pPr>
    </w:p>
    <w:p>
      <w:pPr>
        <w:ind w:left="621" w:hanging="621"/>
        <w:spacing w:after="0"/>
        <w:tabs>
          <w:tab w:leader="none" w:pos="6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September 30, 2019: the Monster Beverage Corporation 2011 Omnibus Incentive Plan, including the Monster Beverage Corporation Deferred Compensation Plan as a sub plan thereunder, and the Monster Beverage Corporation 2017 Compensation Plan for Non-Employee Directors, including the Monster Beverage Corporation Deferred Compensation Plan for Non-Employee Directors as a sub plan thereunder.</w:t>
      </w:r>
    </w:p>
    <w:p>
      <w:pPr>
        <w:sectPr>
          <w:pgSz w:w="11900" w:h="16838" w:orient="portrait"/>
          <w:cols w:equalWidth="0" w:num="1">
            <w:col w:w="10061"/>
          </w:cols>
          <w:pgMar w:left="919" w:top="661" w:right="9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$16.0 million and $14.1 million of compensation expense relating to outstanding options and restricted stock units during the three-months ended September 30, 2019 and 2018, respectively. The Company recorded $46.9 million and $42.4 million of compensation expense relating to outstanding options and restricted stock units during the nine-months ended September 30, 2019 and 2018,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for the three-months ended September 30, 2019 and 2018 was $0.5 million and $3.1 million, respectively. The tax benefit for tax deductions from non-qualified stock option exercises, disqualifying dispositions of incentive stock options and vesting of restricted stock units for the nine-months ended September 30, 2019 and 2018 was $26.7 million and $7.7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September 30, 2019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1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Three-Months Ended September 30,</w:t>
            </w:r>
          </w:p>
        </w:tc>
        <w:tc>
          <w:tcPr>
            <w:tcW w:w="30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Nine-Months Ended September 30,</w:t>
            </w:r>
          </w:p>
        </w:tc>
      </w:tr>
      <w:tr>
        <w:trPr>
          <w:trHeight w:val="210"/>
        </w:trPr>
        <w:tc>
          <w:tcPr>
            <w:tcW w:w="186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18"/>
                <w:szCs w:val="18"/>
                <w:color w:val="auto"/>
              </w:rPr>
            </w:pP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30.2 %</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34.5 %</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30.2 %</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34.9 %</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1.4 %</w:t>
            </w:r>
          </w:p>
        </w:tc>
        <w:tc>
          <w:tcPr>
            <w:tcW w:w="1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2.9 %</w:t>
            </w:r>
          </w:p>
        </w:tc>
        <w:tc>
          <w:tcPr>
            <w:tcW w:w="1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2.4 %</w:t>
            </w:r>
          </w:p>
        </w:tc>
        <w:tc>
          <w:tcPr>
            <w:tcW w:w="1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2.8 %</w:t>
            </w:r>
          </w:p>
        </w:tc>
      </w:tr>
      <w:tr>
        <w:trPr>
          <w:trHeight w:val="234"/>
        </w:trPr>
        <w:tc>
          <w:tcPr>
            <w:tcW w:w="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years</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years</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(in</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Price Per</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Term (In</w:t>
            </w: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Share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years)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303,627</w:t>
            </w:r>
          </w:p>
        </w:tc>
      </w:tr>
      <w:tr>
        <w:trPr>
          <w:trHeight w:val="216"/>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 01/01/19 - 03/31/19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 04/01/19 - 06/30/19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 07/01/19 - 09/30/19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Cancelled or forfeited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237,041</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September 30, 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233,489</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188,583</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September 30, 2019 and 2018 was $18.32 per share and $22.80 per share, respectively. The weighted-average grant-date fair value of options granted during the nine-months ended September 30, 2019 and 2018 was $20.24 per share and $22.51 per share,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September 30, 2019 and 2018 was $2.4 million and $19.2 million, respectively. The total intrinsic value of options exercised during the nine-months ended September 30, 2019 and 2018 was $213.8 million and $52.1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September 30, 2019 and 2018 was $4.1 million and $10.9 million, respectively. Cash received from option exercises under all plans for the nine-months ended September 30, 2019 and 2018 was $85.2 million and $24.5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2019, there was $90.4 million of total unrecognized compensation expense related to non-vested options granted to employees under the Company’s stock-based payment plans. That cost is expected to be recognized over a weighted-average period of 2.5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26" w:name="page27"/>
    <w:bookmarkEnd w:id="26"/>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as follows:</w:t>
      </w:r>
    </w:p>
    <w:p>
      <w:pPr>
        <w:spacing w:after="0" w:line="239" w:lineRule="exact"/>
        <w:rPr>
          <w:sz w:val="20"/>
          <w:szCs w:val="20"/>
          <w:color w:val="auto"/>
        </w:rPr>
      </w:pPr>
    </w:p>
    <w:tbl>
      <w:tblPr>
        <w:tblLayout w:type="fixed"/>
        <w:tblInd w:w="1001"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Grant-Date</w:t>
            </w:r>
          </w:p>
        </w:tc>
      </w:tr>
      <w:tr>
        <w:trPr>
          <w:trHeight w:val="234"/>
        </w:trPr>
        <w:tc>
          <w:tcPr>
            <w:tcW w:w="20" w:type="dxa"/>
            <w:vAlign w:val="bottom"/>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 01/01/19 - 03/31/19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Granted 04/01/19 - 06/30/19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 07/01/19 - 09/30/19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three-months ended September 30, 2019 and 2018 was $66.00 per share and $58.72 per share, respectively. The weighted-average grant-date fair value of restricted stock units granted during the nine-months ended September 30, 2019 and 2018 was $59.79 per share and $57.59 per share, respectively. As of September 30, 2019, 0.7 million of restricted stock units are expected to vest over their respective terms.</w:t>
      </w:r>
    </w:p>
    <w:p>
      <w:pPr>
        <w:spacing w:after="0" w:line="180"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At September 30, 2019, total unrecognized compensation expense relating to non-vested restricted stock units was $33.4 million, which is expected to be recognized over a weighted-average period of 2.9 years.</w:t>
      </w:r>
    </w:p>
    <w:p>
      <w:pPr>
        <w:spacing w:after="0" w:line="162" w:lineRule="exact"/>
        <w:rPr>
          <w:sz w:val="20"/>
          <w:szCs w:val="20"/>
          <w:color w:val="auto"/>
        </w:rPr>
      </w:pPr>
    </w:p>
    <w:p>
      <w:pPr>
        <w:ind w:left="621" w:hanging="621"/>
        <w:spacing w:after="0"/>
        <w:tabs>
          <w:tab w:leader="none" w:pos="6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nine-months ended September 30, 2019:</w:t>
      </w:r>
    </w:p>
    <w:p>
      <w:pPr>
        <w:spacing w:after="0" w:line="175" w:lineRule="exact"/>
        <w:rPr>
          <w:sz w:val="20"/>
          <w:szCs w:val="20"/>
          <w:color w:val="auto"/>
        </w:rPr>
      </w:pPr>
    </w:p>
    <w:tbl>
      <w:tblPr>
        <w:tblLayout w:type="fixed"/>
        <w:tblInd w:w="1001"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 Unrecognized Tax</w:t>
            </w: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Benefits</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related to settlement with taxing authority</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September 30, 2019, the Company had approximately $1.4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4"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176"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including Revenue Commissioners, Her Majesty’s Revenue and Customs, among others. The Company’s 2014 through 2018 U.S. federal income tax returns are subject to examination by the IRS. The Company’s state income tax returns are subject to examination for the 2014 through 2018 tax years.</w:t>
      </w:r>
    </w:p>
    <w:p>
      <w:pPr>
        <w:sectPr>
          <w:pgSz w:w="11900" w:h="16838" w:orient="portrait"/>
          <w:cols w:equalWidth="0" w:num="1">
            <w:col w:w="10061"/>
          </w:cols>
          <w:pgMar w:left="919"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type w:val="continuous"/>
        </w:sectPr>
      </w:pPr>
    </w:p>
    <w:bookmarkStart w:id="27" w:name="page28"/>
    <w:bookmarkEnd w:id="27"/>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left="621" w:hanging="621"/>
        <w:spacing w:after="0"/>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Three-Months Ended</w:t>
            </w:r>
          </w:p>
        </w:tc>
        <w:tc>
          <w:tcPr>
            <w:tcW w:w="24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040" w:type="dxa"/>
            <w:vAlign w:val="bottom"/>
          </w:tcPr>
          <w:p>
            <w:pPr>
              <w:spacing w:after="0"/>
              <w:rPr>
                <w:sz w:val="20"/>
                <w:szCs w:val="20"/>
                <w:color w:val="auto"/>
              </w:rPr>
            </w:pPr>
          </w:p>
        </w:tc>
        <w:tc>
          <w:tcPr>
            <w:tcW w:w="26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0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552,694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543,804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559,472</w:t>
            </w: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1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548,422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559,955</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548,387</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566,791</w:t>
            </w:r>
          </w:p>
        </w:tc>
      </w:tr>
      <w:tr>
        <w:trPr>
          <w:trHeight w:val="20"/>
        </w:trPr>
        <w:tc>
          <w:tcPr>
            <w:tcW w:w="5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For the three-months ended September 30, 2019 and 2018, options and awards outstanding totaling 4.7 million shares and 3.2 million shares, respectively, were excluded from the calculations as their effect would have been antidilutive. For the nine-months ended September 30, 2019 and 2018, options and awards outstanding totaling 4.3 million shares and 3.0 million shares, respectively, were excluded from the calculations as their effect would have been antidilutive.</w:t>
      </w:r>
    </w:p>
    <w:p>
      <w:pPr>
        <w:spacing w:after="0" w:line="180" w:lineRule="exact"/>
        <w:rPr>
          <w:sz w:val="20"/>
          <w:szCs w:val="20"/>
          <w:color w:val="auto"/>
        </w:rPr>
      </w:pPr>
    </w:p>
    <w:p>
      <w:pPr>
        <w:ind w:left="681" w:hanging="681"/>
        <w:spacing w:after="0"/>
        <w:tabs>
          <w:tab w:leader="none" w:pos="6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left="1" w:firstLine="648"/>
        <w:spacing w:after="0" w:line="227" w:lineRule="auto"/>
        <w:rPr>
          <w:sz w:val="20"/>
          <w:szCs w:val="20"/>
          <w:color w:val="auto"/>
        </w:rPr>
      </w:pPr>
      <w:r>
        <w:rPr>
          <w:rFonts w:ascii="Times New Roman" w:cs="Times New Roman" w:eastAsia="Times New Roman" w:hAnsi="Times New Roman"/>
          <w:sz w:val="18"/>
          <w:szCs w:val="18"/>
          <w:color w:val="auto"/>
        </w:rPr>
        <w:t>The Company has three operating and reportable segments, (i) Monster Energy® Drinks segment, which is primarily comprised of the Company’s Monster Energy® drinks and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(ii) Strategic Brands segment, which is comprised primarily of the various energy drink brands acquired from TCCC in 2015 as well as the Company’s affordable energy brands, and (iii) Other segment, which is comprised of the AFF Third-Party Products.</w:t>
      </w:r>
    </w:p>
    <w:p>
      <w:pPr>
        <w:spacing w:after="0" w:line="199"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foodservice customers and the military.</w:t>
      </w:r>
    </w:p>
    <w:p>
      <w:pPr>
        <w:spacing w:after="0" w:line="176"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 full service distributors or retailers, including, retail grocery and specialty chains, wholesalers, club stores, mass merchandisers, convenience chains, foodservice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89"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three-and nine-months ended September 30, 2019 and 2018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2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50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1,061,383</w:t>
            </w:r>
          </w:p>
        </w:tc>
        <w:tc>
          <w:tcPr>
            <w:tcW w:w="10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935,146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2,950,877</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2,645,089</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220,011</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1,016,160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2,882,953</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408"/>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24"/>
                <w:szCs w:val="24"/>
                <w:color w:val="auto"/>
              </w:rPr>
            </w:pPr>
          </w:p>
        </w:tc>
        <w:tc>
          <w:tcPr>
            <w:tcW w:w="2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2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50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 (2)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433,848</w:t>
            </w:r>
          </w:p>
        </w:tc>
        <w:tc>
          <w:tcPr>
            <w:tcW w:w="10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359,090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1,187,652</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1,033,895</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135,054</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(235,546)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(196,380)</w:t>
            </w:r>
          </w:p>
        </w:tc>
      </w:tr>
      <w:tr>
        <w:trPr>
          <w:trHeight w:val="210"/>
        </w:trPr>
        <w:tc>
          <w:tcPr>
            <w:tcW w:w="50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339,573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1,085,894</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977,108</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408"/>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24"/>
                <w:szCs w:val="24"/>
                <w:color w:val="auto"/>
              </w:rPr>
            </w:pPr>
          </w:p>
        </w:tc>
        <w:tc>
          <w:tcPr>
            <w:tcW w:w="2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2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50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 (2)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434,003</w:t>
            </w:r>
          </w:p>
        </w:tc>
        <w:tc>
          <w:tcPr>
            <w:tcW w:w="10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1,187,916</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1,034,521</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135,075</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(226,976)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(191,758)</w:t>
            </w:r>
          </w:p>
        </w:tc>
      </w:tr>
      <w:tr>
        <w:trPr>
          <w:trHeight w:val="210"/>
        </w:trPr>
        <w:tc>
          <w:tcPr>
            <w:tcW w:w="50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342,561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1,094,729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982,377</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80" w:hanging="330"/>
        <w:spacing w:after="0" w:line="265" w:lineRule="auto"/>
        <w:tabs>
          <w:tab w:leader="none" w:pos="68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$10.7 million and $11.1 million for the three-months ended September 30, 2019 and 2018, respectively, related to the recognition of deferred revenue. Includes $35.6 million and $33.3 million for the nine-months ended September 30, 2019 and 2018, respectively, related to the recognition of deferred revenue.</w:t>
      </w:r>
    </w:p>
    <w:p>
      <w:pPr>
        <w:spacing w:after="0" w:line="90" w:lineRule="exact"/>
        <w:rPr>
          <w:rFonts w:ascii="Times New Roman" w:cs="Times New Roman" w:eastAsia="Times New Roman" w:hAnsi="Times New Roman"/>
          <w:sz w:val="14"/>
          <w:szCs w:val="14"/>
          <w:i w:val="1"/>
          <w:iCs w:val="1"/>
          <w:color w:val="auto"/>
        </w:rPr>
      </w:pPr>
    </w:p>
    <w:p>
      <w:pPr>
        <w:ind w:left="680" w:hanging="330"/>
        <w:spacing w:after="0" w:line="265" w:lineRule="auto"/>
        <w:tabs>
          <w:tab w:leader="none" w:pos="68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$0.0 million and $14.1 million for the three-months ended September 30, 2019 and 2018, respectively, related to distributor termination costs. Includes $11.0 million and $26.6 million for the nine-months ended September 30, 2019 and 2018, respectively, related to distributor termination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29,449</w:t>
            </w:r>
          </w:p>
        </w:tc>
        <w:tc>
          <w:tcPr>
            <w:tcW w:w="220" w:type="dxa"/>
            <w:vAlign w:val="bottom"/>
          </w:tcPr>
          <w:p>
            <w:pPr>
              <w:spacing w:after="0"/>
              <w:rPr>
                <w:sz w:val="18"/>
                <w:szCs w:val="18"/>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26,926</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10"/>
        </w:trPr>
        <w:tc>
          <w:tcPr>
            <w:tcW w:w="50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September 30, 2019 include $50.1 million of payroll costs, of which $16.0 million was attributable to stock-based compensation expenses (see Note 15 “Stock-Based Compensation”), as well as $13.3 million attributable to professional service expenses, including accounting and legal costs, and $11.1 million of other operating</w:t>
      </w:r>
    </w:p>
    <w:p>
      <w:pPr>
        <w:sectPr>
          <w:pgSz w:w="11900" w:h="16838" w:orient="portrait"/>
          <w:cols w:equalWidth="0" w:num="1">
            <w:col w:w="10060"/>
          </w:cols>
          <w:pgMar w:left="920" w:top="661" w:right="9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29" w:name="page30"/>
    <w:bookmarkEnd w:id="29"/>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expenses. Corporate and unallocated expenses for the three-months ended September 30, 2018 include $42.1 million of payroll costs, of which $14.0 million was attributable to stock-based compensation expenses (see Note 15, “Stock-Based Compensation”), as well as $12.3 million attributable to professional service expenses, including accounting and legal costs, and $8.5 million of other operating expenses.</w:t>
      </w:r>
    </w:p>
    <w:p>
      <w:pPr>
        <w:spacing w:after="0" w:line="176" w:lineRule="exact"/>
        <w:rPr>
          <w:sz w:val="20"/>
          <w:szCs w:val="20"/>
          <w:color w:val="auto"/>
        </w:rPr>
      </w:pPr>
    </w:p>
    <w:p>
      <w:pPr>
        <w:jc w:val="both"/>
        <w:ind w:left="1" w:firstLine="648"/>
        <w:spacing w:after="0" w:line="256"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2019 include $151.0 million of payroll costs, of which $46.9 million was attributable to stock-based compensation expenses (see Note 15 “Stock-Based Compensation”), as well as $49.2 million attributable to professional service expenses, including accounting and legal costs, and $35.3 million of other operating expenses. Corporate and unallocated expenses for the nine-months ended September 30, 2018 include $129.9 million of payroll costs, of which $42.4 million was attributable to stock-based compensation expenses (see Note 15, “Stock-Based Compensation”), as well as $36.5 million attributable to professional service expenses, including accounting and legal costs, and $30.0 million of other operating expenses.</w:t>
      </w:r>
    </w:p>
    <w:p>
      <w:pPr>
        <w:spacing w:after="0" w:line="188"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CCBCC Operations, LLC accounted for approximately 13% and 14% of the Company's net sales for the three-months ended September 30, 2019 and 2018, respectively. CCBCC Operations, LLC accounted for approximately 13% and 14% of the Company's net sales for the nine-months ended September 30, 2019 and 2018, respectively.</w:t>
      </w:r>
    </w:p>
    <w:p>
      <w:pPr>
        <w:spacing w:after="0" w:line="176"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accounted for approximately 12% and 13% of the Company's net sales for the three-months ended September 30, 2019 and 2018, respectively. Reyes Coca-Cola Bottling accounted for approximately 12% and 13% of the Company's net sales for the nine-months ended September 30, 2019 and 2018, respectively.</w:t>
      </w:r>
    </w:p>
    <w:p>
      <w:pPr>
        <w:spacing w:after="0" w:line="176"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Coca-Cola European Partners accounted for approximately 10% and 9% of the Company's net sales for the three-months ended September 30, 2019 and 2018, respectively. Coca-Cola European Partners accounted for approximately 10% and 9% of the Company's net sales for the nine-months ended September 30, 2019 and 2018, respectively.</w:t>
      </w:r>
    </w:p>
    <w:p>
      <w:pPr>
        <w:spacing w:after="0" w:line="176"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$379.8 million and $283.0 million for the three-months ended September 30, 2019 and 2018, respectively. Such sales were approximately 34% and 28% of net sales for the three-months ended September 30, 2019 and 2018, respectively. Net sales to customers outside the United States amounted to $1.01 billion and $818.8 million for the nine-months ended September 30, 2019 and 2018, respectively. Such sales were approximately 32% and 28% of net sales for the nine-months ended September 30, 2019 and 2018, respectively.</w:t>
      </w:r>
    </w:p>
    <w:p>
      <w:pPr>
        <w:spacing w:after="0" w:line="184"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as of September 30, 2019 and December 31, 2018 are as follows:</w:t>
      </w:r>
    </w:p>
    <w:p>
      <w:pPr>
        <w:spacing w:after="0" w:line="108"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1,377,824</w:t>
            </w:r>
          </w:p>
        </w:tc>
        <w:tc>
          <w:tcPr>
            <w:tcW w:w="200" w:type="dxa"/>
            <w:vAlign w:val="bottom"/>
          </w:tcPr>
          <w:p>
            <w:pPr>
              <w:spacing w:after="0"/>
              <w:rPr>
                <w:sz w:val="18"/>
                <w:szCs w:val="18"/>
                <w:color w:val="auto"/>
              </w:rPr>
            </w:pPr>
          </w:p>
        </w:tc>
        <w:tc>
          <w:tcPr>
            <w:tcW w:w="200" w:type="dxa"/>
            <w:vAlign w:val="bottom"/>
            <w:gridSpan w:val="2"/>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1,368,620</w:t>
            </w:r>
          </w:p>
        </w:tc>
      </w:tr>
      <w:tr>
        <w:trPr>
          <w:trHeight w:val="21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989,944</w:t>
            </w: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r>
      <w:tr>
        <w:trPr>
          <w:trHeight w:val="21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2,377,521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21" w:hanging="621"/>
        <w:spacing w:after="0"/>
        <w:tabs>
          <w:tab w:leader="none" w:pos="6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18.9% of the voting interests of the Company. The TCCC Subsidiaries, the TCCC Related Parties and the TCCC independent bottlers,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left="1" w:firstLine="648"/>
        <w:spacing w:after="0" w:line="282"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$11.6 million and $13.7 million for the three-months ended September 30, 2019 and 2018, respectively, and are included as a reduction to net sales. TCCC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30" w:name="page31"/>
    <w:bookmarkEnd w:id="30"/>
    <w:p>
      <w:pPr>
        <w:ind w:left="1"/>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left="1" w:right="35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5"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commissions, based on sales to the TCCC Subsidiaries and the TCCC Related Parties, were $39.5 million and $38.1 million for the nine-months ended September 30, 2019 and 2018, respectively, and are included as a reduction to net sales.</w:t>
      </w:r>
    </w:p>
    <w:p>
      <w:pPr>
        <w:spacing w:after="0" w:line="94"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bottlers/distributors, were $4.7 million and $4.3 million for the three-months ended September 30, 2019 and 2018, respectively, and are included in operating expenses. TCCC commissions, based on sales to TCCC independent bottlers/distributors, were $13.6 million and $11.8 million for the nine-months ended September 30, 2019 and 2018, respectively, and are included in operating expenses.</w:t>
      </w:r>
    </w:p>
    <w:p>
      <w:pPr>
        <w:spacing w:after="0" w:line="113"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September 30, 2019 and 2018 were $21.0 million and $42.3 million, respectively. Net sales to the TCCC Subsidiaries for the nine-months ended September 30, 2019 and 2018 were $59.5 million and $117.0 million, respectively. As part of TCCC’s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 and nine-months ended September 30, 2019.</w:t>
      </w:r>
    </w:p>
    <w:p>
      <w:pPr>
        <w:spacing w:after="0" w:line="116" w:lineRule="exact"/>
        <w:rPr>
          <w:sz w:val="20"/>
          <w:szCs w:val="20"/>
          <w:color w:val="auto"/>
        </w:rPr>
      </w:pPr>
    </w:p>
    <w:p>
      <w:pPr>
        <w:jc w:val="both"/>
        <w:ind w:left="1" w:firstLine="648"/>
        <w:spacing w:after="0" w:line="261" w:lineRule="auto"/>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 Concentrate purchases from TCCC were $6.3 million and $7.4 million for the three-months ended September 30, 2019 and 2018, respectively. Concentrate purchases from TCCC were $20.2 million and $21.6 million for the nine-months ended September 30, 2019 and 2018, respectively.</w:t>
      </w:r>
    </w:p>
    <w:p>
      <w:pPr>
        <w:spacing w:after="0" w:line="113"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$4.2 million and $7.0 million for the three-months ended September 30, 2019 and 2018, respectively. Such contract manufacturing expenses were $13.1 million and $18.8 million for the nine-months ended September 30, 2019 and 2018, respectively.</w:t>
      </w:r>
    </w:p>
    <w:p>
      <w:pPr>
        <w:spacing w:after="0" w:line="10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Accounts receivable, accounts payable and accrued promotional allowances related to the TCCC Subsidiaries are as follows at:</w:t>
      </w:r>
    </w:p>
    <w:p>
      <w:pPr>
        <w:spacing w:after="0" w:line="171" w:lineRule="exact"/>
        <w:rPr>
          <w:sz w:val="20"/>
          <w:szCs w:val="20"/>
          <w:color w:val="auto"/>
        </w:rPr>
      </w:pPr>
    </w:p>
    <w:tbl>
      <w:tblPr>
        <w:tblLayout w:type="fixed"/>
        <w:tblInd w:w="1001"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20" w:type="dxa"/>
            <w:vAlign w:val="bottom"/>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w:t>
            </w:r>
          </w:p>
        </w:tc>
        <w:tc>
          <w:tcPr>
            <w:tcW w:w="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(54,430)</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bl>
    <w:p>
      <w:pPr>
        <w:spacing w:after="0" w:line="130" w:lineRule="exact"/>
        <w:rPr>
          <w:sz w:val="20"/>
          <w:szCs w:val="20"/>
          <w:color w:val="auto"/>
        </w:rPr>
      </w:pPr>
    </w:p>
    <w:p>
      <w:pPr>
        <w:jc w:val="both"/>
        <w:ind w:left="1" w:firstLine="648"/>
        <w:spacing w:after="0" w:line="258" w:lineRule="auto"/>
        <w:rPr>
          <w:sz w:val="20"/>
          <w:szCs w:val="20"/>
          <w:color w:val="auto"/>
        </w:rPr>
      </w:pPr>
      <w:r>
        <w:rPr>
          <w:rFonts w:ascii="Times New Roman" w:cs="Times New Roman" w:eastAsia="Times New Roman" w:hAnsi="Times New Roman"/>
          <w:sz w:val="18"/>
          <w:szCs w:val="18"/>
          <w:color w:val="auto"/>
        </w:rPr>
        <w:t>One director of the Company and his family, and one director's family, are principal owners of a company that provides promotional materials to the Company. Expenses incurred with such company in connection with promotional materials purchased during the three-months ended September 30, 2019 and 2018 were $0.5 million and $0.2 million, respectively. Expenses incurred with such company in connection with promotional materials purchased during the nine-months ended September 30, 2019 and 2018 were $1.1 million and $1.6 million, respectively.</w:t>
      </w:r>
    </w:p>
    <w:p>
      <w:pPr>
        <w:spacing w:after="0" w:line="116" w:lineRule="exact"/>
        <w:rPr>
          <w:sz w:val="20"/>
          <w:szCs w:val="20"/>
          <w:color w:val="auto"/>
        </w:rPr>
      </w:pPr>
    </w:p>
    <w:p>
      <w:pPr>
        <w:jc w:val="both"/>
        <w:ind w:left="1" w:firstLine="648"/>
        <w:spacing w:after="0" w:line="255"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condensed consolidated balance sheet at December 31, 2018. During the three-months ended September 30, 2019, the Company made no additional capital contributions and recorded an equity loss of $0.02 million. During the nine-months ended September 30, 2019, the Company made an additional $0.05 million capital contribution and recorded an equity loss of $0.06 million. As of September 30, 2019, the Company’s equity investment is $1.9 million and is included in other assets (non-current) in the accompanying condensed consolidated balance sheet at September 30, 2019.</w:t>
      </w:r>
    </w:p>
    <w:p>
      <w:pPr>
        <w:spacing w:after="0" w:line="118" w:lineRule="exact"/>
        <w:rPr>
          <w:sz w:val="20"/>
          <w:szCs w:val="20"/>
          <w:color w:val="auto"/>
        </w:rPr>
      </w:pPr>
    </w:p>
    <w:p>
      <w:pPr>
        <w:ind w:left="621" w:hanging="621"/>
        <w:spacing w:after="0"/>
        <w:tabs>
          <w:tab w:leader="none" w:pos="6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w:t>
      </w:r>
    </w:p>
    <w:p>
      <w:pPr>
        <w:spacing w:after="0" w:line="158" w:lineRule="exact"/>
        <w:rPr>
          <w:sz w:val="20"/>
          <w:szCs w:val="20"/>
          <w:color w:val="auto"/>
        </w:rPr>
      </w:pPr>
    </w:p>
    <w:p>
      <w:pPr>
        <w:ind w:left="1" w:firstLine="648"/>
        <w:spacing w:after="0" w:line="261" w:lineRule="auto"/>
        <w:rPr>
          <w:sz w:val="20"/>
          <w:szCs w:val="20"/>
          <w:color w:val="auto"/>
        </w:rPr>
      </w:pPr>
      <w:r>
        <w:rPr>
          <w:rFonts w:ascii="Times New Roman" w:cs="Times New Roman" w:eastAsia="Times New Roman" w:hAnsi="Times New Roman"/>
          <w:sz w:val="18"/>
          <w:szCs w:val="18"/>
          <w:color w:val="auto"/>
        </w:rPr>
        <w:t>On November 6, 2019, the Company’s Board of Directors authorized a new share repurchase program for the purchase of up to $500.0 million of the Company’s outstanding common stock. As of November 6, 2019, $36.6 million remained available for repurchase under the February 2019 Repurchase Plan. The aggregate amount available to repurchase the Company’s common stock is currently $536.6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1" w:right="9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Ultra®</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Full Throttle®</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Rehab®</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MAXX®</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Java Monster®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Muscle Monster®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Espresso Monster®</w:t>
            </w:r>
          </w:p>
        </w:tc>
        <w:tc>
          <w:tcPr>
            <w:tcW w:w="42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Play® and Power Play(stylized)®</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Punch Monster®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Juice Monster®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Hydro®</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HydroSport</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Caffé Monster®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Samurai®</w:t>
            </w:r>
          </w:p>
        </w:tc>
      </w:tr>
      <w:tr>
        <w:trPr>
          <w:trHeight w:val="23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Predator®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80"/>
              <w:spacing w:after="0" w:line="236" w:lineRule="exact"/>
              <w:rPr>
                <w:sz w:val="20"/>
                <w:szCs w:val="20"/>
                <w:color w:val="auto"/>
              </w:rPr>
            </w:pPr>
            <w:r>
              <w:rPr>
                <w:rFonts w:ascii="Times New Roman" w:cs="Times New Roman" w:eastAsia="Times New Roman" w:hAnsi="Times New Roman"/>
                <w:sz w:val="18"/>
                <w:szCs w:val="18"/>
                <w:color w:val="auto"/>
              </w:rPr>
              <w:t>Live+</w:t>
            </w:r>
            <w:r>
              <w:rPr>
                <w:rFonts w:ascii="Times New Roman" w:cs="Times New Roman" w:eastAsia="Times New Roman" w:hAnsi="Times New Roman"/>
                <w:sz w:val="27"/>
                <w:szCs w:val="27"/>
                <w:color w:val="auto"/>
                <w:vertAlign w:val="superscript"/>
              </w:rPr>
              <w:t>TM</w:t>
            </w:r>
          </w:p>
        </w:tc>
      </w:tr>
    </w:tbl>
    <w:p>
      <w:pPr>
        <w:ind w:left="300" w:hanging="297"/>
        <w:spacing w:after="0" w:line="180"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Reign Total Body Fuel</w:t>
      </w:r>
      <w:r>
        <w:rPr>
          <w:rFonts w:ascii="Times New Roman" w:cs="Times New Roman" w:eastAsia="Times New Roman" w:hAnsi="Times New Roman"/>
          <w:sz w:val="25"/>
          <w:szCs w:val="25"/>
          <w:color w:val="auto"/>
          <w:vertAlign w:val="superscript"/>
        </w:rPr>
        <w:t>TM</w:t>
      </w:r>
    </w:p>
    <w:p>
      <w:pPr>
        <w:ind w:left="300" w:hanging="297"/>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Dragon Tea</w:t>
      </w:r>
      <w:r>
        <w:rPr>
          <w:rFonts w:ascii="Times New Roman" w:cs="Times New Roman" w:eastAsia="Times New Roman" w:hAnsi="Times New Roman"/>
          <w:sz w:val="27"/>
          <w:szCs w:val="27"/>
          <w:color w:val="auto"/>
          <w:vertAlign w:val="superscript"/>
        </w:rPr>
        <w:t>TM</w:t>
      </w:r>
    </w:p>
    <w:p>
      <w:pPr>
        <w:spacing w:after="0" w:line="1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We have three operating and reportable segments, (i) Monster Energy® Drinks segment (“Monster Energy® Drinks”), which is primarily comprised of our Monster Energy® drinks and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September 30, 2019, we continued to expand our existing energy drink portfolio and further develop our distribution markets. During the three-months ended September 30, 2019, we introduced the following products:</w:t>
      </w:r>
    </w:p>
    <w:p>
      <w:pPr>
        <w:spacing w:after="0" w:line="162" w:lineRule="exact"/>
        <w:rPr>
          <w:sz w:val="20"/>
          <w:szCs w:val="20"/>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Sour Twist</w:t>
      </w:r>
    </w:p>
    <w:p>
      <w:pPr>
        <w:spacing w:after="0" w:line="2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 Island Punch</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MAXX® Mango Matic</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MAXX® Rad Red</w:t>
      </w:r>
    </w:p>
    <w:p>
      <w:pPr>
        <w:spacing w:after="0" w:line="9" w:lineRule="exact"/>
        <w:rPr>
          <w:rFonts w:ascii="Times New Roman" w:cs="Times New Roman" w:eastAsia="Times New Roman" w:hAnsi="Times New Roman"/>
          <w:sz w:val="18"/>
          <w:szCs w:val="18"/>
          <w:color w:val="auto"/>
        </w:rPr>
      </w:pPr>
    </w:p>
    <w:p>
      <w:pPr>
        <w:ind w:left="680" w:hanging="330"/>
        <w:spacing w:after="0" w:line="181"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Monster Mule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(U.S. national launch)</w:t>
      </w: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Orange Dreamsicle</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September 30, 2019, either individually or in aggregate, did not have a material adverse impact on our financial position, results of operations or liquidity.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sales of $1.13 billion for the three-months ended September 30, 2019 represented record sales for our third fiscal quarter. Net sales for the three-months ended September 30, 2019 were positively impacted by approximately $31.6 million as a result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a price increase effective from November 1, 2018 in the United States (“the U.S. Price Increase”) and effective from February 1, 2019 in Canada (the “Canada Price Increase”), on certain of our Monster Energy® brand energy drinks. Net changes in foreign currency exchange rates had an unfavorable impact on net sales of approximately $12.2 million for the three-months ended September 30, 2019. Our comparative net sales of $1.02 billion for the three-months ended September 30, 2018 were positively impacted by advance purchases of approximately $16.0 million made by our customers in anticipation of the U.S. Price Increase.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vast majority of our net sales are derived from our Monster Energy® Drinks segment. Net sales of our Monster Energy® Drinks segment were $1.06 billion for the three-months ended September 30, 2019. Net sales of our Strategic Brands segment were $66.3 million for the three-months ended September 30, 2019. Our Monster Energy® Drinks segment represented 93.6% and 92.0% of our net sales for the three-months ended September 30, 2019 and 2018, respectively. Our Strategic Brands segment represented 5.9% and 7.3% of our net sales for the three-months ended September 30, 2019 and 2018, respectively. Our Other segment represented 0.5% and 0.7% of our net sales for the three-months ended September 30, 2019 and 2018, respectively.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our international business. Net sales to customers outside the United States were $379.8 million for the three-months ended September 30, 2019, an increase of approximately $96.8 million, or 34.2% higher than net sales to customers outside of the United States of $283.0 million for the three-months ended September 30, 2018. Such sales were approximately 34% and 28% of net sales for the three-months ended September 30, 2019 and 2018,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full service beverage bottlers/distributors, retail grocery and specialty chains, wholesalers, club stores, mass merchandisers, convenience chains, drug stores, foodservice customers and the military. Percentages of our gross sales to our various customer types for the three- and nine-months ended September 30, 2019 and 2018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9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Three-Months Ended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280" w:type="dxa"/>
            <w:vAlign w:val="bottom"/>
          </w:tcPr>
          <w:p>
            <w:pPr>
              <w:spacing w:after="0"/>
              <w:rPr>
                <w:sz w:val="20"/>
                <w:szCs w:val="20"/>
                <w:color w:val="auto"/>
              </w:rPr>
            </w:pPr>
          </w:p>
        </w:tc>
        <w:tc>
          <w:tcPr>
            <w:tcW w:w="19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280" w:type="dxa"/>
            <w:vAlign w:val="bottom"/>
          </w:tcPr>
          <w:p>
            <w:pPr>
              <w:spacing w:after="0"/>
              <w:rPr>
                <w:sz w:val="18"/>
                <w:szCs w:val="18"/>
                <w:color w:val="auto"/>
              </w:rPr>
            </w:pPr>
          </w:p>
        </w:tc>
        <w:tc>
          <w:tcPr>
            <w:tcW w:w="7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2019</w:t>
            </w:r>
          </w:p>
        </w:tc>
        <w:tc>
          <w:tcPr>
            <w:tcW w:w="12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7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mass merchandisers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grocery, specialty chains and wholesalers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include Coca-Cola Refreshments Canada Company (until September 27, 2018), Coca-Cola Canada Bottling Limited (from September 28, 2018),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Kalil Bottling Group (until March 5, 2019), Big Geyser, Inc. (until April 5, 2019), Wal-Mart, Inc. (including Sam’s Club) and Costco Wholesale Corporation. A decision by any large customer to decrease amounts purchased from us or to cease carrying our products could have a material negative effect on our financial condition and consolidated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13% and 14% of our net sales for the three-months ended September 30, 2019 and 2018, respectively. Coca-Cola Consolidated, Inc. accounted for approximately 13% and 14% of our net sales for the nine-months ended September 30, 2019 and 2018,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accounted for approximately 12% and 13% of our net sales for the three-months ended September 30, 2019 and 2018, respectively. Reyes Coca-Cola Bottling accounted for approximately 12% and 13% of our net sales for the nine-months ended September 30, 2019 and 2018, respectively.</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European Partners accounted for approximately 10% and 9% of our net sales for the three-months ended September 30, 2019 and 2018, respectively. Coca-Cola European Partners accounted for approximately 10% and 9% of our net sales for the nine-months ended September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and nine-months ended September 30, 2019 and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color w:val="auto"/>
              </w:rPr>
              <w:t>Three-Months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color w:val="auto"/>
              </w:rPr>
              <w:t>Nine-Months Ended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color w:val="auto"/>
              </w:rPr>
              <w:t>September 30,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19 vs. 18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19 vs. 18</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sales</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1,133,577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1,016,160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3,183,613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2,882,953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460,575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408,501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1,275,796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1,139,780</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r>
              <w:rPr>
                <w:rFonts w:ascii="Times New Roman" w:cs="Times New Roman" w:eastAsia="Times New Roman" w:hAnsi="Times New Roman"/>
                <w:sz w:val="10"/>
                <w:szCs w:val="10"/>
                <w:color w:val="auto"/>
              </w:rPr>
              <w:t>1</w:t>
            </w: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673,002</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607,659</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1,907,817</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1,743,173</w:t>
            </w:r>
          </w:p>
        </w:tc>
        <w:tc>
          <w:tcPr>
            <w:tcW w:w="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1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profit as a percentage of net sales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10"/>
                <w:szCs w:val="10"/>
                <w:color w:val="auto"/>
              </w:rPr>
              <w:t>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268,086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821,923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766,065</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 as a percentage of net sales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r>
              <w:rPr>
                <w:rFonts w:ascii="Times New Roman" w:cs="Times New Roman" w:eastAsia="Times New Roman" w:hAnsi="Times New Roman"/>
                <w:sz w:val="10"/>
                <w:szCs w:val="10"/>
                <w:color w:val="auto"/>
              </w:rPr>
              <w:t>1,2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395,443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339,573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1,085,894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977,108</w:t>
            </w:r>
          </w:p>
        </w:tc>
        <w:tc>
          <w:tcPr>
            <w:tcW w:w="10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 as a percentage of net sales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before provision for income taxes</w:t>
            </w:r>
            <w:r>
              <w:rPr>
                <w:rFonts w:ascii="Times New Roman" w:cs="Times New Roman" w:eastAsia="Times New Roman" w:hAnsi="Times New Roman"/>
                <w:sz w:val="10"/>
                <w:szCs w:val="10"/>
                <w:color w:val="auto"/>
              </w:rPr>
              <w:t>1,2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398,564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342,561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1,094,729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982,377</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99,641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228,480</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as a percentage of income before taxes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r>
              <w:rPr>
                <w:rFonts w:ascii="Times New Roman" w:cs="Times New Roman" w:eastAsia="Times New Roman" w:hAnsi="Times New Roman"/>
                <w:sz w:val="10"/>
                <w:szCs w:val="10"/>
                <w:color w:val="auto"/>
              </w:rPr>
              <w:t>1,2</w:t>
            </w:r>
          </w:p>
        </w:tc>
        <w:tc>
          <w:tcPr>
            <w:tcW w:w="6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298,923</w:t>
            </w:r>
          </w:p>
        </w:tc>
        <w:tc>
          <w:tcPr>
            <w:tcW w:w="380" w:type="dxa"/>
            <w:vAlign w:val="bottom"/>
            <w:gridSpan w:val="3"/>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267,733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852,881</w:t>
            </w:r>
          </w:p>
        </w:tc>
        <w:tc>
          <w:tcPr>
            <w:tcW w:w="400" w:type="dxa"/>
            <w:vAlign w:val="bottom"/>
            <w:gridSpan w:val="3"/>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753,897</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as a percentage of net sales</w:t>
            </w: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26.4</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26.3</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26.8</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common share:</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380" w:type="dxa"/>
            <w:vAlign w:val="bottom"/>
            <w:gridSpan w:val="3"/>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400" w:type="dxa"/>
            <w:vAlign w:val="bottom"/>
            <w:gridSpan w:val="3"/>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0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380" w:type="dxa"/>
            <w:vAlign w:val="bottom"/>
            <w:gridSpan w:val="3"/>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3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400" w:type="dxa"/>
            <w:vAlign w:val="bottom"/>
            <w:gridSpan w:val="3"/>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0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Case sales (in thousands)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 192-ounce case equivalents)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111,038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342,734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¹Includes $10.7 million and $11.1 million for the three-months ended September 30, 2019 and 2018, respectively, related to the recognition of deferred revenue. Includes $35.6 million and $33.3 million for the nine-months ended September 30, 2019 and 2018, respectively, related to the recognition of deferred revenue.</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1"/>
          <w:szCs w:val="11"/>
          <w:i w:val="1"/>
          <w:iCs w:val="1"/>
          <w:color w:val="auto"/>
        </w:rPr>
        <w:t>2</w:t>
      </w:r>
      <w:r>
        <w:rPr>
          <w:rFonts w:ascii="Times New Roman" w:cs="Times New Roman" w:eastAsia="Times New Roman" w:hAnsi="Times New Roman"/>
          <w:sz w:val="14"/>
          <w:szCs w:val="14"/>
          <w:i w:val="1"/>
          <w:iCs w:val="1"/>
          <w:color w:val="auto"/>
        </w:rPr>
        <w:t>Includes $0.0 million and $14.1 million for the three-months ended September 30, 2019 and 2018, respectively, of distributor termination costs. Includes $11.0 million and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4"/>
          <w:szCs w:val="14"/>
          <w:i w:val="1"/>
          <w:iCs w:val="1"/>
          <w:color w:val="auto"/>
        </w:rPr>
        <w:t>$26.6 million for the nine-months ended September 30, 2019 and 2018, respectively, of distributor termination costs.</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Three-Months Ended September 30, 2019 Compared to the Three-Months Ended September 30, 2018.</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$1.13 billion for the three-months ended September 30, 2019, an increase of approximately $117.4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11.6% higher than net sales of $1.02 billion for the three-months ended September 30, 2018. Net sales for the three-months ended September 30, 2019 were positively impacted by approximately $31.6 million as a result of the U.S. Price Increase and the Canada Price Increase, on certain of our Monster Energy® brand energy drinks. The comparative net sales for the three-months ended September 30, 2018 were positively impacted by advance purchases made by our customers in anticipation of the U.S. Price Increase. We estimate net sales for the three-months ended September 30, 2018 were increased by approximately $16.0 million as a result of such advance purchases. Net changes in foreign currency exchange rates had an unfavorable impact on net sales of approximately $12.2 million for the three-months ended September 30, 2019.</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Monster Energy® Drinks segment were $1.06 billion for the three-months ended September 30, 2019, an increase of approximately $126.2 million, or 13.5% higher than net sales of $935.1 million for the three-months ended September 30,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2018. Net sales for the Monster Energy® Drinks segment increased primarily due to (i) sales of our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introduced in the first quarter of 2019, (ii) the price increases described above and (iii) increased worldwide sales by volume of our Monster Energy® brand energy drinks as a result of increased consumer demand. Net changes in foreign currency exchange rates had an unfavorable impact on net sales for the Monster Energy® Drinks segment of approximately $10.8 million for the three-months ended September 30, 2019.</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for the Strategic Brands segment were $66.3 million for the three-months ended September 30, 2019, a decrease of approximately $8.1 million, or 10.9% lower than net sales of $74.4 million for the three-months ended September 30, 2018. Net changes in foreign currency exchange rates had an unfavorable impact on net sales for the Strategic Brands segment of approximately $1.4 million for the three-months ended September 30,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$5.9 million for the three-months ended September 30, 2019, a decrease of approximately $0.7 million, or 10.8% lower than net sales of $6.6 million for the three-months ended September 30, 2018.</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Case sales, in 192-ounce case equivalents, were 121.9 million cases for the three-months ended September 30, 2019, an increase of approximately 10.8 million cases or 9.7% higher than case sales of 111.0 million cases for the three-months ended September 30, 2018. The overall average net sales per case (excluding net sales of AFF Third-Party Products of $5.9 million and $6.6 million for the three-months ended September 30, 2019 and 2018, respectively, as these sales do not have unit case equivalents) increased to $9.25 for the three-months ended September 30, 2019, which was 1.8% higher than the average net sales per case of $9.09 for the three-months ended September 30, 2018.</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$673.0 million for the three-months ended September 30, 2019, an increase of approximately $65.3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10.8% higher than the gross profit of $607.7 million for the three-months ended September 30, 2018. The increase in gross profit dollars was primarily the result of the $126.2 million increase in net sales of our Monster Energy® Drinks segment for the three-months ended September 30, 2019.</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sales decreased to 59.4% for the three-months ended September 30, 2019 from 59.8% for the three-months ended September 30, 2018. The decrease for the three-months ended September 30, 2019 was primarily the result of geographical and product sales mix. Such decrease was partially offset by the sales price increases discussed above as well as reduced input costs.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were $277.6 million for the three-months ended September 30, 2019,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$9.5 million, or 3.5% higher than total operating expenses of $268.1 million for the three-months ended September 30, 2018. The increase in operating expenses was primarily due to increased payroll expenses of $10.4 million (of which $1.9 million was related to an increase in stock-based compensation), increased expenditures of $6.1 million for other marketing expenses and increased expenditures of $3.5 million for sponsorships and endorsements. The increase in operating expenses was partially offset by decreased expenditures of $14.1 million related to the costs associated with distributor terminations and decreased out-bound freight and warehouse costs of $4.7 million.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was $395.4 million for the three-months ended September 30, 2019,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$55.9 million, or 16.5% higher than operating income of $339.6 million for the three-months ended September 30, 2018. Operating income as a percentage of net sales increased to 34.9% for the three-months ended September 30, 2019 from 33.4% for the three-months ended September 30, 2018. Operating income was $72.6 million and $43.8 million for the three-months ended September 30, 2019 and 2018, respectively, in connection with our operations in Europe, Middle East and Africa (“EMEA”), Asia Pacific and South America.</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was $433.8 million for the three-months ended September 30, 2019, an increase of approximately $74.8 million, or 20.8% higher than operating income of $359.1 million for the three-months ended September 30, 2018. The increase in operating income for the Monster Energy® Drinks segment was primarily the result of the $126.2 million increase in net sales of our Monster Energy® Drinks segment for the three-months ended September 30, 2019.</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Strategic Brands segment was $35.1 million for the three-months ended September 30, 2019, a decrease of approximately $6.6 million, or 15.7% lower than operating income of $41.7 million for the three-months ended September 30, 2018.</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for the Other segment was $1.0 million for the three-months ended September 30, 2019, a decrease of approximately $0.7 million, or 42.3% lower than operating income of $1.7 million for the three-months ended September 30, 2018.</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6"/>
          <w:szCs w:val="16"/>
          <w:i w:val="1"/>
          <w:iCs w:val="1"/>
          <w:color w:val="auto"/>
        </w:rPr>
        <w:t>Exclusive of corporate</w:t>
      </w:r>
      <w:r>
        <w:rPr>
          <w:rFonts w:ascii="Times New Roman" w:cs="Times New Roman" w:eastAsia="Times New Roman" w:hAnsi="Times New Roman"/>
          <w:sz w:val="18"/>
          <w:szCs w:val="18"/>
          <w:i w:val="1"/>
          <w:iCs w:val="1"/>
          <w:color w:val="auto"/>
        </w:rPr>
        <w:t xml:space="preserve"> and unallocated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and other non-operating income, net, was $3.1 million for the three-months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as compared to interest and other non-operating income, net, of $3.0 million for the three-months ended September 30, 2018. Foreign currency transaction losses were $2.8 million and $0.3 million for the three-months ended September 30, 2019 and 2018, respectively. Interest income was $6.1 million and $3.4 million for the three-months ended September 30, 2019 and 2018, respectively.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was $99.6 million for the three-months ended September 30, 2019,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$24.8 million, or 33.2% higher than the provision for income taxes of $74.8 million for the three-months ended September 30, 2018. The effective combined federal, state and foreign tax rate increased to 25.0% from 21.8% for the three-months ended September 30, 2019 and 2018, respectively. The increase in the effective tax rate was primarily attributable to increased income taxes in certain foreign jurisdictions as well as a decrease in the equity compensation deduction. In addition, the comparative effective tax rate for the three-months ended September 30, 2018 included a non-recurring tax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$298.9 million for the three-months ended September 30, 2019, an increase of $31.2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 higher than net income of $267.7 million for the three-months ended September 30, 2018. The increase in net income was primarily due to the $65.3 million increase in gross profit. The increase in net income was partially offset by an increase in the provision for income taxes of $24.8 million and an increase in operating expenses of $9.5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Nine-Months Ended September 30, 2019 Compared to the Nine-Months Ended September 30, 2018.</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$3.18 billion for the nine-months ended September 30, 2019, an increase of approximately $300.7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10.4% higher than net sales of $2.88 billion for the nine-months ended September 30, 2018. Net sales for the nine-months ended September 30, 2019 were positively impacted by approximately $89.2 million as a result of the U.S. Price Increase and the Canada Price Increase, on certain of our Monster Energy® brand energy drinks. Net changes in foreign currency exchange rates had an unfavorable impact on net sales of approximately $60.1 million for the nine-months ended September 30, 2019.</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Net sales for the Monster Energy® Drinks segment were $2.95 billion for the nine-months ended September 30, 2019, an increase of approximately $305.8 million, or 11.6% higher than net sales of $2.65 billion for the nine-months ended September 30, 2018. Net sales for the Monster Energy® Drinks segment increased primarily due to (i) sales of our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introduced in the first quarter of 2019, (ii) the price increases described above, and (iii) increased worldwide sales by volume of our Monster Energy® brand energy drinks as a result of increased consumer demand. Net changes in foreign currency exchange rates had an unfavorable impact on net sales for the Monster Energy® Drinks segment of approximately $51.1 million for the nine-months ended September 30, 2019.</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for the Strategic Brands segment were $215.8 million for the nine-months ended September 30, 2019, a decrease of approximately $4.2 million, or 1.9% lower than net sales of $220.0 million for the nine-months ended September 30, 2018. Net changes in foreign currency exchange rates had an unfavorable impact on net sales for the Strategic Brands segment of approximately $9.0 million for the nine-months ended September 30,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$17.0 million for the nine-months ended September 30, 2019, a decrease of approximately $0.9 million, or 4.9% lower than net sales of $17.9 million for the nine-months ended September 30, 2018.</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Case sales, in 192-ounce case equivalents, were 342.7 million cases for the nine-months ended September 30, 2019, an increase of approximately 29.3 million cases or 9.4% higher than case sales of 313.4 million cases for the nine-months ended September 30, 2018. The overall average net sales per case (excluding net sales of AFF Third-Party Products of $17.0 million and $17.9 million for the nine-months ended September 30, 2019 and 2018, respectively, as these sales do not have unit case equivalents) increased to $9.24 for the nine-months ended September 30, 2019, which was 1.1% higher than the average net sales per case of $9.14 for the nine-months ended September 30, 2018. The increase in the average net sales per case was primarily attributable to a price increase effective 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November 1, 2018 in the United States and effective from February 1, 2019 in Canada, on certain of our Monster Energy® brand energy drinks.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$1.91 billion for the nine-months ended September 30, 2019, an increase of approximately $164.6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9.4% higher than the gross profit of $1.74 billion for the nine-months ended September 30, 2018. The increase in gross profit dollars was primarily the result of the $305.8 million increase in net sales of our Monster Energy® Drinks segment for the nine-months ended September 30, 2019.</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sales decreased to 59.9% for the nine-months ended September 30, 2019 from 60.5% for the nine-months ended September 30, 2018. The decrease for the nine-months ended September 30, 2019 was primarily the result of geographical and product sales mix. Such decrease was partially offset by the sales price increases discussed above.</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were $821.9 million for the nine-months ended September 30, 2019,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$55.9 million, or 7.3% higher than total operating expenses of $766.1 million for the nine-months ended September 30, 2018. The increase in operating expenses was primarily due to increased payroll expenses of $26.4 million (of which $4.5 million was related to an increase in stock-based compensation), increased expenditures of $13.0 million for professional service fees, including legal and accounting costs, increased expenditures of $10.4 million for sponsorships and endorsements, and increased expenditures of $10.8 million in other marketing expenses. The increase in operating expenses was partially offset by decreased expenditures of $15.6 million related to the costs associated with distributor terminations.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was $1.09 billion for the nine-months ended September 30, 2019,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$108.8 million, or 11.1% higher than operating income of $977.1 million for the nine-months ended September 30, 2018. Operating income as a percentage of net sales increased to 34.1% for the nine-months ended September 30, 2019 from 33.9% for the nine-months ended September 30, 2018. Operating income was $180.1 million and $135.0 million for the nine-months ended September 30, 2019 and 2018, respectively, in connection with our operations in Europe, Middle East and Africa (“EMEA”), Asia Pacific and South America.</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was $1.19 billion for the nine-months ended September 30, 2019, an increase of approximately $153.8 million, or 14.9% higher than operating income of $1.03 billion for the nine-months ended September 30, 2018. The increase in operating income for the Monster Energy® Drinks segment was primarily the result of the $305.8 million increase in net sales of our Monster Energy® Drinks segment for the nine-months ended September 30, 2019.</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Strategic Brands segment was $130.8 million for the nine-months ended September 30, 2019, a decrease of approximately $4.3 million, or 3.2% lower than operating income of $135.1 million for the nine-months ended September 30, 2018.</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for the Other segment was $3.0 million for the nine-months ended September 30, 2019, a decrease of approximately $1.5 million, or 33.3% lower than operating income of $4.5 million for the nine-months ended September 30, 2018.</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6"/>
          <w:szCs w:val="16"/>
          <w:i w:val="1"/>
          <w:iCs w:val="1"/>
          <w:color w:val="auto"/>
        </w:rPr>
        <w:t>Exclusive of corporate and unallocated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and other non-operating income, net, was $8.8 million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as compared to interest and other non-operating income, net, of $5.3 million for the nine-months ended September 30, 2018. Foreign currency transaction losses were $3.9 million and $3.6 million for the nine-months ended September 30, 2019 and 2018, respectively. Interest income was $13.5 million and $9.1 million for the nine-months ended September 30, 2019 and 2018, respectively.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was $241.8 million for the nine-months ended September 30, 2019,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$13.4 million, or 5.9% higher than the provision for income taxes of $228.5 million for the nine-months ended September 30, 2018. The effective combined federal, state and foreign tax rate decreased to 22.1% from 23.3% for the nine-months ended September 30, 2019 and 2018, respectively. The decrease in effective tax rate was primarily attributable to an increase in equity compensation deductions. The decrease in the provision for income taxes was partially offset by increased income taxes in certain foreign jurisdictions. In addition, the comparative effective tax rate for the nine-months ended September 30, 2018 included a non-recurring tax benefit.</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$852.9 million for the nine-months ended September 30, 2019, an increase of $99.0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13.1% higher than net income of $753.9 million for the nine-months ended September 30, 2018. The increase in net income was primarily due to the $164.6 million increase in gross profit. The increase in net income was partially offset by the increase in operating expenses of $55.9 million and an increase in the provision for income taxes of $13.4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Sales**. </w:t>
      </w:r>
      <w:r>
        <w:rPr>
          <w:rFonts w:ascii="Times New Roman" w:cs="Times New Roman" w:eastAsia="Times New Roman" w:hAnsi="Times New Roman"/>
          <w:sz w:val="18"/>
          <w:szCs w:val="18"/>
          <w:color w:val="auto"/>
        </w:rPr>
        <w:t>Gross sales were $1.32 billion for the three-months ended September 30, 2019,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$133.8 million, or 11.3% higher than gross sales of $1.18 billion for the three-months ended September 30, 2018. Gross sales for the three-months ended September 30, 2019 were positively impacted by approximately $31.6 million as a result of the U.S. Price Increase and the Canada Price Increase, on certain of our Monster Energy® brand energy drinks. The comparative gross sales for the three-months ended September 30, 2018 were positively impacted by advance purchases made by our customers in anticipation of the U.S. Price Increase. We estimate gross sales for the three-months ended September 30, 2018 were increased by approximately $18.0 million as a result of such advance purchases. Net changes in foreign currency exchange rates had an unfavorable impact on gross sales of approximately $15.1 million for the three-months ended September 30, 2019.</w:t>
      </w:r>
    </w:p>
    <w:p>
      <w:pPr>
        <w:spacing w:after="0" w:line="1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Gross sales for the Monster Energy® Drinks segment were $1.24 billion for the three-months ended September 30, 2019, an increase of approximately $143.3 million, or 13.1% higher than gross sales of $1.09 billion for the three-months ended September 30, 2018. Gross sales for the Monster Energy® Drinks segment increased primarily due to (i) sales of our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introduced in the first quarter of 2019, (ii) the price increases described above and (iii) increased worldwide sales by volume of our Monster Energy® brand energy drinks as a result of increased consumer demand. Net changes in foreign currency exchange rates had an unfavorable impact on gross sales for the Monster Energy® Drinks segment of approximately $13.7 million for the three-months ended September 30, 2019.</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sales of our Strategic Brands segment were $76.7 million for the three-months ended September 30, 2019, a decrease of $8.8 million, or 10.3% lower than gross sales of $85.5 million for the three-months ended September 30, 2018. Net changes in foreign currency exchange rates had an unfavorable impact on gross sales in the Strategic Brands segment of approximately $1.4 million for the three-months ended September 30,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sales of our Other segment were $5.9 million for the three-months ended September 30, 2019, a decrease of $0.7 million, or 10.8% lower than gross sales of $6.6 million for the three-months ended September 30, 2018.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$184.7 million for the three-months ended September 30, 2019, an increase of $16.4 million, or 9.7% higher than promotional allowances, commissions and other expenses of $168.3 million for the three-months ended September 30, 2018. Promotional allowances, commissions and other expenses as a percentage of gross sales decreased to 14.0% from 14.2% for the three-months ended September 30, 2019 and 2018, respectively.</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Sales**. </w:t>
      </w:r>
      <w:r>
        <w:rPr>
          <w:rFonts w:ascii="Times New Roman" w:cs="Times New Roman" w:eastAsia="Times New Roman" w:hAnsi="Times New Roman"/>
          <w:sz w:val="18"/>
          <w:szCs w:val="18"/>
          <w:color w:val="auto"/>
        </w:rPr>
        <w:t>Gross sales were $3.70 billion for the nine-months ended September 30, 2019,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$328.8 million, or 9.8% higher than gross sales of $3.37 billion for the nine-months ended September 30, 2018. Gross sales for the nine-months ended September 30, 2019 were positively impacted by approximately $89.2 million as a result of U.S. Price Increase and the Canada Price Increase, on certain of our Monster Energy® brand energy drinks. Net changes in foreign currency exchange rates had an unfavorable impact on gross sales of approximately $71.7 million for the nine-months ended September 30, 2019.</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Gross sales for the Monster Energy® Drinks segment were $3.43 billion for the nine-months ended September 30, 2019, an increase of approximately $336.8 million, or 10.9% higher than gross sales of $3.09 billion for the nine-months ended September 30, 2018. Gross sales for the Monster Energy® Drinks segment increased primarily due to (i) sales of our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 introduced in the first quarter of 2019, (ii) the price increases described above, and (iii) increased sales by volume of our Monster Energy® brand energy drinks as a result of increased domestic and international consumer demand. Net changes in foreign currency exchange rates had an unfavorable impact on gross sales for the Monster Energy® Drinks segment of approximately $62.7 million for the nine-months ended September 30, 2019.</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sales of our Strategic Brands segment were $246.6 million for the nine-months ended September 30, 2019, a decrease of $7.2 million, or 2.8% lower than gross sales of $253.8 million for the nine-months ended September 30, 2018. Net changes in foreign</w:t>
      </w:r>
    </w:p>
    <w:p>
      <w:pPr>
        <w:sectPr>
          <w:pgSz w:w="11900" w:h="16838" w:orient="portrait"/>
          <w:cols w:equalWidth="0" w:num="1">
            <w:col w:w="10060"/>
          </w:cols>
          <w:pgMar w:left="920" w:top="661" w:right="9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currency exchange rates had an unfavorable impact on gross sales in the Strategic Brands segment of approximately $9.0 million for the nine-months ended September 30, 2019.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sales of our Other segment were $17.0 million for the nine-months ended September 30, 2019, a decrease of $0.9 million, or 4.9% lower than gross sales of $17.9 million for the nine-months ended September 30, 2018.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$511.5 million for the nine-months ended September 30, 2019, an increase of $28.1 million, or 5.8% higher than promotional allowances, commissions and other expenses of $483.4 million for the nine-months ended September 30, 2018. Promotional allowances, commissions and other expenses as a percentage of gross sales decreased to 13.8% from 14.4% for the nine-months ended September 30, 2019 and 2018, respectively.</w:t>
      </w:r>
    </w:p>
    <w:p>
      <w:pPr>
        <w:spacing w:after="0" w:line="174" w:lineRule="exact"/>
        <w:rPr>
          <w:sz w:val="20"/>
          <w:szCs w:val="20"/>
          <w:color w:val="auto"/>
        </w:rPr>
      </w:pPr>
    </w:p>
    <w:p>
      <w:pPr>
        <w:jc w:val="both"/>
        <w:ind w:firstLine="684"/>
        <w:spacing w:after="0" w:line="228" w:lineRule="auto"/>
        <w:rPr>
          <w:sz w:val="20"/>
          <w:szCs w:val="20"/>
          <w:color w:val="auto"/>
        </w:rPr>
      </w:pPr>
      <w:r>
        <w:rPr>
          <w:rFonts w:ascii="Times New Roman" w:cs="Times New Roman" w:eastAsia="Times New Roman" w:hAnsi="Times New Roman"/>
          <w:sz w:val="14"/>
          <w:szCs w:val="14"/>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 cash receipts as promotional payments and allowances may be deducted from payments received from certain customers</w:t>
      </w:r>
      <w:r>
        <w:rPr>
          <w:rFonts w:ascii="Times New Roman" w:cs="Times New Roman" w:eastAsia="Times New Roman" w:hAnsi="Times New Roman"/>
          <w:sz w:val="16"/>
          <w:szCs w:val="16"/>
          <w:i w:val="1"/>
          <w:iCs w:val="1"/>
          <w:color w:val="auto"/>
        </w:rPr>
        <w:t>.</w:t>
      </w: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sales with the most directly comparable GAAP financial measure of 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Percentage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Nine-Months Ended</w:t>
            </w:r>
          </w:p>
        </w:tc>
        <w:tc>
          <w:tcPr>
            <w:tcW w:w="1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21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Change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4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 vs. 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 vs. 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Gross sales, net of discounts</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returns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1,318,267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11.3 %</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3,695,128</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3,366,334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Promotional allowances,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commissions and 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168,284</w:t>
            </w:r>
          </w:p>
        </w:tc>
        <w:tc>
          <w:tcPr>
            <w:tcW w:w="144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511,515</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483,381</w:t>
            </w:r>
          </w:p>
        </w:tc>
        <w:tc>
          <w:tcPr>
            <w:tcW w:w="13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1,016,160</w:t>
            </w:r>
          </w:p>
        </w:tc>
        <w:tc>
          <w:tcPr>
            <w:tcW w:w="1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2,882,953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nine-months ended September 30, 2019 and 2018 were (i) to increase sales volume and trial, (ii) to address market conditions, and (iii) to secure shelf and display space at retail.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 and nine-months ended September 30, 2019 and 2018, respectively. Data from any one or more quarters or periods is not necessarily indicative of annual results or continuing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Three-Months Ended</w:t>
            </w:r>
          </w:p>
        </w:tc>
        <w:tc>
          <w:tcPr>
            <w:tcW w:w="220" w:type="dxa"/>
            <w:vAlign w:val="bottom"/>
          </w:tcPr>
          <w:p>
            <w:pPr>
              <w:spacing w:after="0"/>
              <w:rPr>
                <w:sz w:val="18"/>
                <w:szCs w:val="18"/>
                <w:color w:val="auto"/>
              </w:rPr>
            </w:pPr>
          </w:p>
        </w:tc>
        <w:tc>
          <w:tcPr>
            <w:tcW w:w="2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Nine-Months Ended</w:t>
            </w:r>
          </w:p>
        </w:tc>
        <w:tc>
          <w:tcPr>
            <w:tcW w:w="0" w:type="dxa"/>
            <w:vAlign w:val="bottom"/>
          </w:tcPr>
          <w:p>
            <w:pPr>
              <w:spacing w:after="0"/>
              <w:rPr>
                <w:sz w:val="1"/>
                <w:szCs w:val="1"/>
                <w:color w:val="auto"/>
              </w:rPr>
            </w:pPr>
          </w:p>
        </w:tc>
      </w:tr>
      <w:tr>
        <w:trPr>
          <w:trHeight w:val="234"/>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20" w:type="dxa"/>
            <w:vAlign w:val="bottom"/>
          </w:tcPr>
          <w:p>
            <w:pPr>
              <w:spacing w:after="0"/>
              <w:rPr>
                <w:sz w:val="20"/>
                <w:szCs w:val="20"/>
                <w:color w:val="auto"/>
              </w:rPr>
            </w:pPr>
          </w:p>
        </w:tc>
        <w:tc>
          <w:tcPr>
            <w:tcW w:w="24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2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2,882,953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AFF third-party sales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(16,973)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Adjusted net sales</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2,865,100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Case sales by segment: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257,746</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313,410</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sales per case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1"/>
          <w:szCs w:val="11"/>
          <w:i w:val="1"/>
          <w:iCs w:val="1"/>
          <w:color w:val="auto"/>
        </w:rPr>
        <w:t>1</w:t>
      </w:r>
      <w:r>
        <w:rPr>
          <w:rFonts w:ascii="Times New Roman" w:cs="Times New Roman" w:eastAsia="Times New Roman" w:hAnsi="Times New Roman"/>
          <w:sz w:val="14"/>
          <w:szCs w:val="14"/>
          <w:i w:val="1"/>
          <w:iCs w:val="1"/>
          <w:color w:val="auto"/>
        </w:rPr>
        <w:t>Excludes Other segment net sales of $5.9 million and $6.6 million for the three-months ended September 30, 2019 and 2018, respectively, comprised of net sales of AFF</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4"/>
          <w:szCs w:val="14"/>
          <w:i w:val="1"/>
          <w:iCs w:val="1"/>
          <w:color w:val="auto"/>
        </w:rPr>
        <w:t>Third-Party Products to independent third-party customers, as these sales do not have unit case equivalents. Excludes Other segment net sales of $17.0 million and $17.9 million for the nine-months ended September 30, 2019 and 2018, respectively, comprised of net sales of AFF Third-Party Products to independent third-party customers, as these sales do not have unit case equivalents.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Our Business” for additional information related to the increase in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$821.1 million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as compared with cash provided by operating activities of $821.4 million for the nine-months ended September 30, 2018.</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nine-months ended September 30, 2019, cash provided by operating activities was primarily attributable to net income earned of $852.9 million and adjustments for certain non-cash expenses, consisting of $47.8 million of depreciation and amortization and $46.9 million of stock-based compensation. For the nine-months ended September 30, 2019, cash provided by operating activities also increased due to a $69.5 million increase in accounts payable, a $55.8 million increase in accrued promotional allowances, a $10.3 million increase in income taxes payable, a $6.2 million decrease in prepaid income taxes and a $5.8 million decrease in distributor receivables. For the nine-months ended September 30, 2019, cash used in operating activities was primarily attributable to a $179.8 million increase in accounts receivable, a $44.9 million increase in inventories, a $19.6 million decrease in deferred revenue, a $16.1 million increase in prepaid expenses and other assets, a $9.6 million decrease in accrued liabilities and a $3.9 million decrease in accrued compensation.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nine-months ended September 30, 2018, cash provided by operating activities was primarily attributable to net income earned of $753.9 million and adjustments for certain non-cash expenses, consisting of $42.4 million of stock-based compensation and $42.5 million of depreciation and other amortization. For the nine-months ended September 30, 2018, cash provided by operating activities also increased due to a $96.5 million decrease in prepaid income taxes, a $48.7 million increase in accrued promotional allowances, a $39.6 million increase in accounts payable, a $16.5 million increase in accrued liabilities, a $7.8 million decrease in distributor receivables and a $1.6 million increase in other liabilities. For the nine-months ended September 30, 2018, cash used in operating activities was primarily attributable to a $181.7 million increase in accounts receivable, a $16.5 million increase in prepaid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and other assets, a $13.9 million decrease in deferred revenue, a $10.3 million increase in inventories, a $4.4 million decrease in accrued compensation and a $1.4 million decrease in income taxes payable.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(used in) provided by investing activities. </w:t>
      </w:r>
      <w:r>
        <w:rPr>
          <w:rFonts w:ascii="Times New Roman" w:cs="Times New Roman" w:eastAsia="Times New Roman" w:hAnsi="Times New Roman"/>
          <w:sz w:val="18"/>
          <w:szCs w:val="18"/>
          <w:color w:val="auto"/>
        </w:rPr>
        <w:t>Cash used in investing activities was $328.2 million for the nine-months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as compared to cash provided by investing activities of $154.1 million for the nine-months ended September 30, 2018.</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both the nine-months ended September 30, 2019 and 2018, cash provided by investing activities was primarily attributable to sales of available-for-sale investments. For both the nine-months ended September 30, 2019 and 2018, cash used in investing activities was primarily attributable to purchases of available-for-sale investments. For both the nine-months ended September 30, 2019 and 2018,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$405.3 million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as compared to cash used in financing activities of $782.2 million for the nine-months ended September 30, 2018. The cash used in financing activities for both the nine-months ended September 30, 2019 and 2018 was primarily the result of the repurchases of our common stock. The cash provided by financing activities for both the nine-months ended September 30, 2019, and 2018 was primarily attributable to the issuance of our common stock under our stock-based compensation plans.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short-term and long-term investments. </w:t>
      </w:r>
      <w:r>
        <w:rPr>
          <w:rFonts w:ascii="Times New Roman" w:cs="Times New Roman" w:eastAsia="Times New Roman" w:hAnsi="Times New Roman"/>
          <w:sz w:val="18"/>
          <w:szCs w:val="18"/>
          <w:color w:val="auto"/>
        </w:rPr>
        <w:t>At September 30, 2019, we had $717.6 million in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$587.4 million in short-term investments and $14.4 million in long-term investments. We have historically invested these amounts in U.S. treasuries,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 our $717.6 million of cash and cash equivalents held at September 30, 2019, $420.8 million was held by our foreign subsidiaries. No short-term or long-term investments were held by our foreign subsidiaries at September 30, 2019.</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are likely to be less than $150.0 million through September 30, 2020. However, future business opportunities may cause a change in this estimate.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 September 30, 2019:</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90"/>
        </w:trPr>
        <w:tc>
          <w:tcPr>
            <w:tcW w:w="1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180" w:type="dxa"/>
            <w:vAlign w:val="bottom"/>
          </w:tcPr>
          <w:p>
            <w:pPr>
              <w:spacing w:after="0"/>
              <w:rPr>
                <w:sz w:val="16"/>
                <w:szCs w:val="16"/>
                <w:color w:val="auto"/>
              </w:rPr>
            </w:pPr>
          </w:p>
        </w:tc>
        <w:tc>
          <w:tcPr>
            <w:tcW w:w="74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6"/>
                <w:szCs w:val="16"/>
                <w:color w:val="auto"/>
              </w:rPr>
            </w:pPr>
          </w:p>
        </w:tc>
        <w:tc>
          <w:tcPr>
            <w:tcW w:w="8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00" w:type="dxa"/>
            <w:vAlign w:val="bottom"/>
            <w:gridSpan w:val="3"/>
          </w:tcPr>
          <w:p>
            <w:pPr>
              <w:jc w:val="right"/>
              <w:ind w:right="2130"/>
              <w:spacing w:after="0"/>
              <w:rPr>
                <w:sz w:val="20"/>
                <w:szCs w:val="20"/>
                <w:color w:val="auto"/>
              </w:rPr>
            </w:pPr>
            <w:r>
              <w:rPr>
                <w:rFonts w:ascii="Times New Roman" w:cs="Times New Roman" w:eastAsia="Times New Roman" w:hAnsi="Times New Roman"/>
                <w:sz w:val="18"/>
                <w:szCs w:val="18"/>
                <w:color w:val="auto"/>
              </w:rPr>
              <w:t>Obligations</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 year</w:t>
            </w: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1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16"/>
        </w:trPr>
        <w:tc>
          <w:tcPr>
            <w:tcW w:w="1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5"/>
                <w:szCs w:val="25"/>
                <w:color w:val="auto"/>
                <w:vertAlign w:val="superscript"/>
              </w:rPr>
              <w:t>1</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16"/>
        </w:trPr>
        <w:tc>
          <w:tcPr>
            <w:tcW w:w="18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0"/>
        </w:trPr>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1"/>
          <w:szCs w:val="11"/>
          <w:i w:val="1"/>
          <w:iCs w:val="1"/>
          <w:color w:val="auto"/>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4"/>
          <w:szCs w:val="14"/>
          <w:i w:val="1"/>
          <w:iCs w:val="1"/>
          <w:color w:val="auto"/>
        </w:rPr>
        <w:t>vary in terms, but are generally satisfied within one year.</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$6.2 million of unrecognized tax benefits have been recorded as liabilities as of September 30, 2019. It is expected that the amount of unrecognized tax benefits will not significantly change within the next 12 months. As of September 30, 2019, we had $1.4 million of accrued interest and penalties related to unrecognized tax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2018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52525"/>
        </w:rPr>
        <w:t>Recent Accounting Pronouncements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inflation did not have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ind w:left="680" w:right="240" w:hanging="330"/>
        <w:spacing w:after="0" w:line="261"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TCCC’s bottlers/distributors distributing Coca-Cola brand energy drinks;</w:t>
      </w:r>
    </w:p>
    <w:p>
      <w:pPr>
        <w:spacing w:after="0" w:line="9" w:lineRule="exact"/>
        <w:rPr>
          <w:rFonts w:ascii="Times New Roman" w:cs="Times New Roman" w:eastAsia="Times New Roman" w:hAnsi="Times New Roman"/>
          <w:sz w:val="18"/>
          <w:szCs w:val="18"/>
          <w:color w:val="auto"/>
        </w:rPr>
      </w:pPr>
    </w:p>
    <w:p>
      <w:pPr>
        <w:ind w:left="680" w:right="100" w:hanging="330"/>
        <w:spacing w:after="0" w:line="261"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shareholders and the potential divergence of TCCC’s interests from those of our other shareholders;</w:t>
      </w:r>
    </w:p>
    <w:p>
      <w:pPr>
        <w:sectPr>
          <w:pgSz w:w="11900" w:h="16838" w:orient="portrait"/>
          <w:cols w:equalWidth="0" w:num="1">
            <w:col w:w="10060"/>
          </w:cols>
          <w:pgMar w:left="920" w:top="648" w:right="9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140" w:hanging="330"/>
        <w:spacing w:after="0" w:line="257"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Times New Roman" w:cs="Times New Roman" w:eastAsia="Times New Roman" w:hAnsi="Times New Roman"/>
          <w:sz w:val="18"/>
          <w:szCs w:val="18"/>
          <w:color w:val="auto"/>
        </w:rPr>
      </w:pPr>
    </w:p>
    <w:p>
      <w:pPr>
        <w:ind w:left="680" w:right="14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slowing of and/or decline in the sales growth rates of the domestic and international energy drink categories and/or the U.S. convenience store market generally;</w:t>
      </w:r>
    </w:p>
    <w:p>
      <w:pPr>
        <w:ind w:left="680" w:right="56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distribution or sales and/or decline in sales due to the termination and/or appointment of existing and/or new domestic and/or international distributors;</w:t>
      </w: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inventory levels of our bottlers/distributors, planned or otherwise, and the resultant impact on our revenues;</w:t>
      </w:r>
    </w:p>
    <w:p>
      <w:pPr>
        <w:spacing w:after="0" w:line="9" w:lineRule="exact"/>
        <w:rPr>
          <w:rFonts w:ascii="Times New Roman" w:cs="Times New Roman" w:eastAsia="Times New Roman" w:hAnsi="Times New Roman"/>
          <w:sz w:val="18"/>
          <w:szCs w:val="18"/>
          <w:color w:val="auto"/>
        </w:rPr>
      </w:pPr>
    </w:p>
    <w:p>
      <w:pPr>
        <w:ind w:left="680" w:right="16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18"/>
          <w:szCs w:val="18"/>
          <w:color w:val="auto"/>
        </w:rPr>
      </w:pPr>
    </w:p>
    <w:p>
      <w:pPr>
        <w:ind w:left="680" w:right="10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18"/>
          <w:szCs w:val="18"/>
          <w:color w:val="auto"/>
        </w:rPr>
      </w:pPr>
    </w:p>
    <w:p>
      <w:pPr>
        <w:ind w:left="680" w:right="30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regulations and evolving industry standards regarding consumer privacy and data use and security, including with respect to the General Data Protection Regulation approved by the European Union;</w:t>
      </w: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from certain of our operations outside the United States;</w:t>
      </w:r>
    </w:p>
    <w:p>
      <w:pPr>
        <w:spacing w:after="0" w:line="9" w:lineRule="exact"/>
        <w:rPr>
          <w:rFonts w:ascii="Times New Roman" w:cs="Times New Roman" w:eastAsia="Times New Roman" w:hAnsi="Times New Roman"/>
          <w:sz w:val="18"/>
          <w:szCs w:val="18"/>
          <w:color w:val="auto"/>
        </w:rPr>
      </w:pPr>
    </w:p>
    <w:p>
      <w:pPr>
        <w:ind w:left="680" w:right="60" w:hanging="330"/>
        <w:spacing w:after="0" w:line="265" w:lineRule="auto"/>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680" w:right="10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reduce, or pass on to our bottlers/distributors increases in freight costs;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9" w:lineRule="exact"/>
        <w:rPr>
          <w:rFonts w:ascii="Times New Roman" w:cs="Times New Roman" w:eastAsia="Times New Roman" w:hAnsi="Times New Roman"/>
          <w:sz w:val="18"/>
          <w:szCs w:val="18"/>
          <w:color w:val="auto"/>
        </w:rPr>
      </w:pPr>
    </w:p>
    <w:p>
      <w:pPr>
        <w:ind w:left="680" w:right="72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 on our business in the United Kingdom and in Continental Europe;</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Tax Reform Act;</w:t>
      </w:r>
    </w:p>
    <w:p>
      <w:pPr>
        <w:spacing w:after="0" w:line="9" w:lineRule="exact"/>
        <w:rPr>
          <w:rFonts w:ascii="Times New Roman" w:cs="Times New Roman" w:eastAsia="Times New Roman" w:hAnsi="Times New Roman"/>
          <w:sz w:val="18"/>
          <w:szCs w:val="18"/>
          <w:color w:val="auto"/>
        </w:rPr>
      </w:pPr>
    </w:p>
    <w:p>
      <w:pPr>
        <w:ind w:left="680" w:right="14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which may be brought against us by the Securities and Exchange Commission (the “SEC”), the FDA, the FTC or other governmental agencies or bodies;</w:t>
      </w:r>
    </w:p>
    <w:p>
      <w:pPr>
        <w:ind w:left="680" w:right="48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ind w:left="680" w:right="8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other litigation;</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tax matters;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pacing w:after="0" w:line="9" w:lineRule="exact"/>
        <w:rPr>
          <w:rFonts w:ascii="Times New Roman" w:cs="Times New Roman" w:eastAsia="Times New Roman" w:hAnsi="Times New Roman"/>
          <w:sz w:val="18"/>
          <w:szCs w:val="18"/>
          <w:color w:val="auto"/>
        </w:rPr>
      </w:pPr>
    </w:p>
    <w:p>
      <w:pPr>
        <w:ind w:left="68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Times New Roman" w:cs="Times New Roman" w:eastAsia="Times New Roman" w:hAnsi="Times New Roman"/>
          <w:sz w:val="18"/>
          <w:szCs w:val="18"/>
          <w:color w:val="auto"/>
        </w:rPr>
      </w:pPr>
    </w:p>
    <w:p>
      <w:pPr>
        <w:ind w:left="680" w:right="260" w:hanging="330"/>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and health concerns related to our products, water usage, environmental impact, human rights and labor and workplace laws;</w:t>
      </w: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related and/or for other reasons, including changes in product category consumption;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30"/>
        <w:spacing w:after="0" w:line="26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certain key ingredients, as well as disruptions to the supply chain, as a result of climate change and extreme weather conditions;</w:t>
      </w:r>
    </w:p>
    <w:p>
      <w:pPr>
        <w:jc w:val="both"/>
        <w:ind w:left="6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18"/>
          <w:szCs w:val="18"/>
          <w:color w:val="auto"/>
        </w:rPr>
      </w:pPr>
    </w:p>
    <w:p>
      <w:pPr>
        <w:ind w:left="680" w:right="80" w:hanging="330"/>
        <w:spacing w:after="0" w:line="20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our Reign Total Body Fuel</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high performance energy drinks;</w:t>
      </w: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w:t>
      </w:r>
    </w:p>
    <w:p>
      <w:pPr>
        <w:spacing w:after="0" w:line="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9" w:lineRule="exact"/>
        <w:rPr>
          <w:rFonts w:ascii="Times New Roman" w:cs="Times New Roman" w:eastAsia="Times New Roman" w:hAnsi="Times New Roman"/>
          <w:sz w:val="18"/>
          <w:szCs w:val="18"/>
          <w:color w:val="auto"/>
        </w:rPr>
      </w:pPr>
    </w:p>
    <w:p>
      <w:pPr>
        <w:ind w:left="680" w:right="24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and/or achieve growth for our Monster Energy® brand energy drinks and/or our other products, including the Strategic Brands acquired from TCCC;</w:t>
      </w:r>
    </w:p>
    <w:p>
      <w:pPr>
        <w:ind w:left="680" w:right="2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2" w:lineRule="exact"/>
        <w:rPr>
          <w:rFonts w:ascii="Times New Roman" w:cs="Times New Roman" w:eastAsia="Times New Roman" w:hAnsi="Times New Roman"/>
          <w:sz w:val="18"/>
          <w:szCs w:val="18"/>
          <w:color w:val="auto"/>
        </w:rPr>
      </w:pPr>
    </w:p>
    <w:p>
      <w:pPr>
        <w:ind w:left="6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5" w:lineRule="exact"/>
        <w:rPr>
          <w:rFonts w:ascii="Times New Roman" w:cs="Times New Roman" w:eastAsia="Times New Roman" w:hAnsi="Times New Roman"/>
          <w:sz w:val="18"/>
          <w:szCs w:val="18"/>
          <w:color w:val="auto"/>
        </w:rPr>
      </w:pPr>
    </w:p>
    <w:p>
      <w:pPr>
        <w:ind w:left="6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due to port strikes and related labor issues;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9" w:lineRule="exact"/>
        <w:rPr>
          <w:rFonts w:ascii="Times New Roman" w:cs="Times New Roman" w:eastAsia="Times New Roman" w:hAnsi="Times New Roman"/>
          <w:sz w:val="18"/>
          <w:szCs w:val="18"/>
          <w:color w:val="auto"/>
        </w:rPr>
      </w:pPr>
    </w:p>
    <w:p>
      <w:pPr>
        <w:ind w:left="680" w:right="4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18"/>
          <w:szCs w:val="18"/>
          <w:color w:val="auto"/>
        </w:rPr>
      </w:pPr>
    </w:p>
    <w:p>
      <w:pPr>
        <w:ind w:left="680" w:right="60" w:hanging="330"/>
        <w:spacing w:after="0" w:line="265" w:lineRule="auto"/>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shortages that may be experienced in the procurement of containers and/or other raw materials including, without limitation, aluminum cans generally, PET containers used for our Monster Hydro® energy drinks and 24-ounce aluminum cap cans;</w:t>
      </w:r>
    </w:p>
    <w:p>
      <w:pPr>
        <w:ind w:left="680" w:right="10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right="2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ind w:left="680" w:right="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18"/>
          <w:szCs w:val="18"/>
          <w:color w:val="auto"/>
        </w:rPr>
      </w:pPr>
    </w:p>
    <w:p>
      <w:pPr>
        <w:ind w:left="680" w:hanging="330"/>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one or more of our international markets;</w:t>
      </w:r>
    </w:p>
    <w:p>
      <w:pPr>
        <w:spacing w:after="0" w:line="9" w:lineRule="exact"/>
        <w:rPr>
          <w:rFonts w:ascii="Times New Roman" w:cs="Times New Roman" w:eastAsia="Times New Roman" w:hAnsi="Times New Roman"/>
          <w:sz w:val="18"/>
          <w:szCs w:val="18"/>
          <w:color w:val="auto"/>
        </w:rPr>
      </w:pPr>
    </w:p>
    <w:p>
      <w:pPr>
        <w:ind w:left="680" w:right="220" w:hanging="330"/>
        <w:spacing w:after="0" w:line="26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full service bottlers/distributors of our products, most of whom distribute products that may be regarded as competitive with our products;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30"/>
        <w:spacing w:after="0" w:line="257"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advertising, marketing and promotional strategies;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endeavors both domestically and internationally;</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economic and political changes and local or international catastrophic events;</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recalls of our products and/or defective production;</w:t>
      </w:r>
    </w:p>
    <w:p>
      <w:pPr>
        <w:spacing w:after="0" w:line="9" w:lineRule="exact"/>
        <w:rPr>
          <w:rFonts w:ascii="Times New Roman" w:cs="Times New Roman" w:eastAsia="Times New Roman" w:hAnsi="Times New Roman"/>
          <w:sz w:val="18"/>
          <w:szCs w:val="18"/>
          <w:color w:val="auto"/>
        </w:rPr>
      </w:pPr>
    </w:p>
    <w:p>
      <w:pPr>
        <w:jc w:val="both"/>
        <w:ind w:left="680" w:right="500" w:hanging="330"/>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pacing w:after="0" w:line="9" w:lineRule="exact"/>
        <w:rPr>
          <w:rFonts w:ascii="Times New Roman" w:cs="Times New Roman" w:eastAsia="Times New Roman" w:hAnsi="Times New Roman"/>
          <w:sz w:val="18"/>
          <w:szCs w:val="18"/>
          <w:color w:val="auto"/>
        </w:rPr>
      </w:pPr>
    </w:p>
    <w:p>
      <w:pPr>
        <w:ind w:left="680" w:right="20" w:hanging="330"/>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ind w:left="680" w:right="260" w:hanging="330"/>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right="40" w:hanging="330"/>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contract packers to manufacture our products on a timely basis or at all;</w:t>
      </w:r>
    </w:p>
    <w:p>
      <w:pPr>
        <w:spacing w:after="0" w:line="9"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w:t>
      </w:r>
    </w:p>
    <w:p>
      <w:pPr>
        <w:spacing w:after="0" w:line="9" w:lineRule="exact"/>
        <w:rPr>
          <w:rFonts w:ascii="Times New Roman" w:cs="Times New Roman" w:eastAsia="Times New Roman" w:hAnsi="Times New Roman"/>
          <w:sz w:val="18"/>
          <w:szCs w:val="18"/>
          <w:color w:val="auto"/>
        </w:rPr>
      </w:pPr>
    </w:p>
    <w:p>
      <w:pPr>
        <w:ind w:left="680" w:right="240" w:hanging="330"/>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and</w:t>
      </w: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senior management, other key employees and our employee base in general.</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three-months ended September 30, 2019 compared with the disclosures in Part II, Item 7A of our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during the quarter ended September 30, 2019, that have materially affected, or are reasonably likely to materially affect, our internal control over financial reporting.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risk factors are discussed in our Form 10-K. There have been no material changes with respect to the risk factors disclosed in our Form 10-K.</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7, 2018, the Company’s Board of Directors authorized a share repurchase program for the purchase of up to $500.0 million of the Company’s outstanding common stock (the “August 2018 Repurchase Plan”). During the three-months ended September 30, 2019, the Company purchased 0.4 million shares of common stock at an average purchase price of $58.32 per share, for a total amount of $20.6 million (excluding broker commissions), which exhausted the availability under the August 2018 Repurchase Plan. Such shares are included in common stock in treasury in the accompanying condensed consolidated balance sheet at September 30, 2019.</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26, 2019, the Company’s Board of Directors authorized a new share repurchase program for the purchase of up to $500.0 million of the Company’s outstanding common stock (the “February 2019 Repurchase Plan”). During the three-months ended September 30, 2019, the Company purchased 4.0 million shares of common stock at an average purchase price of $58.62 per share, for a total amount of $233.7 million (excluding broker commissions), under the February 2019 Repurchase Plan. Such shares are included in common stock in treasury in the accompanying condensed consolidated balance sheet at September 30, 2019. As of November 6, 2019, $36.6 million remained available for repurchase under the February 2019 Repurchase Plan.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6, 2019, the Company’s Board of Directors authorized a new share repurchase program for the purchase of up to $500.0 million of the Company’s outstanding common stock and, accordingly, the aggregate amount available to repurchase the Company’s common stock is currently $536.6 million.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September 30,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Approximate Dollar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14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 Price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Under the Plans or</w:t>
            </w:r>
          </w:p>
        </w:tc>
        <w:tc>
          <w:tcPr>
            <w:tcW w:w="0" w:type="dxa"/>
            <w:vAlign w:val="bottom"/>
          </w:tcPr>
          <w:p>
            <w:pPr>
              <w:spacing w:after="0"/>
              <w:rPr>
                <w:sz w:val="1"/>
                <w:szCs w:val="1"/>
                <w:color w:val="auto"/>
              </w:rPr>
            </w:pPr>
          </w:p>
        </w:tc>
      </w:tr>
      <w:tr>
        <w:trPr>
          <w:trHeight w:val="149"/>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Announced Plans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Programs (In</w:t>
            </w: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Share¹</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Programs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thousands)²</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 Jul 31, 2019</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520,610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 1 – Aug 31, 2019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516,236</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 1 - Sep 30, 2019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¹Excluding broker commissions paid.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²Net of broker commissions paid.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September 30, 2019, no shares of common stock were purchased from employees in lieu of cash payments for options exercised or withholding taxes due.</w:t>
      </w:r>
    </w:p>
    <w:p>
      <w:pPr>
        <w:sectPr>
          <w:pgSz w:w="11900" w:h="16838" w:orient="portrait"/>
          <w:cols w:equalWidth="0" w:num="1">
            <w:col w:w="10060"/>
          </w:cols>
          <w:pgMar w:left="920" w:top="661" w:right="9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661" w:right="1440"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50">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51">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940" w:right="20" w:hanging="931"/>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52">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52">
        <w:r>
          <w:rPr>
            <w:rFonts w:ascii="Times New Roman" w:cs="Times New Roman" w:eastAsia="Times New Roman" w:hAnsi="Times New Roman"/>
            <w:sz w:val="18"/>
            <w:szCs w:val="18"/>
            <w:u w:val="single" w:color="auto"/>
            <w:color w:val="0000EE"/>
          </w:rPr>
          <w:t>Sarbanes-Oxley Act of 2002</w:t>
        </w:r>
      </w:hyperlink>
    </w:p>
    <w:p>
      <w:pPr>
        <w:spacing w:after="0" w:line="162" w:lineRule="exact"/>
        <w:rPr>
          <w:sz w:val="20"/>
          <w:szCs w:val="20"/>
          <w:color w:val="auto"/>
        </w:rPr>
      </w:pPr>
    </w:p>
    <w:p>
      <w:pPr>
        <w:jc w:val="both"/>
        <w:ind w:left="940" w:hanging="931"/>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53">
        <w:r>
          <w:rPr>
            <w:rFonts w:ascii="Times New Roman" w:cs="Times New Roman" w:eastAsia="Times New Roman" w:hAnsi="Times New Roman"/>
            <w:sz w:val="18"/>
            <w:szCs w:val="18"/>
            <w:u w:val="single" w:color="auto"/>
            <w:color w:val="0000EE"/>
          </w:rPr>
          <w:t>Certification by Chief Financial Officer Pursuant to 18 U.S.C. Section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53">
        <w:r>
          <w:rPr>
            <w:rFonts w:ascii="Times New Roman" w:cs="Times New Roman" w:eastAsia="Times New Roman" w:hAnsi="Times New Roman"/>
            <w:sz w:val="18"/>
            <w:szCs w:val="18"/>
            <w:u w:val="single" w:color="auto"/>
            <w:color w:val="0000EE"/>
          </w:rPr>
          <w:t>Sarbanes-Oxley Act of 2002</w:t>
        </w:r>
      </w:hyperlink>
    </w:p>
    <w:p>
      <w:pPr>
        <w:spacing w:after="0" w:line="162" w:lineRule="exact"/>
        <w:rPr>
          <w:sz w:val="20"/>
          <w:szCs w:val="20"/>
          <w:color w:val="auto"/>
        </w:rPr>
      </w:pPr>
    </w:p>
    <w:p>
      <w:pPr>
        <w:jc w:val="both"/>
        <w:ind w:left="940" w:hanging="939"/>
        <w:spacing w:after="0" w:line="255" w:lineRule="auto"/>
        <w:tabs>
          <w:tab w:leader="none" w:pos="9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September 30, 2019, formatted in iXBRL (Inline eXtensible Business Reporting Language): (i) Condensed Consolidated Balance Sheets as of September 30, 2019 and December 31, 2018, (ii) Condensed Consolidated Statements of Income for the three- and nine-months ended September 30, 2019 and 2018, (iii) Condensed Consolidated Statements of Comprehensive Income for the three- and nine-months ended September 30, 2019 and 2018, (iv) Condensed Consolidated Statements of Stockholders’ Equity for the nine-months ended September 30, 2019 and 2018, (v) Condensed Consolidated Statements of Cash Flows for the nine-months ended September 30, 2019 and 2018, and (vi) the Notes to Condensed Consolidated Financial Statements.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September 30,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2019, formatted in iXBRL (Inline eXtensible Business Reporting Language) and contained in Exhibit 101.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MONSTER BEVERAGE CORPORATION</w:t>
            </w:r>
          </w:p>
        </w:tc>
      </w:tr>
      <w:tr>
        <w:trPr>
          <w:trHeight w:val="234"/>
        </w:trPr>
        <w:tc>
          <w:tcPr>
            <w:tcW w:w="50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218"/>
        </w:trPr>
        <w:tc>
          <w:tcPr>
            <w:tcW w:w="5040" w:type="dxa"/>
            <w:vAlign w:val="bottom"/>
          </w:tcPr>
          <w:p>
            <w:pPr>
              <w:spacing w:after="0"/>
              <w:rPr>
                <w:sz w:val="18"/>
                <w:szCs w:val="18"/>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Rodney C. Sacks</w:t>
            </w:r>
          </w:p>
        </w:tc>
        <w:tc>
          <w:tcPr>
            <w:tcW w:w="13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0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9" w:lineRule="exact"/>
        <w:rPr>
          <w:sz w:val="20"/>
          <w:szCs w:val="20"/>
          <w:color w:val="auto"/>
        </w:rPr>
      </w:pPr>
    </w:p>
    <w:p>
      <w:pPr>
        <w:jc w:val="center"/>
        <w:ind w:left="920" w:right="132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16" w:lineRule="exact"/>
        <w:rPr>
          <w:sz w:val="20"/>
          <w:szCs w:val="20"/>
          <w:color w:val="auto"/>
        </w:rPr>
      </w:pPr>
    </w:p>
    <w:p>
      <w:pPr>
        <w:ind w:left="361" w:hanging="361"/>
        <w:spacing w:after="0"/>
        <w:tabs>
          <w:tab w:leader="none" w:pos="36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3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1" w:hanging="324"/>
        <w:spacing w:after="0" w:line="254" w:lineRule="auto"/>
        <w:tabs>
          <w:tab w:leader="none" w:pos="163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5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rFonts w:ascii="Times New Roman" w:cs="Times New Roman" w:eastAsia="Times New Roman" w:hAnsi="Times New Roman"/>
          <w:sz w:val="20"/>
          <w:szCs w:val="20"/>
          <w:color w:val="auto"/>
        </w:rPr>
      </w:pPr>
    </w:p>
    <w:p>
      <w:pPr>
        <w:jc w:val="both"/>
        <w:ind w:left="1621" w:hanging="324"/>
        <w:spacing w:after="0" w:line="254" w:lineRule="auto"/>
        <w:tabs>
          <w:tab w:leader="none" w:pos="163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1" w:hanging="324"/>
        <w:spacing w:after="0" w:line="269" w:lineRule="auto"/>
        <w:tabs>
          <w:tab w:leader="none" w:pos="1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7, 2019</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/s/Rodney C. Sacks</w:t>
            </w:r>
          </w:p>
        </w:tc>
      </w:tr>
      <w:tr>
        <w:trPr>
          <w:trHeight w:val="200"/>
        </w:trPr>
        <w:tc>
          <w:tcPr>
            <w:tcW w:w="5000" w:type="dxa"/>
            <w:vAlign w:val="bottom"/>
          </w:tcPr>
          <w:p>
            <w:pPr>
              <w:spacing w:after="0"/>
              <w:rPr>
                <w:sz w:val="17"/>
                <w:szCs w:val="17"/>
                <w:color w:val="auto"/>
              </w:rPr>
            </w:pPr>
          </w:p>
        </w:tc>
        <w:tc>
          <w:tcPr>
            <w:tcW w:w="50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50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 and Chief Executive</w:t>
            </w:r>
          </w:p>
        </w:tc>
      </w:tr>
      <w:tr>
        <w:trPr>
          <w:trHeight w:val="258"/>
        </w:trPr>
        <w:tc>
          <w:tcPr>
            <w:tcW w:w="5000" w:type="dxa"/>
            <w:vAlign w:val="bottom"/>
          </w:tcPr>
          <w:p>
            <w:pPr>
              <w:spacing w:after="0"/>
              <w:rPr>
                <w:sz w:val="22"/>
                <w:szCs w:val="22"/>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r>
      <w:tr>
        <w:trPr>
          <w:trHeight w:val="771"/>
        </w:trPr>
        <w:tc>
          <w:tcPr>
            <w:tcW w:w="50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4" w:right="9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78" w:lineRule="exact"/>
        <w:rPr>
          <w:sz w:val="20"/>
          <w:szCs w:val="20"/>
          <w:color w:val="auto"/>
        </w:rPr>
      </w:pPr>
    </w:p>
    <w:p>
      <w:pPr>
        <w:jc w:val="center"/>
        <w:ind w:left="920" w:right="132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16" w:lineRule="exact"/>
        <w:rPr>
          <w:sz w:val="20"/>
          <w:szCs w:val="20"/>
          <w:color w:val="auto"/>
        </w:rPr>
      </w:pPr>
    </w:p>
    <w:p>
      <w:pPr>
        <w:ind w:left="361" w:hanging="361"/>
        <w:spacing w:after="0"/>
        <w:tabs>
          <w:tab w:leader="none" w:pos="36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4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0"/>
          <w:szCs w:val="20"/>
          <w:color w:val="auto"/>
        </w:rPr>
      </w:pPr>
    </w:p>
    <w:p>
      <w:pPr>
        <w:jc w:val="both"/>
        <w:ind w:left="1621" w:hanging="324"/>
        <w:spacing w:after="0" w:line="254" w:lineRule="auto"/>
        <w:tabs>
          <w:tab w:leader="none" w:pos="16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1" w:hanging="324"/>
        <w:spacing w:after="0" w:line="249" w:lineRule="auto"/>
        <w:tabs>
          <w:tab w:leader="none" w:pos="164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20"/>
          <w:szCs w:val="20"/>
          <w:color w:val="auto"/>
        </w:rPr>
      </w:pPr>
    </w:p>
    <w:p>
      <w:pPr>
        <w:jc w:val="both"/>
        <w:ind w:left="321" w:hanging="321"/>
        <w:spacing w:after="0" w:line="254" w:lineRule="auto"/>
        <w:tabs>
          <w:tab w:leader="none" w:pos="3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rFonts w:ascii="Times New Roman" w:cs="Times New Roman" w:eastAsia="Times New Roman" w:hAnsi="Times New Roman"/>
          <w:sz w:val="20"/>
          <w:szCs w:val="20"/>
          <w:color w:val="auto"/>
        </w:rPr>
      </w:pPr>
    </w:p>
    <w:p>
      <w:pPr>
        <w:jc w:val="both"/>
        <w:ind w:left="1621" w:hanging="324"/>
        <w:spacing w:after="0" w:line="254" w:lineRule="auto"/>
        <w:tabs>
          <w:tab w:leader="none" w:pos="16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1" w:hanging="324"/>
        <w:spacing w:after="0" w:line="269" w:lineRule="auto"/>
        <w:tabs>
          <w:tab w:leader="none" w:pos="164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November 7, 2019</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6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30"/>
        </w:trPr>
        <w:tc>
          <w:tcPr>
            <w:tcW w:w="6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President, Chief</w:t>
            </w:r>
          </w:p>
        </w:tc>
      </w:tr>
      <w:tr>
        <w:trPr>
          <w:trHeight w:val="258"/>
        </w:trPr>
        <w:tc>
          <w:tcPr>
            <w:tcW w:w="6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Operating Officer, Chief Financial Officer and Secretary</w:t>
            </w:r>
          </w:p>
        </w:tc>
      </w:tr>
      <w:tr>
        <w:trPr>
          <w:trHeight w:val="771"/>
        </w:trPr>
        <w:tc>
          <w:tcPr>
            <w:tcW w:w="6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4" w:right="9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September 30, 2019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4" w:lineRule="exact"/>
        <w:rPr>
          <w:sz w:val="20"/>
          <w:szCs w:val="20"/>
          <w:color w:val="auto"/>
        </w:rPr>
      </w:pPr>
    </w:p>
    <w:p>
      <w:pPr>
        <w:ind w:left="640" w:right="320" w:hanging="317"/>
        <w:spacing w:after="0" w:line="269" w:lineRule="auto"/>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20"/>
          <w:szCs w:val="20"/>
          <w:color w:val="auto"/>
        </w:rPr>
      </w:pPr>
    </w:p>
    <w:p>
      <w:pPr>
        <w:ind w:left="640" w:right="160" w:hanging="317"/>
        <w:spacing w:after="0" w:line="269" w:lineRule="auto"/>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7, 2019</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502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50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 and Chief Executive</w:t>
            </w:r>
          </w:p>
        </w:tc>
      </w:tr>
      <w:tr>
        <w:trPr>
          <w:trHeight w:val="258"/>
        </w:trPr>
        <w:tc>
          <w:tcPr>
            <w:tcW w:w="50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r>
      <w:tr>
        <w:trPr>
          <w:trHeight w:val="771"/>
        </w:trPr>
        <w:tc>
          <w:tcPr>
            <w:tcW w:w="5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4" w:right="9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September 30, 2019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640" w:right="320" w:hanging="317"/>
        <w:spacing w:after="0" w:line="269" w:lineRule="auto"/>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20"/>
          <w:szCs w:val="20"/>
          <w:color w:val="auto"/>
        </w:rPr>
      </w:pPr>
    </w:p>
    <w:p>
      <w:pPr>
        <w:ind w:left="640" w:right="160" w:hanging="317"/>
        <w:spacing w:after="0" w:line="269" w:lineRule="auto"/>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7, 2019</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502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30"/>
        </w:trPr>
        <w:tc>
          <w:tcPr>
            <w:tcW w:w="50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President, Chief</w:t>
            </w:r>
          </w:p>
        </w:tc>
      </w:tr>
      <w:tr>
        <w:trPr>
          <w:trHeight w:val="258"/>
        </w:trPr>
        <w:tc>
          <w:tcPr>
            <w:tcW w:w="502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Operating Officer, Chief Financial Officer and Secretary</w:t>
            </w:r>
          </w:p>
        </w:tc>
      </w:tr>
      <w:tr>
        <w:trPr>
          <w:trHeight w:val="771"/>
        </w:trPr>
        <w:tc>
          <w:tcPr>
            <w:tcW w:w="5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842"/>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1."/>
      <w:numFmt w:val="decimal"/>
      <w:start w:val="15"/>
    </w:lvl>
  </w:abstractNum>
  <w:abstractNum w:abstractNumId="16">
    <w:nsid w:val="8EDBDAB"/>
    <w:multiLevelType w:val="hybridMultilevel"/>
    <w:lvl w:ilvl="0">
      <w:lvlJc w:val="left"/>
      <w:lvlText w:val="%1."/>
      <w:numFmt w:val="decimal"/>
      <w:start w:val="16"/>
    </w:lvl>
  </w:abstractNum>
  <w:abstractNum w:abstractNumId="17">
    <w:nsid w:val="79838CB2"/>
    <w:multiLevelType w:val="hybridMultilevel"/>
    <w:lvl w:ilvl="0">
      <w:lvlJc w:val="left"/>
      <w:lvlText w:val="%1."/>
      <w:numFmt w:val="decimal"/>
      <w:start w:val="17"/>
    </w:lvl>
  </w:abstractNum>
  <w:abstractNum w:abstractNumId="18">
    <w:nsid w:val="4353D0CD"/>
    <w:multiLevelType w:val="hybridMultilevel"/>
    <w:lvl w:ilvl="0">
      <w:lvlJc w:val="left"/>
      <w:lvlText w:val="%1."/>
      <w:numFmt w:val="decimal"/>
      <w:start w:val="18"/>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9"/>
    </w:lvl>
  </w:abstractNum>
  <w:abstractNum w:abstractNumId="21">
    <w:nsid w:val="54E49EB4"/>
    <w:multiLevelType w:val="hybridMultilevel"/>
    <w:lvl w:ilvl="0">
      <w:lvlJc w:val="left"/>
      <w:lvlText w:val="%1."/>
      <w:numFmt w:val="decimal"/>
      <w:start w:val="20"/>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2019-12-28T01:52:34Z</dcterms:created>
  <dcterms:modified xsi:type="dcterms:W3CDTF">2019-12-28T01:52:34Z</dcterms:modified>
</cp:coreProperties>
</file>