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050713.xml.htm"/>
      <w:bookmarkStart w:id="1" w:name="ksform407102026_0507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Demel 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MONSTER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CORONA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Monster Beverage Corp</w:t>
              </w:r>
            </w:hyperlink>
            <w:r>
              <w:rPr/>
              <w:t xml:space="preserve"> [ </w:t>
            </w:r>
            <w:r>
              <w:rPr>
                <w:rFonts w:ascii="Times;serif" w:hAnsi="Times;serif"/>
                <w:color w:val="0000FF"/>
                <w:sz w:val="24"/>
                <w:shd w:fill="FFFFFF" w:val="clear"/>
              </w:rPr>
              <w:t>MNST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243</w:t>
            </w:r>
            <w:r>
              <w:rPr>
                <w:rFonts w:ascii="Times;serif" w:hAnsi="Times;serif"/>
                <w:color w:val="008000"/>
                <w:position w:val="7"/>
                <w:sz w:val="16"/>
                <w:sz w:val="20"/>
                <w:shd w:fill="FFFFFF" w:val="clear"/>
              </w:rPr>
              <w:t>(6)</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95.15</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20,107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either (i) a contingent right to receive one share of the Company's common stock or (ii) a cash amount equal to the number of shares received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with respect to 100% of such restricted stock units on the last business day prior to the Company's 2027 annual stockholder meeting, provided that the reporting person continues as a director of the Company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 transaction is being reported at this time. This line is only reporting holdings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deferred stock unit is economically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Deferred stock units credited to the reporting person under the Monster Beverage Corporation Deferred Compensation Plan for Non-Employee Directors (the "Deferral Plan"), a sub-plan of the Monster Beverage Corporation 2017 Compensation Plan for Non-Employee Directors as Amended and Restated on February 23, 2022, which may include voluntary deferred compensation.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deferred stock units credited under the Deferral Plan are settled (other than fractional units) in stock and are generally payable in the form elected or provided under the Deferral Plan on the earliest of: (i) a specified date or event designated by the reporting person, (ii) in the calendar year following the year in which the reporting person's service with the Board of Directors of the Company separates, or (iii) upon death, disability or change in control as defined under the Deferral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 Dechary,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3741" TargetMode="External"/><Relationship Id="rId5" Type="http://schemas.openxmlformats.org/officeDocument/2006/relationships/hyperlink" Target="http://www.sec.gov/cgi-bin/browse-edgar?action=getcompany&amp;CIK=00008657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4412</Characters>
  <CharactersWithSpaces>5167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