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4" w:lineRule="exact"/>
        <w:rPr>
          <w:sz w:val="24"/>
          <w:szCs w:val="24"/>
          <w:color w:val="auto"/>
        </w:rPr>
      </w:pPr>
    </w:p>
    <w:p>
      <w:pPr>
        <w:spacing w:after="0"/>
        <w:tabs>
          <w:tab w:leader="none" w:pos="6660" w:val="left"/>
        </w:tabs>
        <w:rPr>
          <w:sz w:val="20"/>
          <w:szCs w:val="20"/>
          <w:color w:val="auto"/>
        </w:rPr>
      </w:pPr>
      <w:r>
        <w:rPr>
          <w:rFonts w:ascii="Arial" w:cs="Arial" w:eastAsia="Arial" w:hAnsi="Arial"/>
          <w:sz w:val="18"/>
          <w:szCs w:val="18"/>
          <w:color w:val="auto"/>
        </w:rPr>
        <w:t>For the quarterly period ended September 30, 2021</w:t>
      </w:r>
      <w:r>
        <w:rPr>
          <w:sz w:val="20"/>
          <w:szCs w:val="20"/>
          <w:color w:val="auto"/>
        </w:rPr>
        <w:tab/>
      </w:r>
      <w:r>
        <w:rPr>
          <w:rFonts w:ascii="Arial" w:cs="Arial" w:eastAsia="Arial" w:hAnsi="Arial"/>
          <w:sz w:val="16"/>
          <w:szCs w:val="16"/>
          <w:color w:val="auto"/>
        </w:rPr>
        <w:t>Commission File Number 001-18761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3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47-1809393</w:t>
            </w:r>
          </w:p>
        </w:tc>
      </w:tr>
      <w:tr>
        <w:trPr>
          <w:trHeight w:val="216"/>
        </w:trPr>
        <w:tc>
          <w:tcPr>
            <w:tcW w:w="234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(State or other jurisdiction of</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(I.R.S. Employer</w:t>
            </w:r>
          </w:p>
        </w:tc>
      </w:tr>
      <w:tr>
        <w:trPr>
          <w:trHeight w:val="230"/>
        </w:trPr>
        <w:tc>
          <w:tcPr>
            <w:tcW w:w="2340" w:type="dxa"/>
            <w:vAlign w:val="bottom"/>
          </w:tcPr>
          <w:p>
            <w:pPr>
              <w:spacing w:after="0"/>
              <w:rPr>
                <w:sz w:val="20"/>
                <w:szCs w:val="20"/>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incorporation or organization)</w:t>
            </w: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Identification No.)</w:t>
            </w:r>
          </w:p>
        </w:tc>
      </w:tr>
      <w:tr>
        <w:trPr>
          <w:trHeight w:val="337"/>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jc w:val="center"/>
              <w:ind w:left="896"/>
              <w:spacing w:after="0"/>
              <w:rPr>
                <w:sz w:val="20"/>
                <w:szCs w:val="20"/>
                <w:color w:val="auto"/>
              </w:rPr>
            </w:pPr>
            <w:r>
              <w:rPr>
                <w:rFonts w:ascii="Arial" w:cs="Arial" w:eastAsia="Arial" w:hAnsi="Arial"/>
                <w:sz w:val="18"/>
                <w:szCs w:val="18"/>
                <w:color w:val="auto"/>
                <w:w w:val="90"/>
              </w:rPr>
              <w:t>1 Monster Way</w:t>
            </w: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0" w:type="dxa"/>
            <w:vAlign w:val="bottom"/>
          </w:tcPr>
          <w:p>
            <w:pPr>
              <w:jc w:val="center"/>
              <w:ind w:left="876"/>
              <w:spacing w:after="0"/>
              <w:rPr>
                <w:sz w:val="20"/>
                <w:szCs w:val="20"/>
                <w:color w:val="auto"/>
              </w:rPr>
            </w:pPr>
            <w:r>
              <w:rPr>
                <w:rFonts w:ascii="Arial" w:cs="Arial" w:eastAsia="Arial" w:hAnsi="Arial"/>
                <w:sz w:val="18"/>
                <w:szCs w:val="18"/>
                <w:color w:val="auto"/>
                <w:w w:val="91"/>
              </w:rPr>
              <w:t>Corona, California 92879</w:t>
            </w:r>
          </w:p>
        </w:tc>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940" w:type="dxa"/>
            <w:vAlign w:val="bottom"/>
            <w:gridSpan w:val="3"/>
          </w:tcPr>
          <w:p>
            <w:pPr>
              <w:jc w:val="center"/>
              <w:ind w:right="2890"/>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7"/>
        </w:trPr>
        <w:tc>
          <w:tcPr>
            <w:tcW w:w="2340" w:type="dxa"/>
            <w:vAlign w:val="bottom"/>
          </w:tcPr>
          <w:p>
            <w:pPr>
              <w:spacing w:after="0"/>
              <w:rPr>
                <w:sz w:val="24"/>
                <w:szCs w:val="24"/>
                <w:color w:val="auto"/>
              </w:rPr>
            </w:pPr>
          </w:p>
        </w:tc>
        <w:tc>
          <w:tcPr>
            <w:tcW w:w="3640" w:type="dxa"/>
            <w:vAlign w:val="bottom"/>
            <w:gridSpan w:val="2"/>
          </w:tcPr>
          <w:p>
            <w:pPr>
              <w:jc w:val="center"/>
              <w:ind w:left="1530"/>
              <w:spacing w:after="0"/>
              <w:rPr>
                <w:sz w:val="20"/>
                <w:szCs w:val="20"/>
                <w:color w:val="auto"/>
              </w:rPr>
            </w:pPr>
            <w:r>
              <w:rPr>
                <w:rFonts w:ascii="Arial" w:cs="Arial" w:eastAsia="Arial" w:hAnsi="Arial"/>
                <w:sz w:val="18"/>
                <w:szCs w:val="18"/>
                <w:color w:val="auto"/>
                <w:w w:val="91"/>
              </w:rPr>
              <w:t>(951) 739 - 6200</w:t>
            </w: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940" w:type="dxa"/>
            <w:vAlign w:val="bottom"/>
            <w:gridSpan w:val="3"/>
          </w:tcPr>
          <w:p>
            <w:pPr>
              <w:jc w:val="center"/>
              <w:ind w:right="289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36"/>
        </w:trPr>
        <w:tc>
          <w:tcPr>
            <w:tcW w:w="5980" w:type="dxa"/>
            <w:vAlign w:val="bottom"/>
            <w:gridSpan w:val="3"/>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r>
      <w:tr>
        <w:trPr>
          <w:trHeight w:val="223"/>
        </w:trPr>
        <w:tc>
          <w:tcPr>
            <w:tcW w:w="2340" w:type="dxa"/>
            <w:vAlign w:val="bottom"/>
            <w:tcBorders>
              <w:left w:val="single" w:sz="8" w:color="auto"/>
              <w:bottom w:val="single" w:sz="8" w:color="auto"/>
            </w:tcBorders>
          </w:tcPr>
          <w:p>
            <w:pPr>
              <w:jc w:val="center"/>
              <w:ind w:left="550"/>
              <w:spacing w:after="0"/>
              <w:rPr>
                <w:sz w:val="20"/>
                <w:szCs w:val="20"/>
                <w:color w:val="auto"/>
              </w:rPr>
            </w:pPr>
            <w:r>
              <w:rPr>
                <w:rFonts w:ascii="Arial" w:cs="Arial" w:eastAsia="Arial" w:hAnsi="Arial"/>
                <w:sz w:val="18"/>
                <w:szCs w:val="18"/>
                <w:color w:val="auto"/>
                <w:w w:val="90"/>
              </w:rPr>
              <w:t>Title of each class</w:t>
            </w:r>
          </w:p>
        </w:tc>
        <w:tc>
          <w:tcPr>
            <w:tcW w:w="64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tcBorders>
          </w:tcPr>
          <w:p>
            <w:pPr>
              <w:jc w:val="center"/>
              <w:ind w:left="276"/>
              <w:spacing w:after="0"/>
              <w:rPr>
                <w:sz w:val="20"/>
                <w:szCs w:val="20"/>
                <w:color w:val="auto"/>
              </w:rPr>
            </w:pPr>
            <w:r>
              <w:rPr>
                <w:rFonts w:ascii="Arial" w:cs="Arial" w:eastAsia="Arial" w:hAnsi="Arial"/>
                <w:sz w:val="18"/>
                <w:szCs w:val="18"/>
                <w:color w:val="auto"/>
                <w:w w:val="92"/>
              </w:rPr>
              <w:t>Trading Symbol(s)</w:t>
            </w:r>
          </w:p>
        </w:tc>
        <w:tc>
          <w:tcPr>
            <w:tcW w:w="18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2340" w:type="dxa"/>
            <w:vAlign w:val="bottom"/>
            <w:tcBorders>
              <w:left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Common Stock</w:t>
            </w:r>
          </w:p>
        </w:tc>
        <w:tc>
          <w:tcPr>
            <w:tcW w:w="64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97"/>
              </w:rPr>
              <w:t>MNST</w:t>
            </w:r>
          </w:p>
        </w:tc>
        <w:tc>
          <w:tcPr>
            <w:tcW w:w="1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Nasdaq Global Select Market</w:t>
            </w:r>
          </w:p>
        </w:tc>
      </w:tr>
    </w:tbl>
    <w:p>
      <w:pPr>
        <w:spacing w:after="0" w:line="10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3"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3"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Arial" w:cs="Arial" w:eastAsia="Arial" w:hAnsi="Arial"/>
                <w:sz w:val="18"/>
                <w:szCs w:val="18"/>
                <w:color w:val="auto"/>
                <w:w w:val="94"/>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40" w:type="dxa"/>
            <w:vAlign w:val="bottom"/>
          </w:tcPr>
          <w:p>
            <w:pPr>
              <w:ind w:left="1480"/>
              <w:spacing w:after="0"/>
              <w:rPr>
                <w:sz w:val="20"/>
                <w:szCs w:val="20"/>
                <w:color w:val="auto"/>
              </w:rPr>
            </w:pPr>
            <w:r>
              <w:rPr>
                <w:rFonts w:ascii="Arial" w:cs="Arial" w:eastAsia="Arial" w:hAnsi="Arial"/>
                <w:sz w:val="18"/>
                <w:szCs w:val="18"/>
                <w:color w:val="auto"/>
                <w:w w:val="95"/>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jc w:val="center"/>
        <w:ind w:right="140"/>
        <w:spacing w:after="0"/>
        <w:tabs>
          <w:tab w:leader="none" w:pos="120" w:val="left"/>
        </w:tabs>
        <w:rPr>
          <w:sz w:val="20"/>
          <w:szCs w:val="20"/>
          <w:color w:val="auto"/>
        </w:rPr>
      </w:pPr>
      <w:r>
        <w:rPr>
          <w:rFonts w:ascii="Arial" w:cs="Arial" w:eastAsia="Arial" w:hAnsi="Arial"/>
          <w:sz w:val="18"/>
          <w:szCs w:val="18"/>
          <w:color w:val="auto"/>
        </w:rPr>
        <w:t>Yes __ No</w:t>
      </w:r>
      <w:r>
        <w:rPr>
          <w:sz w:val="20"/>
          <w:szCs w:val="20"/>
          <w:color w:val="auto"/>
        </w:rPr>
        <w:tab/>
      </w:r>
      <w:r>
        <w:rPr>
          <w:rFonts w:ascii="Arial" w:cs="Arial" w:eastAsia="Arial" w:hAnsi="Arial"/>
          <w:sz w:val="17"/>
          <w:szCs w:val="17"/>
          <w:u w:val="single" w:color="auto"/>
          <w:color w:val="auto"/>
        </w:rPr>
        <w:t>X</w:t>
      </w:r>
    </w:p>
    <w:p>
      <w:pPr>
        <w:spacing w:after="0" w:line="1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registrant had 529,139,115 shares of common stock, par value $0.005 per share, outstanding as of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528955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126365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3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20"/>
          </w:tcPr>
          <w:p>
            <w:pPr>
              <w:jc w:val="center"/>
              <w:ind w:right="1660"/>
              <w:spacing w:after="0"/>
              <w:rPr>
                <w:sz w:val="20"/>
                <w:szCs w:val="20"/>
                <w:color w:val="auto"/>
              </w:rPr>
            </w:pPr>
            <w:r>
              <w:rPr>
                <w:rFonts w:ascii="Arial" w:cs="Arial" w:eastAsia="Arial" w:hAnsi="Arial"/>
                <w:sz w:val="18"/>
                <w:szCs w:val="18"/>
                <w:b w:val="1"/>
                <w:bCs w:val="1"/>
                <w:color w:val="auto"/>
                <w:w w:val="99"/>
              </w:rPr>
              <w:t>MONSTER BEVERAGE CORPORATION AND SUBSIDIARIES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95"/>
              </w:rPr>
              <w:t>SEPTEMBER 30, 2021</w:t>
            </w:r>
          </w:p>
        </w:tc>
        <w:tc>
          <w:tcPr>
            <w:tcW w:w="1660" w:type="dxa"/>
            <w:vAlign w:val="bottom"/>
            <w:tcBorders>
              <w:top w:val="single" w:sz="8" w:color="auto"/>
            </w:tcBorders>
          </w:tcPr>
          <w:p>
            <w:pPr>
              <w:spacing w:after="0"/>
              <w:rPr>
                <w:sz w:val="17"/>
                <w:szCs w:val="17"/>
                <w:color w:val="auto"/>
              </w:rPr>
            </w:pPr>
          </w:p>
        </w:tc>
        <w:tc>
          <w:tcPr>
            <w:tcW w:w="16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INDEX</w:t>
            </w:r>
          </w:p>
        </w:tc>
        <w:tc>
          <w:tcPr>
            <w:tcW w:w="39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0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100" w:type="dxa"/>
            <w:vAlign w:val="bottom"/>
            <w:gridSpan w:val="2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4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8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8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2021 and December 31, 2020</w:t>
              </w:r>
            </w:hyperlink>
          </w:p>
        </w:tc>
        <w:tc>
          <w:tcPr>
            <w:tcW w:w="1520" w:type="dxa"/>
            <w:vAlign w:val="bottom"/>
            <w:gridSpan w:val="4"/>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00" w:type="dxa"/>
            <w:vAlign w:val="bottom"/>
            <w:gridSpan w:val="2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and Nine-Months Ended September 30, 2021 and</w:t>
              </w:r>
            </w:hyperlink>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  and  Nine-Months  Ended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00" w:type="dxa"/>
            <w:vAlign w:val="bottom"/>
            <w:gridSpan w:val="2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2021 and 2020</w:t>
              </w:r>
            </w:hyperlink>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Three- and Nine-Months Ended September</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30, 2021 and 2020</w:t>
              </w:r>
            </w:hyperlink>
          </w:p>
        </w:tc>
        <w:tc>
          <w:tcPr>
            <w:tcW w:w="6760" w:type="dxa"/>
            <w:vAlign w:val="bottom"/>
            <w:gridSpan w:val="19"/>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Nine-Months Ended September 30, 2021 and 2020</w:t>
              </w:r>
            </w:hyperlink>
          </w:p>
        </w:tc>
        <w:tc>
          <w:tcPr>
            <w:tcW w:w="160" w:type="dxa"/>
            <w:vAlign w:val="bottom"/>
            <w:gridSpan w:val="3"/>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00" w:type="dxa"/>
            <w:vAlign w:val="bottom"/>
            <w:gridSpan w:val="2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560" w:type="dxa"/>
            <w:vAlign w:val="bottom"/>
            <w:gridSpan w:val="3"/>
          </w:tcPr>
          <w:p>
            <w:pPr>
              <w:spacing w:after="0"/>
              <w:rPr>
                <w:sz w:val="24"/>
                <w:szCs w:val="24"/>
                <w:color w:val="auto"/>
              </w:rPr>
            </w:pPr>
          </w:p>
        </w:tc>
        <w:tc>
          <w:tcPr>
            <w:tcW w:w="646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1640" w:type="dxa"/>
            <w:vAlign w:val="bottom"/>
            <w:gridSpan w:val="5"/>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560" w:type="dxa"/>
            <w:vAlign w:val="bottom"/>
            <w:gridSpan w:val="3"/>
          </w:tcPr>
          <w:p>
            <w:pPr>
              <w:spacing w:after="0"/>
              <w:rPr>
                <w:sz w:val="24"/>
                <w:szCs w:val="24"/>
                <w:color w:val="auto"/>
              </w:rPr>
            </w:pPr>
          </w:p>
        </w:tc>
        <w:tc>
          <w:tcPr>
            <w:tcW w:w="43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3740" w:type="dxa"/>
            <w:vAlign w:val="bottom"/>
            <w:gridSpan w:val="8"/>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810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w:t>
              </w:r>
            </w:hyperlink>
          </w:p>
        </w:tc>
        <w:tc>
          <w:tcPr>
            <w:tcW w:w="500" w:type="dxa"/>
            <w:vAlign w:val="bottom"/>
            <w:gridSpan w:val="2"/>
          </w:tcPr>
          <w:p>
            <w:pPr>
              <w:spacing w:after="0"/>
              <w:rPr>
                <w:sz w:val="24"/>
                <w:szCs w:val="24"/>
                <w:color w:val="auto"/>
              </w:rPr>
            </w:pPr>
          </w:p>
        </w:tc>
        <w:tc>
          <w:tcPr>
            <w:tcW w:w="20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608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810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60" w:type="dxa"/>
            <w:vAlign w:val="bottom"/>
            <w:gridSpan w:val="9"/>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810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60" w:type="dxa"/>
            <w:vAlign w:val="bottom"/>
            <w:gridSpan w:val="9"/>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810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560" w:type="dxa"/>
            <w:vAlign w:val="bottom"/>
            <w:gridSpan w:val="3"/>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6"/>
          </w:tcPr>
          <w:p>
            <w:pPr>
              <w:spacing w:after="0"/>
              <w:rPr>
                <w:sz w:val="24"/>
                <w:szCs w:val="24"/>
                <w:color w:val="auto"/>
              </w:rPr>
            </w:pPr>
          </w:p>
        </w:tc>
        <w:tc>
          <w:tcPr>
            <w:tcW w:w="3760" w:type="dxa"/>
            <w:vAlign w:val="bottom"/>
            <w:gridSpan w:val="9"/>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810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5.</w:t>
              </w:r>
            </w:hyperlink>
          </w:p>
        </w:tc>
        <w:tc>
          <w:tcPr>
            <w:tcW w:w="560" w:type="dxa"/>
            <w:vAlign w:val="bottom"/>
            <w:gridSpan w:val="3"/>
          </w:tcPr>
          <w:p>
            <w:pPr>
              <w:spacing w:after="0"/>
              <w:rPr>
                <w:sz w:val="24"/>
                <w:szCs w:val="24"/>
                <w:color w:val="auto"/>
              </w:rPr>
            </w:pP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340" w:type="dxa"/>
            <w:vAlign w:val="bottom"/>
            <w:gridSpan w:val="18"/>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56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24"/>
                <w:szCs w:val="24"/>
                <w:color w:val="auto"/>
              </w:rPr>
            </w:pPr>
          </w:p>
        </w:tc>
        <w:tc>
          <w:tcPr>
            <w:tcW w:w="6780" w:type="dxa"/>
            <w:vAlign w:val="bottom"/>
            <w:gridSpan w:val="20"/>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Signatures</w:t>
              </w:r>
            </w:hyperlink>
          </w:p>
        </w:tc>
        <w:tc>
          <w:tcPr>
            <w:tcW w:w="7340" w:type="dxa"/>
            <w:vAlign w:val="bottom"/>
            <w:gridSpan w:val="22"/>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72" w:lineRule="auto"/>
        <w:rPr>
          <w:sz w:val="20"/>
          <w:szCs w:val="20"/>
          <w:color w:val="auto"/>
        </w:rPr>
      </w:pPr>
      <w:r>
        <w:rPr>
          <w:rFonts w:ascii="Arial" w:cs="Arial" w:eastAsia="Arial" w:hAnsi="Arial"/>
          <w:sz w:val="17"/>
          <w:szCs w:val="17"/>
          <w:b w:val="1"/>
          <w:bCs w:val="1"/>
          <w:color w:val="auto"/>
        </w:rPr>
        <w:t>MONSTER BEVERAGE CORPORATION AND SUBSIDIARIES CONDENSED CONSOLIDATED BALANCE SHEETS AS OF SEPTEMBER 30, 2021 AND DECEMBER 31,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5340" w:type="dxa"/>
            <w:vAlign w:val="bottom"/>
            <w:gridSpan w:val="4"/>
            <w:shd w:val="clear" w:color="auto" w:fill="CCEEFF"/>
          </w:tcPr>
          <w:p>
            <w:pPr>
              <w:jc w:val="center"/>
              <w:ind w:right="2200"/>
              <w:spacing w:after="0" w:line="115" w:lineRule="exact"/>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1,712,671</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1,224,066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881,354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849,157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471,553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333,085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95,607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Prepaid income taxes</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30,619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4,383,673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3,140,955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28,255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309,574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314,656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241,297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1,066,083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88,883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70,475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5340" w:type="dxa"/>
            <w:vAlign w:val="bottom"/>
            <w:tcBorders>
              <w:bottom w:val="single" w:sz="8" w:color="CCEEFF"/>
            </w:tcBorders>
            <w:gridSpan w:val="4"/>
            <w:shd w:val="clear" w:color="auto" w:fill="CCEEFF"/>
          </w:tcPr>
          <w:p>
            <w:pPr>
              <w:jc w:val="center"/>
              <w:ind w:right="2200"/>
              <w:spacing w:after="0" w:line="142" w:lineRule="exact"/>
              <w:rPr>
                <w:sz w:val="20"/>
                <w:szCs w:val="20"/>
                <w:color w:val="auto"/>
              </w:rPr>
            </w:pPr>
            <w:r>
              <w:rPr>
                <w:rFonts w:ascii="Arial" w:cs="Arial" w:eastAsia="Arial" w:hAnsi="Arial"/>
                <w:sz w:val="14"/>
                <w:szCs w:val="14"/>
                <w:b w:val="1"/>
                <w:bCs w:val="1"/>
                <w:color w:val="auto"/>
                <w:w w:val="88"/>
              </w:rPr>
              <w:t>Total Assets</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7,449,408</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6,202,716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auto"/>
            </w:tcBorders>
            <w:gridSpan w:val="3"/>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tcPr>
          <w:p>
            <w:pPr>
              <w:spacing w:after="0" w:line="142"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396,229</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180,719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142,653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promotional allowances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232,394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45,278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45,429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Income taxes payable</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23,113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932,240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749,988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245,621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26,550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27,432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w w:val="95"/>
              </w:rPr>
              <w:t>Common stock - $0.005 par value; 1,250,000 shares authorized; 639,851 shares issued and 529,132 shares outstanding as</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Arial" w:cs="Arial" w:eastAsia="Arial" w:hAnsi="Arial"/>
                <w:sz w:val="14"/>
                <w:szCs w:val="14"/>
                <w:color w:val="auto"/>
              </w:rPr>
              <w:t>of September 30, 2021; 638,662 shares issued and 528,097 shares outstanding as of December 31, 2020</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4,626,299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4,537,982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7,488,235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6,432,074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 income</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(43,495)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w w:val="95"/>
              </w:rPr>
              <w:t>Common stock in treasury, at cost; 110,719 shares and 110,565 shares as of September 30, 2021 and December 31, 2020,</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Arial" w:cs="Arial" w:eastAsia="Arial" w:hAnsi="Arial"/>
                <w:sz w:val="14"/>
                <w:szCs w:val="14"/>
                <w:color w:val="auto"/>
              </w:rPr>
              <w:t>respectively</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(5,829,241)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(5,815,423)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6,244,997</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5,160,860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Arial" w:cs="Arial" w:eastAsia="Arial" w:hAnsi="Arial"/>
                <w:sz w:val="14"/>
                <w:szCs w:val="14"/>
                <w:b w:val="1"/>
                <w:bCs w:val="1"/>
                <w:color w:val="auto"/>
                <w:w w:val="94"/>
              </w:rPr>
              <w:t>Total Liabilities and Stockholders’ Equity</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7,449,408</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800"/>
        <w:spacing w:after="0" w:line="276" w:lineRule="auto"/>
        <w:rPr>
          <w:sz w:val="20"/>
          <w:szCs w:val="20"/>
          <w:color w:val="auto"/>
        </w:rPr>
      </w:pPr>
      <w:r>
        <w:rPr>
          <w:rFonts w:ascii="Arial" w:cs="Arial" w:eastAsia="Arial" w:hAnsi="Arial"/>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3240"/>
        <w:spacing w:after="0" w:line="260" w:lineRule="auto"/>
        <w:rPr>
          <w:sz w:val="20"/>
          <w:szCs w:val="20"/>
          <w:color w:val="auto"/>
        </w:rPr>
      </w:pPr>
      <w:r>
        <w:rPr>
          <w:rFonts w:ascii="Arial" w:cs="Arial" w:eastAsia="Arial" w:hAnsi="Arial"/>
          <w:sz w:val="18"/>
          <w:szCs w:val="18"/>
          <w:b w:val="1"/>
          <w:bCs w:val="1"/>
          <w:color w:val="auto"/>
        </w:rPr>
        <w:t>FOR THE THREE- AND NINE-MONTHS ENDED SEPTEMBER 30, 2021 AND 2020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Three-Months Ended</w:t>
            </w:r>
          </w:p>
        </w:tc>
        <w:tc>
          <w:tcPr>
            <w:tcW w:w="120" w:type="dxa"/>
            <w:vAlign w:val="bottom"/>
          </w:tcPr>
          <w:p>
            <w:pPr>
              <w:spacing w:after="0"/>
              <w:rPr>
                <w:sz w:val="18"/>
                <w:szCs w:val="18"/>
                <w:color w:val="auto"/>
              </w:rPr>
            </w:pPr>
          </w:p>
        </w:tc>
        <w:tc>
          <w:tcPr>
            <w:tcW w:w="19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8"/>
              </w:rPr>
              <w:t>Nine-Months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9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1,410,557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1,246,362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4,116,308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3,402,355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621,399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1,775,375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1,369,160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2,340,933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344,694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277,930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1,384,587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1,230,852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1,382,408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1,225,361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106,379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326,247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1,056,161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SHARES OF COMMON STOCK</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COMMON STOCK EQUIVALENTS: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528,997</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527,637</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528,618</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535,915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533,263</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535,554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jc w:val="both"/>
        <w:ind w:right="3240"/>
        <w:spacing w:after="0" w:line="255" w:lineRule="auto"/>
        <w:rPr>
          <w:sz w:val="20"/>
          <w:szCs w:val="20"/>
          <w:color w:val="auto"/>
        </w:rPr>
      </w:pPr>
      <w:r>
        <w:rPr>
          <w:rFonts w:ascii="Arial" w:cs="Arial" w:eastAsia="Arial" w:hAnsi="Arial"/>
          <w:sz w:val="18"/>
          <w:szCs w:val="18"/>
          <w:b w:val="1"/>
          <w:bCs w:val="1"/>
          <w:color w:val="auto"/>
        </w:rPr>
        <w:t>CONDENSED CONSOLIDATED STATEMENTS OF COMPREHENSIVE INCOME FOR THE THREE- AND NINE-MONTHS ENDED SEPTEMBER 30,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Three-Months Ended</w:t>
            </w:r>
          </w:p>
        </w:tc>
        <w:tc>
          <w:tcPr>
            <w:tcW w:w="100" w:type="dxa"/>
            <w:vAlign w:val="bottom"/>
          </w:tcPr>
          <w:p>
            <w:pPr>
              <w:spacing w:after="0"/>
              <w:rPr>
                <w:sz w:val="18"/>
                <w:szCs w:val="18"/>
                <w:color w:val="auto"/>
              </w:rPr>
            </w:pPr>
          </w:p>
        </w:tc>
        <w:tc>
          <w:tcPr>
            <w:tcW w:w="20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Nine-Months Ended</w:t>
            </w:r>
          </w:p>
        </w:tc>
      </w:t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0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7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$ 1,056,161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937,858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foreign currency translation adjustment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(46,412)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(losses) gains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9"/>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368,563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$ 1,009,632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937,716</w:t>
            </w: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 w:lineRule="exact"/>
        <w:rPr>
          <w:sz w:val="20"/>
          <w:szCs w:val="20"/>
          <w:color w:val="auto"/>
        </w:rPr>
      </w:pPr>
    </w:p>
    <w:p>
      <w:pPr>
        <w:ind w:right="3240"/>
        <w:spacing w:after="0" w:line="228" w:lineRule="auto"/>
        <w:rPr>
          <w:sz w:val="20"/>
          <w:szCs w:val="20"/>
          <w:color w:val="auto"/>
        </w:rPr>
      </w:pPr>
      <w:r>
        <w:rPr>
          <w:rFonts w:ascii="Arial" w:cs="Arial" w:eastAsia="Arial" w:hAnsi="Arial"/>
          <w:sz w:val="18"/>
          <w:szCs w:val="18"/>
          <w:b w:val="1"/>
          <w:bCs w:val="1"/>
          <w:color w:val="auto"/>
        </w:rPr>
        <w:t>CONDENSED CONSOLIDATED STATEMENTS OF STOCKHOLDERS’ EQUITY FOR THE THREE- AND NINE-MONTHS ENDED SEPTEMBER 30,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700" w:type="dxa"/>
            <w:vAlign w:val="bottom"/>
          </w:tcPr>
          <w:p>
            <w:pPr>
              <w:spacing w:after="0"/>
              <w:rPr>
                <w:sz w:val="13"/>
                <w:szCs w:val="13"/>
                <w:color w:val="auto"/>
              </w:rPr>
            </w:pPr>
          </w:p>
        </w:tc>
        <w:tc>
          <w:tcPr>
            <w:tcW w:w="16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27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Earnings</w:t>
            </w:r>
          </w:p>
        </w:tc>
        <w:tc>
          <w:tcPr>
            <w:tcW w:w="14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638,662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4,537,982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6,432,074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3,034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(110,565)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(5,815,423)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5,160,860</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17,949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17,949</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6,758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6,761</w:t>
            </w: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color w:val="auto"/>
              </w:rPr>
              <w:t>Unrealized gain,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700" w:type="dxa"/>
            <w:vAlign w:val="bottom"/>
          </w:tcPr>
          <w:p>
            <w:pPr>
              <w:ind w:left="140"/>
              <w:spacing w:after="0"/>
              <w:rPr>
                <w:sz w:val="20"/>
                <w:szCs w:val="20"/>
                <w:color w:val="auto"/>
              </w:rPr>
            </w:pPr>
            <w:r>
              <w:rPr>
                <w:rFonts w:ascii="Arial" w:cs="Arial" w:eastAsia="Arial" w:hAnsi="Arial"/>
                <w:sz w:val="13"/>
                <w:szCs w:val="13"/>
                <w:color w:val="auto"/>
              </w:rPr>
              <w:t>securities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(13,419)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(13,419)</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(27,932)</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(27,932)</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315,194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315,194</w:t>
            </w:r>
          </w:p>
        </w:tc>
      </w:tr>
      <w:tr>
        <w:trPr>
          <w:trHeight w:val="128"/>
        </w:trPr>
        <w:tc>
          <w:tcPr>
            <w:tcW w:w="27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2021</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639,154</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3,196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4,562,689</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6,747,268</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(24,874)</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(110,715)</w:t>
            </w:r>
          </w:p>
        </w:tc>
        <w:tc>
          <w:tcPr>
            <w:tcW w:w="14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(5,828,842)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5,459,437</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16,921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16,921</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17,723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17,725</w:t>
            </w:r>
          </w:p>
        </w:tc>
      </w:tr>
      <w:tr>
        <w:trPr>
          <w:trHeight w:val="121"/>
        </w:trPr>
        <w:tc>
          <w:tcPr>
            <w:tcW w:w="2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Unrealized loss, net on available-for-sale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(399)</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8,235</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8,235</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403,762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403,762</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June 30,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639,576</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4,597,333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7,151,030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(16,822)</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(110,719)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(5,829,241)</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5,905,498</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16,293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16,293</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12,673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12,674</w:t>
            </w: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color w:val="auto"/>
              </w:rPr>
              <w:t>Unrealized gain,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700" w:type="dxa"/>
            <w:vAlign w:val="bottom"/>
          </w:tcPr>
          <w:p>
            <w:pPr>
              <w:ind w:left="140"/>
              <w:spacing w:after="0"/>
              <w:rPr>
                <w:sz w:val="20"/>
                <w:szCs w:val="20"/>
                <w:color w:val="auto"/>
              </w:rPr>
            </w:pPr>
            <w:r>
              <w:rPr>
                <w:rFonts w:ascii="Arial" w:cs="Arial" w:eastAsia="Arial" w:hAnsi="Arial"/>
                <w:sz w:val="13"/>
                <w:szCs w:val="13"/>
                <w:color w:val="auto"/>
              </w:rPr>
              <w:t>securities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(26,716)</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(26,716)</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337,205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337,205</w:t>
            </w:r>
          </w:p>
        </w:tc>
      </w:tr>
      <w:tr>
        <w:trPr>
          <w:trHeight w:val="128"/>
        </w:trPr>
        <w:tc>
          <w:tcPr>
            <w:tcW w:w="27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September 30, 2021</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639,851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4,626,299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7,488,235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(43,495)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(110,719)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(5,829,241)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6,244,997</w:t>
            </w: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40"/>
        </w:trPr>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700" w:type="dxa"/>
            <w:vAlign w:val="bottom"/>
          </w:tcPr>
          <w:p>
            <w:pPr>
              <w:spacing w:after="0"/>
              <w:rPr>
                <w:sz w:val="13"/>
                <w:szCs w:val="13"/>
                <w:color w:val="auto"/>
              </w:rPr>
            </w:pPr>
          </w:p>
        </w:tc>
        <w:tc>
          <w:tcPr>
            <w:tcW w:w="16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27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Earnings</w:t>
            </w:r>
          </w:p>
        </w:tc>
        <w:tc>
          <w:tcPr>
            <w:tcW w:w="14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9"/>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2019</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636,460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4,397,511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5,022,480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(32,387)</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(99,762)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(5,219,505)</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4,171,281</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17,098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17,098</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13,971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13,975</w:t>
            </w: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color w:val="auto"/>
              </w:rPr>
              <w:t>Unrealized gain,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700" w:type="dxa"/>
            <w:vAlign w:val="bottom"/>
          </w:tcPr>
          <w:p>
            <w:pPr>
              <w:ind w:left="140"/>
              <w:spacing w:after="0"/>
              <w:rPr>
                <w:sz w:val="20"/>
                <w:szCs w:val="20"/>
                <w:color w:val="auto"/>
              </w:rPr>
            </w:pPr>
            <w:r>
              <w:rPr>
                <w:rFonts w:ascii="Arial" w:cs="Arial" w:eastAsia="Arial" w:hAnsi="Arial"/>
                <w:sz w:val="13"/>
                <w:szCs w:val="13"/>
                <w:color w:val="auto"/>
              </w:rPr>
              <w:t>securities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304</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304</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(10,503)</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(579,948)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(579,948)</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(30,599)</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(30,599)</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278,835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278,835</w:t>
            </w:r>
          </w:p>
        </w:tc>
      </w:tr>
      <w:tr>
        <w:trPr>
          <w:trHeight w:val="129"/>
        </w:trPr>
        <w:tc>
          <w:tcPr>
            <w:tcW w:w="27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2020</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637,104</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3,186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4,428,580</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5,301,315</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(62,682)</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(110,265)</w:t>
            </w:r>
          </w:p>
        </w:tc>
        <w:tc>
          <w:tcPr>
            <w:tcW w:w="14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(5,799,453)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3,870,946</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15,936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15,936</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820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29,863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29,867</w:t>
            </w:r>
          </w:p>
        </w:tc>
      </w:tr>
      <w:tr>
        <w:trPr>
          <w:trHeight w:val="121"/>
        </w:trPr>
        <w:tc>
          <w:tcPr>
            <w:tcW w:w="2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Unrealized gain, net on available-for-sale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(298)</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(15,822)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(15,822)</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9,044</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9,044</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311,369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311,369</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June 30,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637,924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4,474,379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5,612,684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(53,438)</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(110,563)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(5,815,275)</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4,221,540</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17,668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17,668</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21,696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21,698</w:t>
            </w: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color w:val="auto"/>
              </w:rPr>
              <w:t>Unrealized loss,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700" w:type="dxa"/>
            <w:vAlign w:val="bottom"/>
          </w:tcPr>
          <w:p>
            <w:pPr>
              <w:ind w:left="140"/>
              <w:spacing w:after="0"/>
              <w:rPr>
                <w:sz w:val="20"/>
                <w:szCs w:val="20"/>
                <w:color w:val="auto"/>
              </w:rPr>
            </w:pPr>
            <w:r>
              <w:rPr>
                <w:rFonts w:ascii="Arial" w:cs="Arial" w:eastAsia="Arial" w:hAnsi="Arial"/>
                <w:sz w:val="13"/>
                <w:szCs w:val="13"/>
                <w:color w:val="auto"/>
              </w:rPr>
              <w:t>securities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(308)</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(308)</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21,217</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21,217</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347,654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347,654</w:t>
            </w:r>
          </w:p>
        </w:tc>
      </w:tr>
      <w:tr>
        <w:trPr>
          <w:trHeight w:val="128"/>
        </w:trPr>
        <w:tc>
          <w:tcPr>
            <w:tcW w:w="27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September 30, 2020</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638,458</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3,192</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4,513,743</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5,960,338</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(32,529)</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(110,565)</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(5,815,423)</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4,629,321</w:t>
            </w: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400"/>
        <w:spacing w:after="0" w:line="236"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NINE-MONTHS ENDED SEPTEMBER 30,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w w:val="93"/>
              </w:rPr>
              <w:t>Nine-Months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37"/>
              <w:spacing w:after="0" w:line="129"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OPERATING ACTIVITIES:</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60" w:type="dxa"/>
            <w:vAlign w:val="bottom"/>
          </w:tcPr>
          <w:p>
            <w:pPr>
              <w:jc w:val="right"/>
              <w:ind w:right="717"/>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1,056,161</w:t>
            </w:r>
          </w:p>
        </w:tc>
        <w:tc>
          <w:tcPr>
            <w:tcW w:w="240" w:type="dxa"/>
            <w:vAlign w:val="bottom"/>
          </w:tcPr>
          <w:p>
            <w:pPr>
              <w:spacing w:after="0"/>
              <w:rPr>
                <w:sz w:val="11"/>
                <w:szCs w:val="11"/>
                <w:color w:val="auto"/>
              </w:rPr>
            </w:pPr>
          </w:p>
        </w:tc>
        <w:tc>
          <w:tcPr>
            <w:tcW w:w="420" w:type="dxa"/>
            <w:vAlign w:val="bottom"/>
          </w:tcPr>
          <w:p>
            <w:pPr>
              <w:jc w:val="right"/>
              <w:ind w:right="30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937,858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8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40,716</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45,879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Gain on disposal of property and equipment</w:t>
            </w:r>
          </w:p>
        </w:tc>
        <w:tc>
          <w:tcPr>
            <w:tcW w:w="8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(984)</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200"/>
              <w:spacing w:after="0" w:line="135" w:lineRule="exact"/>
              <w:rPr>
                <w:sz w:val="20"/>
                <w:szCs w:val="20"/>
                <w:color w:val="auto"/>
              </w:rPr>
            </w:pPr>
            <w:r>
              <w:rPr>
                <w:rFonts w:ascii="Arial" w:cs="Arial" w:eastAsia="Arial" w:hAnsi="Arial"/>
                <w:sz w:val="13"/>
                <w:szCs w:val="13"/>
                <w:color w:val="auto"/>
              </w:rPr>
              <w:t>Impairment of intangibles</w:t>
            </w:r>
          </w:p>
        </w:tc>
        <w:tc>
          <w:tcPr>
            <w:tcW w:w="86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Stock-based compensation</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52,391</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200"/>
              <w:spacing w:after="0" w:line="135" w:lineRule="exact"/>
              <w:rPr>
                <w:sz w:val="20"/>
                <w:szCs w:val="20"/>
                <w:color w:val="auto"/>
              </w:rPr>
            </w:pPr>
            <w:r>
              <w:rPr>
                <w:rFonts w:ascii="Arial" w:cs="Arial" w:eastAsia="Arial" w:hAnsi="Arial"/>
                <w:sz w:val="13"/>
                <w:szCs w:val="13"/>
                <w:color w:val="auto"/>
              </w:rPr>
              <w:t>Deferred income taxes</w:t>
            </w:r>
          </w:p>
        </w:tc>
        <w:tc>
          <w:tcPr>
            <w:tcW w:w="8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353</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Effect on cash of changes in operating assets and liabilities:</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320"/>
              <w:spacing w:after="0" w:line="135" w:lineRule="exact"/>
              <w:rPr>
                <w:sz w:val="20"/>
                <w:szCs w:val="20"/>
                <w:color w:val="auto"/>
              </w:rPr>
            </w:pPr>
            <w:r>
              <w:rPr>
                <w:rFonts w:ascii="Arial" w:cs="Arial" w:eastAsia="Arial" w:hAnsi="Arial"/>
                <w:sz w:val="13"/>
                <w:szCs w:val="13"/>
                <w:color w:val="auto"/>
              </w:rPr>
              <w:t>Accounts receivable</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(199,709)</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(201,677)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Distributor receivables</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228</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320"/>
              <w:spacing w:after="0" w:line="135" w:lineRule="exact"/>
              <w:rPr>
                <w:sz w:val="20"/>
                <w:szCs w:val="20"/>
                <w:color w:val="auto"/>
              </w:rPr>
            </w:pPr>
            <w:r>
              <w:rPr>
                <w:rFonts w:ascii="Arial" w:cs="Arial" w:eastAsia="Arial" w:hAnsi="Arial"/>
                <w:sz w:val="13"/>
                <w:szCs w:val="13"/>
                <w:color w:val="auto"/>
              </w:rPr>
              <w:t>Inventories</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(149,414)</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39,490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Prepaid expenses and other assets</w:t>
            </w:r>
          </w:p>
        </w:tc>
        <w:tc>
          <w:tcPr>
            <w:tcW w:w="8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(41,162)</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320"/>
              <w:spacing w:after="0" w:line="135" w:lineRule="exact"/>
              <w:rPr>
                <w:sz w:val="20"/>
                <w:szCs w:val="20"/>
                <w:color w:val="auto"/>
              </w:rPr>
            </w:pPr>
            <w:r>
              <w:rPr>
                <w:rFonts w:ascii="Arial" w:cs="Arial" w:eastAsia="Arial" w:hAnsi="Arial"/>
                <w:sz w:val="13"/>
                <w:szCs w:val="13"/>
                <w:color w:val="auto"/>
              </w:rPr>
              <w:t>Prepaid income taxes</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(7,365)</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11,460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Accounts payable</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106,570</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320"/>
              <w:spacing w:after="0" w:line="135" w:lineRule="exact"/>
              <w:rPr>
                <w:sz w:val="20"/>
                <w:szCs w:val="20"/>
                <w:color w:val="auto"/>
              </w:rPr>
            </w:pPr>
            <w:r>
              <w:rPr>
                <w:rFonts w:ascii="Arial" w:cs="Arial" w:eastAsia="Arial" w:hAnsi="Arial"/>
                <w:sz w:val="13"/>
                <w:szCs w:val="13"/>
                <w:color w:val="auto"/>
              </w:rPr>
              <w:t>Accrued liabilities</w:t>
            </w:r>
          </w:p>
        </w:tc>
        <w:tc>
          <w:tcPr>
            <w:tcW w:w="8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34,085</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53,501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Accrued promotional allowances</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51,022</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31,915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320"/>
              <w:spacing w:after="0" w:line="135" w:lineRule="exact"/>
              <w:rPr>
                <w:sz w:val="20"/>
                <w:szCs w:val="20"/>
                <w:color w:val="auto"/>
              </w:rPr>
            </w:pPr>
            <w:r>
              <w:rPr>
                <w:rFonts w:ascii="Arial" w:cs="Arial" w:eastAsia="Arial" w:hAnsi="Arial"/>
                <w:sz w:val="13"/>
                <w:szCs w:val="13"/>
                <w:color w:val="auto"/>
              </w:rPr>
              <w:t>Accrued distributor terminations</w:t>
            </w:r>
          </w:p>
        </w:tc>
        <w:tc>
          <w:tcPr>
            <w:tcW w:w="8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5,302</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Accrued compensation</w:t>
            </w:r>
          </w:p>
        </w:tc>
        <w:tc>
          <w:tcPr>
            <w:tcW w:w="8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(2,888)</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320"/>
              <w:spacing w:after="0" w:line="135" w:lineRule="exact"/>
              <w:rPr>
                <w:sz w:val="20"/>
                <w:szCs w:val="20"/>
                <w:color w:val="auto"/>
              </w:rPr>
            </w:pPr>
            <w:r>
              <w:rPr>
                <w:rFonts w:ascii="Arial" w:cs="Arial" w:eastAsia="Arial" w:hAnsi="Arial"/>
                <w:sz w:val="13"/>
                <w:szCs w:val="13"/>
                <w:color w:val="auto"/>
              </w:rPr>
              <w:t>Income taxes payable</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(114)</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17,969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Other liabilities</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574</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320"/>
              <w:spacing w:after="0" w:line="135" w:lineRule="exact"/>
              <w:rPr>
                <w:sz w:val="20"/>
                <w:szCs w:val="20"/>
                <w:color w:val="auto"/>
              </w:rPr>
            </w:pPr>
            <w:r>
              <w:rPr>
                <w:rFonts w:ascii="Arial" w:cs="Arial" w:eastAsia="Arial" w:hAnsi="Arial"/>
                <w:sz w:val="13"/>
                <w:szCs w:val="13"/>
                <w:color w:val="auto"/>
              </w:rPr>
              <w:t>Deferred revenue</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(17,784)</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(15,236)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960" w:type="dxa"/>
            <w:vAlign w:val="bottom"/>
            <w:tcBorders>
              <w:top w:val="single" w:sz="8" w:color="CCEEFF"/>
            </w:tcBorders>
            <w:shd w:val="clear" w:color="auto" w:fill="CCEEFF"/>
          </w:tcPr>
          <w:p>
            <w:pPr>
              <w:ind w:left="520"/>
              <w:spacing w:after="0" w:line="129" w:lineRule="exact"/>
              <w:rPr>
                <w:sz w:val="20"/>
                <w:szCs w:val="20"/>
                <w:color w:val="auto"/>
              </w:rPr>
            </w:pPr>
            <w:r>
              <w:rPr>
                <w:rFonts w:ascii="Arial" w:cs="Arial" w:eastAsia="Arial" w:hAnsi="Arial"/>
                <w:sz w:val="13"/>
                <w:szCs w:val="13"/>
                <w:color w:val="auto"/>
              </w:rPr>
              <w:t>Net cash provided by operating activities</w:t>
            </w:r>
          </w:p>
        </w:tc>
        <w:tc>
          <w:tcPr>
            <w:tcW w:w="8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927,982</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949,236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FLOWS FROM INVESTING ACTIVITIES:</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Sales of available-for-sale investments</w:t>
            </w:r>
          </w:p>
        </w:tc>
        <w:tc>
          <w:tcPr>
            <w:tcW w:w="8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1,016,556</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795,858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available-for-sale investments</w:t>
            </w:r>
          </w:p>
        </w:tc>
        <w:tc>
          <w:tcPr>
            <w:tcW w:w="8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4"/>
              </w:rPr>
              <w:t>(1,343,351)</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(849,276)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Purchases of property and equipment</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(28,131)</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(42,062)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sale of property and equipment</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1,246</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Additions to intangibles</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(5,211)</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(19,686)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Increase in other assets</w:t>
            </w:r>
          </w:p>
        </w:tc>
        <w:tc>
          <w:tcPr>
            <w:tcW w:w="8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(22,809)</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(26,228)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ind w:left="520"/>
              <w:spacing w:after="0" w:line="129" w:lineRule="exact"/>
              <w:rPr>
                <w:sz w:val="20"/>
                <w:szCs w:val="20"/>
                <w:color w:val="auto"/>
              </w:rPr>
            </w:pPr>
            <w:r>
              <w:rPr>
                <w:rFonts w:ascii="Arial" w:cs="Arial" w:eastAsia="Arial" w:hAnsi="Arial"/>
                <w:sz w:val="13"/>
                <w:szCs w:val="13"/>
                <w:color w:val="auto"/>
              </w:rPr>
              <w:t>Net cash used in investing activities</w:t>
            </w:r>
          </w:p>
        </w:tc>
        <w:tc>
          <w:tcPr>
            <w:tcW w:w="8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(381,700)</w:t>
            </w: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(140,514)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CASH FLOWS FROM FINANCING ACTIVITIES:</w:t>
            </w: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Payments on debt</w:t>
            </w:r>
          </w:p>
        </w:tc>
        <w:tc>
          <w:tcPr>
            <w:tcW w:w="8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(1,814)</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Issuance of common stock</w:t>
            </w:r>
          </w:p>
        </w:tc>
        <w:tc>
          <w:tcPr>
            <w:tcW w:w="8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37,160</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65,540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common stock held in treasury</w:t>
            </w:r>
          </w:p>
        </w:tc>
        <w:tc>
          <w:tcPr>
            <w:tcW w:w="8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(13,818)</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(595,918)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960" w:type="dxa"/>
            <w:vAlign w:val="bottom"/>
            <w:tcBorders>
              <w:bottom w:val="single" w:sz="8" w:color="CCEEFF"/>
            </w:tcBorders>
          </w:tcPr>
          <w:p>
            <w:pPr>
              <w:ind w:left="520"/>
              <w:spacing w:after="0" w:line="129" w:lineRule="exact"/>
              <w:rPr>
                <w:sz w:val="20"/>
                <w:szCs w:val="20"/>
                <w:color w:val="auto"/>
              </w:rPr>
            </w:pPr>
            <w:r>
              <w:rPr>
                <w:rFonts w:ascii="Arial" w:cs="Arial" w:eastAsia="Arial" w:hAnsi="Arial"/>
                <w:sz w:val="13"/>
                <w:szCs w:val="13"/>
                <w:color w:val="auto"/>
              </w:rPr>
              <w:t>Net cash provided by (used in) financing activities</w:t>
            </w:r>
          </w:p>
        </w:tc>
        <w:tc>
          <w:tcPr>
            <w:tcW w:w="8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21,528</w:t>
            </w:r>
          </w:p>
        </w:tc>
        <w:tc>
          <w:tcPr>
            <w:tcW w:w="2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(532,878)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Effect of exchange rate changes on cash and cash equivalents</w:t>
            </w:r>
          </w:p>
        </w:tc>
        <w:tc>
          <w:tcPr>
            <w:tcW w:w="8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(35,552)</w:t>
            </w: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NET INCREASE IN CASH AND CASH EQUIVALENTS</w:t>
            </w:r>
          </w:p>
        </w:tc>
        <w:tc>
          <w:tcPr>
            <w:tcW w:w="8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532,258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276,773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beginning of period</w:t>
            </w:r>
          </w:p>
        </w:tc>
        <w:tc>
          <w:tcPr>
            <w:tcW w:w="8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1,180,413</w:t>
            </w:r>
          </w:p>
        </w:tc>
        <w:tc>
          <w:tcPr>
            <w:tcW w:w="2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797,957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CASH AND CASH EQUIVALENTS, end of period</w:t>
            </w:r>
          </w:p>
        </w:tc>
        <w:tc>
          <w:tcPr>
            <w:tcW w:w="860" w:type="dxa"/>
            <w:vAlign w:val="bottom"/>
            <w:tcBorders>
              <w:bottom w:val="single" w:sz="8" w:color="auto"/>
            </w:tcBorders>
          </w:tcPr>
          <w:p>
            <w:pPr>
              <w:jc w:val="right"/>
              <w:ind w:right="71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1,712,671</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1,074,730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60" w:type="dxa"/>
            <w:vAlign w:val="bottom"/>
          </w:tcPr>
          <w:p>
            <w:pPr>
              <w:spacing w:after="0" w:line="135" w:lineRule="exact"/>
              <w:rPr>
                <w:sz w:val="20"/>
                <w:szCs w:val="20"/>
                <w:color w:val="auto"/>
              </w:rPr>
            </w:pPr>
            <w:r>
              <w:rPr>
                <w:rFonts w:ascii="Arial" w:cs="Arial" w:eastAsia="Arial" w:hAnsi="Arial"/>
                <w:sz w:val="13"/>
                <w:szCs w:val="13"/>
                <w:color w:val="auto"/>
              </w:rPr>
              <w:t>SUPPLEMENTAL INFORMATION:</w:t>
            </w: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paid during the period for:</w:t>
            </w: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6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Interest</w:t>
            </w:r>
          </w:p>
        </w:tc>
        <w:tc>
          <w:tcPr>
            <w:tcW w:w="860" w:type="dxa"/>
            <w:vAlign w:val="bottom"/>
            <w:tcBorders>
              <w:bottom w:val="single" w:sz="8" w:color="auto"/>
            </w:tcBorders>
          </w:tcPr>
          <w:p>
            <w:pPr>
              <w:jc w:val="right"/>
              <w:ind w:right="717"/>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99</w:t>
            </w: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tcBorders>
              <w:bottom w:val="single" w:sz="8" w:color="CCEEFF"/>
            </w:tcBorders>
            <w:shd w:val="clear" w:color="auto" w:fill="CCEEFF"/>
          </w:tcPr>
          <w:p>
            <w:pPr>
              <w:ind w:left="200"/>
              <w:spacing w:after="0" w:line="116" w:lineRule="exact"/>
              <w:rPr>
                <w:sz w:val="20"/>
                <w:szCs w:val="20"/>
                <w:color w:val="auto"/>
              </w:rPr>
            </w:pPr>
            <w:r>
              <w:rPr>
                <w:rFonts w:ascii="Arial" w:cs="Arial" w:eastAsia="Arial" w:hAnsi="Arial"/>
                <w:sz w:val="13"/>
                <w:szCs w:val="13"/>
                <w:color w:val="auto"/>
              </w:rPr>
              <w:t>Income taxes</w:t>
            </w:r>
          </w:p>
        </w:tc>
        <w:tc>
          <w:tcPr>
            <w:tcW w:w="860" w:type="dxa"/>
            <w:vAlign w:val="bottom"/>
            <w:tcBorders>
              <w:bottom w:val="single" w:sz="8" w:color="auto"/>
            </w:tcBorders>
            <w:shd w:val="clear" w:color="auto" w:fill="CCEEFF"/>
          </w:tcPr>
          <w:p>
            <w:pPr>
              <w:jc w:val="right"/>
              <w:ind w:right="717"/>
              <w:spacing w:after="0" w:line="116"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338,584</w:t>
            </w:r>
          </w:p>
        </w:tc>
        <w:tc>
          <w:tcPr>
            <w:tcW w:w="2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257,563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NINE-MONTHS ENDED SEPTEMBER 30, 2021 AND 2020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Included in accrued liabilities as of September 30, 2021 and 2020 were $13.0 million and $14.3 million, respectively, related to net additions to other intangible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Included in accounts payable as of September 30, 2020 were available-for-sale short-term investment purchases of $20.3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Included in accounts payable as of September 30, 2021 were $2.0 million related to additions to other intangible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the Notes to Consolidated Financial Statements, in Monster Beverage Corporation and Subsidiaries (the “Company”) Annual Report on Form 10-K for the year ended December 31, 2020 for a summary of significant accounting policies utilized by the Company and its consolidated subsidiaries and other disclosures, which should be read in conjunction with this Quarterly Report on Form 10-Q (“Form 10-Q”).</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2021 and 2020,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December 2019, the Financial Accounting Standards Board issued Accounting Standards Update (“ASU”) No. 2019-12, “Simplifying the Accounting for Income Taxes”, as part of its simplification initiative to reduce the cost and complexity in accounting for income taxes. ASU No. 2019-12 removes certain exceptions related to the approach for intra-period tax allocation, the methodology for calculating income taxes in an interim period and the recognition of deferred tax liabilities for outside basis differences. ASU No. 2019-12 also amends other aspects of the guidance to help simplify and promote consistent application of GAAP. The guidance was effective for interim and annual periods beginning after December 15, 2020, with early adoption permitted. The adoption of ASU No. 2019-12 did not have a material impact on the Company’s financial position, results of operations and liquidity.</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has three operating and reportable segments: (i) Monster Energy® Drinks segment (“Monster Energy® Drinks”), which is primarily comprised of the Company’s Monster Energy® drinks, Reign Total Body Fuel® high performance energy drinks and True North</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Pure Energy Seltzers, (ii) Strategic Brands segment (“Strategic Brands”), which is primarily comprised of the various energy drink brands acquired from The Coca-Cola Company (“TCCC”) in 2015 as well as the Company’s affordable energy brands, and</w:t>
      </w:r>
    </w:p>
    <w:p>
      <w:pPr>
        <w:spacing w:after="0" w:line="1" w:lineRule="exact"/>
        <w:rPr>
          <w:sz w:val="20"/>
          <w:szCs w:val="20"/>
          <w:color w:val="auto"/>
        </w:rPr>
      </w:pPr>
    </w:p>
    <w:p>
      <w:pPr>
        <w:ind w:firstLine="8"/>
        <w:spacing w:after="0" w:line="260" w:lineRule="auto"/>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segment (“Other”), which is comprised of certain products sold by American Fruits and Flavors, LLC, a wholly-owned subsidiary of the Company, to independent third-party customers (the “AFF Third-Party Products”).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Monster Energy® Drinks segment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September 30, 2021 and December 31, 2020.</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Distribution expenses to transport the Company’s products, where applicable, and warehousing expense after manufacture are accounted for within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discounts granted off list prices to support price promotions to end-consumers by retailers;</w:t>
      </w:r>
    </w:p>
    <w:p>
      <w:pPr>
        <w:spacing w:after="0" w:line="23"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fees given to bottlers/distributors and/or directly to retailers for advertising, in-store marketing and promotional activities;</w:t>
      </w: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slotting, shelf space allowances and other fees given directly to retailers, club stores and/or wholesalers;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incentives given to the Company’s bottlers/distributors and/or retailers for achieving or exceeding certain predetermined sales goals;</w:t>
      </w: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discounted or free products;</w:t>
      </w:r>
    </w:p>
    <w:p>
      <w:pPr>
        <w:spacing w:after="0" w:line="9"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fees given to the Company’s bottlers/distributors related to sales made directly by the Company to certain customers that fall within the bottlers’/distributors’ sales territories; and</w:t>
      </w:r>
    </w:p>
    <w:p>
      <w:pPr>
        <w:ind w:left="1000" w:hanging="317"/>
        <w:spacing w:after="0" w:line="32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commissions to TCCC based on the Company’s sales to wholly-owned subsidiaries of TCCC (the “TCCC Subsidiaries”) and/or to TCCC bottlers/distributors accounted for under the equity method by TCCC (the “TCCC Related Parties”).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color w:val="auto"/>
                <w:w w:val="90"/>
              </w:rPr>
              <w:t>Three-Months Ended September 30, 2021</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U.S. and</w:t>
            </w:r>
          </w:p>
        </w:tc>
        <w:tc>
          <w:tcPr>
            <w:tcW w:w="160" w:type="dxa"/>
            <w:vAlign w:val="bottom"/>
          </w:tcPr>
          <w:p>
            <w:pPr>
              <w:spacing w:after="0"/>
              <w:rPr>
                <w:sz w:val="18"/>
                <w:szCs w:val="18"/>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Canada</w:t>
            </w: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2"/>
              </w:rPr>
              <w:t>Asia Pacific</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1,329,793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74,449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Total Net Sales</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921,744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280,551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1,410,557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color w:val="auto"/>
                <w:w w:val="90"/>
              </w:rPr>
              <w:t>Three-Months Ended September 30, 2020</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U.S. and</w:t>
            </w:r>
          </w:p>
        </w:tc>
        <w:tc>
          <w:tcPr>
            <w:tcW w:w="160" w:type="dxa"/>
            <w:vAlign w:val="bottom"/>
          </w:tcPr>
          <w:p>
            <w:pPr>
              <w:spacing w:after="0"/>
              <w:rPr>
                <w:sz w:val="18"/>
                <w:szCs w:val="18"/>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Canada</w:t>
            </w: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2"/>
              </w:rPr>
              <w:t>Asia Pacific</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206,947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1,163,420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74,324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Total Net Sales</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841,583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1,246,362</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color w:val="auto"/>
                <w:w w:val="90"/>
              </w:rPr>
              <w:t>Nine-Months Ended September 30, 2021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U.S. and</w:t>
            </w:r>
          </w:p>
        </w:tc>
        <w:tc>
          <w:tcPr>
            <w:tcW w:w="160" w:type="dxa"/>
            <w:vAlign w:val="bottom"/>
          </w:tcPr>
          <w:p>
            <w:pPr>
              <w:spacing w:after="0"/>
              <w:rPr>
                <w:sz w:val="18"/>
                <w:szCs w:val="18"/>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Canada</w:t>
            </w: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2"/>
              </w:rPr>
              <w:t>Asia Pacific</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2,548,873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741,208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3,867,162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122,487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229,193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19,953</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Total Net Sales</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2,691,313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817,442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367,592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4,116,308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color w:val="auto"/>
                <w:w w:val="90"/>
              </w:rPr>
              <w:t>Nine-Months Ended September 30, 2020</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U.S. and</w:t>
            </w:r>
          </w:p>
        </w:tc>
        <w:tc>
          <w:tcPr>
            <w:tcW w:w="160" w:type="dxa"/>
            <w:vAlign w:val="bottom"/>
          </w:tcPr>
          <w:p>
            <w:pPr>
              <w:spacing w:after="0"/>
              <w:rPr>
                <w:sz w:val="18"/>
                <w:szCs w:val="18"/>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Canada</w:t>
            </w: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2"/>
              </w:rPr>
              <w:t>Asia Pacific</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2,223,925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138,671</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3,183,560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198,428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Total Net Sales</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2,369,322</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553,972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336,486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142,575</w:t>
            </w:r>
          </w:p>
        </w:tc>
        <w:tc>
          <w:tcPr>
            <w:tcW w:w="220" w:type="dxa"/>
            <w:vAlign w:val="bottom"/>
            <w:gridSpan w:val="2"/>
          </w:tcPr>
          <w:p>
            <w:pPr>
              <w:spacing w:after="0"/>
              <w:rPr>
                <w:sz w:val="18"/>
                <w:szCs w:val="18"/>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3,402,355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Amounts received from certain bottlers/distributors at inception of their distribution contracts or at the inception of certain sales/marketing programs are accounted for as deferred revenue. As of September 30, 2021, the Company had $290.9 million of deferred revenue, which is included in current and long-term deferred revenue in the Company’s condensed consolidated balance sheet. As of December 31, 2020, the Company had $309.9 million of deferred revenue, which is included in current and long-term deferred revenue in the Company’s condensed consolidated balance sheet. During the three-months ended September 30, 2021 and 2020, $10.4 million and $10.5 million, respectively, of deferred revenue was recognized in net sales. See Note 11. During the nine-months ended September 30, 2021 and 2020, $31.3 million and $31.6 million, respectively, of deferred revenue was recognized in net sales. See Note 11.</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Leases are classified as either finance leases or operating leases based on criteria in Accounting Standards Codification (“ASC”)</w:t>
      </w:r>
    </w:p>
    <w:p>
      <w:pPr>
        <w:spacing w:after="0" w:line="46" w:lineRule="exact"/>
        <w:rPr>
          <w:sz w:val="20"/>
          <w:szCs w:val="20"/>
          <w:color w:val="auto"/>
        </w:rPr>
      </w:pPr>
    </w:p>
    <w:p>
      <w:pPr>
        <w:ind w:firstLine="8"/>
        <w:spacing w:after="0" w:line="260"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operating leases are comprised of real estate and warehouse equipment, and the Company’s finance leases are comprised of vehicles.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expense, net in the condensed consolidated statement of income.</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leases have remaining lease terms of less than one year to 12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Three-Months</w:t>
            </w:r>
          </w:p>
        </w:tc>
        <w:tc>
          <w:tcPr>
            <w:tcW w:w="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8"/>
              </w:rPr>
              <w:t>Three-Months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Nine-Months</w:t>
            </w:r>
          </w:p>
        </w:tc>
        <w:tc>
          <w:tcPr>
            <w:tcW w:w="20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Nine-Months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7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Ended September 30,</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87"/>
              </w:rPr>
              <w:t>Ended September 30,</w:t>
            </w:r>
          </w:p>
        </w:tc>
        <w:tc>
          <w:tcPr>
            <w:tcW w:w="2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9"/>
              </w:rPr>
              <w:t>Ended September 30,</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87"/>
              </w:rPr>
              <w:t>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2021</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Amortization of ROU assets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0" w:type="dxa"/>
            <w:vAlign w:val="bottom"/>
          </w:tcPr>
          <w:p>
            <w:pPr>
              <w:ind w:left="640"/>
              <w:spacing w:after="0"/>
              <w:rPr>
                <w:sz w:val="20"/>
                <w:szCs w:val="20"/>
                <w:color w:val="auto"/>
              </w:rPr>
            </w:pPr>
            <w:r>
              <w:rPr>
                <w:rFonts w:ascii="Arial" w:cs="Arial" w:eastAsia="Arial" w:hAnsi="Arial"/>
                <w:sz w:val="18"/>
                <w:szCs w:val="18"/>
                <w:color w:val="auto"/>
                <w:w w:val="97"/>
              </w:rPr>
              <w:t>Supplemental cash flow information for the following periods: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4"/>
              </w:rPr>
              <w:t>Nine-Months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4"/>
              </w:rPr>
              <w:t>Nine-Months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color w:val="auto"/>
                <w:w w:val="87"/>
              </w:rPr>
              <w:t>Ended September 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center"/>
              <w:ind w:right="70"/>
              <w:spacing w:after="0"/>
              <w:rPr>
                <w:sz w:val="20"/>
                <w:szCs w:val="20"/>
                <w:color w:val="auto"/>
              </w:rPr>
            </w:pPr>
            <w:r>
              <w:rPr>
                <w:rFonts w:ascii="Arial" w:cs="Arial" w:eastAsia="Arial" w:hAnsi="Arial"/>
                <w:sz w:val="18"/>
                <w:szCs w:val="18"/>
                <w:color w:val="auto"/>
                <w:w w:val="87"/>
              </w:rPr>
              <w:t>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Operating cash outflows from operating leases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3,057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outflows from finance leases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Financing cash outflows from finance leases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1,970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ROU assets for operating and finance leases recognized in the Company’s condensed consolidated balance sheets were comprised of the following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530"/>
              <w:spacing w:after="0"/>
              <w:rPr>
                <w:sz w:val="20"/>
                <w:szCs w:val="20"/>
                <w:color w:val="auto"/>
              </w:rPr>
            </w:pPr>
            <w:r>
              <w:rPr>
                <w:rFonts w:ascii="Arial" w:cs="Arial" w:eastAsia="Arial" w:hAnsi="Arial"/>
                <w:sz w:val="18"/>
                <w:szCs w:val="18"/>
                <w:color w:val="auto"/>
              </w:rPr>
              <w:t>September 30, 2021</w:t>
            </w:r>
          </w:p>
        </w:tc>
        <w:tc>
          <w:tcPr>
            <w:tcW w:w="180" w:type="dxa"/>
            <w:vAlign w:val="bottom"/>
          </w:tcPr>
          <w:p>
            <w:pPr>
              <w:spacing w:after="0"/>
              <w:rPr>
                <w:sz w:val="20"/>
                <w:szCs w:val="20"/>
                <w:color w:val="auto"/>
              </w:rPr>
            </w:pPr>
          </w:p>
        </w:tc>
        <w:tc>
          <w:tcPr>
            <w:tcW w:w="3100" w:type="dxa"/>
            <w:vAlign w:val="bottom"/>
            <w:gridSpan w:val="2"/>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$ 20,191</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2,719</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w w:val="91"/>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4"/>
                <w:szCs w:val="24"/>
                <w:color w:val="auto"/>
              </w:rPr>
            </w:pPr>
          </w:p>
        </w:tc>
        <w:tc>
          <w:tcPr>
            <w:tcW w:w="3100" w:type="dxa"/>
            <w:vAlign w:val="bottom"/>
            <w:gridSpan w:val="2"/>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$ 22,754</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w w:val="91"/>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and finance lease liabilities recognized in the Company’s condensed consolidated balance sheets were as follows at:</w:t>
      </w: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color w:val="auto"/>
                <w:w w:val="90"/>
              </w:rPr>
              <w:t>September 30, 2021</w:t>
            </w:r>
          </w:p>
        </w:tc>
        <w:tc>
          <w:tcPr>
            <w:tcW w:w="52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Operating Leases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Finance Leases</w:t>
            </w: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2,849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1,571</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15,362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4"/>
              </w:rPr>
              <w:t>18,211</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1,617</w:t>
            </w: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w w:val="92"/>
              </w:rPr>
              <w:t>December 31, 2020</w:t>
            </w:r>
          </w:p>
        </w:tc>
        <w:tc>
          <w:tcPr>
            <w:tcW w:w="520" w:type="dxa"/>
            <w:vAlign w:val="bottom"/>
            <w:tcBorders>
              <w:bottom w:val="single" w:sz="8" w:color="auto"/>
            </w:tcBorders>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85"/>
              </w:rPr>
              <w:t>Operating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84"/>
              </w:rPr>
              <w:t>Finance Leases</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3"/>
              </w:rPr>
              <w:t>3,171</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4"/>
              </w:rPr>
              <w:t>17,342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4"/>
              </w:rPr>
              <w:t>20,513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weighted-average remaining lease terms and weighted-average discount rates for operating and finance leases at September 30, 2021 and December 31, 2020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820" w:type="dxa"/>
            <w:vAlign w:val="bottom"/>
            <w:gridSpan w:val="4"/>
          </w:tcPr>
          <w:p>
            <w:pPr>
              <w:ind w:left="600"/>
              <w:spacing w:after="0"/>
              <w:rPr>
                <w:sz w:val="20"/>
                <w:szCs w:val="20"/>
                <w:color w:val="auto"/>
              </w:rPr>
            </w:pPr>
            <w:r>
              <w:rPr>
                <w:rFonts w:ascii="Arial" w:cs="Arial" w:eastAsia="Arial" w:hAnsi="Arial"/>
                <w:sz w:val="18"/>
                <w:szCs w:val="18"/>
                <w:color w:val="auto"/>
              </w:rPr>
              <w:t>September 30, 2021</w:t>
            </w:r>
          </w:p>
        </w:tc>
      </w:tr>
      <w:tr>
        <w:trPr>
          <w:trHeight w:val="209"/>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1.2 %</w:t>
            </w:r>
          </w:p>
        </w:tc>
      </w:tr>
      <w:tr>
        <w:trPr>
          <w:trHeight w:val="431"/>
        </w:trPr>
        <w:tc>
          <w:tcPr>
            <w:tcW w:w="5120" w:type="dxa"/>
            <w:vAlign w:val="bottom"/>
          </w:tcPr>
          <w:p>
            <w:pPr>
              <w:spacing w:after="0"/>
              <w:rPr>
                <w:sz w:val="24"/>
                <w:szCs w:val="24"/>
                <w:color w:val="auto"/>
              </w:rPr>
            </w:pPr>
          </w:p>
        </w:tc>
        <w:tc>
          <w:tcPr>
            <w:tcW w:w="2820" w:type="dxa"/>
            <w:vAlign w:val="bottom"/>
            <w:gridSpan w:val="4"/>
          </w:tcPr>
          <w:p>
            <w:pPr>
              <w:ind w:left="600"/>
              <w:spacing w:after="0"/>
              <w:rPr>
                <w:sz w:val="20"/>
                <w:szCs w:val="20"/>
                <w:color w:val="auto"/>
              </w:rPr>
            </w:pPr>
            <w:r>
              <w:rPr>
                <w:rFonts w:ascii="Arial" w:cs="Arial" w:eastAsia="Arial" w:hAnsi="Arial"/>
                <w:sz w:val="18"/>
                <w:szCs w:val="18"/>
                <w:color w:val="auto"/>
              </w:rPr>
              <w:t>December 31, 2020</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1.9 %</w:t>
            </w: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undiscounted future lease payments for operating and finance leases to the operating and finance leases recorded in the Company’s condensed consolidated balance sheet at September 30,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Undiscounted Future Lease Payments</w:t>
            </w:r>
          </w:p>
        </w:tc>
      </w:tr>
      <w:tr>
        <w:trPr>
          <w:trHeight w:val="210"/>
        </w:trPr>
        <w:tc>
          <w:tcPr>
            <w:tcW w:w="48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Finance Leases</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7"/>
              </w:rPr>
              <w:t>2021 (excluding the nine-months ended September 30, 2021)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16"/>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0"/>
        </w:trPr>
        <w:tc>
          <w:tcPr>
            <w:tcW w:w="4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September 30, 2021,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Continuous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Continuous</w:t>
            </w:r>
          </w:p>
        </w:tc>
      </w:tr>
      <w:tr>
        <w:trPr>
          <w:trHeight w:val="216"/>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Gross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Unrealized</w:t>
            </w:r>
          </w:p>
        </w:tc>
      </w:tr>
      <w:tr>
        <w:trPr>
          <w:trHeight w:val="216"/>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auto"/>
                <w:w w:val="97"/>
              </w:rPr>
              <w:t>Unrealized</w:t>
            </w:r>
          </w:p>
        </w:tc>
        <w:tc>
          <w:tcPr>
            <w:tcW w:w="120" w:type="dxa"/>
            <w:vAlign w:val="bottom"/>
          </w:tcPr>
          <w:p>
            <w:pPr>
              <w:spacing w:after="0"/>
              <w:rPr>
                <w:sz w:val="18"/>
                <w:szCs w:val="18"/>
                <w:color w:val="auto"/>
              </w:rPr>
            </w:pPr>
          </w:p>
        </w:tc>
        <w:tc>
          <w:tcPr>
            <w:tcW w:w="98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5"/>
          </w:tcPr>
          <w:p>
            <w:pPr>
              <w:ind w:left="20"/>
              <w:spacing w:after="0"/>
              <w:rPr>
                <w:sz w:val="20"/>
                <w:szCs w:val="20"/>
                <w:color w:val="auto"/>
              </w:rPr>
            </w:pPr>
            <w:r>
              <w:rPr>
                <w:rFonts w:ascii="Arial" w:cs="Arial" w:eastAsia="Arial" w:hAnsi="Arial"/>
                <w:sz w:val="18"/>
                <w:szCs w:val="18"/>
                <w:color w:val="auto"/>
              </w:rPr>
              <w:t>Loss Position</w:t>
            </w: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Loss Position</w:t>
            </w:r>
          </w:p>
        </w:tc>
      </w:tr>
      <w:tr>
        <w:trPr>
          <w:trHeight w:val="216"/>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Holding</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8"/>
                <w:szCs w:val="18"/>
                <w:color w:val="auto"/>
                <w:w w:val="98"/>
              </w:rPr>
              <w:t>Holding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100"/>
              <w:spacing w:after="0"/>
              <w:rPr>
                <w:sz w:val="20"/>
                <w:szCs w:val="20"/>
                <w:color w:val="auto"/>
              </w:rPr>
            </w:pPr>
            <w:r>
              <w:rPr>
                <w:rFonts w:ascii="Arial" w:cs="Arial" w:eastAsia="Arial" w:hAnsi="Arial"/>
                <w:sz w:val="18"/>
                <w:szCs w:val="18"/>
                <w:color w:val="auto"/>
              </w:rPr>
              <w:t>Fair</w:t>
            </w:r>
          </w:p>
        </w:tc>
        <w:tc>
          <w:tcPr>
            <w:tcW w:w="40" w:type="dxa"/>
            <w:vAlign w:val="bottom"/>
          </w:tcPr>
          <w:p>
            <w:pPr>
              <w:spacing w:after="0"/>
              <w:rPr>
                <w:sz w:val="18"/>
                <w:szCs w:val="18"/>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less than 12</w:t>
            </w: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Gains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Months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4"/>
              </w:rPr>
              <w:t>Months</w:t>
            </w:r>
          </w:p>
        </w:tc>
      </w:tr>
      <w:tr>
        <w:trPr>
          <w:trHeight w:val="209"/>
        </w:trPr>
        <w:tc>
          <w:tcPr>
            <w:tcW w:w="3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292,094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292,094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814,178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814,146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1,252,346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$ 1,252,321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8"/>
                <w:szCs w:val="18"/>
                <w:color w:val="auto"/>
                <w:w w:val="90"/>
              </w:rPr>
              <w:t>Continuous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Continuous</w:t>
            </w:r>
          </w:p>
        </w:tc>
      </w:tr>
      <w:tr>
        <w:trPr>
          <w:trHeight w:val="216"/>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Unrealized</w:t>
            </w:r>
          </w:p>
        </w:tc>
      </w:tr>
      <w:tr>
        <w:trPr>
          <w:trHeight w:val="216"/>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8"/>
                <w:szCs w:val="18"/>
                <w:color w:val="auto"/>
                <w:w w:val="91"/>
              </w:rPr>
              <w:t>Loss Position</w:t>
            </w: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r>
      <w:tr>
        <w:trPr>
          <w:trHeight w:val="216"/>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8"/>
                <w:szCs w:val="18"/>
                <w:color w:val="auto"/>
                <w:w w:val="96"/>
              </w:rPr>
              <w:t>Amortized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Holding</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Holding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Fair</w:t>
            </w:r>
          </w:p>
        </w:tc>
        <w:tc>
          <w:tcPr>
            <w:tcW w:w="40" w:type="dxa"/>
            <w:vAlign w:val="bottom"/>
          </w:tcPr>
          <w:p>
            <w:pPr>
              <w:spacing w:after="0"/>
              <w:rPr>
                <w:sz w:val="18"/>
                <w:szCs w:val="18"/>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8"/>
                <w:szCs w:val="18"/>
                <w:color w:val="auto"/>
                <w:w w:val="88"/>
              </w:rPr>
              <w:t>less than 12</w:t>
            </w: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ind w:left="100"/>
              <w:spacing w:after="0"/>
              <w:rPr>
                <w:sz w:val="20"/>
                <w:szCs w:val="20"/>
                <w:color w:val="auto"/>
              </w:rPr>
            </w:pPr>
            <w:r>
              <w:rPr>
                <w:rFonts w:ascii="Arial" w:cs="Arial" w:eastAsia="Arial" w:hAnsi="Arial"/>
                <w:sz w:val="18"/>
                <w:szCs w:val="18"/>
                <w:color w:val="auto"/>
              </w:rPr>
              <w:t>Value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Months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r>
      <w:tr>
        <w:trPr>
          <w:trHeight w:val="210"/>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3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925,559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925,645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nine-months ended September 30, 2021 and 2020, realized gains or losses recognized on the sale of investments were not significant.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investments at September 30, 2021 and December 31, 2020 carried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99"/>
              </w:rPr>
              <w:t>September 30, 2021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December 31, 2020</w:t>
            </w:r>
          </w:p>
        </w:tc>
      </w:tr>
      <w:tr>
        <w:trPr>
          <w:trHeight w:val="210"/>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0"/>
              </w:rPr>
              <w:t>Amortized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Amortized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0"/>
              </w:rPr>
              <w:t>Fair Value</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292,094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292,094</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119,886</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119,886</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81,531</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814,178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814,146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650,467</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1 - 10 years: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33,940</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securities</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w:t>
            </w:r>
          </w:p>
        </w:tc>
      </w:tr>
      <w:tr>
        <w:trPr>
          <w:trHeight w:val="209"/>
        </w:trPr>
        <w:tc>
          <w:tcPr>
            <w:tcW w:w="3880" w:type="dxa"/>
            <w:vAlign w:val="bottom"/>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1,252,346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1,252,321</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925,559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925,645</w:t>
            </w: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4"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80" w:right="20" w:hanging="321"/>
        <w:spacing w:after="0" w:line="26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related assets or liabilities.</w:t>
      </w:r>
    </w:p>
    <w:p>
      <w:pPr>
        <w:spacing w:after="0" w:line="175" w:lineRule="exact"/>
        <w:rPr>
          <w:rFonts w:ascii="Arial" w:cs="Arial" w:eastAsia="Arial" w:hAnsi="Arial"/>
          <w:sz w:val="18"/>
          <w:szCs w:val="18"/>
          <w:color w:val="auto"/>
        </w:rPr>
      </w:pPr>
    </w:p>
    <w:p>
      <w:pPr>
        <w:ind w:left="680" w:right="20" w:hanging="321"/>
        <w:spacing w:after="0" w:line="282"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703,969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632,233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292,094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1,217,454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1,217,454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1,336,202</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1,628,573</w:t>
            </w:r>
          </w:p>
        </w:tc>
        <w:tc>
          <w:tcPr>
            <w:tcW w:w="1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2,964,775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Amounts included in: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1,336,202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376,469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1,224,066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1,224,066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28,255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1,336,202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1,628,573</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2,964,775</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130,883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91,882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(2,578)</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1,149,151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1,149,151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31,262</w:t>
            </w:r>
          </w:p>
        </w:tc>
        <w:tc>
          <w:tcPr>
            <w:tcW w:w="18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1,180,413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881,354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(2,647)</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1,149,151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nine-months ended September 30, 2021, or during the year-ended December 31, 2020, and there were no changes in the Company’s valuation techniques.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currency exchange rate risks related primarily to its foreign business operations. During the nine-months ended September 30, 2021 and the year-ended December 31, 2020,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2021 have terms of one month or less. The Company does not enter into forward currency exchange contracts for speculation or trading purposes.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notional amount and fair value of all outstanding foreign currency derivative instruments in the Company’s condensed consolidated balance sheets consist of the following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20" w:type="dxa"/>
            <w:vAlign w:val="bottom"/>
            <w:tcBorders>
              <w:top w:val="single" w:sz="8" w:color="auto"/>
            </w:tcBorders>
          </w:tcPr>
          <w:p>
            <w:pPr>
              <w:jc w:val="center"/>
              <w:ind w:left="770"/>
              <w:spacing w:after="0" w:line="195" w:lineRule="exact"/>
              <w:rPr>
                <w:sz w:val="20"/>
                <w:szCs w:val="20"/>
                <w:color w:val="auto"/>
              </w:rPr>
            </w:pPr>
            <w:r>
              <w:rPr>
                <w:rFonts w:ascii="Arial" w:cs="Arial" w:eastAsia="Arial" w:hAnsi="Arial"/>
                <w:sz w:val="18"/>
                <w:szCs w:val="18"/>
                <w:color w:val="auto"/>
                <w:w w:val="89"/>
              </w:rPr>
              <w:t>Derivatives not designated as</w:t>
            </w: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jc w:val="center"/>
              <w:ind w:left="770"/>
              <w:spacing w:after="0"/>
              <w:rPr>
                <w:sz w:val="20"/>
                <w:szCs w:val="20"/>
                <w:color w:val="auto"/>
              </w:rPr>
            </w:pPr>
            <w:r>
              <w:rPr>
                <w:rFonts w:ascii="Arial" w:cs="Arial" w:eastAsia="Arial" w:hAnsi="Arial"/>
                <w:sz w:val="18"/>
                <w:szCs w:val="18"/>
                <w:color w:val="auto"/>
                <w:w w:val="90"/>
              </w:rPr>
              <w:t>hedging instruments under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9"/>
              </w:rPr>
              <w:t>Notional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Fair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jc w:val="center"/>
              <w:ind w:left="770"/>
              <w:spacing w:after="0"/>
              <w:rPr>
                <w:sz w:val="20"/>
                <w:szCs w:val="20"/>
                <w:color w:val="auto"/>
              </w:rPr>
            </w:pPr>
            <w:r>
              <w:rPr>
                <w:rFonts w:ascii="Arial" w:cs="Arial" w:eastAsia="Arial" w:hAnsi="Arial"/>
                <w:sz w:val="18"/>
                <w:szCs w:val="18"/>
                <w:color w:val="auto"/>
                <w:w w:val="93"/>
              </w:rPr>
              <w:t>ASC 815-20</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Value</w:t>
            </w:r>
          </w:p>
        </w:tc>
        <w:tc>
          <w:tcPr>
            <w:tcW w:w="1800" w:type="dxa"/>
            <w:vAlign w:val="bottom"/>
          </w:tcPr>
          <w:p>
            <w:pPr>
              <w:ind w:left="40"/>
              <w:spacing w:after="0"/>
              <w:rPr>
                <w:sz w:val="20"/>
                <w:szCs w:val="20"/>
                <w:color w:val="auto"/>
              </w:rPr>
            </w:pPr>
            <w:r>
              <w:rPr>
                <w:rFonts w:ascii="Arial" w:cs="Arial" w:eastAsia="Arial" w:hAnsi="Arial"/>
                <w:sz w:val="18"/>
                <w:szCs w:val="18"/>
                <w:color w:val="auto"/>
                <w:w w:val="91"/>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GBP</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24,581</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DKK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SGD/pay USD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NZD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Liabilities: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RSD/pay USD</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12,381</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COP</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CNY</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USD/pay ZAR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EUR/pay USD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Receive AUD/pay USD</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Derivatives not designated as</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hedging instruments under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FASB ASC 815-20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Arial" w:cs="Arial" w:eastAsia="Arial" w:hAnsi="Arial"/>
                <w:sz w:val="18"/>
                <w:szCs w:val="18"/>
                <w:color w:val="auto"/>
                <w:w w:val="92"/>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SGD/pay USD</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RSD/pay USD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EUR/pay USD</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1,298,899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(1,768)</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GBP</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ZAR</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COP</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CNY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NOK/pay USD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NZD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SEK/pay USD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DKK</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(losses) gains on derivative instruments in the condensed consolidated statements of income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Amount of (loss) gain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15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3820" w:type="dxa"/>
            <w:vAlign w:val="bottom"/>
            <w:vMerge w:val="restart"/>
          </w:tcPr>
          <w:p>
            <w:pPr>
              <w:jc w:val="center"/>
              <w:spacing w:after="0"/>
              <w:rPr>
                <w:sz w:val="20"/>
                <w:szCs w:val="20"/>
                <w:color w:val="auto"/>
              </w:rPr>
            </w:pPr>
            <w:r>
              <w:rPr>
                <w:rFonts w:ascii="Arial" w:cs="Arial" w:eastAsia="Arial" w:hAnsi="Arial"/>
                <w:sz w:val="18"/>
                <w:szCs w:val="18"/>
                <w:color w:val="auto"/>
                <w:w w:val="88"/>
              </w:rPr>
              <w:t>Derivatives not designated as</w:t>
            </w:r>
          </w:p>
        </w:tc>
        <w:tc>
          <w:tcPr>
            <w:tcW w:w="240" w:type="dxa"/>
            <w:vAlign w:val="bottom"/>
          </w:tcPr>
          <w:p>
            <w:pPr>
              <w:spacing w:after="0"/>
              <w:rPr>
                <w:sz w:val="20"/>
                <w:szCs w:val="20"/>
                <w:color w:val="auto"/>
              </w:rPr>
            </w:pP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(loss) gain</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color w:val="auto"/>
                <w:w w:val="90"/>
              </w:rPr>
              <w:t>derivatives</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color w:val="auto"/>
                <w:w w:val="89"/>
              </w:rPr>
              <w:t>Three-months ended</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hedging instruments under</w:t>
            </w:r>
          </w:p>
        </w:tc>
        <w:tc>
          <w:tcPr>
            <w:tcW w:w="24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26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6"/>
                <w:szCs w:val="16"/>
                <w:color w:val="auto"/>
              </w:rPr>
            </w:pPr>
          </w:p>
        </w:tc>
        <w:tc>
          <w:tcPr>
            <w:tcW w:w="11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1"/>
              </w:rPr>
              <w:t>ASC 815-20</w:t>
            </w:r>
          </w:p>
        </w:tc>
        <w:tc>
          <w:tcPr>
            <w:tcW w:w="24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28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Amount of (loss) gain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15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3820" w:type="dxa"/>
            <w:vAlign w:val="bottom"/>
            <w:vMerge w:val="restart"/>
          </w:tcPr>
          <w:p>
            <w:pPr>
              <w:jc w:val="center"/>
              <w:spacing w:after="0"/>
              <w:rPr>
                <w:sz w:val="20"/>
                <w:szCs w:val="20"/>
                <w:color w:val="auto"/>
              </w:rPr>
            </w:pPr>
            <w:r>
              <w:rPr>
                <w:rFonts w:ascii="Arial" w:cs="Arial" w:eastAsia="Arial" w:hAnsi="Arial"/>
                <w:sz w:val="18"/>
                <w:szCs w:val="18"/>
                <w:color w:val="auto"/>
                <w:w w:val="88"/>
              </w:rPr>
              <w:t>Derivatives not designated as</w:t>
            </w:r>
          </w:p>
        </w:tc>
        <w:tc>
          <w:tcPr>
            <w:tcW w:w="240" w:type="dxa"/>
            <w:vAlign w:val="bottom"/>
          </w:tcPr>
          <w:p>
            <w:pPr>
              <w:spacing w:after="0"/>
              <w:rPr>
                <w:sz w:val="20"/>
                <w:szCs w:val="20"/>
                <w:color w:val="auto"/>
              </w:rPr>
            </w:pP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(loss) gain</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color w:val="auto"/>
                <w:w w:val="90"/>
              </w:rPr>
              <w:t>derivatives</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color w:val="auto"/>
                <w:w w:val="90"/>
              </w:rPr>
              <w:t>Nine-months ended</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hedging instruments under</w:t>
            </w:r>
          </w:p>
        </w:tc>
        <w:tc>
          <w:tcPr>
            <w:tcW w:w="24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26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6"/>
                <w:szCs w:val="16"/>
                <w:color w:val="auto"/>
              </w:rPr>
            </w:pPr>
          </w:p>
        </w:tc>
        <w:tc>
          <w:tcPr>
            <w:tcW w:w="11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1"/>
              </w:rPr>
              <w:t>ASC 815-20</w:t>
            </w:r>
          </w:p>
        </w:tc>
        <w:tc>
          <w:tcPr>
            <w:tcW w:w="24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28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December 31,</w:t>
            </w:r>
          </w:p>
        </w:tc>
      </w:tr>
      <w:tr>
        <w:trPr>
          <w:trHeight w:val="230"/>
        </w:trPr>
        <w:tc>
          <w:tcPr>
            <w:tcW w:w="334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155,166</w:t>
            </w: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186,842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177,919</w:t>
            </w:r>
          </w:p>
        </w:tc>
      </w:tr>
      <w:tr>
        <w:trPr>
          <w:trHeight w:val="209"/>
        </w:trPr>
        <w:tc>
          <w:tcPr>
            <w:tcW w:w="334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471,553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333,085</w:t>
            </w:r>
          </w:p>
        </w:tc>
      </w:tr>
      <w:tr>
        <w:trPr>
          <w:trHeight w:val="20"/>
        </w:trPr>
        <w:tc>
          <w:tcPr>
            <w:tcW w:w="3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9.</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consist of the following at: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1"/>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40" w:type="dxa"/>
            <w:vAlign w:val="bottom"/>
            <w:gridSpan w:val="3"/>
          </w:tcPr>
          <w:p>
            <w:pPr>
              <w:ind w:left="1040"/>
              <w:spacing w:after="0"/>
              <w:rPr>
                <w:sz w:val="20"/>
                <w:szCs w:val="20"/>
                <w:color w:val="auto"/>
              </w:rPr>
            </w:pPr>
            <w:r>
              <w:rPr>
                <w:rFonts w:ascii="Arial" w:cs="Arial" w:eastAsia="Arial" w:hAnsi="Arial"/>
                <w:sz w:val="18"/>
                <w:szCs w:val="18"/>
                <w:color w:val="auto"/>
                <w:w w:val="91"/>
              </w:rPr>
              <w:t>September 30,</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December 31,</w:t>
            </w: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21,657</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Equipment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199,683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185,348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Vehicles</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43,173</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519,410</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(231,696)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(204,754)</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309,574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314,656</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depreciation and amortization expense recorded was $11.3 million and $11.7 million for the three-months ended September 30, 2021 and 2020, respectively. Total depreciation and amortization expense recorded was $34.5 million and $36.4 million for the nine-months ended September 30, 2021 and 2020, respectively.</w:t>
      </w:r>
    </w:p>
    <w:p>
      <w:pPr>
        <w:spacing w:after="0" w:line="18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following is a roll-forward of goodwill for the nine-months ended September 30, 2021 and 2020 by reportable segment:</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Energy®</w:t>
            </w:r>
          </w:p>
        </w:tc>
        <w:tc>
          <w:tcPr>
            <w:tcW w:w="2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Strategic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Drinks</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Brands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$ 637,999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6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6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$ 637,999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$ 1,331,643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Energy®</w:t>
            </w:r>
          </w:p>
        </w:tc>
        <w:tc>
          <w:tcPr>
            <w:tcW w:w="2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Strategic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Drinks</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Brands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$ 637,999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6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6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$ 637,999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$ 1,331,643</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consist of the following at:</w:t>
            </w: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6"/>
          </w:tcPr>
          <w:p>
            <w:pPr>
              <w:ind w:left="580"/>
              <w:spacing w:after="0"/>
              <w:rPr>
                <w:sz w:val="20"/>
                <w:szCs w:val="20"/>
                <w:color w:val="auto"/>
              </w:rPr>
            </w:pPr>
            <w:r>
              <w:rPr>
                <w:rFonts w:ascii="Arial" w:cs="Arial" w:eastAsia="Arial" w:hAnsi="Arial"/>
                <w:sz w:val="18"/>
                <w:szCs w:val="18"/>
                <w:color w:val="auto"/>
                <w:w w:val="99"/>
              </w:rPr>
              <w:t>September 30,</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66,875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6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(60,126)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Non-amortizing intangibles</w:t>
            </w:r>
          </w:p>
        </w:tc>
        <w:tc>
          <w:tcPr>
            <w:tcW w:w="6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1,059,334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1,048,972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1,066,083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$1.1 million for both the three-months ended September 30, 2021 and September 30, 2020. Total amortization expense recorded was $3.3 million and $6.5 million for the nine-months ended September 30, 2021 and 2020, respectively. The Company recorded an impairment charge of $3.0 million and $7.0 million on a Strategic Brand trademark in the three- and nine-months ended September 30, 2020, respectively.</w:t>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September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nine-months ended September 30, 2021)</w:t>
            </w:r>
          </w:p>
        </w:tc>
        <w:tc>
          <w:tcPr>
            <w:tcW w:w="1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2022</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2024</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1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color w:val="auto"/>
                <w:w w:val="81"/>
              </w:rPr>
              <w:t>11</w:t>
            </w:r>
            <w:r>
              <w:rPr>
                <w:rFonts w:ascii="Arial" w:cs="Arial" w:eastAsia="Arial" w:hAnsi="Arial"/>
                <w:sz w:val="17"/>
                <w:szCs w:val="17"/>
                <w:color w:val="auto"/>
                <w:w w:val="81"/>
              </w:rPr>
              <w:t>.</w:t>
            </w:r>
          </w:p>
        </w:tc>
        <w:tc>
          <w:tcPr>
            <w:tcW w:w="6180" w:type="dxa"/>
            <w:vAlign w:val="bottom"/>
            <w:gridSpan w:val="2"/>
            <w:vMerge w:val="restart"/>
          </w:tcPr>
          <w:p>
            <w:pPr>
              <w:ind w:left="200"/>
              <w:spacing w:after="0"/>
              <w:rPr>
                <w:sz w:val="20"/>
                <w:szCs w:val="20"/>
                <w:color w:val="auto"/>
              </w:rPr>
            </w:pPr>
            <w:r>
              <w:rPr>
                <w:rFonts w:ascii="Arial" w:cs="Arial" w:eastAsia="Arial" w:hAnsi="Arial"/>
                <w:sz w:val="18"/>
                <w:szCs w:val="18"/>
                <w:color w:val="auto"/>
              </w:rPr>
              <w:t>DISTRIBUTION AGREEMENTS</w:t>
            </w:r>
          </w:p>
        </w:tc>
        <w:tc>
          <w:tcPr>
            <w:tcW w:w="1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$10.4 million and $10.5 million for the three-months ended September 30, 2021 and 2020, respectively. Revenue recognized was $31.3 million and $31.6 million for the nine-months ended September 30, 2021 and 2020, respectively.</w:t>
      </w:r>
    </w:p>
    <w:p>
      <w:pPr>
        <w:spacing w:after="0" w:line="178"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purchase commitments aggregating approximately $130.0 million at September 30, 2021, which represented commitments made by the Company and its subsidiaries to various suppliers of raw materials for the production of its products. These obligations vary in terms, but are generally satisfied within one year.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contractual obligations aggregating approximately $212.7 million at September 30, 2021, which related primarily to sponsorships and other marketing activities.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 credit facility with HSBC Bank (China) Company Limited, Shanghai Branch, of $15.0 million. At September 30, 2021, the interest rate on borrowings under the line of credit was 5.5%. As of September 30, 2021, $0.2 million was outstanding on this line of credit.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From time to time in the normal course of business, the Company is named in litigation, including labor and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and other matters that could cause an increase or decrease in the amount of the liability that is accrued, if any, and any related insurance reimbursements. As of September 30, 2021, no loss contingencies were included in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ACCUMULATED OTHER COMPREHENSIVE (LOSS) INCOME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Changes in accumulated other comprehensive (loss) income by component, after tax, for the nine-months ended September 30, 2021 and 2020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(46,412)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(46,529)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14.</w:t>
            </w: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TREASURY STOCK</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share repurchase program for the purchase of up to $500.0 million of the Company’s outstanding common stock (the “March 2020 Repurchase Plan”). During the three-months ended September 30, 2021, no shares were repurchased under the March 2020 Repurchase Plan. As of November 5, 2021, $441.5 million remained available for repurchase under the March 2020 Repurchase Plan.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three-months ended September 30, 2021, no shares of common stock were purchased from employees in lieu of cash payments for options exercised or withholding taxes due.</w:t>
      </w:r>
    </w:p>
    <w:p>
      <w:pPr>
        <w:spacing w:after="0" w:line="17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two stock-based compensation plans under which shares were available for grant at September 30, 2021: (i) the Monster Beverage Corporation 2020 Omnibus Incentive Plan, including the Monster Beverage Corporation Deferred Compensation Plan as a sub-plan thereunder, and (ii) the Monster Beverage Corporation 2017 Compensation Plan for Non-Employee Directors, including the Monster Beverage Corporation Deferred Compensation Plan for Non-Employee Directors as a sub-plan thereunder.</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recorded $16.7 million and $19.5 million of compensation expense relating to outstanding options, restricted stock units, performance share units and other share-based awards during the three-months ended September 30, 2021 and 2020, respectively. The Company recorded $52.4 million and $53.0 million of compensation expense relating to outstanding options, restricted stock units, performance share units and other share-based awards during the nine-months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benefit for tax deductions from non-qualified stock option exercises, disqualifying dispositions of incentive stock options and vesting of restricted stock units and performance share units for the three-months ended September 30, 2021 and 2020 was $2.0 million and $3.5 million, respectively. The tax benefit for tax deductions from non-qualified stock option exercises, disqualifying dispositions of incentive stock options and vesting of restricted stock units and performance share units for the nine-months ended September 30, 2021 and 2020 was $6.1 million and $9.2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Company’s stock-based compensation plans, all stock options granted as of September 30, 2021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2980" w:type="dxa"/>
            <w:vAlign w:val="bottom"/>
            <w:gridSpan w:val="5"/>
          </w:tcPr>
          <w:p>
            <w:pPr>
              <w:ind w:left="80"/>
              <w:spacing w:after="0"/>
              <w:rPr>
                <w:sz w:val="20"/>
                <w:szCs w:val="20"/>
                <w:color w:val="auto"/>
              </w:rPr>
            </w:pPr>
            <w:r>
              <w:rPr>
                <w:rFonts w:ascii="Arial" w:cs="Arial" w:eastAsia="Arial" w:hAnsi="Arial"/>
                <w:sz w:val="18"/>
                <w:szCs w:val="18"/>
                <w:color w:val="auto"/>
                <w:w w:val="98"/>
              </w:rPr>
              <w:t>Three-Months Ended September 30,</w:t>
            </w:r>
          </w:p>
        </w:tc>
        <w:tc>
          <w:tcPr>
            <w:tcW w:w="3120" w:type="dxa"/>
            <w:vAlign w:val="bottom"/>
            <w:gridSpan w:val="4"/>
          </w:tcPr>
          <w:p>
            <w:pPr>
              <w:jc w:val="right"/>
              <w:ind w:right="410"/>
              <w:spacing w:after="0"/>
              <w:rPr>
                <w:sz w:val="20"/>
                <w:szCs w:val="20"/>
                <w:color w:val="auto"/>
              </w:rPr>
            </w:pPr>
            <w:r>
              <w:rPr>
                <w:rFonts w:ascii="Arial" w:cs="Arial" w:eastAsia="Arial" w:hAnsi="Arial"/>
                <w:sz w:val="18"/>
                <w:szCs w:val="18"/>
                <w:color w:val="auto"/>
                <w:w w:val="92"/>
              </w:rPr>
              <w:t>Nine-Months Ended September 30,</w:t>
            </w:r>
          </w:p>
        </w:tc>
      </w:tr>
      <w:tr>
        <w:trPr>
          <w:trHeight w:val="210"/>
        </w:trPr>
        <w:tc>
          <w:tcPr>
            <w:tcW w:w="18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tcPr>
          <w:p>
            <w:pPr>
              <w:spacing w:after="0"/>
              <w:rPr>
                <w:sz w:val="18"/>
                <w:szCs w:val="18"/>
                <w:color w:val="auto"/>
              </w:rPr>
            </w:pPr>
          </w:p>
        </w:tc>
      </w:tr>
      <w:tr>
        <w:trPr>
          <w:trHeight w:val="209"/>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w w:val="92"/>
              </w:rPr>
              <w:t>28.3 %</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28.9 %</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30.5 %</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0.7 %</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0.8 %</w:t>
            </w:r>
          </w:p>
        </w:tc>
        <w:tc>
          <w:tcPr>
            <w:tcW w:w="1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0.7 %</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5.8 years</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options were granted during the three-months ended September 30,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is based on the most recent volatility of the stock price over a period of time equivalent to the expected term of the option.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the expected term of the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Company’s expected term represents the weighted-average period that the Company’s stock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Weighted-</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Contractual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Aggregate</w:t>
            </w: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Shares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Price Per</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Term (in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Intrinsic</w:t>
            </w:r>
          </w:p>
        </w:tc>
      </w:tr>
      <w:tr>
        <w:trPr>
          <w:trHeight w:val="230"/>
        </w:trPr>
        <w:tc>
          <w:tcPr>
            <w:tcW w:w="5220" w:type="dxa"/>
            <w:vAlign w:val="bottom"/>
            <w:gridSpan w:val="2"/>
          </w:tcPr>
          <w:p>
            <w:pPr>
              <w:ind w:left="2220"/>
              <w:spacing w:after="0"/>
              <w:rPr>
                <w:sz w:val="20"/>
                <w:szCs w:val="20"/>
                <w:color w:val="auto"/>
              </w:rPr>
            </w:pPr>
            <w:r>
              <w:rPr>
                <w:rFonts w:ascii="Arial" w:cs="Arial" w:eastAsia="Arial" w:hAnsi="Arial"/>
                <w:sz w:val="18"/>
                <w:szCs w:val="18"/>
                <w:color w:val="auto"/>
              </w:rPr>
              <w:t>Options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Share</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6"/>
              </w:rPr>
              <w:t>Value</w:t>
            </w:r>
          </w:p>
        </w:tc>
      </w:tr>
      <w:tr>
        <w:trPr>
          <w:trHeight w:val="209"/>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664,432</w:t>
            </w:r>
          </w:p>
        </w:tc>
      </w:tr>
      <w:tr>
        <w:trPr>
          <w:trHeight w:val="216"/>
        </w:trPr>
        <w:tc>
          <w:tcPr>
            <w:tcW w:w="5220" w:type="dxa"/>
            <w:vAlign w:val="bottom"/>
            <w:gridSpan w:val="2"/>
          </w:tcPr>
          <w:p>
            <w:pPr>
              <w:ind w:left="120"/>
              <w:spacing w:after="0"/>
              <w:rPr>
                <w:sz w:val="20"/>
                <w:szCs w:val="20"/>
                <w:color w:val="auto"/>
              </w:rPr>
            </w:pPr>
            <w:r>
              <w:rPr>
                <w:rFonts w:ascii="Arial" w:cs="Arial" w:eastAsia="Arial" w:hAnsi="Arial"/>
                <w:sz w:val="18"/>
                <w:szCs w:val="18"/>
                <w:color w:val="auto"/>
              </w:rPr>
              <w:t>Granted 01/01/21 - 03/31/21</w:t>
            </w:r>
          </w:p>
        </w:tc>
        <w:tc>
          <w:tcPr>
            <w:tcW w:w="96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88.95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Granted 04/01/21 - 06/30/21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120"/>
              <w:spacing w:after="0"/>
              <w:rPr>
                <w:sz w:val="20"/>
                <w:szCs w:val="20"/>
                <w:color w:val="auto"/>
              </w:rPr>
            </w:pPr>
            <w:r>
              <w:rPr>
                <w:rFonts w:ascii="Arial" w:cs="Arial" w:eastAsia="Arial" w:hAnsi="Arial"/>
                <w:sz w:val="18"/>
                <w:szCs w:val="18"/>
                <w:color w:val="auto"/>
              </w:rPr>
              <w:t>Granted 07/01/21 - 09/30/21</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95.33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120"/>
              <w:spacing w:after="0"/>
              <w:rPr>
                <w:sz w:val="20"/>
                <w:szCs w:val="20"/>
                <w:color w:val="auto"/>
              </w:rPr>
            </w:pPr>
            <w:r>
              <w:rPr>
                <w:rFonts w:ascii="Arial" w:cs="Arial" w:eastAsia="Arial" w:hAnsi="Arial"/>
                <w:sz w:val="18"/>
                <w:szCs w:val="18"/>
                <w:color w:val="auto"/>
              </w:rPr>
              <w:t>Cancelled or forfeited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62.23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573,070</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Vested and expected to vest in the future at September 30, 2021</w:t>
            </w:r>
          </w:p>
        </w:tc>
        <w:tc>
          <w:tcPr>
            <w:tcW w:w="960" w:type="dxa"/>
            <w:vAlign w:val="bottom"/>
          </w:tcPr>
          <w:p>
            <w:pPr>
              <w:jc w:val="right"/>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47.73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568,055</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September 30,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458,668</w:t>
            </w: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weighted-average grant-date fair value of options granted during the three-months ended September 30, 2021 was $26.90 per share. No options were granted during the three-months ended September 30, 2020. The weighted-average grant-date fair value of options granted during the nine-months ended September 30, 2021 and 2020 was $25.81 per share and $18.78 per share, respectively.</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intrinsic value of options exercised during the three-months ended September 30, 2021 and 2020 was $14.0 million and $22.5 million, respectively. The total intrinsic value of options exercised during the nine-months ended September 30, 2021 and 2020 was $42.2 million and $58.8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received from option exercises under all plans for the three-months ended September 30, 2021 and 2020 was $12.7 million and $21.7 million, respectively. Cash received from option exercises under all plans for the nine-months ended September 30, 2021 and 2020 was $37.2 million and $65.5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September 30, 2021, there was $59.7 million of total unrecognized compensation expense related to non-vested options granted to employees under the Company’s stock-based compensation plans. That cost is expected to be recognized over a weighted-average period of 2.2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 and Performance Share Units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activities with respect to non-vested restricted stock units and performance share units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89"/>
              </w:rPr>
              <w:t>Weighted</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Grant-Date</w:t>
            </w:r>
          </w:p>
        </w:tc>
      </w:tr>
      <w:tr>
        <w:trPr>
          <w:trHeight w:val="230"/>
        </w:trPr>
        <w:tc>
          <w:tcPr>
            <w:tcW w:w="59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Fair Value</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16"/>
        </w:trPr>
        <w:tc>
          <w:tcPr>
            <w:tcW w:w="5940" w:type="dxa"/>
            <w:vAlign w:val="bottom"/>
          </w:tcPr>
          <w:p>
            <w:pPr>
              <w:ind w:left="100"/>
              <w:spacing w:after="0" w:line="216" w:lineRule="exact"/>
              <w:rPr>
                <w:sz w:val="20"/>
                <w:szCs w:val="20"/>
                <w:color w:val="auto"/>
              </w:rPr>
            </w:pPr>
            <w:r>
              <w:rPr>
                <w:rFonts w:ascii="Arial" w:cs="Arial" w:eastAsia="Arial" w:hAnsi="Arial"/>
                <w:sz w:val="17"/>
                <w:szCs w:val="17"/>
                <w:color w:val="auto"/>
              </w:rPr>
              <w:t>Granted 01/01/21 - 03/31/21</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86.28</w:t>
            </w:r>
          </w:p>
        </w:tc>
      </w:tr>
      <w:tr>
        <w:trPr>
          <w:trHeight w:val="216"/>
        </w:trPr>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Granted 04/01/21 - 06/30/21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16"/>
        </w:trPr>
        <w:tc>
          <w:tcPr>
            <w:tcW w:w="5940" w:type="dxa"/>
            <w:vAlign w:val="bottom"/>
          </w:tcPr>
          <w:p>
            <w:pPr>
              <w:ind w:left="100"/>
              <w:spacing w:after="0"/>
              <w:rPr>
                <w:sz w:val="20"/>
                <w:szCs w:val="20"/>
                <w:color w:val="auto"/>
              </w:rPr>
            </w:pPr>
            <w:r>
              <w:rPr>
                <w:rFonts w:ascii="Arial" w:cs="Arial" w:eastAsia="Arial" w:hAnsi="Arial"/>
                <w:sz w:val="18"/>
                <w:szCs w:val="18"/>
                <w:color w:val="auto"/>
              </w:rPr>
              <w:t>Granted 07/01/21 - 09/30/21</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89.84</w:t>
            </w:r>
          </w:p>
        </w:tc>
      </w:tr>
      <w:tr>
        <w:trPr>
          <w:trHeight w:val="216"/>
        </w:trPr>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16"/>
        </w:trPr>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59.96</w:t>
            </w:r>
          </w:p>
        </w:tc>
      </w:tr>
      <w:tr>
        <w:trPr>
          <w:trHeight w:val="209"/>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September 30,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line="218" w:lineRule="auto"/>
        <w:rPr>
          <w:sz w:val="20"/>
          <w:szCs w:val="20"/>
          <w:color w:val="auto"/>
        </w:rPr>
      </w:pPr>
      <w:r>
        <w:rPr>
          <w:rFonts w:ascii="Arial" w:cs="Arial" w:eastAsia="Arial" w:hAnsi="Arial"/>
          <w:sz w:val="19"/>
          <w:szCs w:val="19"/>
          <w:i w:val="1"/>
          <w:iCs w:val="1"/>
          <w:color w:val="auto"/>
          <w:vertAlign w:val="superscript"/>
        </w:rPr>
        <w:t>1</w:t>
      </w:r>
      <w:r>
        <w:rPr>
          <w:rFonts w:ascii="Arial" w:cs="Arial" w:eastAsia="Arial" w:hAnsi="Arial"/>
          <w:sz w:val="13"/>
          <w:szCs w:val="13"/>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weighted-average grant-date fair value of restricted stock units and/or performance share units granted during the three-months ended September 30, 2021 and 2020 was $89.84 and $71.76 per share, respectively. The weighted-average grant-date fair value of restricted stock units and/or performance share units granted during the nine-months ended September 30, 2021 and 2020 was $89.12 and $62.79 per share, respectively.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2021, 0.9 million of restricted stock units and performance share units are expected to vest over their respective terms.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2021, total unrecognized compensation expense relating to non-vested restricted stock units and performance share units was $40.0 million, which is expected to be recognized over a weighted-average period of 2.0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Share-Based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September 30, 2021, other share-based awards outstanding included grants that vest over three years payable in the first quarters of 2022, 2023 and 2024.</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September 30, 2021, there was $1.2 million of total unrecognized compensation expense related to nonvested other share-based awards granted to employees under the Company’s stock-based compensation plans. That cost is expected to be recognized over a weighted-average period of 1.1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roll-forward of the Company’s total gross unrecognized tax benefits, not including interest and penalties, for the nine-months ended September 30,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-121920</wp:posOffset>
            </wp:positionV>
            <wp:extent cx="503174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3" w:lineRule="exact"/>
        <w:rPr>
          <w:sz w:val="20"/>
          <w:szCs w:val="20"/>
          <w:color w:val="auto"/>
        </w:rPr>
      </w:pPr>
    </w:p>
    <w:p>
      <w:pPr>
        <w:ind w:left="1000" w:right="1560"/>
        <w:spacing w:after="0" w:line="279" w:lineRule="auto"/>
        <w:rPr>
          <w:sz w:val="20"/>
          <w:szCs w:val="20"/>
          <w:color w:val="auto"/>
        </w:rPr>
      </w:pPr>
      <w:r>
        <w:rPr>
          <w:rFonts w:ascii="Arial" w:cs="Arial" w:eastAsia="Arial" w:hAnsi="Arial"/>
          <w:sz w:val="17"/>
          <w:szCs w:val="17"/>
          <w:color w:val="auto"/>
        </w:rPr>
        <w:t>Additions for tax positions related to the current year Additions for tax positions related to the prior years Decreases for tax positions related to the prior years Balance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-430530</wp:posOffset>
            </wp:positionV>
            <wp:extent cx="503174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-156210</wp:posOffset>
            </wp:positionV>
            <wp:extent cx="503174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Gross Unrecognized Tax</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Benefits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Borders>
              <w:top w:val="single" w:sz="8" w:color="auto"/>
            </w:tcBorders>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742</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10"/>
        </w:trPr>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2820"/>
          </w:cols>
          <w:pgMar w:left="980" w:top="665" w:right="999" w:bottom="1440" w:gutter="0" w:footer="0" w:header="0"/>
          <w:type w:val="continuous"/>
        </w:sectPr>
      </w:pP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in the Company’s condensed consolidated financial statements. As of September 30, 2021, the Company had approximately $0.1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subject to U.S. federal income tax as well as to income tax in multiple state and foreign jurisdictions.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2017 through 2020 U.S. federal income tax returns are subject to examination by the IRS. The Company’s state income tax returns are subject to examination for the 2016 through 2020 tax years.</w:t>
      </w:r>
    </w:p>
    <w:p>
      <w:pPr>
        <w:spacing w:after="0" w:line="184"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 below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Three-Months Ended</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w w:val="93"/>
              </w:rPr>
              <w:t>Nine-Months Ended</w:t>
            </w:r>
          </w:p>
        </w:tc>
      </w:tr>
      <w:tr>
        <w:trPr>
          <w:trHeight w:val="230"/>
        </w:trPr>
        <w:tc>
          <w:tcPr>
            <w:tcW w:w="4600" w:type="dxa"/>
            <w:vAlign w:val="bottom"/>
          </w:tcPr>
          <w:p>
            <w:pPr>
              <w:spacing w:after="0"/>
              <w:rPr>
                <w:sz w:val="20"/>
                <w:szCs w:val="20"/>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September 30,</w:t>
            </w:r>
          </w:p>
        </w:tc>
      </w:tr>
      <w:tr>
        <w:trPr>
          <w:trHeight w:val="210"/>
        </w:trPr>
        <w:tc>
          <w:tcPr>
            <w:tcW w:w="46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528,997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527,637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528,618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530,194</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r>
      <w:tr>
        <w:trPr>
          <w:trHeight w:val="209"/>
        </w:trPr>
        <w:tc>
          <w:tcPr>
            <w:tcW w:w="4600" w:type="dxa"/>
            <w:vAlign w:val="bottom"/>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535,915</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533,263</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535,554</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535,011</w:t>
            </w:r>
          </w:p>
        </w:tc>
      </w:tr>
      <w:tr>
        <w:trPr>
          <w:trHeight w:val="20"/>
        </w:trPr>
        <w:tc>
          <w:tcPr>
            <w:tcW w:w="4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three-months ended September 30, 2021 and 2020, options and awards outstanding totaling 1.0 million shares and 0.6 million shares, respectively, were excluded from the calculations as their effect would have been antidilutive. For the nine-months ended September 30, 2021 and 2020, options and awards outstanding totaling 0.8 million shares and 4.2 million shares, respectively, were excluded from the calculations as their effect would have been antidilutive.</w:t>
      </w:r>
    </w:p>
    <w:p>
      <w:pPr>
        <w:spacing w:after="0" w:line="187"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The Company has three operating and reportable segments: (i) Monster Energy® Drinks segment, which is primarily comprised of the Company’s Monster Energy® drinks, Reign Total Body Fuel® high performance energy drinks and True North</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Pure Energy Seltzers, (ii) Strategic Brands segment, which is primarily comprised of the various energy drink brands acquired from TCCC in 2015 as well as the Company’s affordable energy brands, and (iii) Other segment, which is comprised of the AFF Third-Party Products.</w:t>
      </w:r>
    </w:p>
    <w:p>
      <w:pPr>
        <w:sectPr>
          <w:pgSz w:w="11900" w:h="16838" w:orient="portrait"/>
          <w:cols w:equalWidth="0" w:num="1">
            <w:col w:w="9920"/>
          </w:cols>
          <w:pgMar w:left="980" w:top="66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the Monster Energy® Drinks segment generates higher per case net operating revenues, but lower per case gross profit margin percentages than the Strategic Brands segment.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three-and nine-months ended September 30, 2021 and 2020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Three-Months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6"/>
          </w:tcPr>
          <w:p>
            <w:pPr>
              <w:jc w:val="center"/>
              <w:ind w:right="1200"/>
              <w:spacing w:after="0"/>
              <w:rPr>
                <w:sz w:val="20"/>
                <w:szCs w:val="20"/>
                <w:color w:val="auto"/>
              </w:rPr>
            </w:pPr>
            <w:r>
              <w:rPr>
                <w:rFonts w:ascii="Arial" w:cs="Arial" w:eastAsia="Arial" w:hAnsi="Arial"/>
                <w:sz w:val="18"/>
                <w:szCs w:val="18"/>
                <w:color w:val="auto"/>
                <w:w w:val="93"/>
              </w:rPr>
              <w:t>Nine-Months Ended</w:t>
            </w:r>
          </w:p>
        </w:tc>
      </w:tr>
      <w:tr>
        <w:trPr>
          <w:trHeight w:val="230"/>
        </w:trPr>
        <w:tc>
          <w:tcPr>
            <w:tcW w:w="1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center"/>
              <w:ind w:right="1240"/>
              <w:spacing w:after="0"/>
              <w:rPr>
                <w:sz w:val="20"/>
                <w:szCs w:val="20"/>
                <w:color w:val="auto"/>
              </w:rPr>
            </w:pPr>
            <w:r>
              <w:rPr>
                <w:rFonts w:ascii="Arial" w:cs="Arial" w:eastAsia="Arial" w:hAnsi="Arial"/>
                <w:sz w:val="18"/>
                <w:szCs w:val="18"/>
                <w:color w:val="auto"/>
                <w:w w:val="88"/>
              </w:rPr>
              <w:t>September 30,</w:t>
            </w:r>
          </w:p>
        </w:tc>
      </w:tr>
      <w:tr>
        <w:trPr>
          <w:trHeight w:val="209"/>
        </w:trPr>
        <w:tc>
          <w:tcPr>
            <w:tcW w:w="1000" w:type="dxa"/>
            <w:vAlign w:val="bottom"/>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6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1,329,793</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1,163,419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3,867,162</w:t>
            </w:r>
          </w:p>
        </w:tc>
        <w:tc>
          <w:tcPr>
            <w:tcW w:w="18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3,183,559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198,429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20,367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1,410,557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1,246,362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4,116,308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3,402,355</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Three-Months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6"/>
          </w:tcPr>
          <w:p>
            <w:pPr>
              <w:jc w:val="center"/>
              <w:ind w:right="1200"/>
              <w:spacing w:after="0"/>
              <w:rPr>
                <w:sz w:val="20"/>
                <w:szCs w:val="20"/>
                <w:color w:val="auto"/>
              </w:rPr>
            </w:pPr>
            <w:r>
              <w:rPr>
                <w:rFonts w:ascii="Arial" w:cs="Arial" w:eastAsia="Arial" w:hAnsi="Arial"/>
                <w:sz w:val="18"/>
                <w:szCs w:val="18"/>
                <w:color w:val="auto"/>
                <w:w w:val="93"/>
              </w:rPr>
              <w:t>Nine-Months Ended</w:t>
            </w:r>
          </w:p>
        </w:tc>
      </w:tr>
      <w:tr>
        <w:trPr>
          <w:trHeight w:val="230"/>
        </w:trPr>
        <w:tc>
          <w:tcPr>
            <w:tcW w:w="1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center"/>
              <w:ind w:right="1240"/>
              <w:spacing w:after="0"/>
              <w:rPr>
                <w:sz w:val="20"/>
                <w:szCs w:val="20"/>
                <w:color w:val="auto"/>
              </w:rPr>
            </w:pPr>
            <w:r>
              <w:rPr>
                <w:rFonts w:ascii="Arial" w:cs="Arial" w:eastAsia="Arial" w:hAnsi="Arial"/>
                <w:sz w:val="18"/>
                <w:szCs w:val="18"/>
                <w:color w:val="auto"/>
                <w:w w:val="88"/>
              </w:rPr>
              <w:t>September 30,</w:t>
            </w:r>
          </w:p>
        </w:tc>
      </w:tr>
      <w:tr>
        <w:trPr>
          <w:trHeight w:val="210"/>
        </w:trPr>
        <w:tc>
          <w:tcPr>
            <w:tcW w:w="1000" w:type="dxa"/>
            <w:vAlign w:val="bottom"/>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6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500,641</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502,392</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1,512,633</w:t>
            </w:r>
          </w:p>
        </w:tc>
        <w:tc>
          <w:tcPr>
            <w:tcW w:w="18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1,366,920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(259,135)</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444,464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458,601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1,384,587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1,230,852</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color w:val="auto"/>
              </w:rPr>
              <w:t>Three-Months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right"/>
              <w:ind w:right="370"/>
              <w:spacing w:after="0"/>
              <w:rPr>
                <w:sz w:val="20"/>
                <w:szCs w:val="20"/>
                <w:color w:val="auto"/>
              </w:rPr>
            </w:pPr>
            <w:r>
              <w:rPr>
                <w:rFonts w:ascii="Arial" w:cs="Arial" w:eastAsia="Arial" w:hAnsi="Arial"/>
                <w:sz w:val="18"/>
                <w:szCs w:val="18"/>
                <w:color w:val="auto"/>
              </w:rPr>
              <w:t>Nine-Months Ended</w:t>
            </w:r>
          </w:p>
        </w:tc>
      </w:tr>
      <w:tr>
        <w:trPr>
          <w:trHeight w:val="230"/>
        </w:trPr>
        <w:tc>
          <w:tcPr>
            <w:tcW w:w="2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color w:val="auto"/>
              </w:rPr>
              <w:t>September 30,</w:t>
            </w:r>
          </w:p>
        </w:tc>
      </w:tr>
      <w:tr>
        <w:trPr>
          <w:trHeight w:val="209"/>
        </w:trPr>
        <w:tc>
          <w:tcPr>
            <w:tcW w:w="25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09"/>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54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500,929</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502,500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1,513,421</w:t>
            </w:r>
          </w:p>
        </w:tc>
        <w:tc>
          <w:tcPr>
            <w:tcW w:w="18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1,367,096</w:t>
            </w:r>
          </w:p>
        </w:tc>
      </w:tr>
      <w:tr>
        <w:trPr>
          <w:trHeight w:val="216"/>
        </w:trPr>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118,287</w:t>
            </w:r>
          </w:p>
        </w:tc>
      </w:tr>
      <w:tr>
        <w:trPr>
          <w:trHeight w:val="216"/>
        </w:trPr>
        <w:tc>
          <w:tcPr>
            <w:tcW w:w="2540" w:type="dxa"/>
            <w:vAlign w:val="bottom"/>
          </w:tcPr>
          <w:p>
            <w:pPr>
              <w:ind w:left="1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4,780</w:t>
            </w:r>
          </w:p>
        </w:tc>
      </w:tr>
      <w:tr>
        <w:trPr>
          <w:trHeight w:val="216"/>
        </w:trPr>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(94,711)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(264,802)</w:t>
            </w:r>
          </w:p>
        </w:tc>
      </w:tr>
      <w:tr>
        <w:trPr>
          <w:trHeight w:val="210"/>
        </w:trPr>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442,174</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454,033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1,382,408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1,225,361</w:t>
            </w:r>
          </w:p>
        </w:tc>
      </w:tr>
      <w:tr>
        <w:trPr>
          <w:trHeight w:val="20"/>
        </w:trPr>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80" w:right="60" w:hanging="321"/>
        <w:spacing w:after="0" w:line="290" w:lineRule="auto"/>
        <w:tabs>
          <w:tab w:leader="none" w:pos="68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$10.4 million and $10.5 million for the three- months ended September 30, 2021 and 2020, respectively, related to the recognition of deferred revenue. Includes $31.3 million and $31.6 million for the nine-months ended September 30, 2021 and 2020, respectively, related to the recognition of deferred revenue.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color w:val="auto"/>
              </w:rPr>
              <w:t>Three-Months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right"/>
              <w:ind w:right="370"/>
              <w:spacing w:after="0"/>
              <w:rPr>
                <w:sz w:val="20"/>
                <w:szCs w:val="20"/>
                <w:color w:val="auto"/>
              </w:rPr>
            </w:pPr>
            <w:r>
              <w:rPr>
                <w:rFonts w:ascii="Arial" w:cs="Arial" w:eastAsia="Arial" w:hAnsi="Arial"/>
                <w:sz w:val="18"/>
                <w:szCs w:val="18"/>
                <w:color w:val="auto"/>
              </w:rPr>
              <w:t>Nine-Months Ended</w:t>
            </w:r>
          </w:p>
        </w:tc>
      </w:tr>
      <w:tr>
        <w:trPr>
          <w:trHeight w:val="230"/>
        </w:trPr>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color w:val="auto"/>
              </w:rPr>
              <w:t>September 30,</w:t>
            </w:r>
          </w:p>
        </w:tc>
      </w:tr>
      <w:tr>
        <w:trPr>
          <w:trHeight w:val="210"/>
        </w:trPr>
        <w:tc>
          <w:tcPr>
            <w:tcW w:w="26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8,477</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8,713</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26,315</w:t>
            </w:r>
          </w:p>
        </w:tc>
        <w:tc>
          <w:tcPr>
            <w:tcW w:w="18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27,687</w:t>
            </w:r>
          </w:p>
        </w:tc>
      </w:tr>
      <w:tr>
        <w:trPr>
          <w:trHeight w:val="216"/>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w:t>
            </w:r>
          </w:p>
        </w:tc>
      </w:tr>
      <w:tr>
        <w:trPr>
          <w:trHeight w:val="216"/>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r>
      <w:tr>
        <w:trPr>
          <w:trHeight w:val="210"/>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12,356</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42,908</w:t>
            </w:r>
          </w:p>
        </w:tc>
      </w:tr>
      <w:tr>
        <w:trPr>
          <w:trHeight w:val="20"/>
        </w:trPr>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Corporate and unallocated expenses for the three-months ended September 30, 2021 include $63.4 million of payroll costs, of which $16.7 million was attributable to stock-based compensation expenses (see Note 15 “Stock-Based Compensation”), as well as $19.3 million attributable to professional service expenses, including accounting and legal costs, and $14.8 million of other operating expenses. Corporate and unallocated expenses for the three-months ended September 30, 2020 include $61.7 million of payroll costs, of which $19.2 million was attributable to stock-based compensation expenses (see Note 15 “Stock-Based Compensation”), as well as $16.7 million attributable to professional service expenses, including accounting and legal costs, and $11.6 million of other operating expenses.</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Corporate and unallocated expenses for the nine-months ended September 30, 2021 include $189.7 million of payroll costs, of which $52.2 million was attributable to stock-based compensation expenses (see Note 15 “Stock-Based Compensation”), as well as $60.6 million attributable to professional service expenses, including accounting and legal costs, and $22.4 million of other operating expenses. Corporate and unallocated expenses for the nine-months ended September 30, 2021, were partially offset by $16.9 million due to the reversal of amounts previously accrued in connection with an intellectual property claim. Corporate and unallocated expenses for the nine-months ended September 30, 2020 include $173.5 million of payroll costs, of which $52.7 million was attributable to stock-based compensation expenses (see Note 15 “Stock-Based Compensation”), as well as $50.1 million attributable to professional service expenses, including accounting and legal costs, and $35.5 million of other operating expenses.</w:t>
      </w:r>
    </w:p>
    <w:p>
      <w:pPr>
        <w:spacing w:after="0" w:line="16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Coca-Cola Europacific Partners (formerly Coca-Cola European Partners) accounted for approximately 12% and 11% of the Company’s net sales for the three-months ended September 30, 2021 and 2020, respectively. Coca-Cola Europacific Partners accounted for approximately 12% and 10% of the Company’s net sales for the nine-months ended September 30, 2021 and 2020, respectively.</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Consolidated, Inc. accounted for approximately 11% and 12% of the Company’s net sales for the three-months ended September 30, 2021 and 2020, respectively. Coca-Cola Consolidated, Inc. accounted for approximately 11% and 12% of the Company’s net sales for the nine-months ended September 30, 2021 and 2020, respectively.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Reyes Coca-Cola Bottling, LLC accounted for approximately 10% and 11% of the Company’s net sales for the three-months ended September 30, 2021 and 2020, respectively. Reyes Coca-Cola Bottling, LLC accounted for approximately 10% and 11% of the Company’s net sales for the nine-months ended September 30, 2021 and 2020, respectively.</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to customers outside the United States amounted to $527.4 million and $444.5 million for the three-months ended September 30, 2021 and 2020, respectively. Such sales were approximately 37% and 36% of net sales for three-months ended September 30, 2021 and 2020, respectively. Net sales to customers outside the United States amounted to $1.53 billion and $1.13 billion for the nine-months ended September 30, 2021 and 2020, respectively. Such sales were approximately 37% and 33% of net sales for the nine-months ended September 30, 2021 and 2020, respectively.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Goodwill and other intangible assets for the Company’s reportable segments as of September 30, 2021 and December 31, 2020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1,414,190</w:t>
            </w:r>
          </w:p>
        </w:tc>
        <w:tc>
          <w:tcPr>
            <w:tcW w:w="3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1,406,646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974,132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2,397,726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2,390,689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19.</w:t>
            </w:r>
          </w:p>
        </w:tc>
        <w:tc>
          <w:tcPr>
            <w:tcW w:w="4680" w:type="dxa"/>
            <w:vAlign w:val="bottom"/>
            <w:gridSpan w:val="2"/>
            <w:vMerge w:val="restart"/>
          </w:tcPr>
          <w:p>
            <w:pPr>
              <w:ind w:left="200"/>
              <w:spacing w:after="0"/>
              <w:rPr>
                <w:sz w:val="20"/>
                <w:szCs w:val="20"/>
                <w:color w:val="auto"/>
              </w:rPr>
            </w:pPr>
            <w:r>
              <w:rPr>
                <w:rFonts w:ascii="Arial" w:cs="Arial" w:eastAsia="Arial" w:hAnsi="Arial"/>
                <w:sz w:val="18"/>
                <w:szCs w:val="18"/>
                <w:color w:val="auto"/>
              </w:rPr>
              <w:t>RELATED PARTY TRANSACTIONS</w:t>
            </w: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vMerge w:val="continue"/>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TCCC controls approximately 19.3%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TCCC commissions, based on sales to the TCCC Subsidiaries and the TCCC Related Parties, were $23.6 million and $15.7 million for the three-months ended September 30, 2021 and 2020, respectively, and are included as a reduction to net sales. TCCC commissions, based on sales to the TCCC Subsidiaries and the TCCC Related Parties, were $59.9 million and $37.7 million for the nine-months ended September 30, 2021 and 2020, respectively, and are included as a reduction to net sales.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TCCC commissions, based on sales to TCCC independent bottlers/distributors, were $9.1 million and $5.5 million for the three-months ended September 30, 2021 and 2020, respectively, and are included in operating expenses. TCCC commissions, based on sales to certain TCCC independent bottlers/distributors, were $22.6 million and $15.2 million for the nine-months ended September 30, 2021 and 2020, respectively, and are included in operating expenses.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to the TCCC Subsidiaries for the three-months ended September 30, 2021 and 2020 were $30.3 million and $21.5 million, respectively. Net sales to the TCCC Subsidiaries for the nine-months ended September 30, 2021 and 2020 were $84.4 million and $55.2 million, respectively.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also purchases concentrates from TCCC which are then sold to certain of the Company’s bottlers/distributors. Concentrate purchases from TCCC were $7.1 million and $6.8 million for the three-months ended September 30, 2021 and 2020, respectively. Concentrate purchases from TCCC were $21.3 million and $17.6 million for the nine-months ended September 30, 2021 and 2020, respectively.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Certain TCCC Subsidiaries also contract manufacture certain of the Company’s energy drinks. Such contract manufacturing expenses were $6.8 million and $5.1 million for the three-months ended September 30, 2021 and 2020, respectively. Such contract manufacturing expenses were $20.8 million and $11.3 million for the nine-months ended September 30, 2021 and 2020,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accounts payable, accrued promotional allowances and accrued liabilities related to the TCCC Subsidiaries are as follows at: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December 31,</w:t>
            </w:r>
          </w:p>
        </w:tc>
      </w:tr>
      <w:tr>
        <w:trPr>
          <w:trHeight w:val="230"/>
        </w:trPr>
        <w:tc>
          <w:tcPr>
            <w:tcW w:w="39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Accounts payable</w:t>
            </w:r>
          </w:p>
        </w:tc>
        <w:tc>
          <w:tcPr>
            <w:tcW w:w="1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(34,991)</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(30,792)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Accrued promotional allowances</w:t>
            </w:r>
          </w:p>
        </w:tc>
        <w:tc>
          <w:tcPr>
            <w:tcW w:w="18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Accrued liabilities</w:t>
            </w:r>
          </w:p>
        </w:tc>
        <w:tc>
          <w:tcPr>
            <w:tcW w:w="1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(19,591)</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(15,446)</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September 30, 2021 and 2020 were $1.0 million and $0.4 million, respectively. Expenses incurred with such company in connection with promotional materials purchased during the nine-months ended September 30, 2021 and 2020 were $2.7 million and $1.9 million, respectively.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three-months ended September 30, 2021, the Company recorded an equity loss of $0.04 million. During the nine-months ended September 30, 2021, the Company recorded an equity loss of $0.16 million. As of September 30, 2021, the Company’s equity investment is $1.4 million and is included in other assets (non-current)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 – 19 Pandemic</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actions taken to limit its spread and the economic impact on local, regional, national and international markets. “Part I, Item 1A – Risk Factors” in our Form 10-K.”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address the COVID-19 pandemic with a global task force team working to mitigate the potential impacts on our people and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incredibly proud of the teamwork exhibited by our employees, co-packers and bottlers/distributors around the world who are endeavoring to maintain the integrity of our supply chain. Despite the ongoing impact of the COVID-19 pandemic, we achieved record third quarter net sales.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countries continue to combat the COVID-19 pandemic, and as governments and/or local authorities impose regulations regarding COVID-19 testing, vaccine mandates and related workplace restrictions, there remains a risk that the COVID-19 pandemic may impact our business and supply chain, including our ability to recruit and/or retain our employees as well as impact our co-packers, bottlers/distributors and/or suppliers.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filing, we do not foresee a material impact on the ability of our co-packers to manufacture and our bottlers/distributors to distribute our products as a result of the COVID-19 pandemic. Depending on the duration of any COVID-19 pandemic related issues, we may experience material disruptions in our supply chain as the pandemic continues.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consequences of the COVID-19 pandemic, including those on human capital, have resulted in cost increases, labor shortages and general input shortages, which have significantly impacted our cost base and our ability to meet increased demand.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three-months ended September 30, 2021, we procured additional quantities of aluminum cans from suppliers in the United States, South America and Asia in response to increased consumer demand. However, we continued to experience shortages in our aluminum can requirements in the United States and EMEA.</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continued to experience additional supply chain challenges, including, freight inefficiencies, trucking availability, shortages of shipping containers, port of entry congestion, insufficient co-packing capacity and delays in the receipt of certain ingredients, in the United States and EMEA. As a result, we were not able to fully satisfy increased demand for our products in these regions during the three-months ended September 30, 2021.</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three-months ended September 30, 2021, we continued to experience increased aluminum can costs, attributable to higher aluminum commodity pricing as well as the costs of importing aluminum cans. In addition, we experienced increased ingredient and other input costs, including shipping and freight, labor, trucking, fuel, co-packing fees, secondary packaging materials and increased outbound freight costs, which resulted in increased costs of sales and increased operating costs. We continue to address the increased costs, some of which are likely to be transitory, through reductions in promotions and other pricing actions.</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we expect to maintain substantial liquidity as we manage through the current environment as described in the “Liquidity and Capital Resources”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market, sell and distribute energy drink beverages and concentrates for energy drink beverages, primarily under the following brand names: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Energy®</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NOS®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Energy Ultra®</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Full Throttle®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Rehab®</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Burn®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MAXX®</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Mother®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Java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Nalu®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Muscle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Ultra Energy®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Espresso Monster®</w:t>
            </w:r>
          </w:p>
        </w:tc>
        <w:tc>
          <w:tcPr>
            <w:tcW w:w="3540" w:type="dxa"/>
            <w:vAlign w:val="bottom"/>
            <w:gridSpan w:val="2"/>
          </w:tcPr>
          <w:p>
            <w:pPr>
              <w:ind w:left="760"/>
              <w:spacing w:after="0"/>
              <w:rPr>
                <w:sz w:val="20"/>
                <w:szCs w:val="20"/>
                <w:color w:val="auto"/>
              </w:rPr>
            </w:pPr>
            <w:r>
              <w:rPr>
                <w:rFonts w:ascii="Arial" w:cs="Arial" w:eastAsia="Arial" w:hAnsi="Arial"/>
                <w:sz w:val="18"/>
                <w:szCs w:val="18"/>
                <w:color w:val="auto"/>
                <w:w w:val="93"/>
              </w:rPr>
              <w:t>●   Play® and Power Play® (stylized)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Punch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Relentless®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Juice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BPM®</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 Energy Water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 Super Sport</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Gladiator®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HydroSport Super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Samurai®</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Super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Live+®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Dragon Tea®</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Predator®</w:t>
            </w:r>
          </w:p>
        </w:tc>
      </w:tr>
      <w:tr>
        <w:trPr>
          <w:trHeight w:val="206"/>
        </w:trPr>
        <w:tc>
          <w:tcPr>
            <w:tcW w:w="3540" w:type="dxa"/>
            <w:vAlign w:val="bottom"/>
            <w:gridSpan w:val="2"/>
          </w:tcPr>
          <w:p>
            <w:pPr>
              <w:spacing w:after="0"/>
              <w:rPr>
                <w:sz w:val="20"/>
                <w:szCs w:val="20"/>
                <w:color w:val="auto"/>
              </w:rPr>
            </w:pPr>
            <w:r>
              <w:rPr>
                <w:rFonts w:ascii="Arial" w:cs="Arial" w:eastAsia="Arial" w:hAnsi="Arial"/>
                <w:sz w:val="18"/>
                <w:szCs w:val="18"/>
                <w:color w:val="auto"/>
              </w:rPr>
              <w:t>●   Reign Total Body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Fury®</w:t>
            </w:r>
          </w:p>
        </w:tc>
      </w:tr>
      <w:tr>
        <w:trPr>
          <w:trHeight w:val="353"/>
        </w:trPr>
        <w:tc>
          <w:tcPr>
            <w:tcW w:w="3540" w:type="dxa"/>
            <w:vAlign w:val="bottom"/>
            <w:gridSpan w:val="2"/>
          </w:tcPr>
          <w:p>
            <w:pPr>
              <w:spacing w:after="0"/>
              <w:rPr>
                <w:sz w:val="20"/>
                <w:szCs w:val="20"/>
                <w:color w:val="auto"/>
              </w:rPr>
            </w:pPr>
            <w:r>
              <w:rPr>
                <w:rFonts w:ascii="Arial" w:cs="Arial" w:eastAsia="Arial" w:hAnsi="Arial"/>
                <w:sz w:val="18"/>
                <w:szCs w:val="18"/>
                <w:color w:val="auto"/>
              </w:rPr>
              <w:t>●   Reign Inferno® Thermogenic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True North</w:t>
            </w:r>
            <w:r>
              <w:rPr>
                <w:rFonts w:ascii="Arial" w:cs="Arial" w:eastAsia="Arial" w:hAnsi="Arial"/>
                <w:sz w:val="26"/>
                <w:szCs w:val="26"/>
                <w:color w:val="auto"/>
                <w:vertAlign w:val="superscript"/>
              </w:rPr>
              <w:t>TM</w:t>
            </w:r>
          </w:p>
        </w:tc>
      </w:tr>
    </w:tbl>
    <w:p>
      <w:pPr>
        <w:spacing w:after="0" w:line="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primarily comprised of our Monster Energy® drinks, Reign Total Body Fuel® high performance energy drinks and True North</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Pure Energy Seltzers,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three-months ended September 30, 2021, we continued to expand our existing energy drink portfolio by adding additional products to our portfolio in a number of countries and further developed our distribution markets. During the three-months ended September 30, 2021, we sold the following new products to our customers:</w:t>
      </w:r>
    </w:p>
    <w:p>
      <w:pPr>
        <w:spacing w:after="0" w:line="184"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Monster® (stylized) Reserve Watermelon</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Monster® (stylized) Reserve White Pineapple</w:t>
      </w:r>
    </w:p>
    <w:p>
      <w:pPr>
        <w:spacing w:after="0" w:line="9" w:lineRule="exact"/>
        <w:rPr>
          <w:rFonts w:ascii="Arial" w:cs="Arial" w:eastAsia="Arial" w:hAnsi="Arial"/>
          <w:sz w:val="18"/>
          <w:szCs w:val="18"/>
          <w:color w:val="auto"/>
        </w:rPr>
      </w:pPr>
    </w:p>
    <w:p>
      <w:pPr>
        <w:ind w:left="1000" w:hanging="317"/>
        <w:spacing w:after="0" w:line="181"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True North</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Pure Energy Seltzer Black Cherry</w:t>
      </w:r>
    </w:p>
    <w:p>
      <w:pPr>
        <w:ind w:left="1000" w:hanging="317"/>
        <w:spacing w:after="0" w:line="18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True North</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Pure Energy Seltzer Cucumber Lime</w:t>
      </w:r>
    </w:p>
    <w:p>
      <w:pPr>
        <w:ind w:left="1000" w:hanging="317"/>
        <w:spacing w:after="0" w:line="18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True North</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Pure Energy Seltzer Grapefruit Lemonade</w:t>
      </w:r>
    </w:p>
    <w:p>
      <w:pPr>
        <w:ind w:left="1000" w:hanging="317"/>
        <w:spacing w:after="0" w:line="18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True North</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Pure Energy Seltzer Mandarin Yuzu</w:t>
      </w:r>
    </w:p>
    <w:p>
      <w:pPr>
        <w:ind w:left="1000" w:hanging="317"/>
        <w:spacing w:after="0" w:line="18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True North</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Pure Energy Seltzer Watermelon Mist</w:t>
      </w:r>
    </w:p>
    <w:p>
      <w:pPr>
        <w:ind w:left="1000" w:hanging="317"/>
        <w:spacing w:after="0" w:line="18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True North</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Pure Energy Seltzer White Peach Pear</w:t>
      </w: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Mother® Zero Sugar Razzle Berry</w:t>
      </w:r>
    </w:p>
    <w:p>
      <w:pPr>
        <w:spacing w:after="0" w:line="7"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Predator® Malt Smash</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the three-months ended September 30, 2021, either individually or in aggregate, did not have a material adverse impact on our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sales of $1.41 billion for the three-months ended September 30, 2021 represented record sales for our third fiscal quarter. Net changes in foreign currency exchange rates had a favorable impact on net sales of approximately $16.4 million for the three-months ended September 30,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vast majority of our net sales are derived from our Monster Energy® Drinks segment. Net sales of our Monster Energy®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Drinks segment were $1.33 billion for the three-months ended September 30, 2021. Net sales of our Strategic Brands segment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$74.4 million for the three-months ended September 30, 2021. Our Monster Energy® Drinks segment represented 94.3% and 93.3%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net sales for the three-months ended September 30, 2021 and 2020, respectively. Our Strategic Brands segment represented 5.3%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of our net sales for the three-months ended September 30, 2021 and 2020, respectively. Our Other segment represented 0.4%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0.7% of our net sales for the three-months ended September 30, 2021 and 2020, respectively.</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growth strategy includes expanding our international business. Net sales to customers outside the United States were $527.4 million for the three-months ended September 30, 2021, an increase of approximately $82.9 million, or 18.7% higher than net sales to customers outside of the United States of $444.5 million for the three-months ended September 30, 2020. Such sales were approximately 37% and 36% of net sales for the three-months ended September 30, 2021 and 2020, respectively.</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three- and nine-months ended September 30, 2021 and 2020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20" w:type="dxa"/>
            <w:vAlign w:val="bottom"/>
            <w:gridSpan w:val="6"/>
          </w:tcPr>
          <w:p>
            <w:pPr>
              <w:jc w:val="center"/>
              <w:ind w:right="180"/>
              <w:spacing w:after="0"/>
              <w:rPr>
                <w:sz w:val="20"/>
                <w:szCs w:val="20"/>
                <w:color w:val="auto"/>
              </w:rPr>
            </w:pPr>
            <w:r>
              <w:rPr>
                <w:rFonts w:ascii="Arial" w:cs="Arial" w:eastAsia="Arial" w:hAnsi="Arial"/>
                <w:sz w:val="18"/>
                <w:szCs w:val="18"/>
                <w:color w:val="auto"/>
                <w:w w:val="89"/>
              </w:rPr>
              <w:t>Three-Months Ended</w:t>
            </w:r>
          </w:p>
        </w:tc>
        <w:tc>
          <w:tcPr>
            <w:tcW w:w="2040" w:type="dxa"/>
            <w:vAlign w:val="bottom"/>
            <w:gridSpan w:val="4"/>
          </w:tcPr>
          <w:p>
            <w:pPr>
              <w:jc w:val="right"/>
              <w:ind w:right="380"/>
              <w:spacing w:after="0"/>
              <w:rPr>
                <w:sz w:val="20"/>
                <w:szCs w:val="20"/>
                <w:color w:val="auto"/>
              </w:rPr>
            </w:pPr>
            <w:r>
              <w:rPr>
                <w:rFonts w:ascii="Arial" w:cs="Arial" w:eastAsia="Arial" w:hAnsi="Arial"/>
                <w:sz w:val="18"/>
                <w:szCs w:val="18"/>
                <w:color w:val="auto"/>
              </w:rPr>
              <w:t>Nine-Months Ended</w:t>
            </w:r>
          </w:p>
        </w:tc>
      </w:tr>
      <w:tr>
        <w:trPr>
          <w:trHeight w:val="230"/>
        </w:trPr>
        <w:tc>
          <w:tcPr>
            <w:tcW w:w="5860" w:type="dxa"/>
            <w:vAlign w:val="bottom"/>
          </w:tcPr>
          <w:p>
            <w:pPr>
              <w:spacing w:after="0"/>
              <w:rPr>
                <w:sz w:val="20"/>
                <w:szCs w:val="20"/>
                <w:color w:val="auto"/>
              </w:rPr>
            </w:pPr>
          </w:p>
        </w:tc>
        <w:tc>
          <w:tcPr>
            <w:tcW w:w="1620" w:type="dxa"/>
            <w:vAlign w:val="bottom"/>
            <w:gridSpan w:val="4"/>
          </w:tcPr>
          <w:p>
            <w:pPr>
              <w:jc w:val="center"/>
              <w:ind w:left="9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4"/>
          </w:tcPr>
          <w:p>
            <w:pPr>
              <w:jc w:val="right"/>
              <w:ind w:right="620"/>
              <w:spacing w:after="0"/>
              <w:rPr>
                <w:sz w:val="20"/>
                <w:szCs w:val="20"/>
                <w:color w:val="auto"/>
              </w:rPr>
            </w:pPr>
            <w:r>
              <w:rPr>
                <w:rFonts w:ascii="Arial" w:cs="Arial" w:eastAsia="Arial" w:hAnsi="Arial"/>
                <w:sz w:val="18"/>
                <w:szCs w:val="18"/>
                <w:color w:val="auto"/>
              </w:rPr>
              <w:t>September 30,</w:t>
            </w:r>
          </w:p>
        </w:tc>
      </w:tr>
      <w:tr>
        <w:trPr>
          <w:trHeight w:val="210"/>
        </w:trPr>
        <w:tc>
          <w:tcPr>
            <w:tcW w:w="58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U.S. full service bottlers/distributors</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51%</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International full service bottlers/distributors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39%</w:t>
            </w:r>
          </w:p>
        </w:tc>
        <w:tc>
          <w:tcPr>
            <w:tcW w:w="6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Club stores and e-commerce retailers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Retail grocery, direct convenience, specialty chains and wholesalers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value stores and other</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Europacific Partners accounted for approximately 12% and 11% of our net sales for the three-months ended September 30, 2021 and 2020, respectively. Coca-Cola Europacific Partners accounted for approximately 12% and 10% of our net sales for the nine-months ended September 30, 2021 and 2020,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Consolidated, Inc. accounted for approximately 11% and 12% of our net sales for the three-months ended September 30, 2021 and 2020, respectively. Coca-Cola Consolidated, Inc. accounted for approximately 11% and 12% of our net sales for the nine-months ended September 30, 2021 and 2020,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Reyes Coca-Cola Bottling, LLC accounted for approximately 10% and 11% of our net sales for the three-months ended September 30, 2021 and 2020, respectively. Reyes Coca-Cola Bottling, LLC accounted for approximately 10% and 11% of our net sales for the nine-months ended September 30, 2021 and 2020,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key statistics for the three- and nine-months ended September 30,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center"/>
              <w:ind w:right="210"/>
              <w:spacing w:after="0"/>
              <w:rPr>
                <w:sz w:val="20"/>
                <w:szCs w:val="20"/>
                <w:color w:val="auto"/>
              </w:rPr>
            </w:pPr>
            <w:r>
              <w:rPr>
                <w:rFonts w:ascii="Arial" w:cs="Arial" w:eastAsia="Arial" w:hAnsi="Arial"/>
                <w:sz w:val="18"/>
                <w:szCs w:val="18"/>
                <w:color w:val="auto"/>
                <w:w w:val="91"/>
              </w:rPr>
              <w:t>Three-Months Ended</w:t>
            </w:r>
          </w:p>
        </w:tc>
        <w:tc>
          <w:tcPr>
            <w:tcW w:w="10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c>
          <w:tcPr>
            <w:tcW w:w="120" w:type="dxa"/>
            <w:vAlign w:val="bottom"/>
          </w:tcPr>
          <w:p>
            <w:pPr>
              <w:spacing w:after="0"/>
              <w:rPr>
                <w:sz w:val="18"/>
                <w:szCs w:val="18"/>
                <w:color w:val="auto"/>
              </w:rPr>
            </w:pPr>
          </w:p>
        </w:tc>
        <w:tc>
          <w:tcPr>
            <w:tcW w:w="2060" w:type="dxa"/>
            <w:vAlign w:val="bottom"/>
            <w:gridSpan w:val="5"/>
          </w:tcPr>
          <w:p>
            <w:pPr>
              <w:jc w:val="center"/>
              <w:ind w:right="190"/>
              <w:spacing w:after="0"/>
              <w:rPr>
                <w:sz w:val="20"/>
                <w:szCs w:val="20"/>
                <w:color w:val="auto"/>
              </w:rPr>
            </w:pPr>
            <w:r>
              <w:rPr>
                <w:rFonts w:ascii="Arial" w:cs="Arial" w:eastAsia="Arial" w:hAnsi="Arial"/>
                <w:sz w:val="18"/>
                <w:szCs w:val="18"/>
                <w:color w:val="auto"/>
                <w:w w:val="91"/>
              </w:rPr>
              <w:t>Nine-Months Ended</w:t>
            </w:r>
          </w:p>
        </w:tc>
        <w:tc>
          <w:tcPr>
            <w:tcW w:w="960" w:type="dxa"/>
            <w:vAlign w:val="bottom"/>
            <w:gridSpan w:val="2"/>
          </w:tcPr>
          <w:p>
            <w:pPr>
              <w:jc w:val="center"/>
              <w:ind w:right="7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jc w:val="center"/>
              <w:ind w:right="270"/>
              <w:spacing w:after="0"/>
              <w:rPr>
                <w:sz w:val="20"/>
                <w:szCs w:val="20"/>
                <w:color w:val="auto"/>
              </w:rPr>
            </w:pPr>
            <w:r>
              <w:rPr>
                <w:rFonts w:ascii="Arial" w:cs="Arial" w:eastAsia="Arial" w:hAnsi="Arial"/>
                <w:sz w:val="18"/>
                <w:szCs w:val="18"/>
                <w:color w:val="auto"/>
                <w:w w:val="88"/>
              </w:rPr>
              <w:t>September 30,</w:t>
            </w:r>
          </w:p>
        </w:tc>
        <w:tc>
          <w:tcPr>
            <w:tcW w:w="10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c>
          <w:tcPr>
            <w:tcW w:w="120" w:type="dxa"/>
            <w:vAlign w:val="bottom"/>
          </w:tcPr>
          <w:p>
            <w:pPr>
              <w:spacing w:after="0"/>
              <w:rPr>
                <w:sz w:val="20"/>
                <w:szCs w:val="20"/>
                <w:color w:val="auto"/>
              </w:rPr>
            </w:pPr>
          </w:p>
        </w:tc>
        <w:tc>
          <w:tcPr>
            <w:tcW w:w="2060" w:type="dxa"/>
            <w:vAlign w:val="bottom"/>
            <w:gridSpan w:val="5"/>
          </w:tcPr>
          <w:p>
            <w:pPr>
              <w:jc w:val="center"/>
              <w:ind w:right="250"/>
              <w:spacing w:after="0"/>
              <w:rPr>
                <w:sz w:val="20"/>
                <w:szCs w:val="20"/>
                <w:color w:val="auto"/>
              </w:rPr>
            </w:pPr>
            <w:r>
              <w:rPr>
                <w:rFonts w:ascii="Arial" w:cs="Arial" w:eastAsia="Arial" w:hAnsi="Arial"/>
                <w:sz w:val="18"/>
                <w:szCs w:val="18"/>
                <w:color w:val="auto"/>
                <w:w w:val="88"/>
              </w:rPr>
              <w:t>September 30,</w:t>
            </w:r>
          </w:p>
        </w:tc>
        <w:tc>
          <w:tcPr>
            <w:tcW w:w="960" w:type="dxa"/>
            <w:vAlign w:val="bottom"/>
            <w:gridSpan w:val="2"/>
          </w:tcPr>
          <w:p>
            <w:pPr>
              <w:jc w:val="center"/>
              <w:ind w:right="7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21 vs. 20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Net sales</w:t>
            </w:r>
            <w:r>
              <w:rPr>
                <w:rFonts w:ascii="Arial" w:cs="Arial" w:eastAsia="Arial" w:hAnsi="Arial"/>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1,410,557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1,246,362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4,116,308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3,402,355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509,831</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21.9 %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1,775,375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1,369,160</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Gross profit*</w:t>
            </w:r>
            <w:r>
              <w:rPr>
                <w:rFonts w:ascii="Arial" w:cs="Arial" w:eastAsia="Arial" w:hAnsi="Arial"/>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736,531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2,340,933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2,033,195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55.9 %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59.1 %</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56.9 %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59.8 %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344,694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277,930</w:t>
            </w:r>
          </w:p>
        </w:tc>
        <w:tc>
          <w:tcPr>
            <w:tcW w:w="20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956,346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802,343</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Operating expenses as a percentage of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income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458,601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1,384,587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1,230,852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0"/>
              </w:rPr>
              <w:t>Operating income as a percentage of net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31.5 %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36.8 %</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33.6 %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36.2 %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17"/>
                <w:szCs w:val="17"/>
                <w:color w:val="auto"/>
              </w:rPr>
              <w:t>Income before provision for income taxes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454,033</w:t>
            </w:r>
          </w:p>
        </w:tc>
        <w:tc>
          <w:tcPr>
            <w:tcW w:w="20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1,382,408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1,225,361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106,379</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287,503</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Income taxes as a percentage of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before 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337,205</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347,654</w:t>
            </w:r>
          </w:p>
        </w:tc>
        <w:tc>
          <w:tcPr>
            <w:tcW w:w="200" w:type="dxa"/>
            <w:vAlign w:val="bottom"/>
          </w:tcPr>
          <w:p>
            <w:pPr>
              <w:spacing w:after="0"/>
              <w:rPr>
                <w:sz w:val="22"/>
                <w:szCs w:val="22"/>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1,056,161</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937,858</w:t>
            </w: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as a percentage of net sales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w:t>
            </w:r>
          </w:p>
        </w:tc>
        <w:tc>
          <w:tcPr>
            <w:tcW w:w="1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Case sales (in thousands) (in 192</w:t>
            </w:r>
            <w:r>
              <w:rPr>
                <w:rFonts w:ascii="MS PGothic" w:cs="MS PGothic" w:eastAsia="MS PGothic" w:hAnsi="MS PGothic"/>
                <w:sz w:val="18"/>
                <w:szCs w:val="18"/>
                <w:color w:val="auto"/>
                <w:w w:val="92"/>
              </w:rPr>
              <w:t>‑</w:t>
            </w:r>
            <w:r>
              <w:rPr>
                <w:rFonts w:ascii="Arial" w:cs="Arial" w:eastAsia="Arial" w:hAnsi="Arial"/>
                <w:sz w:val="18"/>
                <w:szCs w:val="18"/>
                <w:color w:val="auto"/>
                <w:w w:val="92"/>
              </w:rPr>
              <w:t>ounce case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139,922</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459,991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372,481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i w:val="1"/>
          <w:iCs w:val="1"/>
          <w:color w:val="auto"/>
        </w:rPr>
        <w:t>¹Includes $10.4 million and $10.5 million for the three-months ended September 30, 2021 and 2020, respectively, related to the recognition of deferred revenue. Includes $31.3 million and $31.6 million for the nine-months ended September 30, 2021 and 2020, respectively, related to the recognition of deferred revenue.</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for the Three-Months Ended September 30, 2021 Compared to the Three-Months Ended September 30, 2020.</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$1.41 billion for the three-months ended September 30, 2021, an increase of approximately $164.2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13.2% higher than net sales of $1.25 billion for the three-months ended September 30, 2020. Net changes in foreign currency exchange rates had a favorable impact on net sales of approximately $16.4 million for the three-months ended September 30, 2021.</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sales for the Monster Energy® Drinks segment were $1.33 billion for the three-months ended September 30, 2021, an increase of approximately $166.4 million, or 14.3% higher than net sales of $1.16 billion for the three-months ended September 30, 2020. Net sales for the Monster Energy® Drinks segment increased primarily due to increased worldwide sales by volume of our Monster Energy® brand energy drinks as a result of increased consumer demand. Net changes in foreign currency exchange rates had a favorable impact on net sales for the Monster Energy® Drinks segment of approximately $15.4 million for the three-months ended September 30, 2021.</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for the Strategic Brands segment were $74.4 million for the three-months ended September 30, 2021, an increase of approximately $0.1 million, or 0.2% higher than net sales of $74.3 million for the three-months ended September 30, 2020. Shortages of NOS® concentrate negatively impacted net sales for the three-months ended September 30, 2021. Net changes in foreign currency exchange rates had a favorable impact on net sales of approximately $1.0 million for the Strategic Brands segment for the three-months ended September 30, 2021.</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sales for the Other segment were $6.3 million for the three-months ended September 30, 2021, a decrease of approximately $2.3 million, or 26.7% lower than net sales of $8.6 million for the three-months ended September 30, 2020.</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Case sales, in 192-ounce case equivalents, were 160.0 million cases for the three-months ended September 30, 2021, an increase of approximately 20.1 million cases or 14.3% higher than case sales of 139.9 million cases for the three-months ended September 30, 2020. The overall average net sales per case (excluding net sales of AFF Third-Party Products of $6.3 million and $8.6 million for the three-months ended September 30, 2021 and 2020, respectively, as these sales do not have unit case equivalents) decreased to $8.78 for the three-months ended September 30, 2021, which was 0.8% lower than the average net sales per case of $8.85 for the three-months ended September 30, 2020.</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was $789.2 million for the three-months ended September 30, 2021, an increase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$52.6 million, or 7.1% higher than the gross profit of $736.5 million for the three-months ended September 30, 2020. The increase in gross profit dollars was primarily the result of the $164.2 million increase in net sales for the three-months ended September 30, 2021.</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as a percentage of net sales decreased to 55.9% for the three-months ended September 30, 2021 from 59.1% for the three-months ended September 30, 2020. The decrease for the three-months ended September 30, 2021 was primarily the result of increased aluminum can costs, attributable to higher aluminum commodity pricing, as well as the costs of importing aluminum cans, logistical costs and geographical sales mix.</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$344.7 million for the three-months ended September 30, 2021,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$66.8 million, or 24.0% higher than total operating expenses of $277.9 million for the three-months ended September 30, 2020.</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increase in operating expenses was primarily due to increased out-bound freight and warehouse costs of $22.0 million, increased payroll expenses of $6.4 million, increased expenditures of $5.3 million for distributor terminations, increased expenditures of $2.4 million for professional service expenses, including accounting and legal costs and increased costs of $2.7 million for travel and entertainment. In addition, largely due to a significant reduction in the comparative operating expenses for the three-months ended September 30, 2020 due to the COVID-19 pandemic, we experienced increased expenditures of $11.4 million for sponsorships and endorsements, as well as increased expenditures of $12.7 million for other marketing expenses, including social media and digital marketing during the three-months ended September 30, 2021. Operating expenses as a percentage of net sales for the three-months ended September 30, 2021 were 24.4% as compared to 22.3% for the three-months ended September 30, 2020. Operating expenses as a percentage of net sales for the three-months ended September 30, 2019 (pre COVID-19) were 24.5%.</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$444.5 million for the three-months ended September 30, 2021,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$14.1 million, or 3.1% lower than operating income of $458.6 million for the three-months ended September 30, 2020. Operating income as a percentage of net sales decreased to 31.5% for the three-months ended September 30, 2021 from 36.8% for the three-months ended September 30, 2020. Operating income for the three-months ended September 30, 2021 decreased primarily as a result of the decrease in the gross profit as a percentage of net sales as well as the increase in operating expenses, primarily increased sales and marketing expenses and increased out-bound freight and warehouse costs. Operating income was $105.9 million and $99.8 million for the three-months ended September 30, 2021 and 2020, respectively, for our operations in EMEA, Asia Pacific, Latin America and the Caribbean.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Operating income for the Monster Energy® Drinks segment, exclusive of corporate and unallocated expenses, was $500.6 million for the three-months ended September 30, 2021, a decrease of approximately $1.8 million, or 0.3% lower than operating income of $502.4 million for the three-months ended September 30, 2020. The decrease in operating income for the Monster Energy® Drinks segment was primarily the result of a decrease in gross profit as a percentage of net sales as well as an increase in operating expenses.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$40.2 million for the three-months ended September 30, 2021, a decrease of approximately $3.7 million, or 8.4% lower than operating income of $43.9 million for the three-months ended September 30, 2020. The decrease in operating income for the Strategic Brands segment was primarily the result of a decrease in gross profit.</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$1.1 million for the three-months ended September 30, 2021, a decrease of approximately $1.2 million, or 51.6% lower than operating income of $2.4 million for the three-months ended September 30, 2020.</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non-operating expense, net, was $2.3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as compared to interest and other non-operating expense, net, of $4.6 million for the three-months ended September 30, 2020. Foreign currency transaction losses were $2.9 million and $4.8 million for the three-months ended September 30, 2021 and 2020, respectively. Interest income was $0.8 million and $1.5 million for the three-months ended September 30, 2021 and 2020, respectively.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$105.0 million for the three-months ended September 30, 2021,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$1.4 million, or 1.3% lower than the provision for income taxes of $106.4 million for the three-months ended September 30, 2020. The effective combined federal, state and foreign tax rate increased to 23.7% from 23.4% for the three-months ended September 30, 2021 and 2020, respectively.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$337.2 million for the three-months ended September 30, 2021, a decrease of 10.4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3.0% lower than net income of $347.7 million for the three-months ended September 30, 2020. The decrease in net income for the three-months ended September 30, 2021 was primarily due to the decrease in the gross profit percentage of net sales as well as the increase in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for the Nine-Months Ended September 30, 2021 Compared to the Nine-Months Ended September 30, 2020.</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$4.12 billion for the nine-months ended September 30, 2021, an increase of approximately $714.0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21.0% higher than net sales of $3.40 billion for the nine-months ended September 30, 2020. Net changes in foreign currency exchange rates had a favorable impact on net sales of approximately $64.3 million for the nine-months ended September 30, 2021.</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sales for the Monster Energy® Drinks segment were $3.87 billion for the nine-months ended September 30, 2021, an increase of approximately $683.6 million, or 21.5% higher than net sales of $3.18 billion for the nine-months ended September 30, 2020. Net sales for the Monster Energy® Drinks segment increased primarily due to increased worldwide sales by volume of our Monster Energy® brand energy drinks as a result of increased consumer demand. Net changes in foreign currency exchange rates had a favorable impact on net sales for the Monster Energy® Drinks segment of approximately $60.2 million for the nine-months ended September 30, 2021.</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sales for the Strategic Brands segment were $229.2 million for the nine-months ended September 30, 2021, an increase of approximately $30.8 million, or 15.5% higher than net sales of $198.4 million for the nine-months ended September 30, 2020. Net sales for the Strategic Brands segment increased primarily due to increased worldwide sales by volume of our, Predator®, Burn® and Mother® brand energy drinks as a result of increased consumer demand. Shortages of NOS® concentrate negatively impacted net sales for the nine-months ended September 30, 2021.Net changes in foreign currency exchange rates had a favorable impact on net sales of approximately $4.1 million for the Strategic Brands segment for the nine-months ended September 30, 2021.</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sales for the Other segment were $20.0 million for the nine-months ended September 30, 2021, a decrease of approximately $0.4 million, or 2.0% lower than net sales of $20.4 million for the nine-months ended September 30, 2020.</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Case sales, in 192-ounce case equivalents, were 460.0 million cases for the nine-months ended September 30, 2021, an increase of approximately 87.5 million cases or 23.5% higher than case sales of 372.5 million cases for the nine-months ended September 30, 2020. The overall average net sales per case (excluding net sales of AFF Third-Party Products of $20.0 million and $20.4 million for the nine-months ended September 30, 2021 and 2020, respectively, as these sales do not have unit case equivalents) decreased to $8.91 for the nine-months ended September 30, 2021, which was 1.9% lower than the average net sales per case of $9.08 for the nine-months ended September 30, 2020. The decrease in the average net sales per case was primarily the result of geographical sales mix.</w:t>
      </w:r>
    </w:p>
    <w:p>
      <w:pPr>
        <w:spacing w:after="0" w:line="16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was $2.34 billion for the nine-months ended September 30, 2021, an increase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$307.7 million, or 15.1% higher than the gross profit of $2.03 billion for the nine-months ended September 30, 2020. The increase in gross profit dollars was primarily the result of the $714.0 million increase in net sales for the nine-months ended September 30, 2021.</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as a percentage of net sales decreased to 56.9% for the nine-months ended September 30, 2021 from 59.8% for the nine-months ended September 30, 2020. The decrease for the nine-months ended September 30, 2021 was primarily the result of increased aluminum can costs attributable to higher aluminum commodity pricing, as well as the costs of importing aluminum cans, logistical costs and geographical sales mix.</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Total operating expenses were $956.3 million for the nine-months ended September 30, 2021,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$154.0 million, or 19.2% higher than total operating expenses of $802.3 million for the nine-months ended September 30, 2020. As a percentage of net sales, operating expenses for the nine-months ended September 30, 2021 were 23.2% as compared to 23.6% for the nine-months ended September 30, 2020. The increase in operating expenses was primarily due to increased out-bound freight and warehouse costs of $63.3 million, increased payroll expenses of $30.6 million, increased expenditures of $27.2 million for sponsorships and endorsements, increased expenditures of $14.1 million for social media and digital marketing, and increased expenditures of $10.6 million for professional service expenses, including accounting and legal costs. The increase in operating expenses for the nine-months ended September 30, 2021, was partially offset by $16.9 million due to the reversal of amounts previously accrued in connection with an intellectual property claim.</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$1.38 billion for the nine-months ended September 30,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$153.7 million, or 12.5% higher than operating income of $1.23 billion for the nine-months ended September 30, 2020. Operating income as a percentage of net sales decreased to 33.6% for the nine-months ended September 30, 2021 from 36.2% for the nine-months ended September 30, 2020. Operating income was $325.8 million and $237.3 million for the nine-months ended September 30, 2021 and 2020, respectively, for our operations in EMEA, Asia Pacific, Latin America and the Caribbean.</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income for the Monster Energy® Drinks segment, exclusive of corporate and unallocated expenses, was $1.51 billion for the nine-months ended September 30, 2021, an increase of approximately $145.7 million, or 10.7% higher than operating income of $1.37 billion for the nine-months ended September 30, 2020. The increase in operating income for the Monster Energy® Drinks segment was primarily the result of the $683.6 million increase in net sales for the nine-months ended September 30, 2021.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$139.4 million for the nine-months ended September 30, 2021, an increase of approximately $21.1 million, or 17.8% higher than operating income of $118.3 million for the nine-months ended September 30, 2020. The increase in operating income for the Strategic Brands segment was primarily the result of the $30.8 million increase in net sales.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$5.3 million for the nine-months ended September 30, 2021, an increase of approximately $0.5 million, or 10.1% higher than operating income of $4.8 million for the nine-months ended September 30, 2020.</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non-operating expense, net, was $2.2 million for the nine-months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as compared to interest and other non-operating expense, net, of $5.5 million for the nine-months ended September 30, 2020. Foreign currency transaction losses were $5.5 million and $9.2 million for the nine-months ended September 30, 2021 and 2020, respectively. Interest income was $3.1 million and $6.9 million for the nine-months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$326.2 million for the nine-months ended September 30,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$38.7 million, or 13.5% higher than the provision for income taxes of $287.5 million for the nine-months ended September 30, 2020. The effective combined federal, state and foreign tax rate was 23.6% and 23.5% for the nine-months ended September 30, 2021 and 2020, respectively.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$1.06 billion for the nine-months ended September 30, 2021, an increase of $118.3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12.6% higher than net income of $937.9 million for the nine-months ended September 30, 2020. The increase in net income for the nine-months ended September 30, 2021 was primarily due to the $307.7 million increase in gross profit for the nine-months ended September 30, 2021, partially offset by the $154.0 million increase in operating expenses and the $38.7 million increase in the provision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Key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Three-Months Ended September 30, 2021 Compared to the Three-Months Ended September 30,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Gross Billings**. </w:t>
      </w:r>
      <w:r>
        <w:rPr>
          <w:rFonts w:ascii="Arial" w:cs="Arial" w:eastAsia="Arial" w:hAnsi="Arial"/>
          <w:sz w:val="18"/>
          <w:szCs w:val="18"/>
          <w:color w:val="auto"/>
        </w:rPr>
        <w:t>Gross billings were $1.65 billion for the three-months ended September 30, 2021,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$194.1 million, or 13.4% higher than gross billings of $1.45 billion for the three-months ended September 30, 2020. Net changes in foreign currency exchange rates had a favorable impact on gross billings of approximately $21.5 million for the three-months ended September 30, 2021.</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billings for the Monster Energy® Drinks segment were $1.55 billion for the three-months ended September 30, 2021, an increase of approximately $196.2 million, or 14.5% higher than gross billings of $1.36 billion for the three-months ended September 30, 2020. Gross billings for the Monster Energy® Drinks segment increased primarily due to increased worldwide sales by volume of our Monster Energy® brand energy drinks as a result of increased consumer demand. Net changes in foreign currency exchange rates had a favorable impact on gross billings for the Monster Energy® Drinks segment of approximately $20.5 million for the three-months ended September 30, 2021.</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billings for the Strategic Brands segment were $88.5 million for the three-months ended September 30, 2021, an increase of $0.3 million, or 0.3% higher than gross billings of $88.2 million for the three-months ended September 30, 2020. Shortages of NOS® concentrate negatively impacted gross billings for the three-months ended September 30, 2021. Net changes in foreign currency exchange rates had a favorable impact on gross billings in the Strategic Brands segment of approximately $1.0 million for the three-months ended September 30, 2021.</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billings for the Other segment were $6.3 million for the three-months ended September 30, 2021, a decrease of $2.3 million, or 26.7% lower than gross billings of $8.6 million for the three-months ended September 30, 2020.</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Promotional allowances, commissions and other expenses, as described in the footnote below, were $247.9 million for the three-months ended September 30, 2021, an increase of $29.8 million, or 13.7% higher than promotional allowances, commissions and other expenses of $218.1 million for the three-months ended September 30, 2020. Promotional allowances as a percentage of gross billings decreased to 13.2% from 13.6% for the three-months ended September 30,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Nine-Months Ended September 30, 2021 Compared to the Nine-Months Ended September 30,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Gross Billings**. </w:t>
      </w:r>
      <w:r>
        <w:rPr>
          <w:rFonts w:ascii="Arial" w:cs="Arial" w:eastAsia="Arial" w:hAnsi="Arial"/>
          <w:sz w:val="18"/>
          <w:szCs w:val="18"/>
          <w:color w:val="auto"/>
        </w:rPr>
        <w:t>Gross billings were $4.79 billion for the nine-months ended September 30, 2021,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$849.6 million, or 21.5% higher than gross billings of $3.94 billion for the nine-months ended September 30, 2020. Net changes in foreign currency exchange rates had a favorable impact on gross billings of approximately $84.1 million for the nine-months ended September 30,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billings for the Monster Energy® Drinks segment were $4.51 billion for the nine-months ended September 30, 2021, an increase of approximately $813.9 million, or 22.0% higher than gross billings of $3.69 billion for the nine-months ended September 30, 2020. Gross billings for the Monster Energy® Drinks segment increased primarily due to increased worldwide sales by volume of our Monster Energy® brand energy drinks as a result of increased consumer demand. Net changes in foreign currency exchange rates had a favorable impact on gross billings for the Monster Energy® Drinks segment of approximately $80.0 million for the nine-months ended September 30, 2021.</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billings for the Strategic Brands segment were $265.5 million for the nine-months ended September 30, 2021, an increase of $36.1 million, or 15.7% higher than gross billings of $229.4 million for the nine-months ended September 30, 2020. Shortages of NOS® concentrate negatively impacted gross billings for the nine-months ended September 30, 2021. Net changes in foreign currency exchange rates had a favorable impact on gross billings in the Strategic Brands segment of approximately $4.1 million for the nine-months ended September 30, 2021.</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billings for the Other segment were $20.0 million for the nine-months ended September 30, 2021, a decrease of $0.4 million, or 2.0% lower than gross billings of $20.4 million for the nine-months ended September 30, 2020.</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Promotional allowances, commissions and other expenses, as described in the footnote below, were $707.7 million for the nine-months ended September 30, 2021, an increase of $135.3 million, or 23.6% higher than promotional allowances, commissions and other expenses of $572.4 million for the nine-months ended September 30, 2020. Promotional allowances as a percentage of gross billings decreased to 13.1% from 13.2% for the nine-months ended September 30, 2021 and 2020, respectively.</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i w:val="1"/>
          <w:iCs w:val="1"/>
          <w:color w:val="auto"/>
        </w:rPr>
        <w:t>**Gross Billings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r>
        <w:rPr>
          <w:rFonts w:ascii="Arial" w:cs="Arial" w:eastAsia="Arial" w:hAnsi="Arial"/>
          <w:sz w:val="16"/>
          <w:szCs w:val="16"/>
          <w:i w:val="1"/>
          <w:iCs w:val="1"/>
          <w:color w:val="auto"/>
        </w:rPr>
        <w: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non-GAAP financial measure of gross billings with the most directly comparable GAAP financial measure of net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17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104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2020" w:type="dxa"/>
            <w:vAlign w:val="bottom"/>
            <w:gridSpan w:val="3"/>
          </w:tcPr>
          <w:p>
            <w:pPr>
              <w:jc w:val="right"/>
              <w:ind w:right="130"/>
              <w:spacing w:after="0"/>
              <w:rPr>
                <w:sz w:val="20"/>
                <w:szCs w:val="20"/>
                <w:color w:val="auto"/>
              </w:rPr>
            </w:pPr>
            <w:r>
              <w:rPr>
                <w:rFonts w:ascii="Arial" w:cs="Arial" w:eastAsia="Arial" w:hAnsi="Arial"/>
                <w:sz w:val="18"/>
                <w:szCs w:val="18"/>
                <w:color w:val="auto"/>
              </w:rPr>
              <w:t>Nine-Months Ended</w:t>
            </w:r>
          </w:p>
        </w:tc>
        <w:tc>
          <w:tcPr>
            <w:tcW w:w="20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040" w:type="dxa"/>
            <w:vAlign w:val="bottom"/>
            <w:gridSpan w:val="3"/>
          </w:tcPr>
          <w:p>
            <w:pPr>
              <w:jc w:val="right"/>
              <w:ind w:right="43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104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2020" w:type="dxa"/>
            <w:vAlign w:val="bottom"/>
            <w:gridSpan w:val="3"/>
          </w:tcPr>
          <w:p>
            <w:pPr>
              <w:jc w:val="right"/>
              <w:ind w:right="43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12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Billings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$ 1,648,048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$ 1,453,905</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$ 4,792,728</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$ 3,943,164</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Deferred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10,521</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(1.3)%</w:t>
            </w:r>
          </w:p>
        </w:tc>
        <w:tc>
          <w:tcPr>
            <w:tcW w:w="920" w:type="dxa"/>
            <w:vAlign w:val="bottom"/>
          </w:tcPr>
          <w:p>
            <w:pPr>
              <w:jc w:val="right"/>
              <w:spacing w:after="0"/>
              <w:rPr>
                <w:sz w:val="20"/>
                <w:szCs w:val="20"/>
                <w:color w:val="auto"/>
              </w:rPr>
            </w:pPr>
            <w:r>
              <w:rPr>
                <w:rFonts w:ascii="Arial" w:cs="Arial" w:eastAsia="Arial" w:hAnsi="Arial"/>
                <w:sz w:val="18"/>
                <w:szCs w:val="18"/>
                <w:color w:val="auto"/>
              </w:rPr>
              <w:t>31,265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31,599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Less: Promotional allowances, commissions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other expenses***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218,064</w:t>
            </w: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13.7 %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707,685</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572,408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$ 1,410,557</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$ 1,246,362</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13.2 %</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$ 4,116,308</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$ 3,402,355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307"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328" w:lineRule="auto"/>
        <w:rPr>
          <w:sz w:val="20"/>
          <w:szCs w:val="20"/>
          <w:color w:val="auto"/>
        </w:rPr>
      </w:pPr>
      <w:r>
        <w:rPr>
          <w:rFonts w:ascii="Arial" w:cs="Arial" w:eastAsia="Arial" w:hAnsi="Arial"/>
          <w:sz w:val="15"/>
          <w:szCs w:val="15"/>
          <w:i w:val="1"/>
          <w:iCs w:val="1"/>
          <w:color w:val="auto"/>
        </w:rPr>
        <w:t>ranging from one week to one year. The primary drivers of our promotional and other allowance activities for the three-months ended September 30, 2021 and 2020 were (i) to increase sales volume and trial, (ii) to address market conditions, and (iii) to secure shelf and display space at retail.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6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below discloses selected quarterly data regarding sales for the three- and nine-months ended September 30, 2021 and 2020, respectively. Data from any one or more quarters or periods is not necessarily indicative of annual results or continuing trends.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including new variants may also have an impact on consumer behavior and change the seasonal fluctuation of our business.</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8"/>
                <w:szCs w:val="18"/>
                <w:color w:val="auto"/>
                <w:w w:val="96"/>
              </w:rPr>
              <w:t>Three-Months 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230"/>
              <w:spacing w:after="0"/>
              <w:rPr>
                <w:sz w:val="20"/>
                <w:szCs w:val="20"/>
                <w:color w:val="auto"/>
              </w:rPr>
            </w:pPr>
            <w:r>
              <w:rPr>
                <w:rFonts w:ascii="Arial" w:cs="Arial" w:eastAsia="Arial" w:hAnsi="Arial"/>
                <w:sz w:val="18"/>
                <w:szCs w:val="18"/>
                <w:color w:val="auto"/>
              </w:rPr>
              <w:t>Nine-Months Ended</w:t>
            </w:r>
          </w:p>
        </w:tc>
        <w:tc>
          <w:tcPr>
            <w:tcW w:w="0" w:type="dxa"/>
            <w:vAlign w:val="bottom"/>
          </w:tcPr>
          <w:p>
            <w:pPr>
              <w:spacing w:after="0"/>
              <w:rPr>
                <w:sz w:val="1"/>
                <w:szCs w:val="1"/>
                <w:color w:val="auto"/>
              </w:rPr>
            </w:pPr>
          </w:p>
        </w:tc>
      </w:tr>
      <w:tr>
        <w:trPr>
          <w:trHeight w:val="23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w w:val="98"/>
              </w:rPr>
              <w:t>(In thousands, except average net sales per</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182"/>
        </w:trPr>
        <w:tc>
          <w:tcPr>
            <w:tcW w:w="3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case)</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1,246,362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4,116,308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3,402,355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AFF third-party sales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Adjusted net sales</w:t>
            </w:r>
            <w:r>
              <w:rPr>
                <w:rFonts w:ascii="Arial" w:cs="Arial" w:eastAsia="Arial" w:hAnsi="Arial"/>
                <w:sz w:val="24"/>
                <w:szCs w:val="24"/>
                <w:color w:val="auto"/>
                <w:vertAlign w:val="superscript"/>
              </w:rPr>
              <w:t>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1,404,241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1,237,744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4,096,355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Case sales by segment: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80"/>
              <w:spacing w:after="0"/>
              <w:rPr>
                <w:sz w:val="20"/>
                <w:szCs w:val="20"/>
                <w:color w:val="auto"/>
              </w:rPr>
            </w:pPr>
            <w:r>
              <w:rPr>
                <w:rFonts w:ascii="Arial" w:cs="Arial" w:eastAsia="Arial" w:hAnsi="Arial"/>
                <w:sz w:val="18"/>
                <w:szCs w:val="18"/>
                <w:color w:val="auto"/>
              </w:rPr>
              <w:t>Monster Energy® Drinks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117,805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388,214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Strategic Brands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case sales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159,975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459,991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372,481</w:t>
            </w: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8"/>
                <w:szCs w:val="18"/>
                <w:color w:val="auto"/>
              </w:rPr>
              <w:t>Average net sales per case</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vertAlign w:val="superscript"/>
        </w:rPr>
        <w:t>1</w:t>
      </w:r>
      <w:r>
        <w:rPr>
          <w:rFonts w:ascii="Arial" w:cs="Arial" w:eastAsia="Arial" w:hAnsi="Arial"/>
          <w:sz w:val="15"/>
          <w:szCs w:val="15"/>
          <w:i w:val="1"/>
          <w:iCs w:val="1"/>
          <w:color w:val="auto"/>
        </w:rPr>
        <w:t>Excludes certain Other segment net sales of $6.3 million and $8.6 million for the three-months ended September 30, 2021 and 2020, respectively, comprised of net sales of AFF Third-Party Products to independent third-party customers, as these sales do not have unit case equivalents. Excludes certain Other segment net sales of $20.0 million and $20.4 million for the nine-months ended September 30, 2021 and 2020, respectively, comprised of net sales of AFF Third-Party Products to independent third-party customers, as these sales do not have unit case equivalents.</w:t>
      </w:r>
    </w:p>
    <w:p>
      <w:pPr>
        <w:spacing w:after="0" w:line="19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Results of Operations” for additional information related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Cash and cash equivalents, short-term and long-term investments. </w:t>
      </w:r>
      <w:r>
        <w:rPr>
          <w:rFonts w:ascii="Arial" w:cs="Arial" w:eastAsia="Arial" w:hAnsi="Arial"/>
          <w:sz w:val="17"/>
          <w:szCs w:val="17"/>
          <w:color w:val="auto"/>
        </w:rPr>
        <w:t>We believe that cash available from operations, including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Our sources and uses of cash were not materially impacted by the COVID-19 pandemic in the nine-months ended September 30, 2021 and, to date, we have not identified any material liquidity deficiencies as a result of the COVID-19 pandemic. Based on the information currently available to us, we do not expect the impact of the COVID-19 pandemic to have a material impact on our liquidity. We will continue to monitor and assess the impact the COVID-19 pandemic may have on our business, financial condition and/or operating results.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September 30, 2021, we had $1.71 billion in cash and cash equivalents, $1.22 billion in short-term investments and $28.3 million in long-term investments, including certificates of deposit, commercial paper, U.S. government agency securities and U.S. treasuries.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current plans, at this time we estimate that capital expenditures (exclusive of common stock repurchases) are likely to be less than $200.0 million through September 30, 2022. However, future business opportunities may cause a change in this estimate.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$928.0 million for the nine-months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as compared with cash provided by operating activities of $949.2 million for the nine-months ended September 30, 2020.</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nine-months ended September 30, 2021, cash provided by operating activities was primarily attributable to net income earned of $1.06 billion and adjustments for certain non-cash expenses, consisting of $52.4 million of stock-based compensation and $40.7 million of depreciation and amortization. For the nine-months ended September 30, 2021, cash provided by operating activities also increased due to a $106.6 million increase in accounts payable, a $51.0 million increase in accrued promotional allowances, a $34.1 million increase in accrued liabilities and a $5.3 million increase in accrued distributor terminations. For the nine-months ended September 30, 2021, cash used in operating activities was primarily attributable to a $199.7 million increase in accounts receivable, a $149.4 million increase in inventories, a $41.2 million increase in prepaid expenses and other assets, a $17.8 million decrease in deferred revenue, a $7.4 million increase in prepaid income taxes and a $2.9 million decrease in accrued compensation.</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nine-months ended September 30, 2020, cash provided by operating activities was primarily attributable to net income earned of $937.9 million and adjustments for certain non-cash expenses, consisting of $53.0 million of stock-based compensation, $45.9 million of depreciation and amortization and $7.0 million of intangible asset impairment. For the nine-months ended September 30, 2020, cash provided by operating activities also increased due to a $53.5 million increase in accrued liabilities, a $39.5 million decrease in inventories, a $31.9 million increase in accrued promotional allowances, an $18.0 million increase in income taxes payable and an $11.5 million decrease in prepaid income taxes. For the nine-months ended September 30, 2020, cash used in operating activities was primarily attributable to a $201.7 million increase in accounts receivable, a $20.4 million increase in prepaid expenses and other assets, a $15.2 million decrease in deferred revenue, a $9.7 million decrease in accounts payable and a $1.2 million decrease in accrued compensation.</w:t>
      </w:r>
    </w:p>
    <w:p>
      <w:pPr>
        <w:spacing w:after="0" w:line="1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Cash flows used in investing activities. </w:t>
      </w:r>
      <w:r>
        <w:rPr>
          <w:rFonts w:ascii="Arial" w:cs="Arial" w:eastAsia="Arial" w:hAnsi="Arial"/>
          <w:sz w:val="16"/>
          <w:szCs w:val="16"/>
          <w:color w:val="auto"/>
        </w:rPr>
        <w:t>Cash used in investing activities was $381.7 million for the nine-months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as compared to cash used in investing activities of $140.5 million for the nine-months ended September 30, 2020.</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both the nine-months ended September 30, 2021 and 2020, cash provided by investing activities was primarily attributable to sales of available-for-sale investments. For both the nine-months ended September 30, 2021 and 2020, cash used in investing activities was primarily attributable to purchases of available-for-sale investments. For both the nine-months ended September 30, 2021 and 2020,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Cash flow provided by (used in) financing activities. </w:t>
      </w:r>
      <w:r>
        <w:rPr>
          <w:rFonts w:ascii="Arial" w:cs="Arial" w:eastAsia="Arial" w:hAnsi="Arial"/>
          <w:sz w:val="16"/>
          <w:szCs w:val="16"/>
          <w:color w:val="auto"/>
        </w:rPr>
        <w:t>Cash provided by financing activities was $21.5 million for the nine-months ended September 30, 2021 as compared to cash used in financing activities of $532.9 million for the nine-months ended September 30, 2020. The cash used in financing activities for both the nine-months ended September 30, 2021 and 2020 was primarily the result of the repurchases of our common stock. The cash provided by financing activities for both the nine-months ended September 30, 2021, and 2020 was primarily attributable to the issuance of our common stock under our stock-based compensation plans.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Of our $1.71 billion of cash and cash equivalents held at September 30, 2021, $568.4 million was held by our foreign subsidiaries. No short-term or long-term investments were held by our foreign subsidiaries at September 30,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represents  a  summary  of  the  Company’s  contractual  commitments  and  related  scheduled  maturities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8"/>
                <w:szCs w:val="18"/>
                <w:color w:val="auto"/>
                <w:w w:val="90"/>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3"/>
              </w:rPr>
              <w:t>3</w:t>
            </w:r>
            <w:r>
              <w:rPr>
                <w:rFonts w:ascii="MS PGothic" w:cs="MS PGothic" w:eastAsia="MS PGothic" w:hAnsi="MS PGothic"/>
                <w:sz w:val="18"/>
                <w:szCs w:val="18"/>
                <w:color w:val="auto"/>
                <w:w w:val="93"/>
              </w:rPr>
              <w:t>‑</w:t>
            </w:r>
            <w:r>
              <w:rPr>
                <w:rFonts w:ascii="Arial" w:cs="Arial" w:eastAsia="Arial" w:hAnsi="Arial"/>
                <w:sz w:val="18"/>
                <w:szCs w:val="18"/>
                <w:color w:val="auto"/>
                <w:w w:val="93"/>
              </w:rPr>
              <w:t>5</w:t>
            </w:r>
          </w:p>
        </w:tc>
        <w:tc>
          <w:tcPr>
            <w:tcW w:w="120" w:type="dxa"/>
            <w:vAlign w:val="bottom"/>
          </w:tcPr>
          <w:p>
            <w:pPr>
              <w:spacing w:after="0"/>
              <w:rPr>
                <w:sz w:val="16"/>
                <w:szCs w:val="16"/>
                <w:color w:val="auto"/>
              </w:rPr>
            </w:pPr>
          </w:p>
        </w:tc>
        <w:tc>
          <w:tcPr>
            <w:tcW w:w="9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3"/>
              </w:rPr>
              <w:t>More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1440"/>
              <w:spacing w:after="0"/>
              <w:rPr>
                <w:sz w:val="20"/>
                <w:szCs w:val="20"/>
                <w:color w:val="auto"/>
              </w:rPr>
            </w:pPr>
            <w:r>
              <w:rPr>
                <w:rFonts w:ascii="Arial" w:cs="Arial" w:eastAsia="Arial" w:hAnsi="Arial"/>
                <w:sz w:val="18"/>
                <w:szCs w:val="18"/>
                <w:color w:val="auto"/>
              </w:rPr>
              <w:t>Obligations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Contractual Obligations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line="216"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5"/>
                <w:szCs w:val="25"/>
                <w:color w:val="auto"/>
                <w:vertAlign w:val="superscript"/>
              </w:rPr>
              <w:t>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129,980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129,980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Contractual obligations include our obligations related to sponsorships and other commitments.</w:t>
      </w:r>
    </w:p>
    <w:p>
      <w:pPr>
        <w:spacing w:after="0" w:line="83" w:lineRule="exact"/>
        <w:rPr>
          <w:sz w:val="20"/>
          <w:szCs w:val="20"/>
          <w:color w:val="auto"/>
        </w:rPr>
      </w:pPr>
    </w:p>
    <w:p>
      <w:pPr>
        <w:jc w:val="both"/>
        <w:spacing w:after="0" w:line="199"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approximately $0.4 million of unrecognized tax benefits have been recorded as liabilities as of September 30, 2021. It is expected that the amount of unrecognized tax benefits will not significantly change within the next 12 months. As of September 30, 2021, we had $0.1 million of accrued interest and penalties related to unrecognized tax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2020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inflation had a negative impact on our results of operations for the three- and nine-months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4" w:lineRule="exact"/>
        <w:rPr>
          <w:sz w:val="20"/>
          <w:szCs w:val="20"/>
          <w:color w:val="auto"/>
        </w:rPr>
      </w:pPr>
    </w:p>
    <w:p>
      <w:pPr>
        <w:ind w:left="680" w:right="20" w:hanging="321"/>
        <w:spacing w:after="0" w:line="258"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absorb, mitigate or pass on to our bottlers/distributors and/or consumers increases in commodity, freight and other costs;</w:t>
      </w:r>
    </w:p>
    <w:p>
      <w:pPr>
        <w:spacing w:after="0" w:line="1" w:lineRule="exact"/>
        <w:rPr>
          <w:rFonts w:ascii="Arial" w:cs="Arial" w:eastAsia="Arial" w:hAnsi="Arial"/>
          <w:sz w:val="18"/>
          <w:szCs w:val="18"/>
          <w:color w:val="auto"/>
        </w:rPr>
      </w:pPr>
    </w:p>
    <w:p>
      <w:pPr>
        <w:jc w:val="both"/>
        <w:ind w:left="680" w:hanging="321"/>
        <w:spacing w:after="0" w:line="281"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human and economic consequences of the COVID-19 pandemic, including new variants,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spacing w:after="0" w:line="1" w:lineRule="exact"/>
        <w:rPr>
          <w:rFonts w:ascii="Arial" w:cs="Arial" w:eastAsia="Arial" w:hAnsi="Arial"/>
          <w:sz w:val="16"/>
          <w:szCs w:val="16"/>
          <w:color w:val="auto"/>
        </w:rPr>
      </w:pPr>
    </w:p>
    <w:p>
      <w:pPr>
        <w:jc w:val="both"/>
        <w:ind w:left="680" w:hanging="321"/>
        <w:spacing w:after="0" w:line="265"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Fluctuations in growth and/or growth rates and/or decline in sales of the domestic and international energy drink categories generally, including in the convenience and gas channel (which is our largest channel) and the impact on demand for our products resulting from deteriorating economic conditions and/or financial uncertainties due to the COVID-19 pandemic;</w:t>
      </w:r>
    </w:p>
    <w:p>
      <w:pPr>
        <w:jc w:val="both"/>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reduction in our sponsorship and endorsement activities as well as our sampling activities as a result of COVID-19 on our future sales and market share;</w:t>
      </w: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countries being in lockdown due to the COVID-19 pandemic at various times;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availability and/or administration and/or acceptance of vaccines may prolong the COVID-19 pandemic;</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vaccine mandates on our business and supply chain, including our ability to recruit and/or retain employees, and disruptions in the business of our co-packers, bottlers/distributors and/or suppliers.</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Closures of, and continued restrictions on, on-premise retailers and other establishments which sell our products as the result of the COVID-19 pandemic;</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on our product sampling programs;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introduce new products and the impact of the COVID-19 pandemic on our innovation activities;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effects of the COVID-19 pandemic on our employees, such as mental health challenges that employees may face;</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any reductions in productivity and disruptions to our business routines while most office-based employees of the Company are working remotely;</w:t>
      </w:r>
    </w:p>
    <w:p>
      <w:pPr>
        <w:ind w:left="680" w:hanging="321"/>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of logistical issues, including shortages of shipping containers, port of entry congestion and increased freight costs;</w:t>
      </w:r>
    </w:p>
    <w:p>
      <w:pPr>
        <w:spacing w:after="0" w:line="32" w:lineRule="exact"/>
        <w:rPr>
          <w:rFonts w:ascii="Arial" w:cs="Arial" w:eastAsia="Arial" w:hAnsi="Arial"/>
          <w:sz w:val="16"/>
          <w:szCs w:val="16"/>
          <w:color w:val="auto"/>
        </w:rPr>
      </w:pP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Arial" w:cs="Arial" w:eastAsia="Arial" w:hAnsi="Arial"/>
          <w:sz w:val="18"/>
          <w:szCs w:val="18"/>
          <w:color w:val="auto"/>
        </w:rPr>
      </w:pPr>
    </w:p>
    <w:p>
      <w:pPr>
        <w:ind w:left="680" w:right="20" w:hanging="321"/>
        <w:spacing w:after="0" w:line="26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TCCC being one of our significant stockholders and the potential divergence of TCCC’s interests from those of our other stockholders;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58"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relationships with TCCC system bottlers/distributors and manage their ongoing commitment to focus on our products;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anticipated demand for our products in domestic and/or international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the inventory levels of our bottlers/distributors, planned or otherwise, and the resultant impact on our revenues;</w:t>
      </w:r>
    </w:p>
    <w:p>
      <w:pPr>
        <w:spacing w:after="0" w:line="32"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18"/>
          <w:szCs w:val="18"/>
          <w:color w:val="auto"/>
        </w:rPr>
      </w:pPr>
    </w:p>
    <w:p>
      <w:pPr>
        <w:ind w:left="680" w:hanging="321"/>
        <w:spacing w:after="0" w:line="281"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comply with laws, regulations and evolving industry standards regarding consumer privacy and data use and security, including with respect to the General Data Protection Regulation and the California Consumer Privacy Act of 2018;</w:t>
      </w:r>
    </w:p>
    <w:p>
      <w:pPr>
        <w:spacing w:after="0" w:line="1" w:lineRule="exact"/>
        <w:rPr>
          <w:rFonts w:ascii="Arial" w:cs="Arial" w:eastAsia="Arial" w:hAnsi="Arial"/>
          <w:sz w:val="16"/>
          <w:szCs w:val="16"/>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profitability and/or repatriate cash from certain of our operations outside the United States;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long-term impact of the United Kingdom’s departure from the European Union (or “Brexit”);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may affect our reported profitability;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Implications of the Organization for Economic Cooperation and Development’s base erosion and profit shifting project;</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Securities and Exchange Commission (the “SEC”), the FDA, the FTC or other governmental agencies or bodies;</w:t>
      </w:r>
    </w:p>
    <w:p>
      <w:pPr>
        <w:ind w:left="680" w:right="20" w:hanging="321"/>
        <w:spacing w:after="0" w:line="265"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legal or regulatory proceedings;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Intellectual property injunctions;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resolution of tax matters;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and volatility in the domestic and global economies, including risk of counterparty default or failure;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address any significant deficiencies or material weakness in our internal controls over financial reporting;</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continue to generate sufficient cash flows to support our expansion plans and general operating activities;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18"/>
          <w:szCs w:val="18"/>
          <w:color w:val="auto"/>
        </w:rPr>
      </w:pPr>
    </w:p>
    <w:p>
      <w:pPr>
        <w:ind w:left="680" w:right="20" w:hanging="321"/>
        <w:spacing w:after="0" w:line="26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product safety and quality, water usage, environmental impact and sustainability, human rights, our culture, workforce and labor and workplace laws;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5"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spacing w:after="0" w:line="2"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achieve growth for our Monster Energy® brand energy drinks and/or our other products, including our Strategic Brands;</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comply with and/or resulting lower consumer demand and/or lower profit margins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7"/>
          <w:szCs w:val="17"/>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Disruptions in the timely import or export of our products and/or ingredients due to port strikes and related labor issues;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unfavorable or adverse public relations, press, articles, comments and/or media attention;</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cost, quality and availability of containers, packaging materials, aluminum cans,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shortages that may be experienced in the procurement of containers and/or other raw materials including, without limitation, aluminum cans generally, PET containers used for our Monster Hydro® energy drinks, 24-ounce aluminum cap cans and 550ml BRE aluminum cans with resealable ends;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limitations being experienced in securing the supply of sufficient quantities of aluminum cans, we are currently, and may continue, focusing on producing higher volume products. As a result, certain of our lower volume products may be temporarily discontinued by our bottlers/distributors and/or their retail customers, and we may not be able to reinstate all, or any, of such lower volume products in the future;</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ind w:left="680" w:right="20" w:hanging="321"/>
        <w:spacing w:after="0" w:line="26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58"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65"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devote less resources to the sale of our products;</w:t>
      </w: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possible trading disputes between our bottler/distributors and their customers and/or one or more buying groups which may result in the delisting of certain of the Company products, temporarily or otherwise;</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adapt to the changing retail landscape with the rapid growth in e-commerce retailers;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bottler/distributor consolidation on our business;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success of our sports marketing, social media and other general marketing endeavors both domestically and internationally;</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economic and political changes and local or international catastrophic events;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product recalls and/or reformulations of certain of our products and/or market withdrawals of certain of our products due to defective and/or non-compliant formulas or production in one or more jurisdictions;</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timely procurement of non-defective raw materials;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our bottlers and/or co-packers to manufacture our products on a timely basis or at all;</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in our market risks during the three-months ended September 30, 2021 compared with the disclosures in Part II, Item 7A of our Form 10-K.</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 Under the supervision and with the participation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quarter ended September 30,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Notes to Condensed Consolidated Financial Statements - Note 12. Commitments and Contingencies: Litigation in Part I, Item 1, of this Quarterly Report on Form 10-Q.</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There have been no material changes with respect to the risk factors disclosed in our Form 10-K.</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three-months ended September 30, 2021, no shares of common stock were purchased from employees in lieu of cash payments for options exercised or withholding taxes due.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share repurchase program for the purchase of up to $500.0 million of the Company’s outstanding common stock (the “March 2020 Repurchase Plan”). During the three-months ended September 30, 2021, no shares were purchased by the Company under the March 2020 Repurchase Plan. As of November 5, 2021, $441.5 million remained available for repurchase under the March 2020 Repurchase Plan.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0">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1">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31.3*</w:t>
      </w:r>
      <w:r>
        <w:rPr>
          <w:sz w:val="20"/>
          <w:szCs w:val="20"/>
          <w:color w:val="auto"/>
        </w:rPr>
        <w:tab/>
      </w:r>
      <w:hyperlink w:anchor="page52">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620" w:right="20" w:hanging="607"/>
        <w:spacing w:after="0" w:line="277"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3">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620" w:right="20" w:hanging="607"/>
        <w:spacing w:after="0" w:line="277"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4">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32.3*</w:t>
      </w:r>
      <w:r>
        <w:rPr>
          <w:sz w:val="20"/>
          <w:szCs w:val="20"/>
          <w:color w:val="auto"/>
        </w:rPr>
        <w:tab/>
      </w:r>
      <w:hyperlink w:anchor="page55">
        <w:r>
          <w:rPr>
            <w:rFonts w:ascii="Arial" w:cs="Arial" w:eastAsia="Arial" w:hAnsi="Arial"/>
            <w:sz w:val="16"/>
            <w:szCs w:val="16"/>
            <w:u w:val="single" w:color="auto"/>
            <w:color w:val="0000EE"/>
          </w:rPr>
          <w:t>Certification by Chief Financial Officer Pursuant to 18 U.S.C. Section 1350, as Adopted</w:t>
        </w:r>
      </w:hyperlink>
    </w:p>
    <w:p>
      <w:pPr>
        <w:spacing w:after="0" w:line="225" w:lineRule="exact"/>
        <w:rPr>
          <w:sz w:val="20"/>
          <w:szCs w:val="20"/>
          <w:color w:val="auto"/>
        </w:rPr>
      </w:pPr>
    </w:p>
    <w:p>
      <w:pPr>
        <w:jc w:val="both"/>
        <w:ind w:left="620" w:hanging="619"/>
        <w:spacing w:after="0" w:line="254" w:lineRule="auto"/>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information from Monster Beverage Corporation’s Quarterly Report on Form 10-Q for the quarter ended September 30, 2021, formatted in iXBRL (Inline eXtensible Business Reporting Language): (i) Condensed Consolidated Balance Sheets as of September 30, 2021 and December 31, 2020, (ii) Condensed Consolidated Statements of Income for the three- and nine-months ended September 30, 2021 and 2020, (iii) Condensed Consolidated Statements of Comprehensive Income for the three- and nine-months ended September 30, 2021 and 2020, (iv) Condensed Consolidated Statements of Stockholders’ Equity for the three- and nine-months ended September 30, 2021 and 2020, (v) Condensed Consolidated Statements of Cash Flows for the nine-months ended September 30, 2021 and 2020, and (vi) the Notes to Condensed Consolidated Financial Statements.</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The cover page from Monster Beverage Corporation’s Quarterly Report on Form 10-Q for the quarter ended September 30,</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2021, formatted in iXBRL (Inline eXtensible Business Reporting Language) and contained in Exhibit 101.</w:t>
      </w:r>
    </w:p>
    <w:p>
      <w:pPr>
        <w:spacing w:after="0" w:line="211"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MONSTER BEVERAGE CORPORATION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8"/>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1000" w:right="1580"/>
        <w:spacing w:after="0" w:line="263"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1000" w:right="1580"/>
        <w:spacing w:after="0" w:line="263"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Chairman of the Board of Directors and</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31.3</w:t>
      </w:r>
    </w:p>
    <w:p>
      <w:pPr>
        <w:spacing w:after="0" w:line="229" w:lineRule="exact"/>
        <w:rPr>
          <w:sz w:val="20"/>
          <w:szCs w:val="20"/>
          <w:color w:val="auto"/>
        </w:rPr>
      </w:pPr>
    </w:p>
    <w:p>
      <w:pPr>
        <w:jc w:val="center"/>
        <w:ind w:left="1000" w:right="1580"/>
        <w:spacing w:after="0" w:line="263"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Kelly,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Kelly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Thomas J. Kelly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September 30, 2021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September 30, 2021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Chairman of the Board of Directors and</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September 30, 2021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Kelly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Thomas J. Kelly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lowerRoman"/>
      <w:start w:val="3"/>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842"/>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13"/>
    </w:lvl>
  </w:abstractNum>
  <w:abstractNum w:abstractNumId="15">
    <w:nsid w:val="75A2A8D4"/>
    <w:multiLevelType w:val="hybridMultilevel"/>
    <w:lvl w:ilvl="0">
      <w:lvlJc w:val="left"/>
      <w:lvlText w:val="%1."/>
      <w:numFmt w:val="decimal"/>
      <w:start w:val="15"/>
    </w:lvl>
  </w:abstractNum>
  <w:abstractNum w:abstractNumId="16">
    <w:nsid w:val="8EDBDAB"/>
    <w:multiLevelType w:val="hybridMultilevel"/>
    <w:lvl w:ilvl="0">
      <w:lvlJc w:val="left"/>
      <w:lvlText w:val="%1."/>
      <w:numFmt w:val="decimal"/>
      <w:start w:val="16"/>
    </w:lvl>
  </w:abstractNum>
  <w:abstractNum w:abstractNumId="17">
    <w:nsid w:val="79838CB2"/>
    <w:multiLevelType w:val="hybridMultilevel"/>
    <w:lvl w:ilvl="0">
      <w:lvlJc w:val="left"/>
      <w:lvlText w:val="%1."/>
      <w:numFmt w:val="decimal"/>
      <w:start w:val="17"/>
    </w:lvl>
  </w:abstractNum>
  <w:abstractNum w:abstractNumId="18">
    <w:nsid w:val="4353D0CD"/>
    <w:multiLevelType w:val="hybridMultilevel"/>
    <w:lvl w:ilvl="0">
      <w:lvlJc w:val="left"/>
      <w:lvlText w:val="%1."/>
      <w:numFmt w:val="decimal"/>
      <w:start w:val="18"/>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2021-11-05T16:27:53Z</dcterms:created>
  <dcterms:modified xsi:type="dcterms:W3CDTF">2021-11-05T16:27:53Z</dcterms:modified>
</cp:coreProperties>
</file>