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02026_050709.xml.htm"/>
      <w:bookmarkStart w:id="1" w:name="ksform407102026_0507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JACKSON JEANNE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MONSTER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CORONA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Monster Beverage Corp</w:t>
              </w:r>
            </w:hyperlink>
            <w:r>
              <w:rPr/>
              <w:t xml:space="preserve"> [ </w:t>
            </w:r>
            <w:r>
              <w:rPr>
                <w:rFonts w:ascii="Times;serif" w:hAnsi="Times;serif"/>
                <w:color w:val="0000FF"/>
                <w:sz w:val="24"/>
                <w:shd w:fill="FFFFFF" w:val="clear"/>
              </w:rPr>
              <w:t>MNST</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07/08/2026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525"/>
        <w:gridCol w:w="276"/>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302</w:t>
            </w:r>
            <w:r>
              <w:rPr>
                <w:rFonts w:ascii="Times;serif" w:hAnsi="Times;serif"/>
                <w:color w:val="008000"/>
                <w:position w:val="7"/>
                <w:sz w:val="16"/>
                <w:sz w:val="20"/>
                <w:shd w:fill="FFFFFF" w:val="clear"/>
              </w:rPr>
              <w:t>(6)</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95.15</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38,274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either (i) a contingent right to receive one share of the Company's common stock or (ii) a cash amount equal to the number of shares received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with respect to 100% of such restricted stock units on the last business day prior to the Company's 2027 annual stockholder meeting, provided that the reporting person continues as a director of the Company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No transaction is being reported at this time. This line is only reporting holdings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deferred stock unit is economically equivalent to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Deferred stock units credited to the reporting person under the Monster Beverage Corporation Deferred Compensation Plan for Non-Employee Directors (the "Deferral Plan"), a sub-plan of the Monster Beverage Corporation 2017 Compensation Plan for Non-Employee Directors as Amended and Restated on February 23, 2022, which may include voluntary deferred compensation.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deferred stock units credited under the Deferral Plan are settled (other than fractional units) in stock and are generally payable in the form elected or provided under the Deferral Plan on the earliest of: (i) a specified date or event designated by the reporting person, (ii) in the calendar year following the year in which the reporting person's service with the Board of Directors of the Company separates, or (iii) upon death, disability or change in control as defined under the Deferral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 Dechary,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9801" TargetMode="External"/><Relationship Id="rId5" Type="http://schemas.openxmlformats.org/officeDocument/2006/relationships/hyperlink" Target="http://www.sec.gov/cgi-bin/browse-edgar?action=getcompany&amp;CIK=00008657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828</Words>
  <Characters>4418</Characters>
  <CharactersWithSpaces>5174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