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40630x10q.htm"/>
        <w:bookmarkStart w:id="1" w:name="ksmnst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289411ad_6630_4be5_999a_4548c1b754ce"/>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041" w:type="dxa"/>
        <w:jc w:val="left"/>
        <w:tblInd w:w="0" w:type="dxa"/>
        <w:tblLayout w:type="fixed"/>
        <w:tblCellMar>
          <w:top w:w="0" w:type="dxa"/>
          <w:left w:w="0" w:type="dxa"/>
          <w:bottom w:w="0" w:type="dxa"/>
          <w:right w:w="0" w:type="dxa"/>
        </w:tblCellMar>
      </w:tblPr>
      <w:tblGrid>
        <w:gridCol w:w="3766"/>
        <w:gridCol w:w="3121"/>
        <w:gridCol w:w="154"/>
      </w:tblGrid>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June 30, 2024</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DgXp-4fdNkyzKhCE_f7N5A_4_2"/>
      <w:bookmarkStart w:id="4" w:name="Tc_7eUf13L7lEOp-GFHsC-D1g_4_0"/>
      <w:bookmarkStart w:id="5" w:name="Tc_khpFgmEcJkCFJJGMzepjBA_3_2"/>
      <w:bookmarkStart w:id="6" w:name="Tc_cl5fi70JzE-Q8rYcFH34Zg_3_0"/>
      <w:bookmarkStart w:id="7" w:name="_7c34c122_80de_42ce_bdc9_cb651d4bdee5"/>
      <w:bookmarkStart w:id="8" w:name="Tc_DgXp-4fdNkyzKhCE_f7N5A_4_2"/>
      <w:bookmarkStart w:id="9" w:name="Tc_7eUf13L7lEOp-GFHsC-D1g_4_0"/>
      <w:bookmarkStart w:id="10" w:name="Tc_khpFgmEcJkCFJJGMzepjBA_3_2"/>
      <w:bookmarkStart w:id="11" w:name="Tc_cl5fi70JzE-Q8rYcFH34Zg_3_0"/>
      <w:bookmarkStart w:id="12" w:name="_7c34c122_80de_42ce_bdc9_cb651d4bdee5"/>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5YmWywKqe0Omsxu2b1mefw_1_2"/>
      <w:bookmarkStart w:id="14" w:name="Tc_WFfWfxyxiEKj5apAIeU5SQ_1_1"/>
      <w:bookmarkStart w:id="15" w:name="Tc_ihgD2qQPuUmD8jAzRQok9A_1_0"/>
      <w:bookmarkStart w:id="16" w:name="_fa178305_9a1f_42a6_93c4_acbfe5acb49e"/>
      <w:bookmarkStart w:id="17" w:name="Tc_5YmWywKqe0Omsxu2b1mefw_1_2"/>
      <w:bookmarkStart w:id="18" w:name="Tc_WFfWfxyxiEKj5apAIeU5SQ_1_1"/>
      <w:bookmarkStart w:id="19" w:name="Tc_ihgD2qQPuUmD8jAzRQok9A_1_0"/>
      <w:bookmarkStart w:id="20" w:name="_fa178305_9a1f_42a6_93c4_acbfe5acb49e"/>
      <w:bookmarkEnd w:id="17"/>
      <w:bookmarkEnd w:id="18"/>
      <w:bookmarkEnd w:id="19"/>
      <w:bookmarkEnd w:id="20"/>
    </w:p>
    <w:tbl>
      <w:tblPr>
        <w:tblW w:w="5718" w:type="dxa"/>
        <w:jc w:val="left"/>
        <w:tblInd w:w="0" w:type="dxa"/>
        <w:tblLayout w:type="fixed"/>
        <w:tblCellMar>
          <w:top w:w="0" w:type="dxa"/>
          <w:left w:w="0" w:type="dxa"/>
          <w:bottom w:w="0" w:type="dxa"/>
          <w:right w:w="0" w:type="dxa"/>
        </w:tblCellMar>
      </w:tblPr>
      <w:tblGrid>
        <w:gridCol w:w="1576"/>
        <w:gridCol w:w="1621"/>
        <w:gridCol w:w="252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w:t>
              <w:br/>
              <w:t>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had 979,543,967 shares of common stock, par value $0.005 per share, outstanding as of July 31, 2024.</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531c25fa_b927_4fa8_a33d_386daf1903dd"/>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0"/>
        <w:gridCol w:w="8311"/>
        <w:gridCol w:w="326"/>
        <w:gridCol w:w="828"/>
      </w:tblGrid>
      <w:tr>
        <w:trPr/>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9900" cy="175260"/>
                      <wp:effectExtent l="0" t="0" r="0" b="0"/>
                      <wp:wrapNone/>
                      <wp:docPr id="1" name="Frame1"/>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77485" cy="175260"/>
                      <wp:effectExtent l="0" t="0" r="0" b="0"/>
                      <wp:wrapNone/>
                      <wp:docPr id="2" name="Frame2"/>
                      <a:graphic xmlns:a="http://schemas.openxmlformats.org/drawingml/2006/main">
                        <a:graphicData uri="http://schemas.microsoft.com/office/word/2010/wordprocessingShape">
                          <wps:wsp>
                            <wps:cNvSpPr txBox="1"/>
                            <wps:spPr>
                              <a:xfrm>
                                <a:off x="0" y="0"/>
                                <a:ext cx="527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5780" cy="175260"/>
                      <wp:effectExtent l="0" t="0" r="0" b="0"/>
                      <wp:wrapNone/>
                      <wp:docPr id="3" name="Frame3"/>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311"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center"/>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311" w:type="dxa"/>
            <w:tcBorders/>
            <w:vAlign w:val="center"/>
          </w:tcPr>
          <w:p>
            <w:pPr>
              <w:pStyle w:val="TableContents"/>
              <w:pBdr/>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June 30, 2024 and December 31, 2023</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Three-and Six-Months Ended June 30, 2024 and 2023</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 Consolidated Statements of Comprehensive Income for the Three-and Six-Months Ended June 30, 2024 and 2023</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Three-and Six-Months Ended June 30, 2024 and 2023</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Six-Months Ended June 30, 2024 and 2023</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311" w:type="dxa"/>
            <w:tcBorders/>
            <w:vAlign w:val="center"/>
          </w:tcPr>
          <w:p>
            <w:pPr>
              <w:pStyle w:val="TableContents"/>
              <w:pBdr/>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11" w:type="dxa"/>
            <w:tcBorders/>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311" w:type="dxa"/>
            <w:tcBorders/>
            <w:vAlign w:val="center"/>
          </w:tcPr>
          <w:p>
            <w:pPr>
              <w:pStyle w:val="TableContents"/>
              <w:pBdr/>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311"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311" w:type="dxa"/>
            <w:tcBorders/>
            <w:vAlign w:val="center"/>
          </w:tcPr>
          <w:p>
            <w:pPr>
              <w:pStyle w:val="TableContents"/>
              <w:pBdr/>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311" w:type="dxa"/>
            <w:tcBorders/>
            <w:vAlign w:val="center"/>
          </w:tcPr>
          <w:p>
            <w:pPr>
              <w:pStyle w:val="TableContents"/>
              <w:pBdr/>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311" w:type="dxa"/>
            <w:tcBorders/>
            <w:vAlign w:val="center"/>
          </w:tcPr>
          <w:p>
            <w:pPr>
              <w:pStyle w:val="TableContents"/>
              <w:pBdr/>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311" w:type="dxa"/>
            <w:tcBorders/>
            <w:vAlign w:val="center"/>
          </w:tcPr>
          <w:p>
            <w:pPr>
              <w:pStyle w:val="TableContents"/>
              <w:pBdr/>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311" w:type="dxa"/>
            <w:tcBorders/>
            <w:vAlign w:val="center"/>
          </w:tcPr>
          <w:p>
            <w:pPr>
              <w:pStyle w:val="TableContents"/>
              <w:pBdr/>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311" w:type="dxa"/>
            <w:tcBorders/>
            <w:vAlign w:val="center"/>
          </w:tcPr>
          <w:p>
            <w:pPr>
              <w:pStyle w:val="TableContents"/>
              <w:pBdr/>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311" w:type="dxa"/>
            <w:tcBorders/>
            <w:vAlign w:val="center"/>
          </w:tcPr>
          <w:p>
            <w:pPr>
              <w:pStyle w:val="TableContents"/>
              <w:pBdr/>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40" w:type="dxa"/>
            <w:tcBorders/>
            <w:vAlign w:val="center"/>
          </w:tcPr>
          <w:p>
            <w:pPr>
              <w:pStyle w:val="TableContents"/>
              <w:bidi w:val="0"/>
              <w:spacing w:before="0" w:after="0"/>
              <w:ind w:left="0" w:right="0" w:hanging="0"/>
              <w:jc w:val="left"/>
              <w:rPr/>
            </w:pPr>
            <w:r>
              <w:rPr/>
              <w:t>​</w:t>
            </w:r>
          </w:p>
        </w:tc>
        <w:tc>
          <w:tcPr>
            <w:tcW w:w="8311" w:type="dxa"/>
            <w:tcBorders/>
            <w:vAlign w:val="center"/>
          </w:tcPr>
          <w:p>
            <w:pPr>
              <w:pStyle w:val="TableContents"/>
              <w:pBdr/>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3" w:name="PARTIFINANCIALINFORMATION_555950"/>
      <w:bookmarkStart w:id="24" w:name="_2841e705_e3d4_43a5_acf9_cf57c7491c20"/>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MONSTER BEVERAGE CORPORATION AND SUBSIDIARIES</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JUNE 30, 2024 AND DECEMBER 31, 2023</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NmOCIKzK2kCNQT72a_A6JA_45_5"/>
      <w:bookmarkStart w:id="28" w:name="Tc_FlS5iAleD0-Cgjex8W-b6w_45_2"/>
      <w:bookmarkStart w:id="29" w:name="Tc_kvanB_IXyU-eNCguWU1fVg_45_0"/>
      <w:bookmarkStart w:id="30" w:name="Tc_VNocbphNXkmnZWsZmo_qrg_44_0"/>
      <w:bookmarkStart w:id="31" w:name="Tc_vA2wVw59Lk2-FYxz64TR-g_43_0"/>
      <w:bookmarkStart w:id="32" w:name="Tc_G2RfZ3CrG0mhzqVqWtKD9A_42_0"/>
      <w:bookmarkStart w:id="33" w:name="Tc_ztaTncEjrUaeOvkgjk9zoA_41_0"/>
      <w:bookmarkStart w:id="34" w:name="Tc_SZbfmPKFxUON7qu3rMqkZg_40_0"/>
      <w:bookmarkStart w:id="35" w:name="Tc_nNlDiv5aYUKhgGadSFhN8Q_39_0"/>
      <w:bookmarkStart w:id="36" w:name="Tc_P-9G7mpwkUKLVlw6ZTqLEg_37_0"/>
      <w:bookmarkStart w:id="37" w:name="Tc_NZYoxwrQakKB1x5yGePlUw_35_0"/>
      <w:bookmarkStart w:id="38" w:name="Tc_wayNBTep5k6qCoFIb_egCQ_34_6"/>
      <w:bookmarkStart w:id="39" w:name="Tc_Y09JLC-Iz0e1KQm5_AntMg_34_0"/>
      <w:bookmarkStart w:id="40" w:name="Tc_BbFGoXNdIUu3HOscewgAig_33_0"/>
      <w:bookmarkStart w:id="41" w:name="Tc_iJlCsCyuPUOtwN9sGE9pZg_32_6"/>
      <w:bookmarkStart w:id="42" w:name="Tc_ZrXiXLTC_kyv28nlEmRAtw_32_0"/>
      <w:bookmarkStart w:id="43" w:name="Tc_226LXipvh0m4s3_HheJdAA_31_0"/>
      <w:bookmarkStart w:id="44" w:name="Tc_shTSqlLdj0Cvn7n8trCwQg_29_0"/>
      <w:bookmarkStart w:id="45" w:name="Tc_eFY_XoFgQU2GnhoxE1dyKw_28_0"/>
      <w:bookmarkStart w:id="46" w:name="Tc_LmCCHG_0kkahIwgPDbCKDA_27_0"/>
      <w:bookmarkStart w:id="47" w:name="Tc_65S1MijpBESVOuk5_RDzgg_26_0"/>
      <w:bookmarkStart w:id="48" w:name="Tc_t-c36AC5UkuMwk98pzQ0Og_25_0"/>
      <w:bookmarkStart w:id="49" w:name="Tc_K3kd_dI6GkyFGD54MMawVQ_24_0"/>
      <w:bookmarkStart w:id="50" w:name="Tc_VWa_e3Z_rkK5AhEkw_RCJg_23_5"/>
      <w:bookmarkStart w:id="51" w:name="Tc_F3kHx7lwXkmwCwNqj3h87g_23_2"/>
      <w:bookmarkStart w:id="52" w:name="Tc_z2KnNhmXz0SziUhKyTXpRA_23_0"/>
      <w:bookmarkStart w:id="53" w:name="Tc_KTqNI5pkikC0OnVVe0X1Qg_22_0"/>
      <w:bookmarkStart w:id="54" w:name="Tc_p3BfeKaX_kuX_VI-lWPgVA_21_0"/>
      <w:bookmarkStart w:id="55" w:name="Tc_I4H2IWaCH0i2iaguK0taHA_19_5"/>
      <w:bookmarkStart w:id="56" w:name="Tc_9kVZw3arnUG0X2r3RBLNyA_19_2"/>
      <w:bookmarkStart w:id="57" w:name="Tc_M-emyb4wFUyRDsVLXeNDCQ_19_0"/>
      <w:bookmarkStart w:id="58" w:name="Tc_Y_DwbC_ON02BJWwGwOR0Cw_18_0"/>
      <w:bookmarkStart w:id="59" w:name="Tc_iFBDcmiuxU-Ybl1A2pirVg_17_0"/>
      <w:bookmarkStart w:id="60" w:name="Tc_DinCP9_ofUS9qpouiMd08g_16_0"/>
      <w:bookmarkStart w:id="61" w:name="Tc_31_-C3A41k6M-oPLky8CAw_15_0"/>
      <w:bookmarkStart w:id="62" w:name="Tc_Aq9-P7ia8kyGL6uRB3LciQ_14_0"/>
      <w:bookmarkStart w:id="63" w:name="Tc_TEDkmbqygEG4oVgMIIJE8Q_13_0"/>
      <w:bookmarkStart w:id="64" w:name="Tc_dvY5r91CdEqq0DfGUBB9OA_11_0"/>
      <w:bookmarkStart w:id="65" w:name="Tc_8_o-PePHJ0COEc243jX7EA_10_0"/>
      <w:bookmarkStart w:id="66" w:name="Tc_VdN3G5ktKUmZINdeCpjBEg_9_0"/>
      <w:bookmarkStart w:id="67" w:name="Tc_F19Xqf1FB0ybCe6x23YZYQ_8_0"/>
      <w:bookmarkStart w:id="68" w:name="Tc_gHPviU3bKUWVnh2dHlHUhQ_7_0"/>
      <w:bookmarkStart w:id="69" w:name="Tc_kQMCznQJ0EW6RQAIujDvjA_6_0"/>
      <w:bookmarkStart w:id="70" w:name="Tc_qYv0hTWHQ0i_7-Bew6ijIw_5_5"/>
      <w:bookmarkStart w:id="71" w:name="Tc_UoYnBt9z_0CiHxbjkSeJMg_5_2"/>
      <w:bookmarkStart w:id="72" w:name="Tc_enkJXmjFU0C2Yt2VyQ5Fzg_5_0"/>
      <w:bookmarkStart w:id="73" w:name="Tc__es-9UNEyk6Cfri0M6ysyA_4_0"/>
      <w:bookmarkStart w:id="74" w:name="Tc_8zEbVruk2UmD296VN-8WNA_3_0"/>
      <w:bookmarkStart w:id="75" w:name="Tc_eN5dgEYj7kyr6dIRYoGw_A_2_5"/>
      <w:bookmarkStart w:id="76" w:name="Tc_fiOAxPooM0SLpxr-iW6ScQ_2_2"/>
      <w:bookmarkStart w:id="77" w:name="Tc_SIxUqmZLIk6kO9tsy-QyGA_1_5"/>
      <w:bookmarkStart w:id="78" w:name="Tc_p7DF3BDRhkWeB-vXzrMG1A_1_2"/>
      <w:bookmarkStart w:id="79" w:name="_aa78ee75_a14b_4317_a4f4_2660b50578dd"/>
      <w:bookmarkStart w:id="80" w:name="Tc_NmOCIKzK2kCNQT72a_A6JA_45_5"/>
      <w:bookmarkStart w:id="81" w:name="Tc_FlS5iAleD0-Cgjex8W-b6w_45_2"/>
      <w:bookmarkStart w:id="82" w:name="Tc_kvanB_IXyU-eNCguWU1fVg_45_0"/>
      <w:bookmarkStart w:id="83" w:name="Tc_VNocbphNXkmnZWsZmo_qrg_44_0"/>
      <w:bookmarkStart w:id="84" w:name="Tc_vA2wVw59Lk2-FYxz64TR-g_43_0"/>
      <w:bookmarkStart w:id="85" w:name="Tc_G2RfZ3CrG0mhzqVqWtKD9A_42_0"/>
      <w:bookmarkStart w:id="86" w:name="Tc_ztaTncEjrUaeOvkgjk9zoA_41_0"/>
      <w:bookmarkStart w:id="87" w:name="Tc_SZbfmPKFxUON7qu3rMqkZg_40_0"/>
      <w:bookmarkStart w:id="88" w:name="Tc_nNlDiv5aYUKhgGadSFhN8Q_39_0"/>
      <w:bookmarkStart w:id="89" w:name="Tc_P-9G7mpwkUKLVlw6ZTqLEg_37_0"/>
      <w:bookmarkStart w:id="90" w:name="Tc_NZYoxwrQakKB1x5yGePlUw_35_0"/>
      <w:bookmarkStart w:id="91" w:name="Tc_wayNBTep5k6qCoFIb_egCQ_34_6"/>
      <w:bookmarkStart w:id="92" w:name="Tc_Y09JLC-Iz0e1KQm5_AntMg_34_0"/>
      <w:bookmarkStart w:id="93" w:name="Tc_BbFGoXNdIUu3HOscewgAig_33_0"/>
      <w:bookmarkStart w:id="94" w:name="Tc_iJlCsCyuPUOtwN9sGE9pZg_32_6"/>
      <w:bookmarkStart w:id="95" w:name="Tc_ZrXiXLTC_kyv28nlEmRAtw_32_0"/>
      <w:bookmarkStart w:id="96" w:name="Tc_226LXipvh0m4s3_HheJdAA_31_0"/>
      <w:bookmarkStart w:id="97" w:name="Tc_shTSqlLdj0Cvn7n8trCwQg_29_0"/>
      <w:bookmarkStart w:id="98" w:name="Tc_eFY_XoFgQU2GnhoxE1dyKw_28_0"/>
      <w:bookmarkStart w:id="99" w:name="Tc_LmCCHG_0kkahIwgPDbCKDA_27_0"/>
      <w:bookmarkStart w:id="100" w:name="Tc_65S1MijpBESVOuk5_RDzgg_26_0"/>
      <w:bookmarkStart w:id="101" w:name="Tc_t-c36AC5UkuMwk98pzQ0Og_25_0"/>
      <w:bookmarkStart w:id="102" w:name="Tc_K3kd_dI6GkyFGD54MMawVQ_24_0"/>
      <w:bookmarkStart w:id="103" w:name="Tc_VWa_e3Z_rkK5AhEkw_RCJg_23_5"/>
      <w:bookmarkStart w:id="104" w:name="Tc_F3kHx7lwXkmwCwNqj3h87g_23_2"/>
      <w:bookmarkStart w:id="105" w:name="Tc_z2KnNhmXz0SziUhKyTXpRA_23_0"/>
      <w:bookmarkStart w:id="106" w:name="Tc_KTqNI5pkikC0OnVVe0X1Qg_22_0"/>
      <w:bookmarkStart w:id="107" w:name="Tc_p3BfeKaX_kuX_VI-lWPgVA_21_0"/>
      <w:bookmarkStart w:id="108" w:name="Tc_I4H2IWaCH0i2iaguK0taHA_19_5"/>
      <w:bookmarkStart w:id="109" w:name="Tc_9kVZw3arnUG0X2r3RBLNyA_19_2"/>
      <w:bookmarkStart w:id="110" w:name="Tc_M-emyb4wFUyRDsVLXeNDCQ_19_0"/>
      <w:bookmarkStart w:id="111" w:name="Tc_Y_DwbC_ON02BJWwGwOR0Cw_18_0"/>
      <w:bookmarkStart w:id="112" w:name="Tc_iFBDcmiuxU-Ybl1A2pirVg_17_0"/>
      <w:bookmarkStart w:id="113" w:name="Tc_DinCP9_ofUS9qpouiMd08g_16_0"/>
      <w:bookmarkStart w:id="114" w:name="Tc_31_-C3A41k6M-oPLky8CAw_15_0"/>
      <w:bookmarkStart w:id="115" w:name="Tc_Aq9-P7ia8kyGL6uRB3LciQ_14_0"/>
      <w:bookmarkStart w:id="116" w:name="Tc_TEDkmbqygEG4oVgMIIJE8Q_13_0"/>
      <w:bookmarkStart w:id="117" w:name="Tc_dvY5r91CdEqq0DfGUBB9OA_11_0"/>
      <w:bookmarkStart w:id="118" w:name="Tc_8_o-PePHJ0COEc243jX7EA_10_0"/>
      <w:bookmarkStart w:id="119" w:name="Tc_VdN3G5ktKUmZINdeCpjBEg_9_0"/>
      <w:bookmarkStart w:id="120" w:name="Tc_F19Xqf1FB0ybCe6x23YZYQ_8_0"/>
      <w:bookmarkStart w:id="121" w:name="Tc_gHPviU3bKUWVnh2dHlHUhQ_7_0"/>
      <w:bookmarkStart w:id="122" w:name="Tc_kQMCznQJ0EW6RQAIujDvjA_6_0"/>
      <w:bookmarkStart w:id="123" w:name="Tc_qYv0hTWHQ0i_7-Bew6ijIw_5_5"/>
      <w:bookmarkStart w:id="124" w:name="Tc_UoYnBt9z_0CiHxbjkSeJMg_5_2"/>
      <w:bookmarkStart w:id="125" w:name="Tc_enkJXmjFU0C2Yt2VyQ5Fzg_5_0"/>
      <w:bookmarkStart w:id="126" w:name="Tc__es-9UNEyk6Cfri0M6ysyA_4_0"/>
      <w:bookmarkStart w:id="127" w:name="Tc_8zEbVruk2UmD296VN-8WNA_3_0"/>
      <w:bookmarkStart w:id="128" w:name="Tc_eN5dgEYj7kyr6dIRYoGw_A_2_5"/>
      <w:bookmarkStart w:id="129" w:name="Tc_fiOAxPooM0SLpxr-iW6ScQ_2_2"/>
      <w:bookmarkStart w:id="130" w:name="Tc_SIxUqmZLIk6kO9tsy-QyGA_1_5"/>
      <w:bookmarkStart w:id="131" w:name="Tc_p7DF3BDRhkWeB-vXzrMG1A_1_2"/>
      <w:bookmarkStart w:id="132" w:name="_aa78ee75_a14b_4317_a4f4_2660b50578dd"/>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W w:w="10205" w:type="dxa"/>
        <w:jc w:val="left"/>
        <w:tblInd w:w="0" w:type="dxa"/>
        <w:tblLayout w:type="fixed"/>
        <w:tblCellMar>
          <w:top w:w="0" w:type="dxa"/>
          <w:left w:w="0" w:type="dxa"/>
          <w:bottom w:w="0" w:type="dxa"/>
          <w:right w:w="0" w:type="dxa"/>
        </w:tblCellMar>
      </w:tblPr>
      <w:tblGrid>
        <w:gridCol w:w="7297"/>
        <w:gridCol w:w="326"/>
        <w:gridCol w:w="196"/>
        <w:gridCol w:w="909"/>
        <w:gridCol w:w="326"/>
        <w:gridCol w:w="196"/>
        <w:gridCol w:w="955"/>
      </w:tblGrid>
      <w:tr>
        <w:trPr/>
        <w:tc>
          <w:tcPr>
            <w:tcW w:w="7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33595" cy="175260"/>
                      <wp:effectExtent l="0" t="0" r="0" b="0"/>
                      <wp:wrapNone/>
                      <wp:docPr id="4" name="Frame4"/>
                      <a:graphic xmlns:a="http://schemas.openxmlformats.org/drawingml/2006/main">
                        <a:graphicData uri="http://schemas.microsoft.com/office/word/2010/wordprocessingShape">
                          <wps:wsp>
                            <wps:cNvSpPr txBox="1"/>
                            <wps:spPr>
                              <a:xfrm>
                                <a:off x="0" y="0"/>
                                <a:ext cx="463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7215" cy="175260"/>
                      <wp:effectExtent l="0" t="0" r="0" b="0"/>
                      <wp:wrapNone/>
                      <wp:docPr id="7" name="Frame7"/>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06425" cy="175260"/>
                      <wp:effectExtent l="0" t="0" r="0" b="0"/>
                      <wp:wrapNone/>
                      <wp:docPr id="10" name="Frame10"/>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1,564,734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2,297,675</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955,605</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1,362,398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1,193,964</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834,404</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971,406</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129,303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116,195</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63,458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54,151</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3,954,297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5,588,996</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76,431</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960,962</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890,796</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187,269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175,003</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1,417,941</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1,417,941</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1,433,326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1,427,139</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107,109</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110,216</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8,060,904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9,686,522</w:t>
            </w:r>
          </w:p>
        </w:tc>
      </w:tr>
      <w:tr>
        <w:trPr/>
        <w:tc>
          <w:tcPr>
            <w:tcW w:w="72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511,137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564,379</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213,905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183,988</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319,757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269,061</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44,377</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41,914</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60,357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87,392</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10,990</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14,955</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1,160,523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1,161,689</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192,354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204,251</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91,838</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748,740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 1,125,330 shares issued and 983,380 shares outstanding as of June 30, 2024; 1,122,592 shares issued and 1,041,571 shares outstanding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5,613</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5,068,291</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4,975,115</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6,807,154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5,939,736</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(182,304)</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(125,337)</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in treasury, at cost; 141,950 shares and 81,021 shares as of June 30,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(5,832,445)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(2,566,383)</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5,866,323</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8,228,744</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8,060,904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9,686,522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33" w:name="_7443a17e_74c9_499f_9627_eb51dfbc756f"/>
      <w:bookmarkEnd w:id="133"/>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134" w:name="STATEMENTSOFINCOME_393941"/>
      <w:bookmarkEnd w:id="134"/>
      <w:r>
        <w:rPr>
          <w:rFonts w:ascii="Times New Roman;Times;serif" w:hAnsi="Times New Roman;Times;serif"/>
          <w:b/>
          <w:sz w:val="20"/>
        </w:rPr>
        <w:t>CONDENSED CONSOLIDATED STATEMENTS OF INCOME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THE THREE- AND SIX-MONTHS ENDED JUNE 30, 2024 AND 2023</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5" w:name="Tc_JhzzzMqx10O1it3hirdUeg_29_0"/>
      <w:bookmarkStart w:id="136" w:name="Tc_9xfAdcjNSkKRFAIKZJ71Vg_28_0"/>
      <w:bookmarkStart w:id="137" w:name="Tc_PDcaZtrxpE2Xze4hxyslBA_27_0"/>
      <w:bookmarkStart w:id="138" w:name="Tc_sC_sq_pMfU-K0P2RtsGLBQ_25_11"/>
      <w:bookmarkStart w:id="139" w:name="Tc_c7ResXpIbE6WpSNotGyXzw_25_8"/>
      <w:bookmarkStart w:id="140" w:name="Tc_R5DRvuJqjUiq8iibvr0mWQ_25_5"/>
      <w:bookmarkStart w:id="141" w:name="Tc_f0YuRb1Sw0qBhM7Tf8LS5Q_25_2"/>
      <w:bookmarkStart w:id="142" w:name="Tc_rKDcvt8AE0mg9dnN-H6sRA_25_0"/>
      <w:bookmarkStart w:id="143" w:name="Tc_QvhHj8fptkOWErxH4AF22Q_24_11"/>
      <w:bookmarkStart w:id="144" w:name="Tc_21tC1H5qr067HW2_EajYlA_24_8"/>
      <w:bookmarkStart w:id="145" w:name="Tc_zvQ0fttu4kuDiMHVi47_Kw_24_5"/>
      <w:bookmarkStart w:id="146" w:name="Tc_7aa9UnGadk-AeO4i6d47EA_24_2"/>
      <w:bookmarkStart w:id="147" w:name="Tc__xCbh6CikU68P1E5NzcFlw_24_0"/>
      <w:bookmarkStart w:id="148" w:name="Tc_5QkCaJ35AUaBYKoL3JFmZw_23_0"/>
      <w:bookmarkStart w:id="149" w:name="Tc_BO-PT5ODkk6Nw6HeaooSBQ_21_11"/>
      <w:bookmarkStart w:id="150" w:name="Tc_f6f-rZEw9keCQHQ1aRxWdg_21_8"/>
      <w:bookmarkStart w:id="151" w:name="Tc_V6EiKOkAW0Kh51c-lmwQ8A_21_5"/>
      <w:bookmarkStart w:id="152" w:name="Tc_iaGnCP9Q-kmLIvQwNhu2iQ_21_2"/>
      <w:bookmarkStart w:id="153" w:name="Tc_4pbO0RP7MEueAmPts353Rw_21_0"/>
      <w:bookmarkStart w:id="154" w:name="Tc_wOE-nG30cU-kDiqWL12vxQ_19_0"/>
      <w:bookmarkStart w:id="155" w:name="Tc_EQqBWnooGESXs4aAd47hLQ_17_0"/>
      <w:bookmarkStart w:id="156" w:name="Tc_qVq6icfUF0eU5gBKECKChg_15_0"/>
      <w:bookmarkStart w:id="157" w:name="Tc_AT7jShJi1Uer6b9O285A0Q_13_0"/>
      <w:bookmarkStart w:id="158" w:name="Tc_jxO99p5jQUiHwN8LTIJXUg_11_0"/>
      <w:bookmarkStart w:id="159" w:name="Tc_-SwB2rARF0eywoRCasixfw_9_0"/>
      <w:bookmarkStart w:id="160" w:name="Tc_4xXJnBzDr0OB3TKjsZBZUg_7_0"/>
      <w:bookmarkStart w:id="161" w:name="Tc_ukyqdGBcMEutd7upGYK50A_5_11"/>
      <w:bookmarkStart w:id="162" w:name="Tc_4GT7yjsMqUqWlSbsSmxhLA_5_8"/>
      <w:bookmarkStart w:id="163" w:name="Tc_hQtpN42-BkqKBqUy1bCFFg_5_5"/>
      <w:bookmarkStart w:id="164" w:name="Tc_OAG3AVCpkU-TludZKeQSvA_5_2"/>
      <w:bookmarkStart w:id="165" w:name="Tc_ET6yc5M9mkSMpU9kHTTqsQ_5_0"/>
      <w:bookmarkStart w:id="166" w:name="Tc_gmGrCr2lW0qQlMddly_NkQ_3_11"/>
      <w:bookmarkStart w:id="167" w:name="Tc_jkDPJAzb4ke8MLOslJR9oA_3_8"/>
      <w:bookmarkStart w:id="168" w:name="Tc_t4i2GGGDYEORHGAYwR5Rig_3_5"/>
      <w:bookmarkStart w:id="169" w:name="Tc_SCkwNcJun0mBn2e8LCQuWA_3_2"/>
      <w:bookmarkStart w:id="170" w:name="Tc_J5crTaif1k-Jc8SpuuzvvA_2_8"/>
      <w:bookmarkStart w:id="171" w:name="Tc_pm6OmpSnL028e7ID_dCy_A_2_2"/>
      <w:bookmarkStart w:id="172" w:name="Tc_p6rU4Y6D30SB3CKOwkpHWQ_1_8"/>
      <w:bookmarkStart w:id="173" w:name="Tc_MOiC0kI_3EWErOeclObybg_1_2"/>
      <w:bookmarkStart w:id="174" w:name="_e41ed53e_8063_4a6b_97b7_63b0959abaf8"/>
      <w:bookmarkStart w:id="175" w:name="Tc_JhzzzMqx10O1it3hirdUeg_29_0"/>
      <w:bookmarkStart w:id="176" w:name="Tc_9xfAdcjNSkKRFAIKZJ71Vg_28_0"/>
      <w:bookmarkStart w:id="177" w:name="Tc_PDcaZtrxpE2Xze4hxyslBA_27_0"/>
      <w:bookmarkStart w:id="178" w:name="Tc_sC_sq_pMfU-K0P2RtsGLBQ_25_11"/>
      <w:bookmarkStart w:id="179" w:name="Tc_c7ResXpIbE6WpSNotGyXzw_25_8"/>
      <w:bookmarkStart w:id="180" w:name="Tc_R5DRvuJqjUiq8iibvr0mWQ_25_5"/>
      <w:bookmarkStart w:id="181" w:name="Tc_f0YuRb1Sw0qBhM7Tf8LS5Q_25_2"/>
      <w:bookmarkStart w:id="182" w:name="Tc_rKDcvt8AE0mg9dnN-H6sRA_25_0"/>
      <w:bookmarkStart w:id="183" w:name="Tc_QvhHj8fptkOWErxH4AF22Q_24_11"/>
      <w:bookmarkStart w:id="184" w:name="Tc_21tC1H5qr067HW2_EajYlA_24_8"/>
      <w:bookmarkStart w:id="185" w:name="Tc_zvQ0fttu4kuDiMHVi47_Kw_24_5"/>
      <w:bookmarkStart w:id="186" w:name="Tc_7aa9UnGadk-AeO4i6d47EA_24_2"/>
      <w:bookmarkStart w:id="187" w:name="Tc__xCbh6CikU68P1E5NzcFlw_24_0"/>
      <w:bookmarkStart w:id="188" w:name="Tc_5QkCaJ35AUaBYKoL3JFmZw_23_0"/>
      <w:bookmarkStart w:id="189" w:name="Tc_BO-PT5ODkk6Nw6HeaooSBQ_21_11"/>
      <w:bookmarkStart w:id="190" w:name="Tc_f6f-rZEw9keCQHQ1aRxWdg_21_8"/>
      <w:bookmarkStart w:id="191" w:name="Tc_V6EiKOkAW0Kh51c-lmwQ8A_21_5"/>
      <w:bookmarkStart w:id="192" w:name="Tc_iaGnCP9Q-kmLIvQwNhu2iQ_21_2"/>
      <w:bookmarkStart w:id="193" w:name="Tc_4pbO0RP7MEueAmPts353Rw_21_0"/>
      <w:bookmarkStart w:id="194" w:name="Tc_wOE-nG30cU-kDiqWL12vxQ_19_0"/>
      <w:bookmarkStart w:id="195" w:name="Tc_EQqBWnooGESXs4aAd47hLQ_17_0"/>
      <w:bookmarkStart w:id="196" w:name="Tc_qVq6icfUF0eU5gBKECKChg_15_0"/>
      <w:bookmarkStart w:id="197" w:name="Tc_AT7jShJi1Uer6b9O285A0Q_13_0"/>
      <w:bookmarkStart w:id="198" w:name="Tc_jxO99p5jQUiHwN8LTIJXUg_11_0"/>
      <w:bookmarkStart w:id="199" w:name="Tc_-SwB2rARF0eywoRCasixfw_9_0"/>
      <w:bookmarkStart w:id="200" w:name="Tc_4xXJnBzDr0OB3TKjsZBZUg_7_0"/>
      <w:bookmarkStart w:id="201" w:name="Tc_ukyqdGBcMEutd7upGYK50A_5_11"/>
      <w:bookmarkStart w:id="202" w:name="Tc_4GT7yjsMqUqWlSbsSmxhLA_5_8"/>
      <w:bookmarkStart w:id="203" w:name="Tc_hQtpN42-BkqKBqUy1bCFFg_5_5"/>
      <w:bookmarkStart w:id="204" w:name="Tc_OAG3AVCpkU-TludZKeQSvA_5_2"/>
      <w:bookmarkStart w:id="205" w:name="Tc_ET6yc5M9mkSMpU9kHTTqsQ_5_0"/>
      <w:bookmarkStart w:id="206" w:name="Tc_gmGrCr2lW0qQlMddly_NkQ_3_11"/>
      <w:bookmarkStart w:id="207" w:name="Tc_jkDPJAzb4ke8MLOslJR9oA_3_8"/>
      <w:bookmarkStart w:id="208" w:name="Tc_t4i2GGGDYEORHGAYwR5Rig_3_5"/>
      <w:bookmarkStart w:id="209" w:name="Tc_SCkwNcJun0mBn2e8LCQuWA_3_2"/>
      <w:bookmarkStart w:id="210" w:name="Tc_J5crTaif1k-Jc8SpuuzvvA_2_8"/>
      <w:bookmarkStart w:id="211" w:name="Tc_pm6OmpSnL028e7ID_dCy_A_2_2"/>
      <w:bookmarkStart w:id="212" w:name="Tc_p6rU4Y6D30SB3CKOwkpHWQ_1_8"/>
      <w:bookmarkStart w:id="213" w:name="Tc_MOiC0kI_3EWErOeclObybg_1_2"/>
      <w:bookmarkStart w:id="214" w:name="_e41ed53e_8063_4a6b_97b7_63b0959abaf8"/>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10205" w:type="dxa"/>
        <w:jc w:val="left"/>
        <w:tblInd w:w="0" w:type="dxa"/>
        <w:tblLayout w:type="fixed"/>
        <w:tblCellMar>
          <w:top w:w="0" w:type="dxa"/>
          <w:left w:w="0" w:type="dxa"/>
          <w:bottom w:w="0" w:type="dxa"/>
          <w:right w:w="0" w:type="dxa"/>
        </w:tblCellMar>
      </w:tblPr>
      <w:tblGrid>
        <w:gridCol w:w="4708"/>
        <w:gridCol w:w="326"/>
        <w:gridCol w:w="196"/>
        <w:gridCol w:w="826"/>
        <w:gridCol w:w="326"/>
        <w:gridCol w:w="196"/>
        <w:gridCol w:w="826"/>
        <w:gridCol w:w="326"/>
        <w:gridCol w:w="196"/>
        <w:gridCol w:w="826"/>
        <w:gridCol w:w="326"/>
        <w:gridCol w:w="196"/>
        <w:gridCol w:w="931"/>
      </w:tblGrid>
      <w:tr>
        <w:trPr/>
        <w:tc>
          <w:tcPr>
            <w:tcW w:w="4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89580" cy="175260"/>
                      <wp:effectExtent l="0" t="0" r="0" b="0"/>
                      <wp:wrapNone/>
                      <wp:docPr id="11" name="Frame11"/>
                      <a:graphic xmlns:a="http://schemas.openxmlformats.org/drawingml/2006/main">
                        <a:graphicData uri="http://schemas.microsoft.com/office/word/2010/wordprocessingShape">
                          <wps:wsp>
                            <wps:cNvSpPr txBox="1"/>
                            <wps:spPr>
                              <a:xfrm>
                                <a:off x="0" y="0"/>
                                <a:ext cx="298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4510" cy="175260"/>
                      <wp:effectExtent l="0" t="0" r="0" b="0"/>
                      <wp:wrapNone/>
                      <wp:docPr id="14" name="Frame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4510" cy="175260"/>
                      <wp:effectExtent l="0" t="0" r="0" b="0"/>
                      <wp:wrapNone/>
                      <wp:docPr id="17"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20" name="Frame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91185" cy="175260"/>
                      <wp:effectExtent l="0" t="0" r="0" b="0"/>
                      <wp:wrapNone/>
                      <wp:docPr id="23" name="Frame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4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Six-Months Ended </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1,900,597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3,799,695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3,553,891</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881,091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880,739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1,753,061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1,681,820</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1,019,506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974,222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2,046,634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1,872,071</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492,343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450,417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977,480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863,201</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527,163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1,069,154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1,008,870</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27,653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551,539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538,964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1,036,523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261,867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225,208</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425,369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867,418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811,315</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7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0.78</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0.77</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70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1,029,268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1,047,065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1,035,175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1,045,993</w:t>
            </w:r>
          </w:p>
        </w:tc>
      </w:tr>
      <w:tr>
        <w:trPr/>
        <w:tc>
          <w:tcPr>
            <w:tcW w:w="47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1,037,378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1,060,093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1,044,363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1,059,667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15" w:name="_c58d5efc_3165_472b_8ca1_a006d0fd8ded"/>
      <w:bookmarkEnd w:id="215"/>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16" w:name="STATEMENTSOFCOMPREHENSIVEINCOME_19420"/>
      <w:bookmarkEnd w:id="216"/>
      <w:r>
        <w:rPr>
          <w:rFonts w:ascii="Times New Roman;Times;serif" w:hAnsi="Times New Roman;Times;serif"/>
          <w:b/>
          <w:sz w:val="20"/>
        </w:rPr>
        <w:t>CONDENSED CONSOLIDATED STATEMENTS OF COMPREHENSIVE INCOME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THE THREE- AND SIX-MONTHS ENDED JUNE 30, 2024 AND 2023</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7" w:name="Tc_z0Rlmeu9aU-Wt0_EMXA-yg_10_11"/>
      <w:bookmarkStart w:id="218" w:name="Tc_r99oGGn250mAvjlk9ozI7Q_10_8"/>
      <w:bookmarkStart w:id="219" w:name="Tc_x3WIcEZJPEeA2jFhY6Fs6A_10_5"/>
      <w:bookmarkStart w:id="220" w:name="Tc_eEGKPOwgvE2EAlVQVVhCzA_10_2"/>
      <w:bookmarkStart w:id="221" w:name="Tc_0LWgiKR2F0G8D0bdQtPIZw_10_0"/>
      <w:bookmarkStart w:id="222" w:name="Tc_v-wSoEuMpEKIuU8cIPq0qQ_9_0"/>
      <w:bookmarkStart w:id="223" w:name="Tc_27QVv2Jsx0KE9NJz5dcl_Q_8_0"/>
      <w:bookmarkStart w:id="224" w:name="Tc_8xhSPHYSZ0ewGBIhpVx8AQ_7_0"/>
      <w:bookmarkStart w:id="225" w:name="Tc_8jc35nAmeUew0dxLRzdSVw_6_0"/>
      <w:bookmarkStart w:id="226" w:name="Tc_gA9XhSP8rkO3k7HepxIXag_5_0"/>
      <w:bookmarkStart w:id="227" w:name="Tc_PfzJE7X_8kqUTldCRJE3-Q_4_11"/>
      <w:bookmarkStart w:id="228" w:name="Tc_tZxddV656E2Ri2KIMgY9gw_4_8"/>
      <w:bookmarkStart w:id="229" w:name="Tc_17M0JQfd5EC_45zPuHchOA_4_5"/>
      <w:bookmarkStart w:id="230" w:name="Tc_w9OBUObijEaKyl6ehUHt8Q_4_2"/>
      <w:bookmarkStart w:id="231" w:name="Tc_Ftmyez_rd0evwManX02rEg_4_0"/>
      <w:bookmarkStart w:id="232" w:name="Tc_13sBKgL5qkC7agGWghL1bw_3_11"/>
      <w:bookmarkStart w:id="233" w:name="Tc_zBPSlIPK3EiGxbF-X5TFiw_3_8"/>
      <w:bookmarkStart w:id="234" w:name="Tc_ZoxeDcSLiUijwybFkaaetQ_3_5"/>
      <w:bookmarkStart w:id="235" w:name="Tc_m0ak_QVn2kOeLsLKfbUj2Q_3_2"/>
      <w:bookmarkStart w:id="236" w:name="Tc_PzNy9Jwu_UGW49hFo31leg_2_8"/>
      <w:bookmarkStart w:id="237" w:name="Tc_hTGhIht3GEm8k7FAH9XJfQ_2_2"/>
      <w:bookmarkStart w:id="238" w:name="Tc_dAtCCvGhfkOZrwW81VjHSA_1_8"/>
      <w:bookmarkStart w:id="239" w:name="Tc_LgZm4gx2o0yJB-0yBCEG2w_1_2"/>
      <w:bookmarkStart w:id="240" w:name="_573ee5ac_a9bc_4816_916d_45e1e2716977"/>
      <w:bookmarkStart w:id="241" w:name="Tc_z0Rlmeu9aU-Wt0_EMXA-yg_10_11"/>
      <w:bookmarkStart w:id="242" w:name="Tc_r99oGGn250mAvjlk9ozI7Q_10_8"/>
      <w:bookmarkStart w:id="243" w:name="Tc_x3WIcEZJPEeA2jFhY6Fs6A_10_5"/>
      <w:bookmarkStart w:id="244" w:name="Tc_eEGKPOwgvE2EAlVQVVhCzA_10_2"/>
      <w:bookmarkStart w:id="245" w:name="Tc_0LWgiKR2F0G8D0bdQtPIZw_10_0"/>
      <w:bookmarkStart w:id="246" w:name="Tc_v-wSoEuMpEKIuU8cIPq0qQ_9_0"/>
      <w:bookmarkStart w:id="247" w:name="Tc_27QVv2Jsx0KE9NJz5dcl_Q_8_0"/>
      <w:bookmarkStart w:id="248" w:name="Tc_8xhSPHYSZ0ewGBIhpVx8AQ_7_0"/>
      <w:bookmarkStart w:id="249" w:name="Tc_8jc35nAmeUew0dxLRzdSVw_6_0"/>
      <w:bookmarkStart w:id="250" w:name="Tc_gA9XhSP8rkO3k7HepxIXag_5_0"/>
      <w:bookmarkStart w:id="251" w:name="Tc_PfzJE7X_8kqUTldCRJE3-Q_4_11"/>
      <w:bookmarkStart w:id="252" w:name="Tc_tZxddV656E2Ri2KIMgY9gw_4_8"/>
      <w:bookmarkStart w:id="253" w:name="Tc_17M0JQfd5EC_45zPuHchOA_4_5"/>
      <w:bookmarkStart w:id="254" w:name="Tc_w9OBUObijEaKyl6ehUHt8Q_4_2"/>
      <w:bookmarkStart w:id="255" w:name="Tc_Ftmyez_rd0evwManX02rEg_4_0"/>
      <w:bookmarkStart w:id="256" w:name="Tc_13sBKgL5qkC7agGWghL1bw_3_11"/>
      <w:bookmarkStart w:id="257" w:name="Tc_zBPSlIPK3EiGxbF-X5TFiw_3_8"/>
      <w:bookmarkStart w:id="258" w:name="Tc_ZoxeDcSLiUijwybFkaaetQ_3_5"/>
      <w:bookmarkStart w:id="259" w:name="Tc_m0ak_QVn2kOeLsLKfbUj2Q_3_2"/>
      <w:bookmarkStart w:id="260" w:name="Tc_PzNy9Jwu_UGW49hFo31leg_2_8"/>
      <w:bookmarkStart w:id="261" w:name="Tc_hTGhIht3GEm8k7FAH9XJfQ_2_2"/>
      <w:bookmarkStart w:id="262" w:name="Tc_dAtCCvGhfkOZrwW81VjHSA_1_8"/>
      <w:bookmarkStart w:id="263" w:name="Tc_LgZm4gx2o0yJB-0yBCEG2w_1_2"/>
      <w:bookmarkStart w:id="264" w:name="_573ee5ac_a9bc_4816_916d_45e1e2716977"/>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tbl>
      <w:tblPr>
        <w:tblW w:w="10205" w:type="dxa"/>
        <w:jc w:val="left"/>
        <w:tblInd w:w="0" w:type="dxa"/>
        <w:tblLayout w:type="fixed"/>
        <w:tblCellMar>
          <w:top w:w="0" w:type="dxa"/>
          <w:left w:w="0" w:type="dxa"/>
          <w:bottom w:w="0" w:type="dxa"/>
          <w:right w:w="0" w:type="dxa"/>
        </w:tblCellMar>
      </w:tblPr>
      <w:tblGrid>
        <w:gridCol w:w="4804"/>
        <w:gridCol w:w="326"/>
        <w:gridCol w:w="211"/>
        <w:gridCol w:w="792"/>
        <w:gridCol w:w="326"/>
        <w:gridCol w:w="211"/>
        <w:gridCol w:w="781"/>
        <w:gridCol w:w="326"/>
        <w:gridCol w:w="211"/>
        <w:gridCol w:w="792"/>
        <w:gridCol w:w="326"/>
        <w:gridCol w:w="211"/>
        <w:gridCol w:w="888"/>
      </w:tblGrid>
      <w:tr>
        <w:trPr/>
        <w:tc>
          <w:tcPr>
            <w:tcW w:w="4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050540" cy="175260"/>
                      <wp:effectExtent l="0" t="0" r="0" b="0"/>
                      <wp:wrapNone/>
                      <wp:docPr id="24" name="Frame24"/>
                      <a:graphic xmlns:a="http://schemas.openxmlformats.org/drawingml/2006/main">
                        <a:graphicData uri="http://schemas.microsoft.com/office/word/2010/wordprocessingShape">
                          <wps:wsp>
                            <wps:cNvSpPr txBox="1"/>
                            <wps:spPr>
                              <a:xfrm>
                                <a:off x="0" y="0"/>
                                <a:ext cx="305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2920" cy="175260"/>
                      <wp:effectExtent l="0" t="0" r="0" b="0"/>
                      <wp:wrapNone/>
                      <wp:docPr id="26" name="Frame26"/>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2920" cy="175260"/>
                      <wp:effectExtent l="0" t="0" r="0" b="0"/>
                      <wp:wrapNone/>
                      <wp:docPr id="32" name="Frame3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63880" cy="175260"/>
                      <wp:effectExtent l="0" t="0" r="0" b="0"/>
                      <wp:wrapNone/>
                      <wp:docPr id="35" name="Frame3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Three-Months Ended </w:t>
            </w:r>
          </w:p>
        </w:tc>
        <w:tc>
          <w:tcPr>
            <w:tcW w:w="326" w:type="dxa"/>
            <w:tcBorders/>
            <w:vAlign w:val="center"/>
          </w:tcPr>
          <w:p>
            <w:pPr>
              <w:pStyle w:val="TableContents"/>
              <w:bidi w:val="0"/>
              <w:spacing w:before="0" w:after="0"/>
              <w:ind w:left="0" w:right="0" w:hanging="0"/>
              <w:jc w:val="center"/>
              <w:rPr/>
            </w:pPr>
            <w:r>
              <w:rPr/>
              <w:t>    </w:t>
            </w:r>
          </w:p>
        </w:tc>
        <w:tc>
          <w:tcPr>
            <w:tcW w:w="24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Six-Months Ended </w:t>
            </w:r>
          </w:p>
        </w:tc>
      </w:tr>
      <w:tr>
        <w:trPr/>
        <w:tc>
          <w:tcPr>
            <w:tcW w:w="48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867,418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811,315</w:t>
            </w:r>
          </w:p>
        </w:tc>
      </w:tr>
      <w:tr>
        <w:trPr/>
        <w:tc>
          <w:tcPr>
            <w:tcW w:w="4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r>
      <w:tr>
        <w:trPr/>
        <w:tc>
          <w:tcPr>
            <w:tcW w:w="4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unrealized gain (loss) on 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r>
      <w:tr>
        <w:trPr/>
        <w:tc>
          <w:tcPr>
            <w:tcW w:w="4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4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r>
      <w:tr>
        <w:trPr/>
        <w:tc>
          <w:tcPr>
            <w:tcW w:w="4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Comprehensive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810,451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814,663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b/>
          <w:sz w:val="20"/>
        </w:rPr>
      </w:pPr>
      <w:bookmarkStart w:id="265" w:name="_3678868b_7b75_4925_86d2_b55fb3d194ea"/>
      <w:bookmarkEnd w:id="265"/>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266" w:name="STATEMENTSOFSTOCKHOLDERSEQUITY_603690"/>
      <w:bookmarkEnd w:id="266"/>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FOR THE THREE- AND SIX-MONTHS ENDED JUNE 30, 2024 AND 2023</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7" w:name="Tc_UtdHUUh0xEepwTZr1bwrSQ_24_21"/>
      <w:bookmarkStart w:id="268" w:name="Tc_nUKmu2_6KUCECtfkIvZTwg_24_18"/>
      <w:bookmarkStart w:id="269" w:name="Tc_egqpJRJR2kmYPWcpCNlnKQ_24_13"/>
      <w:bookmarkStart w:id="270" w:name="Tc_N2r15z-X0Emogh-0R6mJJg_24_10"/>
      <w:bookmarkStart w:id="271" w:name="Tc_dfsRvniL0kGqiMPSaqBkTA_24_7"/>
      <w:bookmarkStart w:id="272" w:name="Tc_gQ2lPfiTpkibGuxGkvq5VA_24_4"/>
      <w:bookmarkStart w:id="273" w:name="Tc_Pl0SyQeTcEijvDPXrYEwoA_24_0"/>
      <w:bookmarkStart w:id="274" w:name="Tc_M25OO5QSMUSr8bYAFyjtlg_22_19"/>
      <w:bookmarkStart w:id="275" w:name="Tc_uHDlHxwdjkKNiGXK87kiYw_22_16"/>
      <w:bookmarkStart w:id="276" w:name="Tc_lqbLfkCvTkCC0joMuLd6Nw_22_14"/>
      <w:bookmarkStart w:id="277" w:name="Tc_KoUVAZefZk2GC69s9fDKBQ_22_8"/>
      <w:bookmarkStart w:id="278" w:name="Tc_HX3dvhpgpUa7Wpkyn15qwQ_22_5"/>
      <w:bookmarkStart w:id="279" w:name="Tc_Rb7WL0wZQU67K5NCrbV3ZA_22_2"/>
      <w:bookmarkStart w:id="280" w:name="Tc_SdiAIJjn5Umc6II1XlxMJw_22_0"/>
      <w:bookmarkStart w:id="281" w:name="Tc_K_ZyfQEOBk-QaBa2Osh2sw_21_19"/>
      <w:bookmarkStart w:id="282" w:name="Tc_enGBvwMbSk61Pxr7F-gfoQ_21_16"/>
      <w:bookmarkStart w:id="283" w:name="Tc_D0j1heJkc0WqpQ-Mj9scAQ_21_11"/>
      <w:bookmarkStart w:id="284" w:name="Tc_AHnSpxxA4UGwyA85o7sOog_21_8"/>
      <w:bookmarkStart w:id="285" w:name="Tc_oUBOiRyvKky5zjFq3DEBOQ_21_5"/>
      <w:bookmarkStart w:id="286" w:name="Tc_ltZrzrvUe0-UVOapWoB-dg_21_2"/>
      <w:bookmarkStart w:id="287" w:name="Tc_qnXDBQDuEUWu3WWI3vX7zQ_21_0"/>
      <w:bookmarkStart w:id="288" w:name="Tc__0rTOs5BQUekwDpuVSTD3g_20_19"/>
      <w:bookmarkStart w:id="289" w:name="Tc_YNqLjJJWMUCTgBmOz99OtQ_20_16"/>
      <w:bookmarkStart w:id="290" w:name="Tc_iN7-2z5VvEiTzJeNfMjohg_20_11"/>
      <w:bookmarkStart w:id="291" w:name="Tc_Y862zQHQoEK3g4ICi8TUfw_20_8"/>
      <w:bookmarkStart w:id="292" w:name="Tc_5Xc2xV6iPEy65huFKA04tQ_20_5"/>
      <w:bookmarkStart w:id="293" w:name="Tc_BjtFmj0pX0-_GP4O0CLzig_20_2"/>
      <w:bookmarkStart w:id="294" w:name="Tc_JlBDqfDQgkuAYW5RRzp9RA_20_0"/>
      <w:bookmarkStart w:id="295" w:name="Tc_CL7CgBaS1Ue-n6K_BC126A_19_14"/>
      <w:bookmarkStart w:id="296" w:name="Tc_0TXtkyKgAk2cb0eQkZYhiA_19_11"/>
      <w:bookmarkStart w:id="297" w:name="Tc_xvu_S5iV5kuk7PHRNEiB9w_19_8"/>
      <w:bookmarkStart w:id="298" w:name="Tc_8jtYwbMvTU2OHE3V7D27cA_19_5"/>
      <w:bookmarkStart w:id="299" w:name="Tc_ZGJF2jEUxU-8q7nSM_Z35Q_19_2"/>
      <w:bookmarkStart w:id="300" w:name="Tc_o9sFt9pSu0OFzK1uIwJnRw_19_0"/>
      <w:bookmarkStart w:id="301" w:name="Tc_nc6MoSE5dk67lP8y0ggjqw_18_19"/>
      <w:bookmarkStart w:id="302" w:name="Tc_6MixW54340qFjKDhwwSo-w_18_16"/>
      <w:bookmarkStart w:id="303" w:name="Tc_d2521UfOd06JXU3HDa_T3A_18_11"/>
      <w:bookmarkStart w:id="304" w:name="Tc_180E-RsHIkiL-ASvkWOTHw_18_8"/>
      <w:bookmarkStart w:id="305" w:name="Tc_bB27kddMT0GmMjN0RfoGFw_18_5"/>
      <w:bookmarkStart w:id="306" w:name="Tc_CA8GY2foIEWdcNcsdtkHow_18_2"/>
      <w:bookmarkStart w:id="307" w:name="Tc__PnTQcKE-0q3JK-cRNXM8Q_18_0"/>
      <w:bookmarkStart w:id="308" w:name="Tc_TcaNP8aRGk-yGNLjiI_1Fg_17_19"/>
      <w:bookmarkStart w:id="309" w:name="Tc_kYyNpatvPka3BWUTJ7yZlg_17_16"/>
      <w:bookmarkStart w:id="310" w:name="Tc_yBnEHFYswUqFWxnIjdnltA_17_14"/>
      <w:bookmarkStart w:id="311" w:name="Tc_oL9bVAtyoka-5H9oWukrzQ_17_11"/>
      <w:bookmarkStart w:id="312" w:name="Tc_md1e87VrlECubm4aDglv3Q_17_0"/>
      <w:bookmarkStart w:id="313" w:name="Tc_d7OQhmXMwEC_abS9xeia3g_16_19"/>
      <w:bookmarkStart w:id="314" w:name="Tc_VU8_8qXE_kWDlqZ7geMvdQ_16_16"/>
      <w:bookmarkStart w:id="315" w:name="Tc_qQnAEdYCvUekUBePAGts5w_16_14"/>
      <w:bookmarkStart w:id="316" w:name="Tc_rrvhLAWQbEWXNLPCQD3sRA_16_11"/>
      <w:bookmarkStart w:id="317" w:name="Tc_w7Do27TVTEGi7FlfUfSyoA_16_5"/>
      <w:bookmarkStart w:id="318" w:name="Tc_vn4HT07aCkq8vQi74FgqcA_16_2"/>
      <w:bookmarkStart w:id="319" w:name="Tc_dcGnyj65Ok6h3bVZUrzLCA_16_0"/>
      <w:bookmarkStart w:id="320" w:name="Tc_tV-s7jXFkU6brIiu12wxUQ_14_21"/>
      <w:bookmarkStart w:id="321" w:name="Tc_oQl28jdKlECAOWT_G2-lMg_14_18"/>
      <w:bookmarkStart w:id="322" w:name="Tc_I6UYAsuYZUiZSyIl2cTiNg_14_13"/>
      <w:bookmarkStart w:id="323" w:name="Tc_5QZnFcakj0GaH4wDaPIMOw_14_10"/>
      <w:bookmarkStart w:id="324" w:name="Tc_TWkxgvc5EUiKC0s1MAideQ_14_7"/>
      <w:bookmarkStart w:id="325" w:name="Tc_7DQZkFAhCUimVSgYXKmg9g_14_4"/>
      <w:bookmarkStart w:id="326" w:name="Tc_E5yKHoR_HkSDrO7TltCwRw_14_0"/>
      <w:bookmarkStart w:id="327" w:name="Tc_clcYRwNTJEa_HqCQoLfmmg_12_19"/>
      <w:bookmarkStart w:id="328" w:name="Tc_BWHgBVcKxEuaU9o0I4mnqg_12_16"/>
      <w:bookmarkStart w:id="329" w:name="Tc_WDMt1uOS9ESWLrnKRMPlmg_12_14"/>
      <w:bookmarkStart w:id="330" w:name="Tc_0FUWDHalmUaPcceFMkuXtA_12_8"/>
      <w:bookmarkStart w:id="331" w:name="Tc_EAYY_FXsnUK-UGujTBf-Wg_12_5"/>
      <w:bookmarkStart w:id="332" w:name="Tc_EN-SIMksA0-zkch-suFStg_12_2"/>
      <w:bookmarkStart w:id="333" w:name="Tc_vUJ1WLzStkOPli60KWKjzQ_12_0"/>
      <w:bookmarkStart w:id="334" w:name="Tc_rQKPmxLu_ESOHFPQuXUXyQ_11_19"/>
      <w:bookmarkStart w:id="335" w:name="Tc_Wq3beK_LhESAEr6XGix-qA_11_16"/>
      <w:bookmarkStart w:id="336" w:name="Tc_j_wI_GyvQUWYFdqjYrI71A_11_11"/>
      <w:bookmarkStart w:id="337" w:name="Tc_RvKylF23NUWknsM29Jwxng_11_8"/>
      <w:bookmarkStart w:id="338" w:name="Tc_MxWxHITxVUqkFx8hi66Ujw_11_5"/>
      <w:bookmarkStart w:id="339" w:name="Tc_GnAD8o1n0EubrIzM10QV-Q_11_2"/>
      <w:bookmarkStart w:id="340" w:name="Tc_A6Hu9QmnxkKsz-qi3NSHZA_11_0"/>
      <w:bookmarkStart w:id="341" w:name="Tc_Pc3xN6s2t0C8Fmc_HJgOsg_10_19"/>
      <w:bookmarkStart w:id="342" w:name="Tc_x8ojKvNxpEiGeQvIGdH09w_10_16"/>
      <w:bookmarkStart w:id="343" w:name="Tc_U9QE8IfWdkiYMX0HxXQ-Rg_10_11"/>
      <w:bookmarkStart w:id="344" w:name="Tc_BHLzQQhZi0unI6tOIZMdow_10_8"/>
      <w:bookmarkStart w:id="345" w:name="Tc_jMbiKlBqhkWSAGGhBJYItw_10_5"/>
      <w:bookmarkStart w:id="346" w:name="Tc__B7y_T9YME67DlamI8_HRg_10_2"/>
      <w:bookmarkStart w:id="347" w:name="Tc_ByLDYWEXiEOPfoJXlrGoRg_10_0"/>
      <w:bookmarkStart w:id="348" w:name="Tc_XCMdRNI470qmAowplbb7EA_9_14"/>
      <w:bookmarkStart w:id="349" w:name="Tc_sVyWiSN670K-bLRh1CMIng_9_11"/>
      <w:bookmarkStart w:id="350" w:name="Tc_dvtLawKAkk2e6rDuXI8OTg_9_8"/>
      <w:bookmarkStart w:id="351" w:name="Tc_BBQqtyKTM0ejEiaaQhGTxg_9_5"/>
      <w:bookmarkStart w:id="352" w:name="Tc_fxjA_nW9yk-LaEWi8H-WxA_9_2"/>
      <w:bookmarkStart w:id="353" w:name="Tc_aDzMGf7uhUuINnt2BHpOrw_9_0"/>
      <w:bookmarkStart w:id="354" w:name="Tc_EZ6Xkj5od0mTkprGyNRCdw_8_19"/>
      <w:bookmarkStart w:id="355" w:name="Tc_dJijOCRWG0miW87iMCLvwA_8_16"/>
      <w:bookmarkStart w:id="356" w:name="Tc_1H8-RA6S_U-TLSvSgQk-RQ_8_11"/>
      <w:bookmarkStart w:id="357" w:name="Tc__kX4V4D6k0yJ-v1XEjsvOw_8_8"/>
      <w:bookmarkStart w:id="358" w:name="Tc_3rpEnYV-OEankliY25T-Wg_8_5"/>
      <w:bookmarkStart w:id="359" w:name="Tc_tv8-qMHBe0W7iQXPAQa52Q_8_2"/>
      <w:bookmarkStart w:id="360" w:name="Tc_twuprVIyqEaSRbjzNwjM7Q_8_0"/>
      <w:bookmarkStart w:id="361" w:name="Tc_s2sNx6Fhk0aivBeJiwGLfg_7_19"/>
      <w:bookmarkStart w:id="362" w:name="Tc_XbabpiFe6Uy5U6CUeVGH8g_7_16"/>
      <w:bookmarkStart w:id="363" w:name="Tc_77jpdvS5aU2QjYe6uuGJsQ_7_14"/>
      <w:bookmarkStart w:id="364" w:name="Tc_sqgmTSj1h0ig5dBWwGhxkw_7_11"/>
      <w:bookmarkStart w:id="365" w:name="Tc_PY763eiJOEirWZg3y6o7PA_7_0"/>
      <w:bookmarkStart w:id="366" w:name="Tc_1KXNNypw30uGzT8dSW8RxA_6_19"/>
      <w:bookmarkStart w:id="367" w:name="Tc_3y4bNNcqFEebQ1NslcyvWw_6_16"/>
      <w:bookmarkStart w:id="368" w:name="Tc_TQnywVGU8kK4XThlOKQ6NQ_6_14"/>
      <w:bookmarkStart w:id="369" w:name="Tc_efpuB2LC8kOmDbWm6kX7Uw_6_11"/>
      <w:bookmarkStart w:id="370" w:name="Tc_qyQ0J0Wbh02NJototHgHoA_6_5"/>
      <w:bookmarkStart w:id="371" w:name="Tc_ca72egYp3EKXeJpm7bPDQw_6_2"/>
      <w:bookmarkStart w:id="372" w:name="Tc_XrUwFK6ffUmkLkRAk54i8w_6_0"/>
      <w:bookmarkStart w:id="373" w:name="Tc_O_U7AEgXR0muI2gOm_rnZw_4_21"/>
      <w:bookmarkStart w:id="374" w:name="Tc_wqByZzRsw0m4EAngftUGzA_4_18"/>
      <w:bookmarkStart w:id="375" w:name="Tc_Tc_ch_1rZEmwE8VyesDC1Q_4_13"/>
      <w:bookmarkStart w:id="376" w:name="Tc_XUT9uYTtu0moKwLYKrbRSA_4_10"/>
      <w:bookmarkStart w:id="377" w:name="Tc_f6EQE1fNFEGy67SxYozAiQ_4_7"/>
      <w:bookmarkStart w:id="378" w:name="Tc_UQztvbrYTk624A81MEhYVw_4_4"/>
      <w:bookmarkStart w:id="379" w:name="Tc_WfyFGmdezE6Uhw4izECJkA_4_0"/>
      <w:bookmarkStart w:id="380" w:name="Tc_vDMDIgVwlE-ZCOWIBIGudw_3_21"/>
      <w:bookmarkStart w:id="381" w:name="Tc_7XJNG2d7OUCvcXtHUVhNpA_3_18"/>
      <w:bookmarkStart w:id="382" w:name="Tc_nmliajJ0BkiqIwvnw-BW-g_3_16"/>
      <w:bookmarkStart w:id="383" w:name="Tc_KUt7s8r9xES97TXbL4reeg_3_13"/>
      <w:bookmarkStart w:id="384" w:name="Tc_yt_iy_9X2ku8Ax9PQKP8aw_3_10"/>
      <w:bookmarkStart w:id="385" w:name="Tc_-8MImY_1fkWE9XQtAiKv2g_3_7"/>
      <w:bookmarkStart w:id="386" w:name="Tc_9SsD_-PBvUSy3F4rXltwkA_3_4"/>
      <w:bookmarkStart w:id="387" w:name="Tc_ds1vQa97x0u8dEe-ghH4vQ_3_2"/>
      <w:bookmarkStart w:id="388" w:name="Tc_Q3WBDxO6qkSUoLfWRb3Eiw_2_21"/>
      <w:bookmarkStart w:id="389" w:name="Tc_RjCe_efNEk6JnmIx5i_dSQ_2_16"/>
      <w:bookmarkStart w:id="390" w:name="Tc_37eqNzRZjkSalG9pjyQoGA_2_13"/>
      <w:bookmarkStart w:id="391" w:name="Tc_dknA73EE7Umd-JOIc2NpDw_2_10"/>
      <w:bookmarkStart w:id="392" w:name="Tc_GXkat2pOB0idKSd30Nn-Sw_2_7"/>
      <w:bookmarkStart w:id="393" w:name="Tc_PdxKvUBsLUOyTQU3iqBeSg_2_2"/>
      <w:bookmarkStart w:id="394" w:name="Tc_mZw3kBK2JU-VxFnGzrcXXQ_1_21"/>
      <w:bookmarkStart w:id="395" w:name="Tc__Z8fVQQaZkKY-kg0WupGHw_1_13"/>
      <w:bookmarkStart w:id="396" w:name="_f30de4c4_50e8_4b76_95e7_5cf508d24da9"/>
      <w:bookmarkStart w:id="397" w:name="Tc_UtdHUUh0xEepwTZr1bwrSQ_24_21"/>
      <w:bookmarkStart w:id="398" w:name="Tc_nUKmu2_6KUCECtfkIvZTwg_24_18"/>
      <w:bookmarkStart w:id="399" w:name="Tc_egqpJRJR2kmYPWcpCNlnKQ_24_13"/>
      <w:bookmarkStart w:id="400" w:name="Tc_N2r15z-X0Emogh-0R6mJJg_24_10"/>
      <w:bookmarkStart w:id="401" w:name="Tc_dfsRvniL0kGqiMPSaqBkTA_24_7"/>
      <w:bookmarkStart w:id="402" w:name="Tc_gQ2lPfiTpkibGuxGkvq5VA_24_4"/>
      <w:bookmarkStart w:id="403" w:name="Tc_Pl0SyQeTcEijvDPXrYEwoA_24_0"/>
      <w:bookmarkStart w:id="404" w:name="Tc_M25OO5QSMUSr8bYAFyjtlg_22_19"/>
      <w:bookmarkStart w:id="405" w:name="Tc_uHDlHxwdjkKNiGXK87kiYw_22_16"/>
      <w:bookmarkStart w:id="406" w:name="Tc_lqbLfkCvTkCC0joMuLd6Nw_22_14"/>
      <w:bookmarkStart w:id="407" w:name="Tc_KoUVAZefZk2GC69s9fDKBQ_22_8"/>
      <w:bookmarkStart w:id="408" w:name="Tc_HX3dvhpgpUa7Wpkyn15qwQ_22_5"/>
      <w:bookmarkStart w:id="409" w:name="Tc_Rb7WL0wZQU67K5NCrbV3ZA_22_2"/>
      <w:bookmarkStart w:id="410" w:name="Tc_SdiAIJjn5Umc6II1XlxMJw_22_0"/>
      <w:bookmarkStart w:id="411" w:name="Tc_K_ZyfQEOBk-QaBa2Osh2sw_21_19"/>
      <w:bookmarkStart w:id="412" w:name="Tc_enGBvwMbSk61Pxr7F-gfoQ_21_16"/>
      <w:bookmarkStart w:id="413" w:name="Tc_D0j1heJkc0WqpQ-Mj9scAQ_21_11"/>
      <w:bookmarkStart w:id="414" w:name="Tc_AHnSpxxA4UGwyA85o7sOog_21_8"/>
      <w:bookmarkStart w:id="415" w:name="Tc_oUBOiRyvKky5zjFq3DEBOQ_21_5"/>
      <w:bookmarkStart w:id="416" w:name="Tc_ltZrzrvUe0-UVOapWoB-dg_21_2"/>
      <w:bookmarkStart w:id="417" w:name="Tc_qnXDBQDuEUWu3WWI3vX7zQ_21_0"/>
      <w:bookmarkStart w:id="418" w:name="Tc__0rTOs5BQUekwDpuVSTD3g_20_19"/>
      <w:bookmarkStart w:id="419" w:name="Tc_YNqLjJJWMUCTgBmOz99OtQ_20_16"/>
      <w:bookmarkStart w:id="420" w:name="Tc_iN7-2z5VvEiTzJeNfMjohg_20_11"/>
      <w:bookmarkStart w:id="421" w:name="Tc_Y862zQHQoEK3g4ICi8TUfw_20_8"/>
      <w:bookmarkStart w:id="422" w:name="Tc_5Xc2xV6iPEy65huFKA04tQ_20_5"/>
      <w:bookmarkStart w:id="423" w:name="Tc_BjtFmj0pX0-_GP4O0CLzig_20_2"/>
      <w:bookmarkStart w:id="424" w:name="Tc_JlBDqfDQgkuAYW5RRzp9RA_20_0"/>
      <w:bookmarkStart w:id="425" w:name="Tc_CL7CgBaS1Ue-n6K_BC126A_19_14"/>
      <w:bookmarkStart w:id="426" w:name="Tc_0TXtkyKgAk2cb0eQkZYhiA_19_11"/>
      <w:bookmarkStart w:id="427" w:name="Tc_xvu_S5iV5kuk7PHRNEiB9w_19_8"/>
      <w:bookmarkStart w:id="428" w:name="Tc_8jtYwbMvTU2OHE3V7D27cA_19_5"/>
      <w:bookmarkStart w:id="429" w:name="Tc_ZGJF2jEUxU-8q7nSM_Z35Q_19_2"/>
      <w:bookmarkStart w:id="430" w:name="Tc_o9sFt9pSu0OFzK1uIwJnRw_19_0"/>
      <w:bookmarkStart w:id="431" w:name="Tc_nc6MoSE5dk67lP8y0ggjqw_18_19"/>
      <w:bookmarkStart w:id="432" w:name="Tc_6MixW54340qFjKDhwwSo-w_18_16"/>
      <w:bookmarkStart w:id="433" w:name="Tc_d2521UfOd06JXU3HDa_T3A_18_11"/>
      <w:bookmarkStart w:id="434" w:name="Tc_180E-RsHIkiL-ASvkWOTHw_18_8"/>
      <w:bookmarkStart w:id="435" w:name="Tc_bB27kddMT0GmMjN0RfoGFw_18_5"/>
      <w:bookmarkStart w:id="436" w:name="Tc_CA8GY2foIEWdcNcsdtkHow_18_2"/>
      <w:bookmarkStart w:id="437" w:name="Tc__PnTQcKE-0q3JK-cRNXM8Q_18_0"/>
      <w:bookmarkStart w:id="438" w:name="Tc_TcaNP8aRGk-yGNLjiI_1Fg_17_19"/>
      <w:bookmarkStart w:id="439" w:name="Tc_kYyNpatvPka3BWUTJ7yZlg_17_16"/>
      <w:bookmarkStart w:id="440" w:name="Tc_yBnEHFYswUqFWxnIjdnltA_17_14"/>
      <w:bookmarkStart w:id="441" w:name="Tc_oL9bVAtyoka-5H9oWukrzQ_17_11"/>
      <w:bookmarkStart w:id="442" w:name="Tc_md1e87VrlECubm4aDglv3Q_17_0"/>
      <w:bookmarkStart w:id="443" w:name="Tc_d7OQhmXMwEC_abS9xeia3g_16_19"/>
      <w:bookmarkStart w:id="444" w:name="Tc_VU8_8qXE_kWDlqZ7geMvdQ_16_16"/>
      <w:bookmarkStart w:id="445" w:name="Tc_qQnAEdYCvUekUBePAGts5w_16_14"/>
      <w:bookmarkStart w:id="446" w:name="Tc_rrvhLAWQbEWXNLPCQD3sRA_16_11"/>
      <w:bookmarkStart w:id="447" w:name="Tc_w7Do27TVTEGi7FlfUfSyoA_16_5"/>
      <w:bookmarkStart w:id="448" w:name="Tc_vn4HT07aCkq8vQi74FgqcA_16_2"/>
      <w:bookmarkStart w:id="449" w:name="Tc_dcGnyj65Ok6h3bVZUrzLCA_16_0"/>
      <w:bookmarkStart w:id="450" w:name="Tc_tV-s7jXFkU6brIiu12wxUQ_14_21"/>
      <w:bookmarkStart w:id="451" w:name="Tc_oQl28jdKlECAOWT_G2-lMg_14_18"/>
      <w:bookmarkStart w:id="452" w:name="Tc_I6UYAsuYZUiZSyIl2cTiNg_14_13"/>
      <w:bookmarkStart w:id="453" w:name="Tc_5QZnFcakj0GaH4wDaPIMOw_14_10"/>
      <w:bookmarkStart w:id="454" w:name="Tc_TWkxgvc5EUiKC0s1MAideQ_14_7"/>
      <w:bookmarkStart w:id="455" w:name="Tc_7DQZkFAhCUimVSgYXKmg9g_14_4"/>
      <w:bookmarkStart w:id="456" w:name="Tc_E5yKHoR_HkSDrO7TltCwRw_14_0"/>
      <w:bookmarkStart w:id="457" w:name="Tc_clcYRwNTJEa_HqCQoLfmmg_12_19"/>
      <w:bookmarkStart w:id="458" w:name="Tc_BWHgBVcKxEuaU9o0I4mnqg_12_16"/>
      <w:bookmarkStart w:id="459" w:name="Tc_WDMt1uOS9ESWLrnKRMPlmg_12_14"/>
      <w:bookmarkStart w:id="460" w:name="Tc_0FUWDHalmUaPcceFMkuXtA_12_8"/>
      <w:bookmarkStart w:id="461" w:name="Tc_EAYY_FXsnUK-UGujTBf-Wg_12_5"/>
      <w:bookmarkStart w:id="462" w:name="Tc_EN-SIMksA0-zkch-suFStg_12_2"/>
      <w:bookmarkStart w:id="463" w:name="Tc_vUJ1WLzStkOPli60KWKjzQ_12_0"/>
      <w:bookmarkStart w:id="464" w:name="Tc_rQKPmxLu_ESOHFPQuXUXyQ_11_19"/>
      <w:bookmarkStart w:id="465" w:name="Tc_Wq3beK_LhESAEr6XGix-qA_11_16"/>
      <w:bookmarkStart w:id="466" w:name="Tc_j_wI_GyvQUWYFdqjYrI71A_11_11"/>
      <w:bookmarkStart w:id="467" w:name="Tc_RvKylF23NUWknsM29Jwxng_11_8"/>
      <w:bookmarkStart w:id="468" w:name="Tc_MxWxHITxVUqkFx8hi66Ujw_11_5"/>
      <w:bookmarkStart w:id="469" w:name="Tc_GnAD8o1n0EubrIzM10QV-Q_11_2"/>
      <w:bookmarkStart w:id="470" w:name="Tc_A6Hu9QmnxkKsz-qi3NSHZA_11_0"/>
      <w:bookmarkStart w:id="471" w:name="Tc_Pc3xN6s2t0C8Fmc_HJgOsg_10_19"/>
      <w:bookmarkStart w:id="472" w:name="Tc_x8ojKvNxpEiGeQvIGdH09w_10_16"/>
      <w:bookmarkStart w:id="473" w:name="Tc_U9QE8IfWdkiYMX0HxXQ-Rg_10_11"/>
      <w:bookmarkStart w:id="474" w:name="Tc_BHLzQQhZi0unI6tOIZMdow_10_8"/>
      <w:bookmarkStart w:id="475" w:name="Tc_jMbiKlBqhkWSAGGhBJYItw_10_5"/>
      <w:bookmarkStart w:id="476" w:name="Tc__B7y_T9YME67DlamI8_HRg_10_2"/>
      <w:bookmarkStart w:id="477" w:name="Tc_ByLDYWEXiEOPfoJXlrGoRg_10_0"/>
      <w:bookmarkStart w:id="478" w:name="Tc_XCMdRNI470qmAowplbb7EA_9_14"/>
      <w:bookmarkStart w:id="479" w:name="Tc_sVyWiSN670K-bLRh1CMIng_9_11"/>
      <w:bookmarkStart w:id="480" w:name="Tc_dvtLawKAkk2e6rDuXI8OTg_9_8"/>
      <w:bookmarkStart w:id="481" w:name="Tc_BBQqtyKTM0ejEiaaQhGTxg_9_5"/>
      <w:bookmarkStart w:id="482" w:name="Tc_fxjA_nW9yk-LaEWi8H-WxA_9_2"/>
      <w:bookmarkStart w:id="483" w:name="Tc_aDzMGf7uhUuINnt2BHpOrw_9_0"/>
      <w:bookmarkStart w:id="484" w:name="Tc_EZ6Xkj5od0mTkprGyNRCdw_8_19"/>
      <w:bookmarkStart w:id="485" w:name="Tc_dJijOCRWG0miW87iMCLvwA_8_16"/>
      <w:bookmarkStart w:id="486" w:name="Tc_1H8-RA6S_U-TLSvSgQk-RQ_8_11"/>
      <w:bookmarkStart w:id="487" w:name="Tc__kX4V4D6k0yJ-v1XEjsvOw_8_8"/>
      <w:bookmarkStart w:id="488" w:name="Tc_3rpEnYV-OEankliY25T-Wg_8_5"/>
      <w:bookmarkStart w:id="489" w:name="Tc_tv8-qMHBe0W7iQXPAQa52Q_8_2"/>
      <w:bookmarkStart w:id="490" w:name="Tc_twuprVIyqEaSRbjzNwjM7Q_8_0"/>
      <w:bookmarkStart w:id="491" w:name="Tc_s2sNx6Fhk0aivBeJiwGLfg_7_19"/>
      <w:bookmarkStart w:id="492" w:name="Tc_XbabpiFe6Uy5U6CUeVGH8g_7_16"/>
      <w:bookmarkStart w:id="493" w:name="Tc_77jpdvS5aU2QjYe6uuGJsQ_7_14"/>
      <w:bookmarkStart w:id="494" w:name="Tc_sqgmTSj1h0ig5dBWwGhxkw_7_11"/>
      <w:bookmarkStart w:id="495" w:name="Tc_PY763eiJOEirWZg3y6o7PA_7_0"/>
      <w:bookmarkStart w:id="496" w:name="Tc_1KXNNypw30uGzT8dSW8RxA_6_19"/>
      <w:bookmarkStart w:id="497" w:name="Tc_3y4bNNcqFEebQ1NslcyvWw_6_16"/>
      <w:bookmarkStart w:id="498" w:name="Tc_TQnywVGU8kK4XThlOKQ6NQ_6_14"/>
      <w:bookmarkStart w:id="499" w:name="Tc_efpuB2LC8kOmDbWm6kX7Uw_6_11"/>
      <w:bookmarkStart w:id="500" w:name="Tc_qyQ0J0Wbh02NJototHgHoA_6_5"/>
      <w:bookmarkStart w:id="501" w:name="Tc_ca72egYp3EKXeJpm7bPDQw_6_2"/>
      <w:bookmarkStart w:id="502" w:name="Tc_XrUwFK6ffUmkLkRAk54i8w_6_0"/>
      <w:bookmarkStart w:id="503" w:name="Tc_O_U7AEgXR0muI2gOm_rnZw_4_21"/>
      <w:bookmarkStart w:id="504" w:name="Tc_wqByZzRsw0m4EAngftUGzA_4_18"/>
      <w:bookmarkStart w:id="505" w:name="Tc_Tc_ch_1rZEmwE8VyesDC1Q_4_13"/>
      <w:bookmarkStart w:id="506" w:name="Tc_XUT9uYTtu0moKwLYKrbRSA_4_10"/>
      <w:bookmarkStart w:id="507" w:name="Tc_f6EQE1fNFEGy67SxYozAiQ_4_7"/>
      <w:bookmarkStart w:id="508" w:name="Tc_UQztvbrYTk624A81MEhYVw_4_4"/>
      <w:bookmarkStart w:id="509" w:name="Tc_WfyFGmdezE6Uhw4izECJkA_4_0"/>
      <w:bookmarkStart w:id="510" w:name="Tc_vDMDIgVwlE-ZCOWIBIGudw_3_21"/>
      <w:bookmarkStart w:id="511" w:name="Tc_7XJNG2d7OUCvcXtHUVhNpA_3_18"/>
      <w:bookmarkStart w:id="512" w:name="Tc_nmliajJ0BkiqIwvnw-BW-g_3_16"/>
      <w:bookmarkStart w:id="513" w:name="Tc_KUt7s8r9xES97TXbL4reeg_3_13"/>
      <w:bookmarkStart w:id="514" w:name="Tc_yt_iy_9X2ku8Ax9PQKP8aw_3_10"/>
      <w:bookmarkStart w:id="515" w:name="Tc_-8MImY_1fkWE9XQtAiKv2g_3_7"/>
      <w:bookmarkStart w:id="516" w:name="Tc_9SsD_-PBvUSy3F4rXltwkA_3_4"/>
      <w:bookmarkStart w:id="517" w:name="Tc_ds1vQa97x0u8dEe-ghH4vQ_3_2"/>
      <w:bookmarkStart w:id="518" w:name="Tc_Q3WBDxO6qkSUoLfWRb3Eiw_2_21"/>
      <w:bookmarkStart w:id="519" w:name="Tc_RjCe_efNEk6JnmIx5i_dSQ_2_16"/>
      <w:bookmarkStart w:id="520" w:name="Tc_37eqNzRZjkSalG9pjyQoGA_2_13"/>
      <w:bookmarkStart w:id="521" w:name="Tc_dknA73EE7Umd-JOIc2NpDw_2_10"/>
      <w:bookmarkStart w:id="522" w:name="Tc_GXkat2pOB0idKSd30Nn-Sw_2_7"/>
      <w:bookmarkStart w:id="523" w:name="Tc_PdxKvUBsLUOyTQU3iqBeSg_2_2"/>
      <w:bookmarkStart w:id="524" w:name="Tc_mZw3kBK2JU-VxFnGzrcXXQ_1_21"/>
      <w:bookmarkStart w:id="525" w:name="Tc__Z8fVQQaZkKY-kg0WupGHw_1_13"/>
      <w:bookmarkStart w:id="526" w:name="_f30de4c4_50e8_4b76_95e7_5cf508d24da9"/>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tbl>
      <w:tblPr>
        <w:tblW w:w="1187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2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838835" cy="175260"/>
                      <wp:effectExtent l="0" t="0" r="0" b="0"/>
                      <wp:wrapNone/>
                      <wp:docPr id="36" name="Frame3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4510" cy="175260"/>
                      <wp:effectExtent l="0" t="0" r="0" b="0"/>
                      <wp:wrapNone/>
                      <wp:docPr id="38" name="Frame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24485" cy="175260"/>
                      <wp:effectExtent l="0" t="0" r="0" b="0"/>
                      <wp:wrapNone/>
                      <wp:docPr id="41" name="Frame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7955" cy="175260"/>
                      <wp:effectExtent l="0" t="0" r="0" b="0"/>
                      <wp:wrapNone/>
                      <wp:docPr id="43" name="Frame4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24205" cy="175260"/>
                      <wp:effectExtent l="0" t="0" r="0" b="0"/>
                      <wp:wrapNone/>
                      <wp:docPr id="44" name="Frame44"/>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4510" cy="175260"/>
                      <wp:effectExtent l="0" t="0" r="0" b="0"/>
                      <wp:wrapNone/>
                      <wp:docPr id="47" name="Frame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0660" cy="175260"/>
                      <wp:effectExtent l="0" t="0" r="0" b="0"/>
                      <wp:wrapNone/>
                      <wp:docPr id="49" name="Frame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71500" cy="175260"/>
                      <wp:effectExtent l="0" t="0" r="0" b="0"/>
                      <wp:wrapNone/>
                      <wp:docPr id="50" name="Frame5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76885" cy="175260"/>
                      <wp:effectExtent l="0" t="0" r="0" b="0"/>
                      <wp:wrapNone/>
                      <wp:docPr id="52" name="Frame5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5" name="Frame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91185" cy="175260"/>
                      <wp:effectExtent l="0" t="0" r="0" b="0"/>
                      <wp:wrapNone/>
                      <wp:docPr id="58" name="Frame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1,122,592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5,613</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4,975,115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5,939,736</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(125,337)</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(2,566,383)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8,228,744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38,392</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 (loss) on commodity derivatives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1,124,870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5,624</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5,034,948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6,381,785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(157,940)</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(2,686,628)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8,577,789</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19,645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19,645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(3,145,817)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(3,145,817)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(31,104)</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 (loss) on commodity derivatives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6,205</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425,369</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425,369</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5,627</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5,068,291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6,807,154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(182,304)</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(141,950)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(5,832,445)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5,866,323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7" w:name="Tc_q_aM1NHVK0Wxv_vm2gkWlQ_24_21"/>
      <w:bookmarkStart w:id="528" w:name="Tc_263oPqzKB0S7VZ3qBFPDJA_24_18"/>
      <w:bookmarkStart w:id="529" w:name="Tc_ayJN3bhDcUiegCZ6inPZhA_24_13"/>
      <w:bookmarkStart w:id="530" w:name="Tc_oTOz88zddkqsIMjCOJ0b3g_24_10"/>
      <w:bookmarkStart w:id="531" w:name="Tc_HuXYmnfCbkmRHZpSXxizng_24_7"/>
      <w:bookmarkStart w:id="532" w:name="Tc_5IvTyJM1NE-NYfwjdi8Pmg_24_4"/>
      <w:bookmarkStart w:id="533" w:name="Tc_1ZUZuTq7Xk6459rtGBq5dw_24_0"/>
      <w:bookmarkStart w:id="534" w:name="Tc_nFW-b4yJPUGiX00o19l1zg_22_19"/>
      <w:bookmarkStart w:id="535" w:name="Tc_cxy89pUChUKjUoHqUs6-qQ_22_16"/>
      <w:bookmarkStart w:id="536" w:name="Tc_Spqfc24q10a-jEpk9qewaw_22_14"/>
      <w:bookmarkStart w:id="537" w:name="Tc_Ho2y5hsGxU26SIgpLAcyCg_22_8"/>
      <w:bookmarkStart w:id="538" w:name="Tc__kfbIQIjt0iHkd7l9N6EFQ_22_5"/>
      <w:bookmarkStart w:id="539" w:name="Tc_YufXBqeVc0im4EEubYKcFQ_22_2"/>
      <w:bookmarkStart w:id="540" w:name="Tc_srqdP76vGUq3VdoygVEoyw_22_0"/>
      <w:bookmarkStart w:id="541" w:name="Tc_rOKr1bKRd0Wa0Er_Hm9Z_Q_21_19"/>
      <w:bookmarkStart w:id="542" w:name="Tc_QwBYlY7rgES-_mTAbpt8eg_21_16"/>
      <w:bookmarkStart w:id="543" w:name="Tc_1UfRnOOD9UWffn-ccCMJ1Q_21_11"/>
      <w:bookmarkStart w:id="544" w:name="Tc_6VZ81yOTPEOIfmMObLfMnQ_21_8"/>
      <w:bookmarkStart w:id="545" w:name="Tc_K0NINgKI2Ee9ON1zYvI-ww_21_5"/>
      <w:bookmarkStart w:id="546" w:name="Tc_ikbKciPvbkKXDVUzqSEeqw_21_2"/>
      <w:bookmarkStart w:id="547" w:name="Tc_9h-Ffcleck-N35KdVfjW4A_21_0"/>
      <w:bookmarkStart w:id="548" w:name="Tc_vuZr7yoU_UuxKP8DI4jHSA_20_19"/>
      <w:bookmarkStart w:id="549" w:name="Tc_a8yM-bJw106MTrEczEkTKg_20_16"/>
      <w:bookmarkStart w:id="550" w:name="Tc_iykmIn4PH0qxX38x4r_OyQ_20_11"/>
      <w:bookmarkStart w:id="551" w:name="Tc_W3X0SS_hPkivl7VUvcVhxg_20_8"/>
      <w:bookmarkStart w:id="552" w:name="Tc_N3-j_rcVd0Gtfd_VGLeHLA_20_5"/>
      <w:bookmarkStart w:id="553" w:name="Tc__bsQHw3NEUODuonn0KRb0A_20_2"/>
      <w:bookmarkStart w:id="554" w:name="Tc_nz-xwogkSUqKJjUgpZtA8A_20_0"/>
      <w:bookmarkStart w:id="555" w:name="Tc_oh-PYX2ewUujELijFeWLCw_19_14"/>
      <w:bookmarkStart w:id="556" w:name="Tc_7pP100czJkqQiB8W-4oXnA_19_11"/>
      <w:bookmarkStart w:id="557" w:name="Tc_tJkkMcdsKkqJAk2hFvAlig_19_8"/>
      <w:bookmarkStart w:id="558" w:name="Tc_55fTNSPRB0OFKFrmc3UFeA_19_5"/>
      <w:bookmarkStart w:id="559" w:name="Tc_aSlyckUaZEeoJl0NR-xZ9A_19_2"/>
      <w:bookmarkStart w:id="560" w:name="Tc_8ER4tHxlG06FtVfzTq_WvA_19_0"/>
      <w:bookmarkStart w:id="561" w:name="Tc_fprQ2eTu7UaP-jNH0SwbDQ_18_19"/>
      <w:bookmarkStart w:id="562" w:name="Tc_Aa7Is2L0IU2JiFHb9n5XQQ_18_16"/>
      <w:bookmarkStart w:id="563" w:name="Tc_zpj8V7yZEUuOTEbs0ITZBA_18_11"/>
      <w:bookmarkStart w:id="564" w:name="Tc_om9nPF_nCkSj099R4cozvg_18_8"/>
      <w:bookmarkStart w:id="565" w:name="Tc_DniRSNRrJEGCMLzrN5er1g_18_5"/>
      <w:bookmarkStart w:id="566" w:name="Tc_XmTgAlCv0k6D-hVuday3kQ_18_2"/>
      <w:bookmarkStart w:id="567" w:name="Tc_iAHQJN8DmUyLuWHC0loz5w_18_0"/>
      <w:bookmarkStart w:id="568" w:name="Tc_WbCpMijGoE2WVVWW-cuhOQ_17_19"/>
      <w:bookmarkStart w:id="569" w:name="Tc_YMo1mQbOxUKmAiAxeTnfyA_17_16"/>
      <w:bookmarkStart w:id="570" w:name="Tc_7Ek9_zTngUeiy0ce7WiH7w_17_14"/>
      <w:bookmarkStart w:id="571" w:name="Tc_FrfCoWSaY0WVMeOh1dKBVg_17_11"/>
      <w:bookmarkStart w:id="572" w:name="Tc_4SIAxDjjXkqBT3-VseVAcg_17_0"/>
      <w:bookmarkStart w:id="573" w:name="Tc_lfnyysumi0OddjJnVGrYGg_16_19"/>
      <w:bookmarkStart w:id="574" w:name="Tc_qQiX6F5rDU235_2VpSYSzg_16_16"/>
      <w:bookmarkStart w:id="575" w:name="Tc_hz17DrNSEkGN5WKkQv70-w_16_14"/>
      <w:bookmarkStart w:id="576" w:name="Tc_81PlCKv16UOy-cRacB-lNA_16_11"/>
      <w:bookmarkStart w:id="577" w:name="Tc_caFyjp1j50aLjNWUbh7pvw_16_5"/>
      <w:bookmarkStart w:id="578" w:name="Tc_bvLKnDVL-ECFBSMvTsxyIw_16_2"/>
      <w:bookmarkStart w:id="579" w:name="Tc_b6p13RwOI0ynS0-aIxabrQ_16_0"/>
      <w:bookmarkStart w:id="580" w:name="Tc_AYxc7lYomUuxWE5pVdJqJQ_14_21"/>
      <w:bookmarkStart w:id="581" w:name="Tc_ugwHl18C4katihTctpPZIA_14_18"/>
      <w:bookmarkStart w:id="582" w:name="Tc_T4KvBYHCFU6gzKarHLWZcA_14_13"/>
      <w:bookmarkStart w:id="583" w:name="Tc_uLPJG1XC6EqeGyaGRi8gMQ_14_10"/>
      <w:bookmarkStart w:id="584" w:name="Tc_Yads2Ndn-0iifMkR-6A4-A_14_7"/>
      <w:bookmarkStart w:id="585" w:name="Tc_MWTT8b-r8k-HN4BZIUSiUQ_14_4"/>
      <w:bookmarkStart w:id="586" w:name="Tc_EO1Y6haY4ku3qDUH0il4AQ_14_0"/>
      <w:bookmarkStart w:id="587" w:name="Tc_UlBSj291qE2p_0wlGTSImA_12_19"/>
      <w:bookmarkStart w:id="588" w:name="Tc_mfvrr9NAKkiGCmQ3ts20PQ_12_16"/>
      <w:bookmarkStart w:id="589" w:name="Tc_AFTQDaeLkEW5Vq7xdxiv4Q_12_14"/>
      <w:bookmarkStart w:id="590" w:name="Tc_1jm-zVSX1UClSIEmb1D4Pw_12_8"/>
      <w:bookmarkStart w:id="591" w:name="Tc_TCXX3yJWsUWeOSK7HHD9QA_12_5"/>
      <w:bookmarkStart w:id="592" w:name="Tc_soKQiZhFdE6BzJPh9VSH7w_12_2"/>
      <w:bookmarkStart w:id="593" w:name="Tc_xMws_saQdEWzhw_4OLIRTA_12_0"/>
      <w:bookmarkStart w:id="594" w:name="Tc_Z1rdGY0MrkKI4fumfc4Hug_11_19"/>
      <w:bookmarkStart w:id="595" w:name="Tc_okdApV22dke4oQs1lSDO9g_11_16"/>
      <w:bookmarkStart w:id="596" w:name="Tc_89A4MQQa7E6_AoVr_grHag_11_11"/>
      <w:bookmarkStart w:id="597" w:name="Tc_0S5LUf3VrU-VlKgsN-ZBVQ_11_8"/>
      <w:bookmarkStart w:id="598" w:name="Tc_KpgvS2zicEuHISFGsFKd3A_11_5"/>
      <w:bookmarkStart w:id="599" w:name="Tc_6SYM6HUG40SIfMDjEBYTWg_11_2"/>
      <w:bookmarkStart w:id="600" w:name="Tc_faymewY6EE-2XeJGjjdfcw_11_0"/>
      <w:bookmarkStart w:id="601" w:name="Tc_wRmGRY-TVkywTGUWFR_e_A_10_22"/>
      <w:bookmarkStart w:id="602" w:name="Tc_Ohi-63pYtEKHWrJc1OcV1A_10_14"/>
      <w:bookmarkStart w:id="603" w:name="Tc_xJDrZAncUUCGNjXJnP7SoA_10_0"/>
      <w:bookmarkStart w:id="604" w:name="Tc_pVynJfd_pUuladoJ7-rRzQ_9_14"/>
      <w:bookmarkStart w:id="605" w:name="Tc_Dp9nP0PYRUmmcGRZgMLXHA_9_11"/>
      <w:bookmarkStart w:id="606" w:name="Tc_c22t0zAD4UqKM1vG6cB1Ag_9_8"/>
      <w:bookmarkStart w:id="607" w:name="Tc_VRHeRG0Y5U6ZcAyTmjgBYA_9_5"/>
      <w:bookmarkStart w:id="608" w:name="Tc_CXzVQ2ESiU2eeNKEUvuURg_9_2"/>
      <w:bookmarkStart w:id="609" w:name="Tc_IeJH40D4CEmaRYpQrFTVvg_9_0"/>
      <w:bookmarkStart w:id="610" w:name="Tc_F1N8l_DukEqhnG4MUEf_Mw_8_19"/>
      <w:bookmarkStart w:id="611" w:name="Tc_MsoAod045UGPb5GS4UShAA_8_16"/>
      <w:bookmarkStart w:id="612" w:name="Tc_ltMGdYMKFESYltCQIrckUA_8_11"/>
      <w:bookmarkStart w:id="613" w:name="Tc_r191D0RnU0uP85RJ4DTE0Q_8_8"/>
      <w:bookmarkStart w:id="614" w:name="Tc_mb-x77JNt0Wwy9i0mWChBw_8_5"/>
      <w:bookmarkStart w:id="615" w:name="Tc_HhJolqZF10-7p_s0918BYA_8_2"/>
      <w:bookmarkStart w:id="616" w:name="Tc_i2N6OCqke0mrIO1uYJ8CaA_8_0"/>
      <w:bookmarkStart w:id="617" w:name="Tc_EFS8NGdTlEyhzhMKmbPczg_7_19"/>
      <w:bookmarkStart w:id="618" w:name="Tc_gXcimXv_v0iSjLGK7vIk2Q_7_16"/>
      <w:bookmarkStart w:id="619" w:name="Tc_uAdondRJH0uMT2Xv79qe6Q_7_14"/>
      <w:bookmarkStart w:id="620" w:name="Tc_3e_9hNY_tkKHc9zXweCd1Q_7_11"/>
      <w:bookmarkStart w:id="621" w:name="Tc_0gXZ7h8IQ02CGjUGLONEBg_7_0"/>
      <w:bookmarkStart w:id="622" w:name="Tc_PyLN8Vz5UUGdLn38_7Oqmg_6_19"/>
      <w:bookmarkStart w:id="623" w:name="Tc_D4LML9R93Uq6ajJZNslBIw_6_16"/>
      <w:bookmarkStart w:id="624" w:name="Tc_K6iaymF2V0uwOXaEJGWUlA_6_14"/>
      <w:bookmarkStart w:id="625" w:name="Tc_Hefo3tn0JUiSyeFDyMQb8g_6_11"/>
      <w:bookmarkStart w:id="626" w:name="Tc_JRKcfFyVDUCWN1-O3yuiaQ_6_5"/>
      <w:bookmarkStart w:id="627" w:name="Tc_ZuSvGJIvQUK8krMeq0dP-A_6_2"/>
      <w:bookmarkStart w:id="628" w:name="Tc_RUJWC4upcUiPo7w7X4psDw_6_0"/>
      <w:bookmarkStart w:id="629" w:name="Tc_4m3ISexOT0ydN9_tZWl21A_4_21"/>
      <w:bookmarkStart w:id="630" w:name="Tc_MbgVP3nc-UiXTjseB_yyvg_4_18"/>
      <w:bookmarkStart w:id="631" w:name="Tc_qfr3YW2MlE-gLN-pN8-rKg_4_13"/>
      <w:bookmarkStart w:id="632" w:name="Tc_T7aQowNWHkm2iTEAHoFoFw_4_10"/>
      <w:bookmarkStart w:id="633" w:name="Tc_e4uvg-joLEmiDb_vzDCPPQ_4_7"/>
      <w:bookmarkStart w:id="634" w:name="Tc_xkx9cqXzxkSwjotXN47gVg_4_4"/>
      <w:bookmarkStart w:id="635" w:name="Tc_-_O5hvKnwUSz3XuqEFqJVA_4_0"/>
      <w:bookmarkStart w:id="636" w:name="Tc_PJ5TxiArbEG_KJjWZNZItw_3_21"/>
      <w:bookmarkStart w:id="637" w:name="Tc_Q3M2_KzEWEKgOS_3QzTa9g_3_18"/>
      <w:bookmarkStart w:id="638" w:name="Tc_gJrGnfjZHk2JxpPv_V51TA_3_16"/>
      <w:bookmarkStart w:id="639" w:name="Tc_KJh7Rw247kGKprj-inh3CQ_3_13"/>
      <w:bookmarkStart w:id="640" w:name="Tc_dUSA5fhHoES5L3eQs2jNHQ_3_10"/>
      <w:bookmarkStart w:id="641" w:name="Tc_eL-w71yCOESTncKQbl11bQ_3_7"/>
      <w:bookmarkStart w:id="642" w:name="Tc_6NkcuSN7-E6c1CZGlD7QZw_3_4"/>
      <w:bookmarkStart w:id="643" w:name="Tc_TQ5wifqZzkaAHPIc8lYWCQ_3_2"/>
      <w:bookmarkStart w:id="644" w:name="Tc_RZQFtvkQIEmbVJWPlKjl_A_2_21"/>
      <w:bookmarkStart w:id="645" w:name="Tc_foyJFUKze0Wc-A_1tyw63A_2_16"/>
      <w:bookmarkStart w:id="646" w:name="Tc_SI6vr-T79Eq4FyvNWV1xng_2_13"/>
      <w:bookmarkStart w:id="647" w:name="Tc__XoI7J_Ghkmns0i0a_BoKQ_2_10"/>
      <w:bookmarkStart w:id="648" w:name="Tc_iOjmDqvWPkyJ_BxyWKGfeA_2_7"/>
      <w:bookmarkStart w:id="649" w:name="Tc_hAPO9W2P_k2_msvSgNqPqg_2_2"/>
      <w:bookmarkStart w:id="650" w:name="Tc_8pAMKVyBNUGJJTqcRHL-oA_1_21"/>
      <w:bookmarkStart w:id="651" w:name="Tc_OBuFjzP9A0Wo68wEJnRxAQ_1_13"/>
      <w:bookmarkStart w:id="652" w:name="_7a4560e4_7e00_4866_9e2e_3d3fd636dbde"/>
      <w:bookmarkStart w:id="653" w:name="Tc_q_aM1NHVK0Wxv_vm2gkWlQ_24_21"/>
      <w:bookmarkStart w:id="654" w:name="Tc_263oPqzKB0S7VZ3qBFPDJA_24_18"/>
      <w:bookmarkStart w:id="655" w:name="Tc_ayJN3bhDcUiegCZ6inPZhA_24_13"/>
      <w:bookmarkStart w:id="656" w:name="Tc_oTOz88zddkqsIMjCOJ0b3g_24_10"/>
      <w:bookmarkStart w:id="657" w:name="Tc_HuXYmnfCbkmRHZpSXxizng_24_7"/>
      <w:bookmarkStart w:id="658" w:name="Tc_5IvTyJM1NE-NYfwjdi8Pmg_24_4"/>
      <w:bookmarkStart w:id="659" w:name="Tc_1ZUZuTq7Xk6459rtGBq5dw_24_0"/>
      <w:bookmarkStart w:id="660" w:name="Tc_nFW-b4yJPUGiX00o19l1zg_22_19"/>
      <w:bookmarkStart w:id="661" w:name="Tc_cxy89pUChUKjUoHqUs6-qQ_22_16"/>
      <w:bookmarkStart w:id="662" w:name="Tc_Spqfc24q10a-jEpk9qewaw_22_14"/>
      <w:bookmarkStart w:id="663" w:name="Tc_Ho2y5hsGxU26SIgpLAcyCg_22_8"/>
      <w:bookmarkStart w:id="664" w:name="Tc__kfbIQIjt0iHkd7l9N6EFQ_22_5"/>
      <w:bookmarkStart w:id="665" w:name="Tc_YufXBqeVc0im4EEubYKcFQ_22_2"/>
      <w:bookmarkStart w:id="666" w:name="Tc_srqdP76vGUq3VdoygVEoyw_22_0"/>
      <w:bookmarkStart w:id="667" w:name="Tc_rOKr1bKRd0Wa0Er_Hm9Z_Q_21_19"/>
      <w:bookmarkStart w:id="668" w:name="Tc_QwBYlY7rgES-_mTAbpt8eg_21_16"/>
      <w:bookmarkStart w:id="669" w:name="Tc_1UfRnOOD9UWffn-ccCMJ1Q_21_11"/>
      <w:bookmarkStart w:id="670" w:name="Tc_6VZ81yOTPEOIfmMObLfMnQ_21_8"/>
      <w:bookmarkStart w:id="671" w:name="Tc_K0NINgKI2Ee9ON1zYvI-ww_21_5"/>
      <w:bookmarkStart w:id="672" w:name="Tc_ikbKciPvbkKXDVUzqSEeqw_21_2"/>
      <w:bookmarkStart w:id="673" w:name="Tc_9h-Ffcleck-N35KdVfjW4A_21_0"/>
      <w:bookmarkStart w:id="674" w:name="Tc_vuZr7yoU_UuxKP8DI4jHSA_20_19"/>
      <w:bookmarkStart w:id="675" w:name="Tc_a8yM-bJw106MTrEczEkTKg_20_16"/>
      <w:bookmarkStart w:id="676" w:name="Tc_iykmIn4PH0qxX38x4r_OyQ_20_11"/>
      <w:bookmarkStart w:id="677" w:name="Tc_W3X0SS_hPkivl7VUvcVhxg_20_8"/>
      <w:bookmarkStart w:id="678" w:name="Tc_N3-j_rcVd0Gtfd_VGLeHLA_20_5"/>
      <w:bookmarkStart w:id="679" w:name="Tc__bsQHw3NEUODuonn0KRb0A_20_2"/>
      <w:bookmarkStart w:id="680" w:name="Tc_nz-xwogkSUqKJjUgpZtA8A_20_0"/>
      <w:bookmarkStart w:id="681" w:name="Tc_oh-PYX2ewUujELijFeWLCw_19_14"/>
      <w:bookmarkStart w:id="682" w:name="Tc_7pP100czJkqQiB8W-4oXnA_19_11"/>
      <w:bookmarkStart w:id="683" w:name="Tc_tJkkMcdsKkqJAk2hFvAlig_19_8"/>
      <w:bookmarkStart w:id="684" w:name="Tc_55fTNSPRB0OFKFrmc3UFeA_19_5"/>
      <w:bookmarkStart w:id="685" w:name="Tc_aSlyckUaZEeoJl0NR-xZ9A_19_2"/>
      <w:bookmarkStart w:id="686" w:name="Tc_8ER4tHxlG06FtVfzTq_WvA_19_0"/>
      <w:bookmarkStart w:id="687" w:name="Tc_fprQ2eTu7UaP-jNH0SwbDQ_18_19"/>
      <w:bookmarkStart w:id="688" w:name="Tc_Aa7Is2L0IU2JiFHb9n5XQQ_18_16"/>
      <w:bookmarkStart w:id="689" w:name="Tc_zpj8V7yZEUuOTEbs0ITZBA_18_11"/>
      <w:bookmarkStart w:id="690" w:name="Tc_om9nPF_nCkSj099R4cozvg_18_8"/>
      <w:bookmarkStart w:id="691" w:name="Tc_DniRSNRrJEGCMLzrN5er1g_18_5"/>
      <w:bookmarkStart w:id="692" w:name="Tc_XmTgAlCv0k6D-hVuday3kQ_18_2"/>
      <w:bookmarkStart w:id="693" w:name="Tc_iAHQJN8DmUyLuWHC0loz5w_18_0"/>
      <w:bookmarkStart w:id="694" w:name="Tc_WbCpMijGoE2WVVWW-cuhOQ_17_19"/>
      <w:bookmarkStart w:id="695" w:name="Tc_YMo1mQbOxUKmAiAxeTnfyA_17_16"/>
      <w:bookmarkStart w:id="696" w:name="Tc_7Ek9_zTngUeiy0ce7WiH7w_17_14"/>
      <w:bookmarkStart w:id="697" w:name="Tc_FrfCoWSaY0WVMeOh1dKBVg_17_11"/>
      <w:bookmarkStart w:id="698" w:name="Tc_4SIAxDjjXkqBT3-VseVAcg_17_0"/>
      <w:bookmarkStart w:id="699" w:name="Tc_lfnyysumi0OddjJnVGrYGg_16_19"/>
      <w:bookmarkStart w:id="700" w:name="Tc_qQiX6F5rDU235_2VpSYSzg_16_16"/>
      <w:bookmarkStart w:id="701" w:name="Tc_hz17DrNSEkGN5WKkQv70-w_16_14"/>
      <w:bookmarkStart w:id="702" w:name="Tc_81PlCKv16UOy-cRacB-lNA_16_11"/>
      <w:bookmarkStart w:id="703" w:name="Tc_caFyjp1j50aLjNWUbh7pvw_16_5"/>
      <w:bookmarkStart w:id="704" w:name="Tc_bvLKnDVL-ECFBSMvTsxyIw_16_2"/>
      <w:bookmarkStart w:id="705" w:name="Tc_b6p13RwOI0ynS0-aIxabrQ_16_0"/>
      <w:bookmarkStart w:id="706" w:name="Tc_AYxc7lYomUuxWE5pVdJqJQ_14_21"/>
      <w:bookmarkStart w:id="707" w:name="Tc_ugwHl18C4katihTctpPZIA_14_18"/>
      <w:bookmarkStart w:id="708" w:name="Tc_T4KvBYHCFU6gzKarHLWZcA_14_13"/>
      <w:bookmarkStart w:id="709" w:name="Tc_uLPJG1XC6EqeGyaGRi8gMQ_14_10"/>
      <w:bookmarkStart w:id="710" w:name="Tc_Yads2Ndn-0iifMkR-6A4-A_14_7"/>
      <w:bookmarkStart w:id="711" w:name="Tc_MWTT8b-r8k-HN4BZIUSiUQ_14_4"/>
      <w:bookmarkStart w:id="712" w:name="Tc_EO1Y6haY4ku3qDUH0il4AQ_14_0"/>
      <w:bookmarkStart w:id="713" w:name="Tc_UlBSj291qE2p_0wlGTSImA_12_19"/>
      <w:bookmarkStart w:id="714" w:name="Tc_mfvrr9NAKkiGCmQ3ts20PQ_12_16"/>
      <w:bookmarkStart w:id="715" w:name="Tc_AFTQDaeLkEW5Vq7xdxiv4Q_12_14"/>
      <w:bookmarkStart w:id="716" w:name="Tc_1jm-zVSX1UClSIEmb1D4Pw_12_8"/>
      <w:bookmarkStart w:id="717" w:name="Tc_TCXX3yJWsUWeOSK7HHD9QA_12_5"/>
      <w:bookmarkStart w:id="718" w:name="Tc_soKQiZhFdE6BzJPh9VSH7w_12_2"/>
      <w:bookmarkStart w:id="719" w:name="Tc_xMws_saQdEWzhw_4OLIRTA_12_0"/>
      <w:bookmarkStart w:id="720" w:name="Tc_Z1rdGY0MrkKI4fumfc4Hug_11_19"/>
      <w:bookmarkStart w:id="721" w:name="Tc_okdApV22dke4oQs1lSDO9g_11_16"/>
      <w:bookmarkStart w:id="722" w:name="Tc_89A4MQQa7E6_AoVr_grHag_11_11"/>
      <w:bookmarkStart w:id="723" w:name="Tc_0S5LUf3VrU-VlKgsN-ZBVQ_11_8"/>
      <w:bookmarkStart w:id="724" w:name="Tc_KpgvS2zicEuHISFGsFKd3A_11_5"/>
      <w:bookmarkStart w:id="725" w:name="Tc_6SYM6HUG40SIfMDjEBYTWg_11_2"/>
      <w:bookmarkStart w:id="726" w:name="Tc_faymewY6EE-2XeJGjjdfcw_11_0"/>
      <w:bookmarkStart w:id="727" w:name="Tc_wRmGRY-TVkywTGUWFR_e_A_10_22"/>
      <w:bookmarkStart w:id="728" w:name="Tc_Ohi-63pYtEKHWrJc1OcV1A_10_14"/>
      <w:bookmarkStart w:id="729" w:name="Tc_xJDrZAncUUCGNjXJnP7SoA_10_0"/>
      <w:bookmarkStart w:id="730" w:name="Tc_pVynJfd_pUuladoJ7-rRzQ_9_14"/>
      <w:bookmarkStart w:id="731" w:name="Tc_Dp9nP0PYRUmmcGRZgMLXHA_9_11"/>
      <w:bookmarkStart w:id="732" w:name="Tc_c22t0zAD4UqKM1vG6cB1Ag_9_8"/>
      <w:bookmarkStart w:id="733" w:name="Tc_VRHeRG0Y5U6ZcAyTmjgBYA_9_5"/>
      <w:bookmarkStart w:id="734" w:name="Tc_CXzVQ2ESiU2eeNKEUvuURg_9_2"/>
      <w:bookmarkStart w:id="735" w:name="Tc_IeJH40D4CEmaRYpQrFTVvg_9_0"/>
      <w:bookmarkStart w:id="736" w:name="Tc_F1N8l_DukEqhnG4MUEf_Mw_8_19"/>
      <w:bookmarkStart w:id="737" w:name="Tc_MsoAod045UGPb5GS4UShAA_8_16"/>
      <w:bookmarkStart w:id="738" w:name="Tc_ltMGdYMKFESYltCQIrckUA_8_11"/>
      <w:bookmarkStart w:id="739" w:name="Tc_r191D0RnU0uP85RJ4DTE0Q_8_8"/>
      <w:bookmarkStart w:id="740" w:name="Tc_mb-x77JNt0Wwy9i0mWChBw_8_5"/>
      <w:bookmarkStart w:id="741" w:name="Tc_HhJolqZF10-7p_s0918BYA_8_2"/>
      <w:bookmarkStart w:id="742" w:name="Tc_i2N6OCqke0mrIO1uYJ8CaA_8_0"/>
      <w:bookmarkStart w:id="743" w:name="Tc_EFS8NGdTlEyhzhMKmbPczg_7_19"/>
      <w:bookmarkStart w:id="744" w:name="Tc_gXcimXv_v0iSjLGK7vIk2Q_7_16"/>
      <w:bookmarkStart w:id="745" w:name="Tc_uAdondRJH0uMT2Xv79qe6Q_7_14"/>
      <w:bookmarkStart w:id="746" w:name="Tc_3e_9hNY_tkKHc9zXweCd1Q_7_11"/>
      <w:bookmarkStart w:id="747" w:name="Tc_0gXZ7h8IQ02CGjUGLONEBg_7_0"/>
      <w:bookmarkStart w:id="748" w:name="Tc_PyLN8Vz5UUGdLn38_7Oqmg_6_19"/>
      <w:bookmarkStart w:id="749" w:name="Tc_D4LML9R93Uq6ajJZNslBIw_6_16"/>
      <w:bookmarkStart w:id="750" w:name="Tc_K6iaymF2V0uwOXaEJGWUlA_6_14"/>
      <w:bookmarkStart w:id="751" w:name="Tc_Hefo3tn0JUiSyeFDyMQb8g_6_11"/>
      <w:bookmarkStart w:id="752" w:name="Tc_JRKcfFyVDUCWN1-O3yuiaQ_6_5"/>
      <w:bookmarkStart w:id="753" w:name="Tc_ZuSvGJIvQUK8krMeq0dP-A_6_2"/>
      <w:bookmarkStart w:id="754" w:name="Tc_RUJWC4upcUiPo7w7X4psDw_6_0"/>
      <w:bookmarkStart w:id="755" w:name="Tc_4m3ISexOT0ydN9_tZWl21A_4_21"/>
      <w:bookmarkStart w:id="756" w:name="Tc_MbgVP3nc-UiXTjseB_yyvg_4_18"/>
      <w:bookmarkStart w:id="757" w:name="Tc_qfr3YW2MlE-gLN-pN8-rKg_4_13"/>
      <w:bookmarkStart w:id="758" w:name="Tc_T7aQowNWHkm2iTEAHoFoFw_4_10"/>
      <w:bookmarkStart w:id="759" w:name="Tc_e4uvg-joLEmiDb_vzDCPPQ_4_7"/>
      <w:bookmarkStart w:id="760" w:name="Tc_xkx9cqXzxkSwjotXN47gVg_4_4"/>
      <w:bookmarkStart w:id="761" w:name="Tc_-_O5hvKnwUSz3XuqEFqJVA_4_0"/>
      <w:bookmarkStart w:id="762" w:name="Tc_PJ5TxiArbEG_KJjWZNZItw_3_21"/>
      <w:bookmarkStart w:id="763" w:name="Tc_Q3M2_KzEWEKgOS_3QzTa9g_3_18"/>
      <w:bookmarkStart w:id="764" w:name="Tc_gJrGnfjZHk2JxpPv_V51TA_3_16"/>
      <w:bookmarkStart w:id="765" w:name="Tc_KJh7Rw247kGKprj-inh3CQ_3_13"/>
      <w:bookmarkStart w:id="766" w:name="Tc_dUSA5fhHoES5L3eQs2jNHQ_3_10"/>
      <w:bookmarkStart w:id="767" w:name="Tc_eL-w71yCOESTncKQbl11bQ_3_7"/>
      <w:bookmarkStart w:id="768" w:name="Tc_6NkcuSN7-E6c1CZGlD7QZw_3_4"/>
      <w:bookmarkStart w:id="769" w:name="Tc_TQ5wifqZzkaAHPIc8lYWCQ_3_2"/>
      <w:bookmarkStart w:id="770" w:name="Tc_RZQFtvkQIEmbVJWPlKjl_A_2_21"/>
      <w:bookmarkStart w:id="771" w:name="Tc_foyJFUKze0Wc-A_1tyw63A_2_16"/>
      <w:bookmarkStart w:id="772" w:name="Tc_SI6vr-T79Eq4FyvNWV1xng_2_13"/>
      <w:bookmarkStart w:id="773" w:name="Tc__XoI7J_Ghkmns0i0a_BoKQ_2_10"/>
      <w:bookmarkStart w:id="774" w:name="Tc_iOjmDqvWPkyJ_BxyWKGfeA_2_7"/>
      <w:bookmarkStart w:id="775" w:name="Tc_hAPO9W2P_k2_msvSgNqPqg_2_2"/>
      <w:bookmarkStart w:id="776" w:name="Tc_8pAMKVyBNUGJJTqcRHL-oA_1_21"/>
      <w:bookmarkStart w:id="777" w:name="Tc_OBuFjzP9A0Wo68wEJnRxAQ_1_13"/>
      <w:bookmarkStart w:id="778" w:name="_7a4560e4_7e00_4866_9e2e_3d3fd636dbde"/>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tbl>
      <w:tblPr>
        <w:tblW w:w="1193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8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38835" cy="175260"/>
                      <wp:effectExtent l="0" t="0" r="0" b="0"/>
                      <wp:wrapNone/>
                      <wp:docPr id="59" name="Frame5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4510" cy="175260"/>
                      <wp:effectExtent l="0" t="0" r="0" b="0"/>
                      <wp:wrapNone/>
                      <wp:docPr id="61" name="Frame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24485" cy="175260"/>
                      <wp:effectExtent l="0" t="0" r="0" b="0"/>
                      <wp:wrapNone/>
                      <wp:docPr id="64" name="Frame6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7955" cy="175260"/>
                      <wp:effectExtent l="0" t="0" r="0" b="0"/>
                      <wp:wrapNone/>
                      <wp:docPr id="66" name="Frame6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24205" cy="175260"/>
                      <wp:effectExtent l="0" t="0" r="0" b="0"/>
                      <wp:wrapNone/>
                      <wp:docPr id="67" name="Frame67"/>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2610" cy="175260"/>
                      <wp:effectExtent l="0" t="0" r="0" b="0"/>
                      <wp:wrapNone/>
                      <wp:docPr id="70" name="Frame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0660" cy="175260"/>
                      <wp:effectExtent l="0" t="0" r="0" b="0"/>
                      <wp:wrapNone/>
                      <wp:docPr id="72" name="Frame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1500" cy="175260"/>
                      <wp:effectExtent l="0" t="0" r="0" b="0"/>
                      <wp:wrapNone/>
                      <wp:docPr id="73" name="Frame7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76885" cy="175260"/>
                      <wp:effectExtent l="0" t="0" r="0" b="0"/>
                      <wp:wrapNone/>
                      <wp:docPr id="75" name="Frame7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2610" cy="175260"/>
                      <wp:effectExtent l="0" t="0" r="0" b="0"/>
                      <wp:wrapNone/>
                      <wp:docPr id="78" name="Frame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81" name="Frame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1,283,688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36,348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(4,692,425)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4,692,850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1,117,392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5,587</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4,829,301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4,706,192</w:t>
            </w:r>
          </w:p>
        </w:tc>
        <w:tc>
          <w:tcPr>
            <w:tcW w:w="32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(147,911)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(70,776)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(1,997,809)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7,395,360</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(loss) on commodity derivatives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1,118,269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4,869,791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5,120,063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(155,725)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7,841,464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79" w:name="_4f6b900f_2c6a_49a5_b521_e6d69a38bd9c"/>
      <w:bookmarkEnd w:id="779"/>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780" w:name="STATEMENTSOFCASHFLOWS_392736"/>
      <w:bookmarkEnd w:id="780"/>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FOR THE SIX-MONTHS ENDED JUNE 30, 2024 AND 2023</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81" w:name="Tc_fY6CClB1K0eJmYjd_lN5-Q_54_5"/>
      <w:bookmarkStart w:id="782" w:name="Tc_NIBteS495kig4THYxOV2-A_54_2"/>
      <w:bookmarkStart w:id="783" w:name="Tc_YE1A4VpoE0eibukSJIv7CQ_54_0"/>
      <w:bookmarkStart w:id="784" w:name="Tc_vlkrsZgWxki1z5aW5j9pGA_53_5"/>
      <w:bookmarkStart w:id="785" w:name="Tc_ojXWiKRhX0a_SmjwzoFmGQ_53_2"/>
      <w:bookmarkStart w:id="786" w:name="Tc_mCV9wYVSMUSGUriBjaqP2w_53_0"/>
      <w:bookmarkStart w:id="787" w:name="Tc_AEqrSNG0CEimrHPJMeGIsA_52_0"/>
      <w:bookmarkStart w:id="788" w:name="Tc_p0vDMqLZHU-YOPlsSfDHsQ_51_0"/>
      <w:bookmarkStart w:id="789" w:name="Tc_kOYRkLi7ZUmHCGzO1HiGuA_49_5"/>
      <w:bookmarkStart w:id="790" w:name="Tc_MWnNetu-a0e3rzU7z3PxRw_49_2"/>
      <w:bookmarkStart w:id="791" w:name="Tc_Mu3WNPXPZEutE0di5k9CFA_49_0"/>
      <w:bookmarkStart w:id="792" w:name="Tc_-yD78As8kEK8gzHx0198EQ_48_0"/>
      <w:bookmarkStart w:id="793" w:name="Tc_oytAyq5epEO3CB-PAjBbEA_47_0"/>
      <w:bookmarkStart w:id="794" w:name="Tc_sDQCBsKa7E-5_gUBEQRZ1A_45_0"/>
      <w:bookmarkStart w:id="795" w:name="Tc_7W68uL17hUOYZEGF0QOcSg_43_0"/>
      <w:bookmarkStart w:id="796" w:name="Tc__dAIySyt70uZzdpxQyR1vg_42_0"/>
      <w:bookmarkStart w:id="797" w:name="Tc_HKooGy1tx0Cz9eYGrVYqIw_41_0"/>
      <w:bookmarkStart w:id="798" w:name="Tc_WWYabPmNyUi1BoPQV0Zxrg_40_6"/>
      <w:bookmarkStart w:id="799" w:name="Tc_-2371vfTyECzJcIYA8c4kg_40_0"/>
      <w:bookmarkStart w:id="800" w:name="Tc_Rv3emr1QF0ikZH376WuSpg_39_6"/>
      <w:bookmarkStart w:id="801" w:name="Tc_Uud0jHhLdk-Y57d750BE-w_39_0"/>
      <w:bookmarkStart w:id="802" w:name="Tc_9MnVFnWZH0-MMrwMBx_9Ug_38_0"/>
      <w:bookmarkStart w:id="803" w:name="Tc_qPwurOhUh0Clk6FoUzSAFQ_37_0"/>
      <w:bookmarkStart w:id="804" w:name="Tc_sAcIyb73V0aPgadGr-3rww_35_0"/>
      <w:bookmarkStart w:id="805" w:name="Tc_77hKnbpx3UCIXfvlER_9Qw_34_0"/>
      <w:bookmarkStart w:id="806" w:name="Tc_bgbEIL8udEyZzlUpCFmlYA_33_0"/>
      <w:bookmarkStart w:id="807" w:name="Tc_R0FGKFDVkkCvvhZ7oXPyzw_32_0"/>
      <w:bookmarkStart w:id="808" w:name="Tc_cRog4L-xPk2x_FvpquCGDg_31_0"/>
      <w:bookmarkStart w:id="809" w:name="Tc_l9krCfpSyEu2t7BZ3dE3JA_30_0"/>
      <w:bookmarkStart w:id="810" w:name="Tc_SBiTI-ciTES8-LczZqfW0A_29_0"/>
      <w:bookmarkStart w:id="811" w:name="Tc_hT2-y8jQP0aMf0BpPFvD2g_28_0"/>
      <w:bookmarkStart w:id="812" w:name="Tc_II-Mx8sApUej5jKV3aSAxA_26_0"/>
      <w:bookmarkStart w:id="813" w:name="Tc_SrO3keQEuUCcnKZe1A1Trg_25_0"/>
      <w:bookmarkStart w:id="814" w:name="Tc_fLzjTP7K_EyYFE_hiv6k2w_24_0"/>
      <w:bookmarkStart w:id="815" w:name="Tc_mynywT3vHke4dDUI77hiuw_23_0"/>
      <w:bookmarkStart w:id="816" w:name="Tc_XX31-Vr1gk2q6VC2aaTspA_22_0"/>
      <w:bookmarkStart w:id="817" w:name="Tc_3hJXUW7mSUyfmzIQDOQdwA_21_0"/>
      <w:bookmarkStart w:id="818" w:name="Tc__VpWJWnnYkek6Uz1UmMvYQ_20_0"/>
      <w:bookmarkStart w:id="819" w:name="Tc_d49kMmHHyECP7iuuTbW1MA_19_0"/>
      <w:bookmarkStart w:id="820" w:name="Tc_EjFvAOt_HE-janKCMJI5oQ_18_0"/>
      <w:bookmarkStart w:id="821" w:name="Tc_uFxVn7EiIUie8j3N-0ceXA_17_0"/>
      <w:bookmarkStart w:id="822" w:name="Tc_HnriAMUbFkCFnYfDUzCzww_16_0"/>
      <w:bookmarkStart w:id="823" w:name="Tc_35C8slO7-kqFAmwFSN95RA_15_0"/>
      <w:bookmarkStart w:id="824" w:name="Tc_FKQQjueq-ki-jMdLT9xJtw_14_0"/>
      <w:bookmarkStart w:id="825" w:name="Tc_VeTi98Ng-EKpoZYpTjNMYA_13_0"/>
      <w:bookmarkStart w:id="826" w:name="Tc_4nM8TXXbvUWoYgUr04Cyow_12_0"/>
      <w:bookmarkStart w:id="827" w:name="Tc_qQoevL7Qo0iIF1YIGxVBYQ_11_6"/>
      <w:bookmarkStart w:id="828" w:name="Tc_cjylxNOqvEmtpTOV84TEmQ_11_0"/>
      <w:bookmarkStart w:id="829" w:name="Tc_kxB4QrB7V0aOh1tjd05eGA_10_3"/>
      <w:bookmarkStart w:id="830" w:name="Tc_t08eBIkJEkqVQ7zgEs4hsA_10_0"/>
      <w:bookmarkStart w:id="831" w:name="Tc_gvyaU64MUECPwOolQEh_tw_9_0"/>
      <w:bookmarkStart w:id="832" w:name="Tc_lJIlQDne6Uy_uv0ITn-MBw_8_0"/>
      <w:bookmarkStart w:id="833" w:name="Tc_bczWGCWkDkmcehekuxJkBw_7_0"/>
      <w:bookmarkStart w:id="834" w:name="Tc_zfbxF_UJ40aGBCODCgdTFw_6_0"/>
      <w:bookmarkStart w:id="835" w:name="Tc_8_pp_eRQj0SejBfoqxj0rA_5_5"/>
      <w:bookmarkStart w:id="836" w:name="Tc_8Rr85FvIqkurrOTPgjVsWQ_5_2"/>
      <w:bookmarkStart w:id="837" w:name="Tc_rPHl7phcwkagVieuHNukZA_5_0"/>
      <w:bookmarkStart w:id="838" w:name="Tc_tdm1eW-U9kqzLAXRSVXNkA_4_0"/>
      <w:bookmarkStart w:id="839" w:name="Tc_4HbCtcht8E-WYbRXvXMwfA_3_5"/>
      <w:bookmarkStart w:id="840" w:name="Tc_LCSic1NcMUGF3zZWCaQ0HA_3_2"/>
      <w:bookmarkStart w:id="841" w:name="Tc_VTAHjrWj3U6r2rvJbS0YWw_2_2"/>
      <w:bookmarkStart w:id="842" w:name="Tc_r-KvLC8Qn0ie9w6jhd7Abg_1_2"/>
      <w:bookmarkStart w:id="843" w:name="_71a6b9e4_4df5_4f37_9a92_3ee23909c94c"/>
      <w:bookmarkStart w:id="844" w:name="Tc_fY6CClB1K0eJmYjd_lN5-Q_54_5"/>
      <w:bookmarkStart w:id="845" w:name="Tc_NIBteS495kig4THYxOV2-A_54_2"/>
      <w:bookmarkStart w:id="846" w:name="Tc_YE1A4VpoE0eibukSJIv7CQ_54_0"/>
      <w:bookmarkStart w:id="847" w:name="Tc_vlkrsZgWxki1z5aW5j9pGA_53_5"/>
      <w:bookmarkStart w:id="848" w:name="Tc_ojXWiKRhX0a_SmjwzoFmGQ_53_2"/>
      <w:bookmarkStart w:id="849" w:name="Tc_mCV9wYVSMUSGUriBjaqP2w_53_0"/>
      <w:bookmarkStart w:id="850" w:name="Tc_AEqrSNG0CEimrHPJMeGIsA_52_0"/>
      <w:bookmarkStart w:id="851" w:name="Tc_p0vDMqLZHU-YOPlsSfDHsQ_51_0"/>
      <w:bookmarkStart w:id="852" w:name="Tc_kOYRkLi7ZUmHCGzO1HiGuA_49_5"/>
      <w:bookmarkStart w:id="853" w:name="Tc_MWnNetu-a0e3rzU7z3PxRw_49_2"/>
      <w:bookmarkStart w:id="854" w:name="Tc_Mu3WNPXPZEutE0di5k9CFA_49_0"/>
      <w:bookmarkStart w:id="855" w:name="Tc_-yD78As8kEK8gzHx0198EQ_48_0"/>
      <w:bookmarkStart w:id="856" w:name="Tc_oytAyq5epEO3CB-PAjBbEA_47_0"/>
      <w:bookmarkStart w:id="857" w:name="Tc_sDQCBsKa7E-5_gUBEQRZ1A_45_0"/>
      <w:bookmarkStart w:id="858" w:name="Tc_7W68uL17hUOYZEGF0QOcSg_43_0"/>
      <w:bookmarkStart w:id="859" w:name="Tc__dAIySyt70uZzdpxQyR1vg_42_0"/>
      <w:bookmarkStart w:id="860" w:name="Tc_HKooGy1tx0Cz9eYGrVYqIw_41_0"/>
      <w:bookmarkStart w:id="861" w:name="Tc_WWYabPmNyUi1BoPQV0Zxrg_40_6"/>
      <w:bookmarkStart w:id="862" w:name="Tc_-2371vfTyECzJcIYA8c4kg_40_0"/>
      <w:bookmarkStart w:id="863" w:name="Tc_Rv3emr1QF0ikZH376WuSpg_39_6"/>
      <w:bookmarkStart w:id="864" w:name="Tc_Uud0jHhLdk-Y57d750BE-w_39_0"/>
      <w:bookmarkStart w:id="865" w:name="Tc_9MnVFnWZH0-MMrwMBx_9Ug_38_0"/>
      <w:bookmarkStart w:id="866" w:name="Tc_qPwurOhUh0Clk6FoUzSAFQ_37_0"/>
      <w:bookmarkStart w:id="867" w:name="Tc_sAcIyb73V0aPgadGr-3rww_35_0"/>
      <w:bookmarkStart w:id="868" w:name="Tc_77hKnbpx3UCIXfvlER_9Qw_34_0"/>
      <w:bookmarkStart w:id="869" w:name="Tc_bgbEIL8udEyZzlUpCFmlYA_33_0"/>
      <w:bookmarkStart w:id="870" w:name="Tc_R0FGKFDVkkCvvhZ7oXPyzw_32_0"/>
      <w:bookmarkStart w:id="871" w:name="Tc_cRog4L-xPk2x_FvpquCGDg_31_0"/>
      <w:bookmarkStart w:id="872" w:name="Tc_l9krCfpSyEu2t7BZ3dE3JA_30_0"/>
      <w:bookmarkStart w:id="873" w:name="Tc_SBiTI-ciTES8-LczZqfW0A_29_0"/>
      <w:bookmarkStart w:id="874" w:name="Tc_hT2-y8jQP0aMf0BpPFvD2g_28_0"/>
      <w:bookmarkStart w:id="875" w:name="Tc_II-Mx8sApUej5jKV3aSAxA_26_0"/>
      <w:bookmarkStart w:id="876" w:name="Tc_SrO3keQEuUCcnKZe1A1Trg_25_0"/>
      <w:bookmarkStart w:id="877" w:name="Tc_fLzjTP7K_EyYFE_hiv6k2w_24_0"/>
      <w:bookmarkStart w:id="878" w:name="Tc_mynywT3vHke4dDUI77hiuw_23_0"/>
      <w:bookmarkStart w:id="879" w:name="Tc_XX31-Vr1gk2q6VC2aaTspA_22_0"/>
      <w:bookmarkStart w:id="880" w:name="Tc_3hJXUW7mSUyfmzIQDOQdwA_21_0"/>
      <w:bookmarkStart w:id="881" w:name="Tc__VpWJWnnYkek6Uz1UmMvYQ_20_0"/>
      <w:bookmarkStart w:id="882" w:name="Tc_d49kMmHHyECP7iuuTbW1MA_19_0"/>
      <w:bookmarkStart w:id="883" w:name="Tc_EjFvAOt_HE-janKCMJI5oQ_18_0"/>
      <w:bookmarkStart w:id="884" w:name="Tc_uFxVn7EiIUie8j3N-0ceXA_17_0"/>
      <w:bookmarkStart w:id="885" w:name="Tc_HnriAMUbFkCFnYfDUzCzww_16_0"/>
      <w:bookmarkStart w:id="886" w:name="Tc_35C8slO7-kqFAmwFSN95RA_15_0"/>
      <w:bookmarkStart w:id="887" w:name="Tc_FKQQjueq-ki-jMdLT9xJtw_14_0"/>
      <w:bookmarkStart w:id="888" w:name="Tc_VeTi98Ng-EKpoZYpTjNMYA_13_0"/>
      <w:bookmarkStart w:id="889" w:name="Tc_4nM8TXXbvUWoYgUr04Cyow_12_0"/>
      <w:bookmarkStart w:id="890" w:name="Tc_qQoevL7Qo0iIF1YIGxVBYQ_11_6"/>
      <w:bookmarkStart w:id="891" w:name="Tc_cjylxNOqvEmtpTOV84TEmQ_11_0"/>
      <w:bookmarkStart w:id="892" w:name="Tc_kxB4QrB7V0aOh1tjd05eGA_10_3"/>
      <w:bookmarkStart w:id="893" w:name="Tc_t08eBIkJEkqVQ7zgEs4hsA_10_0"/>
      <w:bookmarkStart w:id="894" w:name="Tc_gvyaU64MUECPwOolQEh_tw_9_0"/>
      <w:bookmarkStart w:id="895" w:name="Tc_lJIlQDne6Uy_uv0ITn-MBw_8_0"/>
      <w:bookmarkStart w:id="896" w:name="Tc_bczWGCWkDkmcehekuxJkBw_7_0"/>
      <w:bookmarkStart w:id="897" w:name="Tc_zfbxF_UJ40aGBCODCgdTFw_6_0"/>
      <w:bookmarkStart w:id="898" w:name="Tc_8_pp_eRQj0SejBfoqxj0rA_5_5"/>
      <w:bookmarkStart w:id="899" w:name="Tc_8Rr85FvIqkurrOTPgjVsWQ_5_2"/>
      <w:bookmarkStart w:id="900" w:name="Tc_rPHl7phcwkagVieuHNukZA_5_0"/>
      <w:bookmarkStart w:id="901" w:name="Tc_tdm1eW-U9kqzLAXRSVXNkA_4_0"/>
      <w:bookmarkStart w:id="902" w:name="Tc_4HbCtcht8E-WYbRXvXMwfA_3_5"/>
      <w:bookmarkStart w:id="903" w:name="Tc_LCSic1NcMUGF3zZWCaQ0HA_3_2"/>
      <w:bookmarkStart w:id="904" w:name="Tc_VTAHjrWj3U6r2rvJbS0YWw_2_2"/>
      <w:bookmarkStart w:id="905" w:name="Tc_r-KvLC8Qn0ie9w6jhd7Abg_1_2"/>
      <w:bookmarkStart w:id="906" w:name="_71a6b9e4_4df5_4f37_9a92_3ee23909c94c"/>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tbl>
      <w:tblPr>
        <w:tblW w:w="8772" w:type="dxa"/>
        <w:jc w:val="left"/>
        <w:tblInd w:w="0" w:type="dxa"/>
        <w:tblLayout w:type="fixed"/>
        <w:tblCellMar>
          <w:top w:w="0" w:type="dxa"/>
          <w:left w:w="0" w:type="dxa"/>
          <w:bottom w:w="0" w:type="dxa"/>
          <w:right w:w="0" w:type="dxa"/>
        </w:tblCellMar>
      </w:tblPr>
      <w:tblGrid>
        <w:gridCol w:w="5791"/>
        <w:gridCol w:w="326"/>
        <w:gridCol w:w="196"/>
        <w:gridCol w:w="946"/>
        <w:gridCol w:w="326"/>
        <w:gridCol w:w="196"/>
        <w:gridCol w:w="991"/>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77285" cy="175260"/>
                      <wp:effectExtent l="0" t="0" r="0" b="0"/>
                      <wp:wrapNone/>
                      <wp:docPr id="82" name="Frame82"/>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00710" cy="175260"/>
                      <wp:effectExtent l="0" t="0" r="0" b="0"/>
                      <wp:wrapNone/>
                      <wp:docPr id="84" name="Frame8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29285" cy="175260"/>
                      <wp:effectExtent l="0" t="0" r="0" b="0"/>
                      <wp:wrapNone/>
                      <wp:docPr id="87" name="Frame8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Six-Months Ended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867,418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811,315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39,913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32,384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impairment of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impairment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41,262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34,603</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(13,294)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on cash of 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(197,227)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(317,808)</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123,484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93,077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(13,993)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(36,779)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(12,297)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(33,505)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132,173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54,242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(26,954)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11,348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(7,731)</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(12,361)</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848,433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763,162</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1,377,915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1,037,803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(342,121)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(1,091,126)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(125,812)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(82,425)</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to intangibles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(5,926)</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(17,570)</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903,304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(158,209)</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Borrowings on credit facilities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59,666</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(3,234,523)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(90,825)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(2,440,475)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(37,820)</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(732,941)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562,633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2,297,675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1,307,141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1,564,734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1,869,774</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276,359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232,896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w:t>
      </w:r>
      <w:r>
        <w:rPr>
          <w:rFonts w:ascii="Times New Roman;Times;serif" w:hAnsi="Times New Roman;Times;serif"/>
          <w:sz w:val="20"/>
        </w:rPr>
        <w:t xml:space="preserve"> </w:t>
      </w:r>
      <w:r>
        <w:rPr>
          <w:rFonts w:ascii="Times New Roman;Times;serif" w:hAnsi="Times New Roman;Times;serif"/>
          <w:b/>
          <w:sz w:val="20"/>
        </w:rPr>
        <w:t>SIX-MONTHS ENDED</w:t>
      </w:r>
      <w:r>
        <w:rPr>
          <w:rFonts w:ascii="Times New Roman;Times;serif" w:hAnsi="Times New Roman;Times;serif"/>
          <w:sz w:val="20"/>
        </w:rPr>
        <w:t xml:space="preserve"> </w:t>
      </w:r>
      <w:r>
        <w:rPr>
          <w:rFonts w:ascii="Times New Roman;Times;serif" w:hAnsi="Times New Roman;Times;serif"/>
          <w:b/>
          <w:sz w:val="20"/>
        </w:rPr>
        <w:t>JUNE 30, 2024 AND 2023</w:t>
      </w:r>
    </w:p>
    <w:p>
      <w:pPr>
        <w:pStyle w:val="TextBody"/>
        <w:pBdr>
          <w:bottom w:val="single" w:sz="12" w:space="1" w:color="000000"/>
        </w:pBd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June 30, 2024 and 2023 were $9.6 million related to net additions to other intangible assets.</w:t>
      </w:r>
    </w:p>
    <w:p>
      <w:pPr>
        <w:pStyle w:val="TextBody"/>
        <w:bidi w:val="0"/>
        <w:spacing w:before="0" w:after="240"/>
        <w:ind w:left="0" w:right="0" w:firstLine="720"/>
        <w:jc w:val="both"/>
        <w:rPr>
          <w:rFonts w:ascii="Times New Roman;Times;serif" w:hAnsi="Times New Roman;Times;serif"/>
          <w:sz w:val="20"/>
        </w:rPr>
      </w:pPr>
      <w:bookmarkStart w:id="907" w:name="Narr_ZWrFo0EH7ki8e-93tEqVAA"/>
      <w:bookmarkEnd w:id="907"/>
      <w:r>
        <w:rPr>
          <w:rFonts w:ascii="Times New Roman;Times;serif" w:hAnsi="Times New Roman;Times;serif"/>
          <w:sz w:val="20"/>
        </w:rPr>
        <w:t>Included in accounts payable as of June 30, 2024 were $0.9 million of treasury stock repurchases.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2023 were $3.2 million related to net additions to other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2024 and 2023 were $9.6 million and $2.0 million, respectively, related to equipment purchases.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08" w:name="a1BASISOFPRESENTATION_156061"/>
      <w:bookmarkStart w:id="909" w:name="a1BASISOFPRESENTATION_156061"/>
      <w:bookmarkEnd w:id="909"/>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2023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three-and six-months ended June 30, 2024 and 2023,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Financial Accounting Standards Board (“FASB”) issued Accounting Standards Update (“ASU”) No.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The amendments in this update improve reportable segment disclosure requirements, primarily through enhanced disclosures about significant segment expenses. The amendments in ASU No. 2023-07 are effective for fiscal years beginning after December 15, 2023. Early adoption is permitted. The Company is currently evaluating the impact ASU No. 2023-07 will have on its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amendments in this update primarily require more detailed disclosures related to the rate reconciliation and income taxes paid. The amendments in ASU No. 2023-09 are effective for fiscal years beginning after December 15, 2024. Early adoption is permitted. The Company is currently evaluating the impact ASU No. 2023-09 will have on its consolidated financial statements.</w:t>
      </w:r>
    </w:p>
    <w:p>
      <w:pPr>
        <w:pStyle w:val="TextBody"/>
        <w:bidi w:val="0"/>
        <w:spacing w:before="0" w:after="0"/>
        <w:ind w:left="0" w:right="0" w:hanging="0"/>
        <w:jc w:val="both"/>
        <w:rPr/>
      </w:pPr>
      <w:r>
        <w:rPr/>
        <w:t>​</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Bang Energy® drinks and Monster Tour Water®,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hard seltzers and flavored malt beverages (“FMBs”)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2024 and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expenses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or free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0"/>
        <w:ind w:left="144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bookmarkStart w:id="910" w:name="Tc_PYcyrbKVzUe_s-SH-0pdZA_9_14"/>
      <w:bookmarkStart w:id="911" w:name="Tc_RtVeHJiFbEqHhznCmqV_tQ_9_11"/>
      <w:bookmarkStart w:id="912" w:name="Tc_rMWSgmpkCEWSYw6XDm5sgg_9_8"/>
      <w:bookmarkStart w:id="913" w:name="Tc_vqg3SOo-FUGZdDNwPUftSg_9_5"/>
      <w:bookmarkStart w:id="914" w:name="Tc_qnNTmuwQu0q_LBRtP8CPoA_9_2"/>
      <w:bookmarkStart w:id="915" w:name="Tc_c5o2kOT7qkqQio0yWUDkZQ_9_0"/>
      <w:bookmarkStart w:id="916" w:name="Tc_k0sU-VEAc06hJ1tsyXOGOw_8_0"/>
      <w:bookmarkStart w:id="917" w:name="Tc_Wo9EvOCbTkSDWOyObF1TSA_7_0"/>
      <w:bookmarkStart w:id="918" w:name="Tc_x6pFpHSPcEOXVbHPR5r0Hg_6_0"/>
      <w:bookmarkStart w:id="919" w:name="Tc_br5P34LOpUSXGOZzwmlCsg_5_14"/>
      <w:bookmarkStart w:id="920" w:name="Tc_3Hy7ibyG1U6Tu5Fwk3KmXA_5_11"/>
      <w:bookmarkStart w:id="921" w:name="Tc_Bw5hcc-OzUqjj1UJV8G3dg_5_8"/>
      <w:bookmarkStart w:id="922" w:name="Tc_tXc0DuSXk06nQox5FNyZPA_5_5"/>
      <w:bookmarkStart w:id="923" w:name="Tc_jSOC8XsOBUePaeOFpbxGWA_5_2"/>
      <w:bookmarkStart w:id="924" w:name="Tc_F-jnY5MOk0K9TmRugwKqMA_5_0"/>
      <w:bookmarkStart w:id="925" w:name="Tc_sKnqdx6iMki-L4w6PwfT8Q_4_14"/>
      <w:bookmarkStart w:id="926" w:name="Tc_HkoJrsaixUyuzw3vo0GR7w_4_11"/>
      <w:bookmarkStart w:id="927" w:name="Tc_cGSuzb1VKkiJijRHTz9uQw_4_8"/>
      <w:bookmarkStart w:id="928" w:name="Tc_m3lxTOmp-0GVGIBEG7pxHA_4_5"/>
      <w:bookmarkStart w:id="929" w:name="Tc_-NJ1PpfEV0SMqD2vCgeZUg_4_2"/>
      <w:bookmarkStart w:id="930" w:name="Tc_5QvEGTpD5kCo5f5HU5aobQ_4_0"/>
      <w:bookmarkStart w:id="931" w:name="Tc_oS7kX8qaJ0i16-rLQobFSQ_3_11"/>
      <w:bookmarkStart w:id="932" w:name="Tc_tR9gHHgGLEufYIe-JH82yA_3_8"/>
      <w:bookmarkStart w:id="933" w:name="Tc_ZUQMEDO5GEOZnUHjbXtz_A_3_2"/>
      <w:bookmarkStart w:id="934" w:name="Tc_rBjiLCnmcke5vcR7pyemcA_2_11"/>
      <w:bookmarkStart w:id="935" w:name="Tc_NVsYl235X0KJ4j2zMmEYQg_2_8"/>
      <w:bookmarkStart w:id="936" w:name="Tc_XY4mKuWhqUKLUEIizjXzDg_1_2"/>
      <w:bookmarkStart w:id="937" w:name="_220eae69_a6ce_45dc_85c8_6740366435ee"/>
      <w:bookmarkStart w:id="938" w:name="Tc_28LC4lechkqWp5xQVQa49Q_9_14"/>
      <w:bookmarkStart w:id="939" w:name="Tc_ZL1L27K2nkKRo44Mn1Gc4A_9_11"/>
      <w:bookmarkStart w:id="940" w:name="Tc_pnGUJLbwRkKTsRoTbqkJwQ_9_8"/>
      <w:bookmarkStart w:id="941" w:name="Tc_k6x0hYB8VU2wHXhBa145Cg_9_5"/>
      <w:bookmarkStart w:id="942" w:name="Tc_XfLkkOrT5kyMIutu2MmWqg_9_2"/>
      <w:bookmarkStart w:id="943" w:name="Tc_AOJtSR054U29oaRYLJFTrA_9_0"/>
      <w:bookmarkStart w:id="944" w:name="Tc_SAXMpxm4FUe-aD6Lq5rVHA_8_0"/>
      <w:bookmarkStart w:id="945" w:name="Tc_1LrQVg_rS0-cuZSv7j0Enw_7_0"/>
      <w:bookmarkStart w:id="946" w:name="Tc_UZ6aEzMBC0ujdEaHUlI4lA_6_0"/>
      <w:bookmarkStart w:id="947" w:name="Tc_rALcEd8WNEORl3pDKcIsUA_5_14"/>
      <w:bookmarkStart w:id="948" w:name="Tc_vnXsqhpFN0qu_ymYIuQmzQ_5_11"/>
      <w:bookmarkStart w:id="949" w:name="Tc_swCcaZgxSE62OOoqlCZ5tg_5_8"/>
      <w:bookmarkStart w:id="950" w:name="Tc_I730pJwigUuHq3rqb_4gVA_5_5"/>
      <w:bookmarkStart w:id="951" w:name="Tc_S-SQh11LmEafUj-0nLLEvw_5_2"/>
      <w:bookmarkStart w:id="952" w:name="Tc_LDqQUekTJ0ykogYn2xJffg_5_0"/>
      <w:bookmarkStart w:id="953" w:name="Tc_GdxWiyW11UWYFgrRm-7x3w_4_14"/>
      <w:bookmarkStart w:id="954" w:name="Tc_ulsyaKfF30m3YxihVIQxqA_4_11"/>
      <w:bookmarkStart w:id="955" w:name="Tc_NkcghY8YDkOQqL828PH1EQ_4_8"/>
      <w:bookmarkStart w:id="956" w:name="Tc_69YprUtrcUyrSSmvoRmDow_4_5"/>
      <w:bookmarkStart w:id="957" w:name="Tc_sQvTgNwDeEKon43islaXOA_4_2"/>
      <w:bookmarkStart w:id="958" w:name="Tc_ALpVfJE59Eug9DQdmI5bCg_4_0"/>
      <w:bookmarkStart w:id="959" w:name="Tc_YmmW7iGPqk6YYKIZ9QZwIw_3_11"/>
      <w:bookmarkStart w:id="960" w:name="Tc_YSatJtb4Fk6wzulckhsGoA_3_8"/>
      <w:bookmarkStart w:id="961" w:name="Tc_zMJ6kROALkae0Ij0lrIPQA_3_2"/>
      <w:bookmarkStart w:id="962" w:name="Tc_KFOKlFqzx0iqpUt0mYkh6A_2_11"/>
      <w:bookmarkStart w:id="963" w:name="Tc_dtb1UwPm-kKXeR3m2HjeEA_2_8"/>
      <w:bookmarkStart w:id="964" w:name="Tc_fxMWVzEV50eKBORStUm2_A_1_2"/>
      <w:bookmarkStart w:id="965" w:name="_a455006d_229b_4f87_9ac0_b9e396400e85"/>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sz w:val="20"/>
        </w:rPr>
        <w:t>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72235" cy="175260"/>
                      <wp:effectExtent l="0" t="0" r="0" b="0"/>
                      <wp:wrapNone/>
                      <wp:docPr id="88" name="Frame8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91"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3510" cy="175260"/>
                      <wp:effectExtent l="0" t="0" r="0" b="0"/>
                      <wp:wrapNone/>
                      <wp:docPr id="96" name="Frame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3400" cy="175260"/>
                      <wp:effectExtent l="0" t="0" r="0" b="0"/>
                      <wp:wrapNone/>
                      <wp:docPr id="97" name="Frame9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765" cy="175260"/>
                      <wp:effectExtent l="0" t="0" r="0" b="0"/>
                      <wp:wrapNone/>
                      <wp:docPr id="99" name="Frame9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62610" cy="175260"/>
                      <wp:effectExtent l="0" t="0" r="0" b="0"/>
                      <wp:wrapNone/>
                      <wp:docPr id="100" name="Frame1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57860" cy="175260"/>
                      <wp:effectExtent l="0" t="0" r="0" b="0"/>
                      <wp:wrapNone/>
                      <wp:docPr id="103" name="Frame1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351,985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132,078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1,742,808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393,923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145,088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1,900,597</w:t>
            </w:r>
          </w:p>
        </w:tc>
      </w:tr>
    </w:tbl>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72235" cy="175260"/>
                      <wp:effectExtent l="0" t="0" r="0" b="0"/>
                      <wp:wrapNone/>
                      <wp:docPr id="104" name="Frame10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7" name="Frame1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3510" cy="175260"/>
                      <wp:effectExtent l="0" t="0" r="0" b="0"/>
                      <wp:wrapNone/>
                      <wp:docPr id="112"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33400" cy="175260"/>
                      <wp:effectExtent l="0" t="0" r="0" b="0"/>
                      <wp:wrapNone/>
                      <wp:docPr id="113" name="Frame11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1765" cy="175260"/>
                      <wp:effectExtent l="0" t="0" r="0" b="0"/>
                      <wp:wrapNone/>
                      <wp:docPr id="115" name="Frame1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6" name="Frame1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9" name="Frame1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2023</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339,522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138,478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1,686,887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381,572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146,306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1,854,961</w:t>
            </w:r>
          </w:p>
        </w:tc>
      </w:tr>
    </w:tbl>
    <w:p>
      <w:pPr>
        <w:pStyle w:val="TextBody"/>
        <w:bidi w:val="0"/>
        <w:spacing w:before="0" w:after="0"/>
        <w:ind w:left="0" w:right="0" w:hanging="0"/>
        <w:jc w:val="left"/>
        <w:rPr/>
      </w:pPr>
      <w:r>
        <w:rPr/>
        <w:t>​</w:t>
      </w:r>
    </w:p>
    <w:p>
      <w:pPr>
        <w:pStyle w:val="TextBody"/>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i/>
          <w:sz w:val="20"/>
        </w:rPr>
        <w:t>Europe, Middle East and Africa (“EMEA”)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66" w:name="Tc_B9XXs7Ox6EajB-ujut6Q3Q_9_14"/>
      <w:bookmarkStart w:id="967" w:name="Tc_LW6YZiyB2keL69a7n96xzg_9_11"/>
      <w:bookmarkStart w:id="968" w:name="Tc_EETnjFKKpEmEI3JbOTnNNA_9_8"/>
      <w:bookmarkStart w:id="969" w:name="Tc_iWPyEJROq0GS2TSsdOJ3Ow_9_5"/>
      <w:bookmarkStart w:id="970" w:name="Tc_sbK0RlAyOk6DpDSMsprglg_9_2"/>
      <w:bookmarkStart w:id="971" w:name="Tc_r3M_yDJEkEiQcmrEa73ihQ_9_0"/>
      <w:bookmarkStart w:id="972" w:name="Tc_6gl9tsM_A0GLeBFwmJE14g_8_0"/>
      <w:bookmarkStart w:id="973" w:name="Tc_8ESFuJQ5xkqSl8rRvVwSCw_7_0"/>
      <w:bookmarkStart w:id="974" w:name="Tc_YJZqfShLCUyVL6zVcqkVug_6_0"/>
      <w:bookmarkStart w:id="975" w:name="Tc_gloZiMFvh02TowQLLLt_0A_5_14"/>
      <w:bookmarkStart w:id="976" w:name="Tc_UTHbMhi5hkKBzgJ967WxvA_5_11"/>
      <w:bookmarkStart w:id="977" w:name="Tc_rRMqm_UKJUis-cO-HvPtaQ_5_8"/>
      <w:bookmarkStart w:id="978" w:name="Tc_1Zen7COx50yn3p5sP7voRA_5_5"/>
      <w:bookmarkStart w:id="979" w:name="Tc_42ncaxl1i066j_5sGK70CQ_5_2"/>
      <w:bookmarkStart w:id="980" w:name="Tc_VedTRclHhUK-8Jb7tdVXyA_5_0"/>
      <w:bookmarkStart w:id="981" w:name="Tc_Z4SG95Nnv0iJvxzMrGw2zQ_4_14"/>
      <w:bookmarkStart w:id="982" w:name="Tc_Wp9UJIGbfky5uEBcmbIGuw_4_11"/>
      <w:bookmarkStart w:id="983" w:name="Tc_Y95MoYV-uESgv1QbE3pdlg_4_8"/>
      <w:bookmarkStart w:id="984" w:name="Tc_8s4yyFpBy0iNZHUwtbpyNg_4_5"/>
      <w:bookmarkStart w:id="985" w:name="Tc_2H1Z1Oaixk-KPBkIVh9VEQ_4_2"/>
      <w:bookmarkStart w:id="986" w:name="Tc_XqDYdCeojEySCofJvHd43w_4_0"/>
      <w:bookmarkStart w:id="987" w:name="Tc_j7jn5GiCGkmesp6ojqwVdA_3_11"/>
      <w:bookmarkStart w:id="988" w:name="Tc_zESnM1PSsEeQ8HCYfHm3lw_3_8"/>
      <w:bookmarkStart w:id="989" w:name="Tc_e7IlbPx-Lk--X4FOtyoM3Q_3_2"/>
      <w:bookmarkStart w:id="990" w:name="Tc_ISoP2Qxv7UmM9B2q3itk_g_2_11"/>
      <w:bookmarkStart w:id="991" w:name="Tc_VF6OLLHoA0mr5LaROeK3Fw_2_8"/>
      <w:bookmarkStart w:id="992" w:name="Tc__lI5SP2Se0mEhoP_k0d4qA_1_2"/>
      <w:bookmarkStart w:id="993" w:name="_91596dd0_c2ef_4a22_a512_35131e6610c4"/>
      <w:bookmarkStart w:id="994" w:name="Tc_NQQA3isjZESd--iZLXfz4Q_9_14"/>
      <w:bookmarkStart w:id="995" w:name="Tc_orIMzU0CNkK_JAW1q4lhxA_9_11"/>
      <w:bookmarkStart w:id="996" w:name="Tc_jGR6lgK1eUeaBORHZbE4nA_9_8"/>
      <w:bookmarkStart w:id="997" w:name="Tc_wr-Mt-ZZf0qHYFLr4PeRYA_9_5"/>
      <w:bookmarkStart w:id="998" w:name="Tc_playQ6NjfUygaw-tMD3rdw_9_2"/>
      <w:bookmarkStart w:id="999" w:name="Tc_9M5Wb6tdKEuaKSWsPcFVDg_9_0"/>
      <w:bookmarkStart w:id="1000" w:name="Tc_Y-aRCNk_hES7mK1V2M4bpA_8_0"/>
      <w:bookmarkStart w:id="1001" w:name="Tc_QZRsO2TelUCpICv56_nCmw_7_0"/>
      <w:bookmarkStart w:id="1002" w:name="Tc_QtntozJRtEKnzVqjpXmEzg_6_0"/>
      <w:bookmarkStart w:id="1003" w:name="Tc_fbt58M_ELECk5yd9oNHXiQ_5_14"/>
      <w:bookmarkStart w:id="1004" w:name="Tc_1HO8ejAf2UKYVaXKgLTLUQ_5_11"/>
      <w:bookmarkStart w:id="1005" w:name="Tc_E1LYrLgWr0qyyp2kaaYtVg_5_8"/>
      <w:bookmarkStart w:id="1006" w:name="Tc_X3eHmlzfwkyEAHHmF6pT0Q_5_5"/>
      <w:bookmarkStart w:id="1007" w:name="Tc_zY7OtWI79Eiqus_CzVmpyw_5_2"/>
      <w:bookmarkStart w:id="1008" w:name="Tc_wkymnCrhAEKJj4KggM_lSw_5_0"/>
      <w:bookmarkStart w:id="1009" w:name="Tc_U5OsJbIHbEynlZvfw_Htrw_4_14"/>
      <w:bookmarkStart w:id="1010" w:name="Tc_hVOdW1nKKEmqraQfZGRSKA_4_11"/>
      <w:bookmarkStart w:id="1011" w:name="Tc_4AfnlZ8EvkemDcGXe-dqLA_4_8"/>
      <w:bookmarkStart w:id="1012" w:name="Tc_DzVcHDaPdkObbwCM_9Xzaw_4_5"/>
      <w:bookmarkStart w:id="1013" w:name="Tc_uF5a158NU0W80HOi4R-_Pw_4_2"/>
      <w:bookmarkStart w:id="1014" w:name="Tc_KUIWf5RHm0aU5eqQ3kjJ3g_4_0"/>
      <w:bookmarkStart w:id="1015" w:name="Tc_U3dIVmgM3UWeyo4Se2f73w_3_11"/>
      <w:bookmarkStart w:id="1016" w:name="Tc_PaoR8T22HEekgp2oKJXY0g_3_8"/>
      <w:bookmarkStart w:id="1017" w:name="Tc_9L-ux747tkO2spdMBE-X1A_3_2"/>
      <w:bookmarkStart w:id="1018" w:name="Tc_dbs28pzoCkuDOCxnBjBByg_2_11"/>
      <w:bookmarkStart w:id="1019" w:name="Tc_N6DjEt4RW0CBeJzrIrGfNQ_2_8"/>
      <w:bookmarkStart w:id="1020" w:name="Tc_wf8_w2z8mUGsFToLWK2M1g_1_2"/>
      <w:bookmarkStart w:id="1021" w:name="_c1040ac7_260a_4ddc_83ee_d69f5fb63e8f"/>
      <w:bookmarkStart w:id="1022" w:name="Tc_B9XXs7Ox6EajB-ujut6Q3Q_9_14"/>
      <w:bookmarkStart w:id="1023" w:name="Tc_LW6YZiyB2keL69a7n96xzg_9_11"/>
      <w:bookmarkStart w:id="1024" w:name="Tc_EETnjFKKpEmEI3JbOTnNNA_9_8"/>
      <w:bookmarkStart w:id="1025" w:name="Tc_iWPyEJROq0GS2TSsdOJ3Ow_9_5"/>
      <w:bookmarkStart w:id="1026" w:name="Tc_sbK0RlAyOk6DpDSMsprglg_9_2"/>
      <w:bookmarkStart w:id="1027" w:name="Tc_r3M_yDJEkEiQcmrEa73ihQ_9_0"/>
      <w:bookmarkStart w:id="1028" w:name="Tc_6gl9tsM_A0GLeBFwmJE14g_8_0"/>
      <w:bookmarkStart w:id="1029" w:name="Tc_8ESFuJQ5xkqSl8rRvVwSCw_7_0"/>
      <w:bookmarkStart w:id="1030" w:name="Tc_YJZqfShLCUyVL6zVcqkVug_6_0"/>
      <w:bookmarkStart w:id="1031" w:name="Tc_gloZiMFvh02TowQLLLt_0A_5_14"/>
      <w:bookmarkStart w:id="1032" w:name="Tc_UTHbMhi5hkKBzgJ967WxvA_5_11"/>
      <w:bookmarkStart w:id="1033" w:name="Tc_rRMqm_UKJUis-cO-HvPtaQ_5_8"/>
      <w:bookmarkStart w:id="1034" w:name="Tc_1Zen7COx50yn3p5sP7voRA_5_5"/>
      <w:bookmarkStart w:id="1035" w:name="Tc_42ncaxl1i066j_5sGK70CQ_5_2"/>
      <w:bookmarkStart w:id="1036" w:name="Tc_VedTRclHhUK-8Jb7tdVXyA_5_0"/>
      <w:bookmarkStart w:id="1037" w:name="Tc_Z4SG95Nnv0iJvxzMrGw2zQ_4_14"/>
      <w:bookmarkStart w:id="1038" w:name="Tc_Wp9UJIGbfky5uEBcmbIGuw_4_11"/>
      <w:bookmarkStart w:id="1039" w:name="Tc_Y95MoYV-uESgv1QbE3pdlg_4_8"/>
      <w:bookmarkStart w:id="1040" w:name="Tc_8s4yyFpBy0iNZHUwtbpyNg_4_5"/>
      <w:bookmarkStart w:id="1041" w:name="Tc_2H1Z1Oaixk-KPBkIVh9VEQ_4_2"/>
      <w:bookmarkStart w:id="1042" w:name="Tc_XqDYdCeojEySCofJvHd43w_4_0"/>
      <w:bookmarkStart w:id="1043" w:name="Tc_j7jn5GiCGkmesp6ojqwVdA_3_11"/>
      <w:bookmarkStart w:id="1044" w:name="Tc_zESnM1PSsEeQ8HCYfHm3lw_3_8"/>
      <w:bookmarkStart w:id="1045" w:name="Tc_e7IlbPx-Lk--X4FOtyoM3Q_3_2"/>
      <w:bookmarkStart w:id="1046" w:name="Tc_ISoP2Qxv7UmM9B2q3itk_g_2_11"/>
      <w:bookmarkStart w:id="1047" w:name="Tc_VF6OLLHoA0mr5LaROeK3Fw_2_8"/>
      <w:bookmarkStart w:id="1048" w:name="Tc__lI5SP2Se0mEhoP_k0d4qA_1_2"/>
      <w:bookmarkStart w:id="1049" w:name="_91596dd0_c2ef_4a22_a512_35131e6610c4"/>
      <w:bookmarkStart w:id="1050" w:name="Tc_NQQA3isjZESd--iZLXfz4Q_9_14"/>
      <w:bookmarkStart w:id="1051" w:name="Tc_orIMzU0CNkK_JAW1q4lhxA_9_11"/>
      <w:bookmarkStart w:id="1052" w:name="Tc_jGR6lgK1eUeaBORHZbE4nA_9_8"/>
      <w:bookmarkStart w:id="1053" w:name="Tc_wr-Mt-ZZf0qHYFLr4PeRYA_9_5"/>
      <w:bookmarkStart w:id="1054" w:name="Tc_playQ6NjfUygaw-tMD3rdw_9_2"/>
      <w:bookmarkStart w:id="1055" w:name="Tc_9M5Wb6tdKEuaKSWsPcFVDg_9_0"/>
      <w:bookmarkStart w:id="1056" w:name="Tc_Y-aRCNk_hES7mK1V2M4bpA_8_0"/>
      <w:bookmarkStart w:id="1057" w:name="Tc_QZRsO2TelUCpICv56_nCmw_7_0"/>
      <w:bookmarkStart w:id="1058" w:name="Tc_QtntozJRtEKnzVqjpXmEzg_6_0"/>
      <w:bookmarkStart w:id="1059" w:name="Tc_fbt58M_ELECk5yd9oNHXiQ_5_14"/>
      <w:bookmarkStart w:id="1060" w:name="Tc_1HO8ejAf2UKYVaXKgLTLUQ_5_11"/>
      <w:bookmarkStart w:id="1061" w:name="Tc_E1LYrLgWr0qyyp2kaaYtVg_5_8"/>
      <w:bookmarkStart w:id="1062" w:name="Tc_X3eHmlzfwkyEAHHmF6pT0Q_5_5"/>
      <w:bookmarkStart w:id="1063" w:name="Tc_zY7OtWI79Eiqus_CzVmpyw_5_2"/>
      <w:bookmarkStart w:id="1064" w:name="Tc_wkymnCrhAEKJj4KggM_lSw_5_0"/>
      <w:bookmarkStart w:id="1065" w:name="Tc_U5OsJbIHbEynlZvfw_Htrw_4_14"/>
      <w:bookmarkStart w:id="1066" w:name="Tc_hVOdW1nKKEmqraQfZGRSKA_4_11"/>
      <w:bookmarkStart w:id="1067" w:name="Tc_4AfnlZ8EvkemDcGXe-dqLA_4_8"/>
      <w:bookmarkStart w:id="1068" w:name="Tc_DzVcHDaPdkObbwCM_9Xzaw_4_5"/>
      <w:bookmarkStart w:id="1069" w:name="Tc_uF5a158NU0W80HOi4R-_Pw_4_2"/>
      <w:bookmarkStart w:id="1070" w:name="Tc_KUIWf5RHm0aU5eqQ3kjJ3g_4_0"/>
      <w:bookmarkStart w:id="1071" w:name="Tc_U3dIVmgM3UWeyo4Se2f73w_3_11"/>
      <w:bookmarkStart w:id="1072" w:name="Tc_PaoR8T22HEekgp2oKJXY0g_3_8"/>
      <w:bookmarkStart w:id="1073" w:name="Tc_9L-ux747tkO2spdMBE-X1A_3_2"/>
      <w:bookmarkStart w:id="1074" w:name="Tc_dbs28pzoCkuDOCxnBjBByg_2_11"/>
      <w:bookmarkStart w:id="1075" w:name="Tc_N6DjEt4RW0CBeJzrIrGfNQ_2_8"/>
      <w:bookmarkStart w:id="1076" w:name="Tc_wf8_w2z8mUGsFToLWK2M1g_1_2"/>
      <w:bookmarkStart w:id="1077" w:name="_c1040ac7_260a_4ddc_83ee_d69f5fb63e8f"/>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72235" cy="175260"/>
                      <wp:effectExtent l="0" t="0" r="0" b="0"/>
                      <wp:wrapNone/>
                      <wp:docPr id="120" name="Frame12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3510" cy="175260"/>
                      <wp:effectExtent l="0" t="0" r="0" b="0"/>
                      <wp:wrapNone/>
                      <wp:docPr id="128" name="Frame1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3400" cy="175260"/>
                      <wp:effectExtent l="0" t="0" r="0" b="0"/>
                      <wp:wrapNone/>
                      <wp:docPr id="129" name="Frame12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1765" cy="175260"/>
                      <wp:effectExtent l="0" t="0" r="0" b="0"/>
                      <wp:wrapNone/>
                      <wp:docPr id="131" name="Frame13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2610" cy="175260"/>
                      <wp:effectExtent l="0" t="0" r="0" b="0"/>
                      <wp:wrapNone/>
                      <wp:docPr id="132" name="Frame1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57860" cy="175260"/>
                      <wp:effectExtent l="0" t="0" r="0" b="0"/>
                      <wp:wrapNone/>
                      <wp:docPr id="135" name="Frame1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2,194,909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704,214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254,096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3,471,859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85,275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789,489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276,303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3,799,695</w:t>
            </w:r>
          </w:p>
        </w:tc>
      </w:tr>
    </w:tbl>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72235" cy="175260"/>
                      <wp:effectExtent l="0" t="0" r="0" b="0"/>
                      <wp:wrapNone/>
                      <wp:docPr id="136" name="Frame13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91185" cy="175260"/>
                      <wp:effectExtent l="0" t="0" r="0" b="0"/>
                      <wp:wrapNone/>
                      <wp:docPr id="139"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42"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3510" cy="175260"/>
                      <wp:effectExtent l="0" t="0" r="0" b="0"/>
                      <wp:wrapNone/>
                      <wp:docPr id="144" name="Frame1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33400" cy="175260"/>
                      <wp:effectExtent l="0" t="0" r="0" b="0"/>
                      <wp:wrapNone/>
                      <wp:docPr id="145" name="Frame14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765" cy="175260"/>
                      <wp:effectExtent l="0" t="0" r="0" b="0"/>
                      <wp:wrapNone/>
                      <wp:docPr id="147" name="Frame1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62610" cy="175260"/>
                      <wp:effectExtent l="0" t="0" r="0" b="0"/>
                      <wp:wrapNone/>
                      <wp:docPr id="148" name="Frame1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860" cy="175260"/>
                      <wp:effectExtent l="0" t="0" r="0" b="0"/>
                      <wp:wrapNone/>
                      <wp:docPr id="151" name="Frame1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2023</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616,633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260,472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3,248,555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186,048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2,299,772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689,634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277,283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3,553,891</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i/>
          <w:sz w:val="20"/>
        </w:rPr>
        <w:t>Europe, Middle East and Africa (“EMEA”)</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June 30, 2024 and December 31, 2023, the Company had $236.7 million and $246.2 million, respectively, of deferred revenue, which is included in current and long-term deferred revenue in the Company’s condensed consolidated balance sheets. During both the three-months ended June 30, 2024 and 2023, $10.0 million of deferred revenue was recognized in net sales. During both the six-months ended June 30, 2024 and 2023, $19.9 million of deferred revenue was recognized in net sales. See Note 10.</w:t>
      </w:r>
    </w:p>
    <w:p>
      <w:pPr>
        <w:pStyle w:val="TextBody"/>
        <w:bidi w:val="0"/>
        <w:spacing w:before="0" w:after="0"/>
        <w:ind w:left="0" w:right="0" w:hanging="0"/>
        <w:jc w:val="left"/>
        <w:rPr/>
      </w:pPr>
      <w:r>
        <w:rPr/>
        <w:t>​</w:t>
      </w:r>
    </w:p>
    <w:tbl>
      <w:tblPr>
        <w:tblW w:w="1127" w:type="dxa"/>
        <w:jc w:val="left"/>
        <w:tblInd w:w="0" w:type="dxa"/>
        <w:tblLayout w:type="fixed"/>
        <w:tblCellMar>
          <w:top w:w="0" w:type="dxa"/>
          <w:left w:w="0" w:type="dxa"/>
          <w:bottom w:w="0" w:type="dxa"/>
          <w:right w:w="0" w:type="dxa"/>
        </w:tblCellMar>
      </w:tblPr>
      <w:tblGrid>
        <w:gridCol w:w="271"/>
        <w:gridCol w:w="85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8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LEASES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leases identified assets consisting primarily of office and warehouse space, warehouse equipment and vehicles. Leases are classified as either finance leases or operating leases based on criteria in ASC 842, “Leases”. The Company’s leases have remaining lease terms of less than one year to 10 years, </w:t>
      </w:r>
      <w:r>
        <w:rPr>
          <w:rFonts w:ascii="Times New Roman;Times;serif" w:hAnsi="Times New Roman;Times;serif"/>
          <w:b w:val="false"/>
          <w:i w:val="false"/>
          <w:caps w:val="false"/>
          <w:smallCaps w:val="false"/>
          <w:sz w:val="20"/>
        </w:rPr>
        <w:t>some</w:t>
      </w:r>
      <w:r>
        <w:rPr>
          <w:rFonts w:ascii="Times New Roman;Times;serif" w:hAnsi="Times New Roman;Times;serif"/>
          <w:sz w:val="20"/>
        </w:rPr>
        <w:t xml:space="preserve"> of </w:t>
      </w:r>
      <w:r>
        <w:rPr>
          <w:rFonts w:ascii="Times New Roman;Times;serif" w:hAnsi="Times New Roman;Times;serif"/>
          <w:b w:val="false"/>
          <w:i w:val="false"/>
          <w:caps w:val="false"/>
          <w:smallCaps w:val="false"/>
          <w:sz w:val="20"/>
        </w:rPr>
        <w:t>which</w:t>
      </w:r>
      <w:r>
        <w:rPr>
          <w:rFonts w:ascii="Times New Roman;Times;serif" w:hAnsi="Times New Roman;Times;serif"/>
          <w:sz w:val="20"/>
        </w:rPr>
        <w:t xml:space="preserve"> include options to extend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for up to five years, and some of which include options to terminate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within one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078" w:name="Tc_EbZzXSTt2kugIMmtxqOG_w_15_7"/>
      <w:bookmarkStart w:id="1079" w:name="Tc_UAqwTD-E70-GfswfXYzMDQ_15_4"/>
      <w:bookmarkStart w:id="1080" w:name="Tc_5up3o4bEpkaCAw-Ofi1qbQ_15_0"/>
      <w:bookmarkStart w:id="1081" w:name="Tc_CQ-TtWfCi02wXmIkPgzIaw_14_0"/>
      <w:bookmarkStart w:id="1082" w:name="Tc_zXtk1abQg0CrQOkfJ5C49w_13_7"/>
      <w:bookmarkStart w:id="1083" w:name="Tc_nGA5BdsotkK3F1i_oY-51w_13_4"/>
      <w:bookmarkStart w:id="1084" w:name="Tc_ybBIFbNC1Ea5q95kEvbjcQ_13_0"/>
      <w:bookmarkStart w:id="1085" w:name="Tc_hUN3Q92RPkG4vHczg4VukA_11_7"/>
      <w:bookmarkStart w:id="1086" w:name="Tc_i6HNKhkZN0KuBwpXYd20Xg_11_4"/>
      <w:bookmarkStart w:id="1087" w:name="Tc_Rbp6G8Kw-Eu6UYPCNtDySw_11_0"/>
      <w:bookmarkStart w:id="1088" w:name="Tc_GGTZ6HAGlk-moAu4dADIvQ_10_0"/>
      <w:bookmarkStart w:id="1089" w:name="Tc_p_f7N42cjUaBVB8G5qjPTg_8_7"/>
      <w:bookmarkStart w:id="1090" w:name="Tc_93HJxYhxt0ahPWvpQ7rhDA_8_4"/>
      <w:bookmarkStart w:id="1091" w:name="Tc_w6yrOV3bYk-5F_SHQv8Fvw_8_0"/>
      <w:bookmarkStart w:id="1092" w:name="Tc_0o4-ktR4L0W9D9jy-f4oyA_7_0"/>
      <w:bookmarkStart w:id="1093" w:name="Tc_Brr5LZK26E2yAEAqEPZvlw_6_7"/>
      <w:bookmarkStart w:id="1094" w:name="Tc_34cyq8yDqkK-naQ1tuXRIw_6_4"/>
      <w:bookmarkStart w:id="1095" w:name="Tc_fyDOOnBw70ymytJSz8y8RQ_6_0"/>
      <w:bookmarkStart w:id="1096" w:name="Tc_FauBq-EAh0ewhmST9nhqeQ_4_7"/>
      <w:bookmarkStart w:id="1097" w:name="Tc_gqOlesHODUCkvKj727_4Rg_4_4"/>
      <w:bookmarkStart w:id="1098" w:name="Tc_hcYuEzxoWkKvltiiLlvnbA_4_0"/>
      <w:bookmarkStart w:id="1099" w:name="Tc_o3DDNsKYokO2TY0rV5LGSw_3_0"/>
      <w:bookmarkStart w:id="1100" w:name="Tc_QIU8pUuGZUeOO8WUWTvhDw_2_7"/>
      <w:bookmarkStart w:id="1101" w:name="Tc_zCElvcdlhUyObNxrmWDZmA_2_4"/>
      <w:bookmarkStart w:id="1102" w:name="Tc_TspYemd7nUS-zb_-1j9F_g_2_2"/>
      <w:bookmarkStart w:id="1103" w:name="Tc_aPKotuORNk6eJtqjqISXmQ_1_7"/>
      <w:bookmarkStart w:id="1104" w:name="Tc_ON4JdnRqpEyEtcnTl60fwA_1_4"/>
      <w:bookmarkStart w:id="1105" w:name="Tc__sVQpSVUdEC3xacBFiNgRQ_10_0"/>
      <w:bookmarkStart w:id="1106" w:name="Tc_lkEcKUaOjE23MtX0XQCbcA_9_0"/>
      <w:bookmarkStart w:id="1107" w:name="Tc_x-sUbDhcIE66GR7FBV6Baw_8_0"/>
      <w:bookmarkStart w:id="1108" w:name="Tc_BEHe3ZfHRE21UchH_xWjeA_6_0"/>
      <w:bookmarkStart w:id="1109" w:name="Tc_ZpY4iLE6wkmJdw2MNxs1dg_5_0"/>
      <w:bookmarkStart w:id="1110" w:name="Tc_BgIBQHO8AEihc-26Y8rHNQ_4_5"/>
      <w:bookmarkStart w:id="1111" w:name="Tc_fsMMv95PLEik-4Z0eEOMVw_4_2"/>
      <w:bookmarkStart w:id="1112" w:name="Tc_9qQjJnWjmky1Cj3BPvbqqA_4_0"/>
      <w:bookmarkStart w:id="1113" w:name="Tc_MZrhCiyCSEa7fvaoez1OBg_3_0"/>
      <w:bookmarkStart w:id="1114" w:name="Tc_vVhTyTRhVkeSnPUEheUR0w_2_5"/>
      <w:bookmarkStart w:id="1115" w:name="Tc_ose8KSJFHEmlZwkV1uv9aw_2_2"/>
      <w:bookmarkStart w:id="1116" w:name="Tc_Kevm7smZhU2Ljv2BzdF3EQ_1_2"/>
      <w:bookmarkStart w:id="1117" w:name="Tc_2eFF3WTJR0GNHU0CfILMeA_12_11"/>
      <w:bookmarkStart w:id="1118" w:name="Tc_xV-ZHN-dak28Rld-mRyy4A_12_8"/>
      <w:bookmarkStart w:id="1119" w:name="Tc_i0t9FU2trUyzDGAOmA4CqQ_12_5"/>
      <w:bookmarkStart w:id="1120" w:name="Tc_qiAWOzSPaUSkOTmMcBCZQg_12_2"/>
      <w:bookmarkStart w:id="1121" w:name="Tc_2zYwSikm2kWXz-DRy07ulg_12_0"/>
      <w:bookmarkStart w:id="1122" w:name="Tc_zOcv-cMpkUGxFfn4YvVOow_10_0"/>
      <w:bookmarkStart w:id="1123" w:name="Tc_bdiOQYa8fUqV0O4ZZgAmFA_9_0"/>
      <w:bookmarkStart w:id="1124" w:name="Tc__0xQDwKEhEKxVL4qzvwDvQ_8_0"/>
      <w:bookmarkStart w:id="1125" w:name="Tc_wFXy-ESeZEiAYixpwX8zPQ_7_0"/>
      <w:bookmarkStart w:id="1126" w:name="Tc_n6nLJxRvLkuVpADlARwtNw_5_0"/>
      <w:bookmarkStart w:id="1127" w:name="Tc_Fn4YAAl0BkW0KoFnM_-OdQ_4_0"/>
      <w:bookmarkStart w:id="1128" w:name="Tc_T7X177VQ9k6Zx5ZXrnuFEA_3_11"/>
      <w:bookmarkStart w:id="1129" w:name="Tc_U0-TikU2rUCOEgLrs_DVLQ_3_8"/>
      <w:bookmarkStart w:id="1130" w:name="Tc_GST2s1Sw20qexHJfQDZ9cg_3_5"/>
      <w:bookmarkStart w:id="1131" w:name="Tc_gQSrFZ23JEyT0o42FntLlw_3_2"/>
      <w:bookmarkStart w:id="1132" w:name="Tc_JO4z0MtOTkWw1_2nYD-y_g_3_0"/>
      <w:bookmarkStart w:id="1133" w:name="Tc_1KRoMkOFD0W3eB5PfQLtpA_2_11"/>
      <w:bookmarkStart w:id="1134" w:name="Tc_mr_qd5578Ua7_5W49N6j4w_2_8"/>
      <w:bookmarkStart w:id="1135" w:name="Tc_Q20XBUt9t0KX60tTkGN73w_2_5"/>
      <w:bookmarkStart w:id="1136" w:name="Tc_vCI2UF9yEkKe3XsKq4yZLA_2_2"/>
      <w:bookmarkStart w:id="1137" w:name="Tc_tT6I5ZlKO0G8lNgA7WiXPA_1_8"/>
      <w:bookmarkStart w:id="1138" w:name="Tc_4nz7hlIHqUqXwyZ11K2K4g_1_2"/>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sz w:val="20"/>
        </w:rPr>
        <w:t>The components of lease cost were as follows:</w:t>
      </w:r>
    </w:p>
    <w:p>
      <w:pPr>
        <w:pStyle w:val="TextBody"/>
        <w:bidi w:val="0"/>
        <w:spacing w:before="0" w:after="0"/>
        <w:ind w:left="0" w:right="0" w:firstLine="720"/>
        <w:jc w:val="both"/>
        <w:rPr/>
      </w:pPr>
      <w:r>
        <w:rPr/>
        <w:t>​</w:t>
      </w:r>
    </w:p>
    <w:tbl>
      <w:tblPr>
        <w:tblW w:w="8599" w:type="dxa"/>
        <w:jc w:val="left"/>
        <w:tblInd w:w="0" w:type="dxa"/>
        <w:tblLayout w:type="fixed"/>
        <w:tblCellMar>
          <w:top w:w="0" w:type="dxa"/>
          <w:left w:w="0" w:type="dxa"/>
          <w:bottom w:w="0" w:type="dxa"/>
          <w:right w:w="0" w:type="dxa"/>
        </w:tblCellMar>
      </w:tblPr>
      <w:tblGrid>
        <w:gridCol w:w="2911"/>
        <w:gridCol w:w="326"/>
        <w:gridCol w:w="289"/>
        <w:gridCol w:w="784"/>
        <w:gridCol w:w="447"/>
        <w:gridCol w:w="289"/>
        <w:gridCol w:w="784"/>
        <w:gridCol w:w="326"/>
        <w:gridCol w:w="245"/>
        <w:gridCol w:w="787"/>
        <w:gridCol w:w="379"/>
        <w:gridCol w:w="245"/>
        <w:gridCol w:w="787"/>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848485" cy="175260"/>
                      <wp:effectExtent l="0" t="0" r="0" b="0"/>
                      <wp:wrapNone/>
                      <wp:docPr id="152" name="Frame15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3515" cy="175260"/>
                      <wp:effectExtent l="0" t="0" r="0" b="0"/>
                      <wp:wrapNone/>
                      <wp:docPr id="154" name="Frame15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7840" cy="175260"/>
                      <wp:effectExtent l="0" t="0" r="0" b="0"/>
                      <wp:wrapNone/>
                      <wp:docPr id="155" name="Frame15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83845" cy="175260"/>
                      <wp:effectExtent l="0" t="0" r="0" b="0"/>
                      <wp:wrapNone/>
                      <wp:docPr id="156" name="Frame156"/>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3515" cy="175260"/>
                      <wp:effectExtent l="0" t="0" r="0" b="0"/>
                      <wp:wrapNone/>
                      <wp:docPr id="157" name="Frame15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7840" cy="175260"/>
                      <wp:effectExtent l="0" t="0" r="0" b="0"/>
                      <wp:wrapNone/>
                      <wp:docPr id="158" name="Frame15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5575" cy="175260"/>
                      <wp:effectExtent l="0" t="0" r="0" b="0"/>
                      <wp:wrapNone/>
                      <wp:docPr id="160" name="Frame16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9745" cy="175260"/>
                      <wp:effectExtent l="0" t="0" r="0" b="0"/>
                      <wp:wrapNone/>
                      <wp:docPr id="161" name="Frame16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0665" cy="175260"/>
                      <wp:effectExtent l="0" t="0" r="0" b="0"/>
                      <wp:wrapNone/>
                      <wp:docPr id="162" name="Frame16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5575" cy="175260"/>
                      <wp:effectExtent l="0" t="0" r="0" b="0"/>
                      <wp:wrapNone/>
                      <wp:docPr id="163" name="Frame16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9745" cy="175260"/>
                      <wp:effectExtent l="0" t="0" r="0" b="0"/>
                      <wp:wrapNone/>
                      <wp:docPr id="164" name="Frame16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w:t>
            </w:r>
          </w:p>
        </w:tc>
        <w:tc>
          <w:tcPr>
            <w:tcW w:w="326"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447"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79"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326"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7,690</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326"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w:t>
            </w:r>
          </w:p>
        </w:tc>
        <w:tc>
          <w:tcPr>
            <w:tcW w:w="326" w:type="dxa"/>
            <w:tcBorders/>
            <w:vAlign w:val="center"/>
          </w:tcPr>
          <w:p>
            <w:pPr>
              <w:pStyle w:val="TableContents"/>
              <w:bidi w:val="0"/>
              <w:spacing w:before="0" w:after="0"/>
              <w:ind w:left="0" w:right="0" w:hanging="0"/>
              <w:jc w:val="righ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14,184</w:t>
            </w:r>
          </w:p>
        </w:tc>
        <w:tc>
          <w:tcPr>
            <w:tcW w:w="37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7,956</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cash flow information was as follows:</w:t>
      </w:r>
    </w:p>
    <w:p>
      <w:pPr>
        <w:pStyle w:val="TextBody"/>
        <w:bidi w:val="0"/>
        <w:spacing w:before="0" w:after="0"/>
        <w:ind w:left="0" w:right="0" w:firstLine="720"/>
        <w:jc w:val="both"/>
        <w:rPr/>
      </w:pPr>
      <w:r>
        <w:rPr/>
        <w:t>​</w:t>
      </w:r>
    </w:p>
    <w:tbl>
      <w:tblPr>
        <w:tblW w:w="8635" w:type="dxa"/>
        <w:jc w:val="left"/>
        <w:tblInd w:w="0" w:type="dxa"/>
        <w:tblLayout w:type="fixed"/>
        <w:tblCellMar>
          <w:top w:w="0" w:type="dxa"/>
          <w:left w:w="0" w:type="dxa"/>
          <w:bottom w:w="0" w:type="dxa"/>
          <w:right w:w="0" w:type="dxa"/>
        </w:tblCellMar>
      </w:tblPr>
      <w:tblGrid>
        <w:gridCol w:w="5866"/>
        <w:gridCol w:w="326"/>
        <w:gridCol w:w="258"/>
        <w:gridCol w:w="700"/>
        <w:gridCol w:w="399"/>
        <w:gridCol w:w="258"/>
        <w:gridCol w:w="828"/>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24910" cy="175260"/>
                      <wp:effectExtent l="0" t="0" r="0" b="0"/>
                      <wp:wrapNone/>
                      <wp:docPr id="165" name="Frame165"/>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3830" cy="175260"/>
                      <wp:effectExtent l="0" t="0" r="0" b="0"/>
                      <wp:wrapNone/>
                      <wp:docPr id="167" name="Frame16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44500" cy="175260"/>
                      <wp:effectExtent l="0" t="0" r="0" b="0"/>
                      <wp:wrapNone/>
                      <wp:docPr id="168" name="Frame168"/>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53365" cy="175260"/>
                      <wp:effectExtent l="0" t="0" r="0" b="0"/>
                      <wp:wrapNone/>
                      <wp:docPr id="169" name="Frame16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3830" cy="175260"/>
                      <wp:effectExtent l="0" t="0" r="0" b="0"/>
                      <wp:wrapNone/>
                      <wp:docPr id="170" name="Frame17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5780" cy="175260"/>
                      <wp:effectExtent l="0" t="0" r="0" b="0"/>
                      <wp:wrapNone/>
                      <wp:docPr id="171" name="Frame171"/>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99" w:type="dxa"/>
            <w:tcBorders/>
            <w:vAlign w:val="center"/>
          </w:tcPr>
          <w:p>
            <w:pPr>
              <w:pStyle w:val="TableContents"/>
              <w:bidi w:val="0"/>
              <w:spacing w:before="0" w:after="0"/>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7,355</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pPr>
            <w:r>
              <w:rPr/>
              <w:t>​</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5,115</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1,847</w:t>
            </w:r>
          </w:p>
        </w:tc>
      </w:tr>
    </w:tbl>
    <w:p>
      <w:pPr>
        <w:pStyle w:val="TextBody"/>
        <w:pBdr/>
        <w:bidi w:val="0"/>
        <w:spacing w:before="0" w:after="0"/>
        <w:ind w:left="0" w:right="0" w:hanging="720"/>
        <w:jc w:val="left"/>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balance sheet information was as follows:</w:t>
      </w:r>
    </w:p>
    <w:p>
      <w:pPr>
        <w:pStyle w:val="TextBody"/>
        <w:bidi w:val="0"/>
        <w:spacing w:before="0" w:after="0"/>
        <w:ind w:left="0" w:right="0" w:firstLine="720"/>
        <w:jc w:val="both"/>
        <w:rPr/>
      </w:pPr>
      <w:r>
        <w:rPr/>
        <w:t>​</w:t>
      </w:r>
    </w:p>
    <w:tbl>
      <w:tblPr>
        <w:tblW w:w="8227" w:type="dxa"/>
        <w:jc w:val="left"/>
        <w:tblInd w:w="0" w:type="dxa"/>
        <w:tblLayout w:type="fixed"/>
        <w:tblCellMar>
          <w:top w:w="0" w:type="dxa"/>
          <w:left w:w="0" w:type="dxa"/>
          <w:bottom w:w="0" w:type="dxa"/>
          <w:right w:w="0" w:type="dxa"/>
        </w:tblCellMar>
      </w:tblPr>
      <w:tblGrid>
        <w:gridCol w:w="2656"/>
        <w:gridCol w:w="326"/>
        <w:gridCol w:w="2401"/>
        <w:gridCol w:w="326"/>
        <w:gridCol w:w="211"/>
        <w:gridCol w:w="676"/>
        <w:gridCol w:w="326"/>
        <w:gridCol w:w="295"/>
        <w:gridCol w:w="1010"/>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86560" cy="175260"/>
                      <wp:effectExtent l="0" t="0" r="0" b="0"/>
                      <wp:wrapNone/>
                      <wp:docPr id="172" name="Frame17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24635" cy="175260"/>
                      <wp:effectExtent l="0" t="0" r="0" b="0"/>
                      <wp:wrapNone/>
                      <wp:docPr id="174" name="Frame174"/>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9260" cy="175260"/>
                      <wp:effectExtent l="0" t="0" r="0" b="0"/>
                      <wp:wrapNone/>
                      <wp:docPr id="177" name="Frame1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7325" cy="175260"/>
                      <wp:effectExtent l="0" t="0" r="0" b="0"/>
                      <wp:wrapNone/>
                      <wp:docPr id="179" name="Frame17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1350" cy="175260"/>
                      <wp:effectExtent l="0" t="0" r="0" b="0"/>
                      <wp:wrapNone/>
                      <wp:docPr id="180" name="Frame180"/>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55,731</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58,845</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11,105</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45,862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59,547</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11,147</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6,468</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139" w:name="Tc_PguUEmmknEWJgGn9I6z7LQ_11_5"/>
      <w:bookmarkStart w:id="1140" w:name="Tc_B_WJ24PcGkOFqJXFow6QCw_11_2"/>
      <w:bookmarkStart w:id="1141" w:name="Tc_B90Xjz6unUW6w_O-wzCjGg_11_0"/>
      <w:bookmarkStart w:id="1142" w:name="Tc_AkJg9GwiXUi-TSQr0Z3Kfg_10_0"/>
      <w:bookmarkStart w:id="1143" w:name="Tc_IOvSANnkmUa4PKRmgEmF5w_9_0"/>
      <w:bookmarkStart w:id="1144" w:name="Tc_LQLzp0sVmky-NhC6GbL3kA_8_0"/>
      <w:bookmarkStart w:id="1145" w:name="Tc_9z5nRL3Uw0-0qMWgqzKy2Q_7_0"/>
      <w:bookmarkStart w:id="1146" w:name="Tc_KhlhBPGKQEydm-7iu0PhbQ_6_6"/>
      <w:bookmarkStart w:id="1147" w:name="Tc_ZyNvNeeVbk6yjRNvMmIt8w_6_0"/>
      <w:bookmarkStart w:id="1148" w:name="Tc_ZmN4iG3KbEOpoFoBCoQMqA_5_0"/>
      <w:bookmarkStart w:id="1149" w:name="Tc_FHjmzt7mdEKTrbLxhuXgsw_4_0"/>
      <w:bookmarkStart w:id="1150" w:name="Tc_0fe5zAwul0SqSZ4-BjYVWw_3_5"/>
      <w:bookmarkStart w:id="1151" w:name="Tc_E1wBzNSRzkWQ8-1L3OVdbg_3_2"/>
      <w:bookmarkStart w:id="1152" w:name="Tc_cwEhSxEd2Em4slSYzF_iYA_3_0"/>
      <w:bookmarkStart w:id="1153" w:name="Tc_ZRlX_IPZmUKhHy8WBgvoZQ_2_5"/>
      <w:bookmarkStart w:id="1154" w:name="Tc_kmZ78f6W-EOnxG81jjbTlg_2_2"/>
      <w:bookmarkStart w:id="1155" w:name="Tc_jJ3aoVOBJECvv7H5GQlwDA_1_2"/>
      <w:bookmarkStart w:id="1156" w:name="_f09d4950_4819_4ec9_bf5d_bbd390ce0ca7"/>
      <w:bookmarkStart w:id="1157" w:name="Tc_8IFIAyJe3EWrF1lDy6ugMw_9_5"/>
      <w:bookmarkStart w:id="1158" w:name="Tc_UVLgPN1tu0SeJ_Z9BqAlBw_9_3"/>
      <w:bookmarkStart w:id="1159" w:name="Tc_vlHqyuO77U61B80gc0MCIg_9_0"/>
      <w:bookmarkStart w:id="1160" w:name="Tc_h-4EX-i4SkWQ4_JfQUXAaw_8_5"/>
      <w:bookmarkStart w:id="1161" w:name="Tc_uCi5g7JO00W4u_49fWAWRg_8_3"/>
      <w:bookmarkStart w:id="1162" w:name="Tc_H8tBOsaU6kOdcfomC4jkqQ_8_0"/>
      <w:bookmarkStart w:id="1163" w:name="Tc_Ewxah7DdS0-TCsvvYIn_hA_7_0"/>
      <w:bookmarkStart w:id="1164" w:name="Tc_PH8WKIm8-0mcL_8IFHDTqQ_5_0"/>
      <w:bookmarkStart w:id="1165" w:name="Tc_1OLaM3dbiE6C2PK8djOsTw_4_0"/>
      <w:bookmarkStart w:id="1166" w:name="Tc_k6RA8cf6-0q4D0Tt4rQyDg_3_0"/>
      <w:bookmarkStart w:id="1167" w:name="Tc_3b0uX8Khvk-Osv4ZvFo86Q_2_4"/>
      <w:bookmarkStart w:id="1168" w:name="Tc_3suitEQUEUKiW4I8mxFDCw_2_2"/>
      <w:bookmarkStart w:id="1169" w:name="Tc_46C_4lQeTEOJfh05QlNbgQ_1_4"/>
      <w:bookmarkStart w:id="1170" w:name="Tc_Grv2Q_9LykCkzZFVcrI53Q_1_2"/>
      <w:bookmarkStart w:id="1171" w:name="_a50aab39_4848_47b5_bed5_5d1eb27bbd9d"/>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Pr>
          <w:rFonts w:ascii="Times New Roman;Times;serif" w:hAnsi="Times New Roman;Times;serif"/>
          <w:sz w:val="20"/>
        </w:rPr>
        <w:t>Weighted-average remaining lease term and weighted-average discount rate for the Company’s leases were as follows:</w:t>
      </w:r>
    </w:p>
    <w:p>
      <w:pPr>
        <w:pStyle w:val="TextBody"/>
        <w:bidi w:val="0"/>
        <w:spacing w:before="0" w:after="0"/>
        <w:ind w:left="0" w:right="0" w:firstLine="720"/>
        <w:jc w:val="both"/>
        <w:rPr/>
      </w:pPr>
      <w:r>
        <w:rPr/>
        <w:t>​</w:t>
      </w:r>
    </w:p>
    <w:tbl>
      <w:tblPr>
        <w:tblW w:w="7156" w:type="dxa"/>
        <w:jc w:val="left"/>
        <w:tblInd w:w="0" w:type="dxa"/>
        <w:tblLayout w:type="fixed"/>
        <w:tblCellMar>
          <w:top w:w="0" w:type="dxa"/>
          <w:left w:w="0" w:type="dxa"/>
          <w:bottom w:w="0" w:type="dxa"/>
          <w:right w:w="0" w:type="dxa"/>
        </w:tblCellMar>
      </w:tblPr>
      <w:tblGrid>
        <w:gridCol w:w="4066"/>
        <w:gridCol w:w="326"/>
        <w:gridCol w:w="826"/>
        <w:gridCol w:w="361"/>
        <w:gridCol w:w="1261"/>
        <w:gridCol w:w="31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581910" cy="175260"/>
                      <wp:effectExtent l="0" t="0" r="0" b="0"/>
                      <wp:wrapNone/>
                      <wp:docPr id="181" name="Frame181"/>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24510" cy="175260"/>
                      <wp:effectExtent l="0" t="0" r="0" b="0"/>
                      <wp:wrapNone/>
                      <wp:docPr id="183" name="Frame1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9235" cy="175260"/>
                      <wp:effectExtent l="0" t="0" r="0" b="0"/>
                      <wp:wrapNone/>
                      <wp:docPr id="184" name="Frame1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00735" cy="175260"/>
                      <wp:effectExtent l="0" t="0" r="0" b="0"/>
                      <wp:wrapNone/>
                      <wp:docPr id="185" name="Frame18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0660" cy="175260"/>
                      <wp:effectExtent l="0" t="0" r="0" b="0"/>
                      <wp:wrapNone/>
                      <wp:docPr id="186" name="Frame1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16" w:type="dxa"/>
            <w:tcBorders/>
            <w:vAlign w:val="center"/>
          </w:tcPr>
          <w:p>
            <w:pPr>
              <w:pStyle w:val="TableContents"/>
              <w:bidi w:val="0"/>
              <w:spacing w:before="0" w:after="0"/>
              <w:ind w:left="0" w:right="0" w:hanging="0"/>
              <w:jc w:val="left"/>
              <w:rPr/>
            </w:pPr>
            <w:r>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outlines maturities of the Company’s lease liabilities as of June 30, 2024:</w:t>
      </w:r>
    </w:p>
    <w:p>
      <w:pPr>
        <w:pStyle w:val="TextBody"/>
        <w:bidi w:val="0"/>
        <w:spacing w:before="0" w:after="0"/>
        <w:ind w:left="0" w:right="0" w:firstLine="720"/>
        <w:jc w:val="both"/>
        <w:rPr/>
      </w:pPr>
      <w:r>
        <w:rPr/>
        <w:t>​</w:t>
      </w:r>
    </w:p>
    <w:tbl>
      <w:tblPr>
        <w:tblW w:w="7661" w:type="dxa"/>
        <w:jc w:val="left"/>
        <w:tblInd w:w="0" w:type="dxa"/>
        <w:tblLayout w:type="fixed"/>
        <w:tblCellMar>
          <w:top w:w="0" w:type="dxa"/>
          <w:left w:w="0" w:type="dxa"/>
          <w:bottom w:w="0" w:type="dxa"/>
          <w:right w:w="0" w:type="dxa"/>
        </w:tblCellMar>
      </w:tblPr>
      <w:tblGrid>
        <w:gridCol w:w="3961"/>
        <w:gridCol w:w="326"/>
        <w:gridCol w:w="357"/>
        <w:gridCol w:w="1144"/>
        <w:gridCol w:w="492"/>
        <w:gridCol w:w="328"/>
        <w:gridCol w:w="1053"/>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515235" cy="175260"/>
                      <wp:effectExtent l="0" t="0" r="0" b="0"/>
                      <wp:wrapNone/>
                      <wp:docPr id="187" name="Frame18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26695" cy="175260"/>
                      <wp:effectExtent l="0" t="0" r="0" b="0"/>
                      <wp:wrapNone/>
                      <wp:docPr id="189" name="Frame18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26440" cy="175260"/>
                      <wp:effectExtent l="0" t="0" r="0" b="0"/>
                      <wp:wrapNone/>
                      <wp:docPr id="190" name="Frame19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12420" cy="175260"/>
                      <wp:effectExtent l="0" t="0" r="0" b="0"/>
                      <wp:wrapNone/>
                      <wp:docPr id="191" name="Frame19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8280" cy="175260"/>
                      <wp:effectExtent l="0" t="0" r="0" b="0"/>
                      <wp:wrapNone/>
                      <wp:docPr id="192" name="Frame19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68655" cy="175260"/>
                      <wp:effectExtent l="0" t="0" r="0" b="0"/>
                      <wp:wrapNone/>
                      <wp:docPr id="193" name="Frame193"/>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Undiscounted Future Lease Payments</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492"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(from July 1, 2024 to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12,617</w:t>
            </w:r>
          </w:p>
        </w:tc>
        <w:tc>
          <w:tcPr>
            <w:tcW w:w="492"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9,633</w:t>
            </w:r>
          </w:p>
        </w:tc>
        <w:tc>
          <w:tcPr>
            <w:tcW w:w="492"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8,089</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18,295</w:t>
            </w:r>
          </w:p>
        </w:tc>
        <w:tc>
          <w:tcPr>
            <w:tcW w:w="492"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65,769</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(8,802)</w:t>
            </w:r>
          </w:p>
        </w:tc>
        <w:tc>
          <w:tcPr>
            <w:tcW w:w="492"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2,177</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2024, the Company did not have any significant leases that had not yet commenced.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72" w:name="Tc_E50XMXhq_Ua-0coYPKzI9A_18_17"/>
      <w:bookmarkStart w:id="1173" w:name="Tc_jBiHQIPuME2UQfsaiTRjUQ_18_14"/>
      <w:bookmarkStart w:id="1174" w:name="Tc_5fbspynzk06Icull4IElpw_18_11"/>
      <w:bookmarkStart w:id="1175" w:name="Tc_iEjWcGm27keV0ZlG4wz_Pg_18_8"/>
      <w:bookmarkStart w:id="1176" w:name="Tc_D28SXy0iCk-FWJKooGb2jA_18_5"/>
      <w:bookmarkStart w:id="1177" w:name="Tc_8QPMfJ0WoE6ag5FLEHcf7w_18_2"/>
      <w:bookmarkStart w:id="1178" w:name="Tc_EoMH6pNqk0mFQ8FirsN48w_18_0"/>
      <w:bookmarkStart w:id="1179" w:name="Tc_E7e9ijwSIkOIvO7AdJozPg_17_0"/>
      <w:bookmarkStart w:id="1180" w:name="Tc_0a4FxGIHl06N_hs2U9rfeg_16_0"/>
      <w:bookmarkStart w:id="1181" w:name="Tc_V9s0epzJ-U65rL7Iiq5Wmg_15_0"/>
      <w:bookmarkStart w:id="1182" w:name="Tc_qmJlqXA7PEKJbwngZpKobQ_14_0"/>
      <w:bookmarkStart w:id="1183" w:name="Tc_l81rM-fw80a9_3mtf8yfKw_13_0"/>
      <w:bookmarkStart w:id="1184" w:name="Tc_aFdSRg7U7Emh1aslTQgP1A_12_0"/>
      <w:bookmarkStart w:id="1185" w:name="Tc_5GniRMinRE2Y9lqk-gQmaw_11_0"/>
      <w:bookmarkStart w:id="1186" w:name="Tc_H-LsxY3oZ0izN4r6btUcJg_10_0"/>
      <w:bookmarkStart w:id="1187" w:name="Tc_8z7sSLv-IEu3gKeko-Es3Q_9_0"/>
      <w:bookmarkStart w:id="1188" w:name="Tc_ghVkxTcPo0K0b2-xJFwFIw_8_17"/>
      <w:bookmarkStart w:id="1189" w:name="Tc_rGlNcMepMkG-cffHX89bsA_8_14"/>
      <w:bookmarkStart w:id="1190" w:name="Tc_qCCtCDhKk0mJ22b6doPGyw_8_11"/>
      <w:bookmarkStart w:id="1191" w:name="Tc_oNE0Y8V_VESUZwxoADeCSg_8_8"/>
      <w:bookmarkStart w:id="1192" w:name="Tc_Fx5Ob7KWCEKKixZ7zLStEQ_8_5"/>
      <w:bookmarkStart w:id="1193" w:name="Tc_m_Y4kxTvvkOgcnfWBrxpgA_8_2"/>
      <w:bookmarkStart w:id="1194" w:name="Tc_UdIZQ92WKE2Z_4toX5NciA_8_0"/>
      <w:bookmarkStart w:id="1195" w:name="Tc_1anDxSs1YkC9xhzMTTN3JQ_7_0"/>
      <w:bookmarkStart w:id="1196" w:name="Tc_p35Z4rsfI0apJWo9SK5XKw_6_0"/>
      <w:bookmarkStart w:id="1197" w:name="Tc_1Xokr1BCTUuyYiJ_DKu4wQ_5_17"/>
      <w:bookmarkStart w:id="1198" w:name="Tc_QwD_Ms5glkmfq_S6nCxK5g_5_14"/>
      <w:bookmarkStart w:id="1199" w:name="Tc_QZMuJa1-IESiVS359U5pHw_5_11"/>
      <w:bookmarkStart w:id="1200" w:name="Tc_QQFWWeXFw0OVEPij_icl5w_5_8"/>
      <w:bookmarkStart w:id="1201" w:name="Tc_B8Kj0LUlfUi8y5Xpg9PFgw_5_5"/>
      <w:bookmarkStart w:id="1202" w:name="Tc_cboW0nfxiEaKEDs_AP0OzQ_5_2"/>
      <w:bookmarkStart w:id="1203" w:name="Tc_qLcpOErj_06eq-BegLwC1w_5_0"/>
      <w:bookmarkStart w:id="1204" w:name="Tc_ABkVGuyLvkanil43YU4Emg_4_17"/>
      <w:bookmarkStart w:id="1205" w:name="Tc_XcARPyNAo0SvZpj-Y7rZzQ_4_14"/>
      <w:bookmarkStart w:id="1206" w:name="Tc_x-1Vl-YGSkS4BBHo0uU4FA_4_11"/>
      <w:bookmarkStart w:id="1207" w:name="Tc_P4fO8NH29EOqgQRXtUup-w_4_8"/>
      <w:bookmarkStart w:id="1208" w:name="Tc_Jv_flG6XmEerV1qBXYqqwg_4_5"/>
      <w:bookmarkStart w:id="1209" w:name="Tc_bi8Mi163jUW1Tm4LsRho9g_4_2"/>
      <w:bookmarkStart w:id="1210" w:name="Tc_s37IMrlevUuVCeLgUvzK8w_3_17"/>
      <w:bookmarkStart w:id="1211" w:name="Tc_qW0ehTJf80eclqtQRIBljg_3_14"/>
      <w:bookmarkStart w:id="1212" w:name="Tc_e5KdBFqM9UWL1pkT21g3fw_3_8"/>
      <w:bookmarkStart w:id="1213" w:name="Tc_KVWChMZIs0uo3bze9DYZ1w_3_5"/>
      <w:bookmarkStart w:id="1214" w:name="Tc_Hv69uL5aEkCUB7st2r3UhA_2_17"/>
      <w:bookmarkStart w:id="1215" w:name="Tc_mEMOoilmzkG7hU1iCfT_mw_2_14"/>
      <w:bookmarkStart w:id="1216" w:name="Tc_T6UHXTPzXEmDcPcXWPdnpg_2_8"/>
      <w:bookmarkStart w:id="1217" w:name="Tc_oWs0epHNbkOedXGgOZY18A_2_5"/>
      <w:bookmarkStart w:id="1218" w:name="Tc_83ZahkLtK02HygD4UHpALA_1_17"/>
      <w:bookmarkStart w:id="1219" w:name="Tc_cY3kKS7Tk0yKXcWUE9DHYg_1_14"/>
      <w:bookmarkStart w:id="1220" w:name="_70f6e449_0dc7_44d2_a9a5_90f16c5af2d1"/>
      <w:bookmarkStart w:id="1221" w:name="Tc_E50XMXhq_Ua-0coYPKzI9A_18_17"/>
      <w:bookmarkStart w:id="1222" w:name="Tc_jBiHQIPuME2UQfsaiTRjUQ_18_14"/>
      <w:bookmarkStart w:id="1223" w:name="Tc_5fbspynzk06Icull4IElpw_18_11"/>
      <w:bookmarkStart w:id="1224" w:name="Tc_iEjWcGm27keV0ZlG4wz_Pg_18_8"/>
      <w:bookmarkStart w:id="1225" w:name="Tc_D28SXy0iCk-FWJKooGb2jA_18_5"/>
      <w:bookmarkStart w:id="1226" w:name="Tc_8QPMfJ0WoE6ag5FLEHcf7w_18_2"/>
      <w:bookmarkStart w:id="1227" w:name="Tc_EoMH6pNqk0mFQ8FirsN48w_18_0"/>
      <w:bookmarkStart w:id="1228" w:name="Tc_E7e9ijwSIkOIvO7AdJozPg_17_0"/>
      <w:bookmarkStart w:id="1229" w:name="Tc_0a4FxGIHl06N_hs2U9rfeg_16_0"/>
      <w:bookmarkStart w:id="1230" w:name="Tc_V9s0epzJ-U65rL7Iiq5Wmg_15_0"/>
      <w:bookmarkStart w:id="1231" w:name="Tc_qmJlqXA7PEKJbwngZpKobQ_14_0"/>
      <w:bookmarkStart w:id="1232" w:name="Tc_l81rM-fw80a9_3mtf8yfKw_13_0"/>
      <w:bookmarkStart w:id="1233" w:name="Tc_aFdSRg7U7Emh1aslTQgP1A_12_0"/>
      <w:bookmarkStart w:id="1234" w:name="Tc_5GniRMinRE2Y9lqk-gQmaw_11_0"/>
      <w:bookmarkStart w:id="1235" w:name="Tc_H-LsxY3oZ0izN4r6btUcJg_10_0"/>
      <w:bookmarkStart w:id="1236" w:name="Tc_8z7sSLv-IEu3gKeko-Es3Q_9_0"/>
      <w:bookmarkStart w:id="1237" w:name="Tc_ghVkxTcPo0K0b2-xJFwFIw_8_17"/>
      <w:bookmarkStart w:id="1238" w:name="Tc_rGlNcMepMkG-cffHX89bsA_8_14"/>
      <w:bookmarkStart w:id="1239" w:name="Tc_qCCtCDhKk0mJ22b6doPGyw_8_11"/>
      <w:bookmarkStart w:id="1240" w:name="Tc_oNE0Y8V_VESUZwxoADeCSg_8_8"/>
      <w:bookmarkStart w:id="1241" w:name="Tc_Fx5Ob7KWCEKKixZ7zLStEQ_8_5"/>
      <w:bookmarkStart w:id="1242" w:name="Tc_m_Y4kxTvvkOgcnfWBrxpgA_8_2"/>
      <w:bookmarkStart w:id="1243" w:name="Tc_UdIZQ92WKE2Z_4toX5NciA_8_0"/>
      <w:bookmarkStart w:id="1244" w:name="Tc_1anDxSs1YkC9xhzMTTN3JQ_7_0"/>
      <w:bookmarkStart w:id="1245" w:name="Tc_p35Z4rsfI0apJWo9SK5XKw_6_0"/>
      <w:bookmarkStart w:id="1246" w:name="Tc_1Xokr1BCTUuyYiJ_DKu4wQ_5_17"/>
      <w:bookmarkStart w:id="1247" w:name="Tc_QwD_Ms5glkmfq_S6nCxK5g_5_14"/>
      <w:bookmarkStart w:id="1248" w:name="Tc_QZMuJa1-IESiVS359U5pHw_5_11"/>
      <w:bookmarkStart w:id="1249" w:name="Tc_QQFWWeXFw0OVEPij_icl5w_5_8"/>
      <w:bookmarkStart w:id="1250" w:name="Tc_B8Kj0LUlfUi8y5Xpg9PFgw_5_5"/>
      <w:bookmarkStart w:id="1251" w:name="Tc_cboW0nfxiEaKEDs_AP0OzQ_5_2"/>
      <w:bookmarkStart w:id="1252" w:name="Tc_qLcpOErj_06eq-BegLwC1w_5_0"/>
      <w:bookmarkStart w:id="1253" w:name="Tc_ABkVGuyLvkanil43YU4Emg_4_17"/>
      <w:bookmarkStart w:id="1254" w:name="Tc_XcARPyNAo0SvZpj-Y7rZzQ_4_14"/>
      <w:bookmarkStart w:id="1255" w:name="Tc_x-1Vl-YGSkS4BBHo0uU4FA_4_11"/>
      <w:bookmarkStart w:id="1256" w:name="Tc_P4fO8NH29EOqgQRXtUup-w_4_8"/>
      <w:bookmarkStart w:id="1257" w:name="Tc_Jv_flG6XmEerV1qBXYqqwg_4_5"/>
      <w:bookmarkStart w:id="1258" w:name="Tc_bi8Mi163jUW1Tm4LsRho9g_4_2"/>
      <w:bookmarkStart w:id="1259" w:name="Tc_s37IMrlevUuVCeLgUvzK8w_3_17"/>
      <w:bookmarkStart w:id="1260" w:name="Tc_qW0ehTJf80eclqtQRIBljg_3_14"/>
      <w:bookmarkStart w:id="1261" w:name="Tc_e5KdBFqM9UWL1pkT21g3fw_3_8"/>
      <w:bookmarkStart w:id="1262" w:name="Tc_KVWChMZIs0uo3bze9DYZ1w_3_5"/>
      <w:bookmarkStart w:id="1263" w:name="Tc_Hv69uL5aEkCUB7st2r3UhA_2_17"/>
      <w:bookmarkStart w:id="1264" w:name="Tc_mEMOoilmzkG7hU1iCfT_mw_2_14"/>
      <w:bookmarkStart w:id="1265" w:name="Tc_T6UHXTPzXEmDcPcXWPdnpg_2_8"/>
      <w:bookmarkStart w:id="1266" w:name="Tc_oWs0epHNbkOedXGgOZY18A_2_5"/>
      <w:bookmarkStart w:id="1267" w:name="Tc_83ZahkLtK02HygD4UHpALA_1_17"/>
      <w:bookmarkStart w:id="1268" w:name="Tc_cY3kKS7Tk0yKXcWUE9DHYg_1_14"/>
      <w:bookmarkStart w:id="1269" w:name="_70f6e449_0dc7_44d2_a9a5_90f16c5af2d1"/>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
    <w:tbl>
      <w:tblPr>
        <w:tblW w:w="1757" w:type="dxa"/>
        <w:jc w:val="left"/>
        <w:tblInd w:w="0" w:type="dxa"/>
        <w:tblLayout w:type="fixed"/>
        <w:tblCellMar>
          <w:top w:w="0" w:type="dxa"/>
          <w:left w:w="0" w:type="dxa"/>
          <w:bottom w:w="0" w:type="dxa"/>
          <w:right w:w="0" w:type="dxa"/>
        </w:tblCellMar>
      </w:tblPr>
      <w:tblGrid>
        <w:gridCol w:w="271"/>
        <w:gridCol w:w="148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4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INVESTMENTS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summarizes the Company’s investments at December 31, 2023. The Company held no short-term or long-term </w:t>
      </w:r>
      <w:r>
        <w:rPr>
          <w:rFonts w:ascii="Times New Roman;Times;serif" w:hAnsi="Times New Roman;Times;serif"/>
          <w:b w:val="false"/>
          <w:i w:val="false"/>
          <w:caps w:val="false"/>
          <w:smallCaps w:val="false"/>
          <w:sz w:val="20"/>
        </w:rPr>
        <w:t>investments</w:t>
      </w:r>
      <w:r>
        <w:rPr>
          <w:rFonts w:ascii="Times New Roman;Times;serif" w:hAnsi="Times New Roman;Times;serif"/>
          <w:sz w:val="20"/>
        </w:rPr>
        <w:t xml:space="preserve"> at June 30, 2024 as all investments were liquidated during the three-months ended June 30, 2024 to fund a modified “Dutch auction” tender offer. See Note 14.</w:t>
      </w:r>
    </w:p>
    <w:p>
      <w:pPr>
        <w:pStyle w:val="TextBody"/>
        <w:bidi w:val="0"/>
        <w:spacing w:before="0" w:after="0"/>
        <w:ind w:left="0" w:right="0" w:hanging="0"/>
        <w:jc w:val="left"/>
        <w:rPr/>
      </w:pPr>
      <w:r>
        <w:rPr/>
        <w:t>​</w:t>
      </w:r>
    </w:p>
    <w:tbl>
      <w:tblPr>
        <w:tblW w:w="10365" w:type="dxa"/>
        <w:jc w:val="left"/>
        <w:tblInd w:w="0" w:type="dxa"/>
        <w:tblLayout w:type="fixed"/>
        <w:tblCellMar>
          <w:top w:w="0" w:type="dxa"/>
          <w:left w:w="0" w:type="dxa"/>
          <w:bottom w:w="0" w:type="dxa"/>
          <w:right w:w="0" w:type="dxa"/>
        </w:tblCellMar>
      </w:tblPr>
      <w:tblGrid>
        <w:gridCol w:w="1696"/>
        <w:gridCol w:w="326"/>
        <w:gridCol w:w="211"/>
        <w:gridCol w:w="931"/>
        <w:gridCol w:w="326"/>
        <w:gridCol w:w="330"/>
        <w:gridCol w:w="661"/>
        <w:gridCol w:w="326"/>
        <w:gridCol w:w="267"/>
        <w:gridCol w:w="724"/>
        <w:gridCol w:w="326"/>
        <w:gridCol w:w="211"/>
        <w:gridCol w:w="931"/>
        <w:gridCol w:w="326"/>
        <w:gridCol w:w="323"/>
        <w:gridCol w:w="878"/>
        <w:gridCol w:w="326"/>
        <w:gridCol w:w="397"/>
        <w:gridCol w:w="849"/>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76960" cy="175260"/>
                      <wp:effectExtent l="0" t="0" r="0" b="0"/>
                      <wp:wrapNone/>
                      <wp:docPr id="194" name="Frame19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1185" cy="175260"/>
                      <wp:effectExtent l="0" t="0" r="0" b="0"/>
                      <wp:wrapNone/>
                      <wp:docPr id="197" name="Frame1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9550" cy="175260"/>
                      <wp:effectExtent l="0" t="0" r="0" b="0"/>
                      <wp:wrapNone/>
                      <wp:docPr id="199" name="Frame19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19735" cy="175260"/>
                      <wp:effectExtent l="0" t="0" r="0" b="0"/>
                      <wp:wrapNone/>
                      <wp:docPr id="200" name="Frame20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9545" cy="175260"/>
                      <wp:effectExtent l="0" t="0" r="0" b="0"/>
                      <wp:wrapNone/>
                      <wp:docPr id="202" name="Frame20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59740" cy="175260"/>
                      <wp:effectExtent l="0" t="0" r="0" b="0"/>
                      <wp:wrapNone/>
                      <wp:docPr id="203" name="Frame203"/>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91185" cy="175260"/>
                      <wp:effectExtent l="0" t="0" r="0" b="0"/>
                      <wp:wrapNone/>
                      <wp:docPr id="206" name="Frame2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5105" cy="175260"/>
                      <wp:effectExtent l="0" t="0" r="0" b="0"/>
                      <wp:wrapNone/>
                      <wp:docPr id="208" name="Frame20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57530" cy="175260"/>
                      <wp:effectExtent l="0" t="0" r="0" b="0"/>
                      <wp:wrapNone/>
                      <wp:docPr id="209" name="Frame209"/>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52095" cy="175260"/>
                      <wp:effectExtent l="0" t="0" r="0" b="0"/>
                      <wp:wrapNone/>
                      <wp:docPr id="211" name="Frame211"/>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39115" cy="175260"/>
                      <wp:effectExtent l="0" t="0" r="0" b="0"/>
                      <wp:wrapNone/>
                      <wp:docPr id="212" name="Frame212"/>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163,775</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116,524</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116,548</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412,936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412,057</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247,340</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247,275</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23,485</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23,531</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35,967</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16,903</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16,933</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1,032,810</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1,032,036</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three-and six-months ended June 30, 2024 and 2023, realized gains or losses recognized on the sale of investments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investments at December 31, 2023 carried investment grade credit ratings.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270" w:name="Tc_JD-panGpfkmQOpdULaO6Eg_14_5"/>
      <w:bookmarkStart w:id="1271" w:name="Tc_vVJ9XkyJUU27QFSXQ5bhdw_14_2"/>
      <w:bookmarkStart w:id="1272" w:name="Tc_yF_G3uDEgEKnN8sy3qcohA_14_0"/>
      <w:bookmarkStart w:id="1273" w:name="Tc_n21n59X0VUaVNOfTgAY90g_13_0"/>
      <w:bookmarkStart w:id="1274" w:name="Tc_PBEjSA8pGEWIL6361-mYFg_12_0"/>
      <w:bookmarkStart w:id="1275" w:name="Tc_Pbwtbh-yjU2DA2d7884eeA_11_0"/>
      <w:bookmarkStart w:id="1276" w:name="Tc_61RoUhMbAkyz-G4tmw-70w_10_0"/>
      <w:bookmarkStart w:id="1277" w:name="Tc_E2OB-6LWlE6SisDjcIiKcA_9_0"/>
      <w:bookmarkStart w:id="1278" w:name="Tc_DExhGko8Z06UHdsuYKGjJA_8_0"/>
      <w:bookmarkStart w:id="1279" w:name="Tc_rI82zC-GuUOOHuUNwjqO0w_7_0"/>
      <w:bookmarkStart w:id="1280" w:name="Tc_takWxceWgUKeUZQSg7e9gw_6_0"/>
      <w:bookmarkStart w:id="1281" w:name="Tc_XxiwZ95apkiZt3jZfkS2vA_5_0"/>
      <w:bookmarkStart w:id="1282" w:name="Tc__tI4ZMZ9jkW-axXbHjZrSw_4_5"/>
      <w:bookmarkStart w:id="1283" w:name="Tc_rRre6P4p60OQvLXfbXbd6w_4_2"/>
      <w:bookmarkStart w:id="1284" w:name="Tc_-VPvnZ3QVE6Asw6ujJlbog_4_0"/>
      <w:bookmarkStart w:id="1285" w:name="Tc_vMMVYbGd_0qtQWJ2T3HJgA_3_0"/>
      <w:bookmarkStart w:id="1286" w:name="Tc_TCDx3ueTYk-ZjZV7LZJNTA_2_5"/>
      <w:bookmarkStart w:id="1287" w:name="Tc_yIDi7-gEd0mge3yUbqqNjQ_2_2"/>
      <w:bookmarkStart w:id="1288" w:name="Tc_zMBibUaZMkCHKOTh3RVyAw_1_2"/>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Fonts w:ascii="Times New Roman;Times;serif" w:hAnsi="Times New Roman;Times;serif"/>
          <w:sz w:val="20"/>
        </w:rPr>
        <w:t>The following table summarizes the underlying contractual maturities of the Company’s investments at December 31, 2023. The Company held no short-term or long-term investments at June 30, 2024.</w:t>
      </w:r>
    </w:p>
    <w:p>
      <w:pPr>
        <w:pStyle w:val="TextBody"/>
        <w:bidi w:val="0"/>
        <w:spacing w:before="0" w:after="0"/>
        <w:ind w:left="0" w:right="0" w:firstLine="720"/>
        <w:jc w:val="both"/>
        <w:rPr/>
      </w:pPr>
      <w:r>
        <w:rPr/>
        <w:t>​</w:t>
      </w:r>
    </w:p>
    <w:tbl>
      <w:tblPr>
        <w:tblW w:w="6191" w:type="dxa"/>
        <w:jc w:val="left"/>
        <w:tblInd w:w="0" w:type="dxa"/>
        <w:tblLayout w:type="fixed"/>
        <w:tblCellMar>
          <w:top w:w="0" w:type="dxa"/>
          <w:left w:w="0" w:type="dxa"/>
          <w:bottom w:w="0" w:type="dxa"/>
          <w:right w:w="0" w:type="dxa"/>
        </w:tblCellMar>
      </w:tblPr>
      <w:tblGrid>
        <w:gridCol w:w="2911"/>
        <w:gridCol w:w="326"/>
        <w:gridCol w:w="255"/>
        <w:gridCol w:w="1126"/>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1925" cy="175260"/>
                      <wp:effectExtent l="0" t="0" r="0" b="0"/>
                      <wp:wrapNone/>
                      <wp:docPr id="214" name="Frame21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15010" cy="175260"/>
                      <wp:effectExtent l="0" t="0" r="0" b="0"/>
                      <wp:wrapNone/>
                      <wp:docPr id="215" name="Frame21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57860" cy="175260"/>
                      <wp:effectExtent l="0" t="0" r="0" b="0"/>
                      <wp:wrapNone/>
                      <wp:docPr id="218" name="Frame2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2023</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116,548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412,057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247,275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1,032,036</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5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289" w:name="_349b750c_fa94_4c60_9c87_084131f7ccf7_4"/>
      <w:bookmarkStart w:id="1290" w:name="_349b750c_fa94_4c60_9c87_084131f7ccf7_3"/>
      <w:bookmarkStart w:id="1291" w:name="_349b750c_fa94_4c60_9c87_084131f7ccf7_2"/>
      <w:bookmarkStart w:id="1292" w:name="_349b750c_fa94_4c60_9c87_084131f7ccf7"/>
      <w:bookmarkStart w:id="1293" w:name="_2a534833_e03d_42e9_836b_9eebe8c20977_4"/>
      <w:bookmarkStart w:id="1294" w:name="_2a534833_e03d_42e9_836b_9eebe8c20977_3"/>
      <w:bookmarkStart w:id="1295" w:name="_2a534833_e03d_42e9_836b_9eebe8c20977_2"/>
      <w:bookmarkStart w:id="1296" w:name="_2a534833_e03d_42e9_836b_9eebe8c20977"/>
      <w:bookmarkStart w:id="1297" w:name="_a2942ca6_f60f_435f_9704_8594af99e835_4"/>
      <w:bookmarkStart w:id="1298" w:name="_a2942ca6_f60f_435f_9704_8594af99e835_3"/>
      <w:bookmarkStart w:id="1299" w:name="_a2942ca6_f60f_435f_9704_8594af99e835_2"/>
      <w:bookmarkStart w:id="1300" w:name="_a2942ca6_f60f_435f_9704_8594af99e835"/>
      <w:bookmarkStart w:id="1301" w:name="Tc_XDuCg8LngUawA5ZBeprHBQ_21_11"/>
      <w:bookmarkStart w:id="1302" w:name="Tc_fUFeixWYvkO54BoKFOYFDw_21_8"/>
      <w:bookmarkStart w:id="1303" w:name="Tc_oaFMBHUCJE6yfRO6bJvw3Q_21_5"/>
      <w:bookmarkStart w:id="1304" w:name="Tc_K3qmHJvOxUOPc_e2tQ0dkw_21_2"/>
      <w:bookmarkStart w:id="1305" w:name="Tc_smvEQquIKkevZzw7VtqvuQ_21_0"/>
      <w:bookmarkStart w:id="1306" w:name="Tc_JISO1fdYgkS0WgsOgq49mg_20_0"/>
      <w:bookmarkStart w:id="1307" w:name="Tc_NPAg3FQ1zkCtYSzS5jaOww_19_0"/>
      <w:bookmarkStart w:id="1308" w:name="Tc_rDo9KmXSEUOJwBl9ZAll6g_18_9"/>
      <w:bookmarkStart w:id="1309" w:name="Tc_TVa5rEsxK0apsRTjwqoxOA_18_3"/>
      <w:bookmarkStart w:id="1310" w:name="Tc_4En9Ac2ENEKHRd3JqnOgsQ_18_0"/>
      <w:bookmarkStart w:id="1311" w:name="Tc_MzAVNNPVlkK77rOBEJloKg_17_0"/>
      <w:bookmarkStart w:id="1312" w:name="Tc_gXGNVtxpekWu8dOL9G1TXg_16_0"/>
      <w:bookmarkStart w:id="1313" w:name="Tc_JqU6a6r66k6MJyQPxFl0Pw_15_11"/>
      <w:bookmarkStart w:id="1314" w:name="Tc_KvuBnW2IckyNylfycG6CLg_15_8"/>
      <w:bookmarkStart w:id="1315" w:name="Tc_daw35GOxVUCJREWTPRZ_8Q_15_5"/>
      <w:bookmarkStart w:id="1316" w:name="Tc_2W3asdUI4Eq7OubtWbk04A_15_2"/>
      <w:bookmarkStart w:id="1317" w:name="Tc_SiXKDqWGgEixyxOypc3dvg_15_0"/>
      <w:bookmarkStart w:id="1318" w:name="Tc_wuqs1rI3sUipdVLMyN4hag_14_0"/>
      <w:bookmarkStart w:id="1319" w:name="Tc_ZT36PraKu0GHqpLCHrRomw_12_11"/>
      <w:bookmarkStart w:id="1320" w:name="Tc_gNoMSthKmkyn-aiYtFVTog_12_8"/>
      <w:bookmarkStart w:id="1321" w:name="Tc_LjhIJw-6nUmr1vXbK4bxAw_12_5"/>
      <w:bookmarkStart w:id="1322" w:name="Tc_G8j3qOimnEWxJ-p_pkedxg_12_2"/>
      <w:bookmarkStart w:id="1323" w:name="Tc_1oqoRwlARE62JDS98uESmA_12_0"/>
      <w:bookmarkStart w:id="1324" w:name="Tc_emJN8KZuQ0-iggBZ0EQozg_11_9"/>
      <w:bookmarkStart w:id="1325" w:name="Tc_tLAfaq4SiEaa3l0LPlm2aQ_11_3"/>
      <w:bookmarkStart w:id="1326" w:name="Tc_unpyFnHOxUWBWf-GOBxj9g_11_0"/>
      <w:bookmarkStart w:id="1327" w:name="Tc_3hKiSsDuWkqSqxYBZ67QVg_10_0"/>
      <w:bookmarkStart w:id="1328" w:name="Tc_o1DIb0ETPUGx68t4rkW-Ow_9_0"/>
      <w:bookmarkStart w:id="1329" w:name="Tc_rrWKRtEsokiIUn04K0-Waw_8_0"/>
      <w:bookmarkStart w:id="1330" w:name="Tc_LrRmXn-54Um-NLNU2Y0Zpw_7_0"/>
      <w:bookmarkStart w:id="1331" w:name="Tc_uYnwhY0-QUC-BOMMTyizcw_6_0"/>
      <w:bookmarkStart w:id="1332" w:name="Tc_Gh4JDN4edUGBu8N55qbXow_5_0"/>
      <w:bookmarkStart w:id="1333" w:name="Tc_5yKOWvzkf06aFoqMFKIPRQ_4_0"/>
      <w:bookmarkStart w:id="1334" w:name="Tc_UvWFfQjiyE2Sn-Fj9oXB9A_3_0"/>
      <w:bookmarkStart w:id="1335" w:name="Tc_4F93x8uHUkyAYaENHAIk3w_2_11"/>
      <w:bookmarkStart w:id="1336" w:name="Tc_56V7UQc4VEafwGkNxBnPLg_2_8"/>
      <w:bookmarkStart w:id="1337" w:name="Tc_3idbXCyOeU6Hbgg4_gJegg_2_5"/>
      <w:bookmarkStart w:id="1338" w:name="Tc_8d00w31fOkGBK5hLkHVV1g_2_2"/>
      <w:bookmarkStart w:id="1339" w:name="Tc_wggA3wLNFUyCrKTz1W129A_2_0"/>
      <w:bookmarkStart w:id="1340" w:name="Tc_ZWMItXPuy0KaniAABH3lkQ_1_11"/>
      <w:bookmarkStart w:id="1341" w:name="Tc_KrsiUEjFRkWMFW1ltN5Cxw_1_8"/>
      <w:bookmarkStart w:id="1342" w:name="Tc_SR7k9jMvVkKsDsH5ffVEMA_1_5"/>
      <w:bookmarkStart w:id="1343" w:name="Tc_72ymC_ZDk0GYBdrqUqmNmQ_1_2"/>
      <w:bookmarkStart w:id="1344" w:name="Tc_I8pdpA0tvU6dA6Ko1m0Z8A_1_0"/>
      <w:bookmarkStart w:id="1345" w:name="_c899e345_8a9f_4227_b79e_3e69ce4878b9"/>
      <w:bookmarkStart w:id="1346" w:name="Tc_aJczy9jfEkOG9B5TuwXYpA_14_11"/>
      <w:bookmarkStart w:id="1347" w:name="Tc_0FV4WYaMlUmq-OpvUEIdfw_14_8"/>
      <w:bookmarkStart w:id="1348" w:name="Tc_qlK2W26HOk2iv6ZwjvjLMw_14_5"/>
      <w:bookmarkStart w:id="1349" w:name="Tc_idTpn3XmNECqpU0dYWdu0A_14_2"/>
      <w:bookmarkStart w:id="1350" w:name="Tc_c11oLOfwiE-wYW5XoEs1ag_14_0"/>
      <w:bookmarkStart w:id="1351" w:name="Tc_qRGb7dWx5EuGnLA7SfTG1Q_13_0"/>
      <w:bookmarkStart w:id="1352" w:name="Tc_VqoT6XK3MEqdXVBSDDEoJw_12_0"/>
      <w:bookmarkStart w:id="1353" w:name="Tc_sLLrgT3bQUOKiW4u3nD2PQ_11_0"/>
      <w:bookmarkStart w:id="1354" w:name="Tc_ceeB-4gl8E24lRVtLjzhhQ_10_11"/>
      <w:bookmarkStart w:id="1355" w:name="Tc_X40GWcK18EGHDdLmEVHIVg_10_8"/>
      <w:bookmarkStart w:id="1356" w:name="Tc_fLj-u0AgAEKesebKuq2K_w_10_5"/>
      <w:bookmarkStart w:id="1357" w:name="Tc_7UV7wBldD0Cz-sdv5-X4XA_10_2"/>
      <w:bookmarkStart w:id="1358" w:name="Tc_CgF3h4q6hkObQNMJ1pdozg_10_0"/>
      <w:bookmarkStart w:id="1359" w:name="Tc_qlJB520V7EehRzP-uxRomg_9_0"/>
      <w:bookmarkStart w:id="1360" w:name="Tc_aJmDMz5U3UmdoKKDe2j76w_7_11"/>
      <w:bookmarkStart w:id="1361" w:name="Tc_HRoYKxbHPE6hOBqZABM3UA_7_8"/>
      <w:bookmarkStart w:id="1362" w:name="Tc_5gasCpIvokK_cfAcDJKA8Q_7_5"/>
      <w:bookmarkStart w:id="1363" w:name="Tc_ReC7Djl5b06KW1V4ZsBpPQ_7_2"/>
      <w:bookmarkStart w:id="1364" w:name="Tc_Kr4VaYIC70ayfWw6mynyLg_7_0"/>
      <w:bookmarkStart w:id="1365" w:name="Tc_16czEnwtqU2abNIOzPg66w_6_9"/>
      <w:bookmarkStart w:id="1366" w:name="Tc_Wqh-jPLCsEqUIkplLvlSUg_6_3"/>
      <w:bookmarkStart w:id="1367" w:name="Tc_RDt_CIhSSk2aOD9onIDGHw_6_0"/>
      <w:bookmarkStart w:id="1368" w:name="Tc_NahUFkJTSUKw8b_uT2vZRQ_5_0"/>
      <w:bookmarkStart w:id="1369" w:name="Tc_LC8W_r0T5UylpVM1cLoIJQ_4_0"/>
      <w:bookmarkStart w:id="1370" w:name="Tc_1Xzwp6fbP0a0I-abatp1Nw_3_0"/>
      <w:bookmarkStart w:id="1371" w:name="Tc_Q8FXBP1IXU2ilMdm2PTMPA_2_11"/>
      <w:bookmarkStart w:id="1372" w:name="Tc_dRa_65a36U6ms1MhrOYAfg_2_8"/>
      <w:bookmarkStart w:id="1373" w:name="Tc_UaRWZL2VyEmRAoe64mcA4w_2_5"/>
      <w:bookmarkStart w:id="1374" w:name="Tc_hO-7kIIyeU-65gyuyxcy3Q_2_2"/>
      <w:bookmarkStart w:id="1375" w:name="Tc_e-rVgA9P6U6Qw82glIpgCQ_2_0"/>
      <w:bookmarkStart w:id="1376" w:name="Tc_612Ekg-BEUCEB2CRumm_PQ_1_11"/>
      <w:bookmarkStart w:id="1377" w:name="Tc_QM-wlZywGUiGCW2an52kXw_1_8"/>
      <w:bookmarkStart w:id="1378" w:name="Tc_x6rZMoAWsEKANUxSqEv6tw_1_5"/>
      <w:bookmarkStart w:id="1379" w:name="Tc_LcElzIBsHEG4_IjI_4zWDw_1_2"/>
      <w:bookmarkStart w:id="1380" w:name="Tc_et6v-ipFvUuzZZkXA8X1Jg_1_0"/>
      <w:bookmarkStart w:id="1381" w:name="_28b21def_c64e_419b_9475_3e21586523d5"/>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firstLine="720"/>
        <w:jc w:val="both"/>
        <w:rPr/>
      </w:pPr>
      <w:r>
        <w:rPr/>
        <w:t>​</w:t>
      </w:r>
    </w:p>
    <w:tbl>
      <w:tblPr>
        <w:tblW w:w="7762" w:type="dxa"/>
        <w:jc w:val="left"/>
        <w:tblInd w:w="0" w:type="dxa"/>
        <w:tblLayout w:type="fixed"/>
        <w:tblCellMar>
          <w:top w:w="0" w:type="dxa"/>
          <w:left w:w="0" w:type="dxa"/>
          <w:bottom w:w="0" w:type="dxa"/>
          <w:right w:w="0" w:type="dxa"/>
        </w:tblCellMar>
      </w:tblPr>
      <w:tblGrid>
        <w:gridCol w:w="2446"/>
        <w:gridCol w:w="326"/>
        <w:gridCol w:w="211"/>
        <w:gridCol w:w="931"/>
        <w:gridCol w:w="326"/>
        <w:gridCol w:w="211"/>
        <w:gridCol w:w="691"/>
        <w:gridCol w:w="326"/>
        <w:gridCol w:w="273"/>
        <w:gridCol w:w="448"/>
        <w:gridCol w:w="32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53210" cy="175260"/>
                      <wp:effectExtent l="0" t="0" r="0" b="0"/>
                      <wp:wrapNone/>
                      <wp:docPr id="219" name="Frame219"/>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1185" cy="175260"/>
                      <wp:effectExtent l="0" t="0" r="0" b="0"/>
                      <wp:wrapNone/>
                      <wp:docPr id="222" name="Frame2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8785" cy="175260"/>
                      <wp:effectExtent l="0" t="0" r="0" b="0"/>
                      <wp:wrapNone/>
                      <wp:docPr id="225"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3355" cy="175260"/>
                      <wp:effectExtent l="0" t="0" r="0" b="0"/>
                      <wp:wrapNone/>
                      <wp:docPr id="227" name="Frame22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84480" cy="175260"/>
                      <wp:effectExtent l="0" t="0" r="0" b="0"/>
                      <wp:wrapNone/>
                      <wp:docPr id="228" name="Frame22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57860" cy="175260"/>
                      <wp:effectExtent l="0" t="0" r="0" b="0"/>
                      <wp:wrapNone/>
                      <wp:docPr id="231" name="Frame2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948,105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576,964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576,964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1,525,069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45,051</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1,570,120</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1,564,734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45,051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1,570,120</w:t>
            </w:r>
          </w:p>
        </w:tc>
      </w:tr>
    </w:tbl>
    <w:p>
      <w:pPr>
        <w:pStyle w:val="TextBody"/>
        <w:bidi w:val="0"/>
        <w:spacing w:before="0" w:after="0"/>
        <w:ind w:left="0" w:right="0" w:firstLine="720"/>
        <w:jc w:val="both"/>
        <w:rPr/>
      </w:pPr>
      <w:r>
        <w:rPr/>
        <w:t>​</w:t>
      </w:r>
    </w:p>
    <w:tbl>
      <w:tblPr>
        <w:tblW w:w="8467" w:type="dxa"/>
        <w:jc w:val="left"/>
        <w:tblInd w:w="0" w:type="dxa"/>
        <w:tblLayout w:type="fixed"/>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848485" cy="175260"/>
                      <wp:effectExtent l="0" t="0" r="0" b="0"/>
                      <wp:wrapNone/>
                      <wp:docPr id="232" name="Frame23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1185" cy="175260"/>
                      <wp:effectExtent l="0" t="0" r="0" b="0"/>
                      <wp:wrapNone/>
                      <wp:docPr id="235" name="Frame2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73355" cy="175260"/>
                      <wp:effectExtent l="0" t="0" r="0" b="0"/>
                      <wp:wrapNone/>
                      <wp:docPr id="240" name="Frame24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84480" cy="175260"/>
                      <wp:effectExtent l="0" t="0" r="0" b="0"/>
                      <wp:wrapNone/>
                      <wp:docPr id="241" name="Frame241"/>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57860" cy="175260"/>
                      <wp:effectExtent l="0" t="0" r="0" b="0"/>
                      <wp:wrapNone/>
                      <wp:docPr id="244" name="Frame2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1,105,701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1,105,701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960,873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960,873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264,208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264,208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159,585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159,585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641,385</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641,385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1,266,464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3,333,038</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2,066,574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231,101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2,297,675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2,066,574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1,266,464</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3,333,038</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At December 31, 2023, all of the Company’s short-term and long-term investments were classified within Level 1 or Level 2 of the fair value hierarchy. At June 30, 2024, the Company held no investments.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 and six-months ended June 30, 2024, or during the year-ended December 31, 2023, and there were no changes in the Company’s valuation techniques.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82" w:name="Tc_1QBiSll5c06RbMiEP4G25w_5_7"/>
      <w:bookmarkStart w:id="1383" w:name="Tc_1GaC8g6I4EumKlD8vvENhA_5_2"/>
      <w:bookmarkStart w:id="1384" w:name="Tc_vUcLT4KN3EOdtj6ExDcr5g_5_0"/>
      <w:bookmarkStart w:id="1385" w:name="Tc_qBi2tqCpCkWF2vc54C41lQ_4_7"/>
      <w:bookmarkStart w:id="1386" w:name="Tc_E7td_bZRlkWNo0leKI5Zyg_4_5"/>
      <w:bookmarkStart w:id="1387" w:name="Tc_8oeElG8t2km0chbP6CT-UQ_4_2"/>
      <w:bookmarkStart w:id="1388" w:name="Tc_eTF2e1im6EGyUdH1h83uxQ_4_0"/>
      <w:bookmarkStart w:id="1389" w:name="Tc_h5XBikshEUyrJJpSuVN8bw_3_7"/>
      <w:bookmarkStart w:id="1390" w:name="Tc_dLwS4IGt-kSspm4YL-JEug_3_5"/>
      <w:bookmarkStart w:id="1391" w:name="Tc_J1Dk51CL20emn09COsKkIQ_3_2"/>
      <w:bookmarkStart w:id="1392" w:name="Tc_8PBPIbxHnEarkUuuv6xPlA_3_0"/>
      <w:bookmarkStart w:id="1393" w:name="Tc_LfcJAa2Qn0WX2XV7aAVWlQ_2_7"/>
      <w:bookmarkStart w:id="1394" w:name="Tc_0uoxQgjP1k-Z-PsutjA-XA_1_0"/>
      <w:bookmarkStart w:id="1395" w:name="_1a4365f6_4406_4ee5_ad9e_b6ef788ae2b7"/>
      <w:bookmarkStart w:id="1396" w:name="Tc_nZlGSnETMk2mal1DDrRDnQ_7_8"/>
      <w:bookmarkStart w:id="1397" w:name="Tc_PXCvd_iB1UmwWEdDC1wNYg_7_5"/>
      <w:bookmarkStart w:id="1398" w:name="Tc_B-hWL5xnjEaJMNrDdejifQ_7_2"/>
      <w:bookmarkStart w:id="1399" w:name="Tc_j_dWdOKTR0GcfGEtNvA5MQ_7_0"/>
      <w:bookmarkStart w:id="1400" w:name="Tc_oRUQe0B0Q0yL71ZUzrK8lA_6_0"/>
      <w:bookmarkStart w:id="1401" w:name="Tc_9WJD_Mf_vEOmmsvLSNvZ7Q_5_8"/>
      <w:bookmarkStart w:id="1402" w:name="Tc_aD-GCpU_MUqOaMb7olFJIw_5_5"/>
      <w:bookmarkStart w:id="1403" w:name="Tc_cXyJjiT7-UKO4yIrusgN8Q_5_2"/>
      <w:bookmarkStart w:id="1404" w:name="Tc_xpdEJ8peJUGHlihKl_ikFg_5_0"/>
      <w:bookmarkStart w:id="1405" w:name="Tc_gdNMlxYygECeXT321Ijugg_4_0"/>
      <w:bookmarkStart w:id="1406" w:name="Tc_pQMuiGvhxkSmapo5vBDLeQ_3_8"/>
      <w:bookmarkStart w:id="1407" w:name="Tc_RKoYisnVI0yil5cH_6GAEw_3_5"/>
      <w:bookmarkStart w:id="1408" w:name="Tc_4zed2OzXyUiPO_nTHTs-Ew_3_2"/>
      <w:bookmarkStart w:id="1409" w:name="Tc_qDZd3U2XDUyabeUc2sfoNA_3_0"/>
      <w:bookmarkStart w:id="1410" w:name="Tc_uRAFDQOcJkGJ5_d8dLEoNQ_2_5"/>
      <w:bookmarkStart w:id="1411" w:name="Tc_CUA5s5bPeUqzktNAqV_GTQ_2_2"/>
      <w:bookmarkStart w:id="1412" w:name="Tc_P9gHr92W4kegVU3vhRkDhw_2_0"/>
      <w:bookmarkStart w:id="1413" w:name="Tc_TQABSyp9PkKjFExpDXrTtA_1_2"/>
      <w:bookmarkStart w:id="1414" w:name="_4d150810_5c8b_4de6_84b2_fddec2ff86f3"/>
      <w:bookmarkStart w:id="1415" w:name="Tc_hZo3I2DVoEu7vstQr_eKdA_9_8"/>
      <w:bookmarkStart w:id="1416" w:name="Tc_q6QcrLN3TUaWg36e3Lv2sA_9_5"/>
      <w:bookmarkStart w:id="1417" w:name="Tc_xHWVF_famUCu3KzLXln5dw_9_2"/>
      <w:bookmarkStart w:id="1418" w:name="Tc_tLbNplb32E6GBptQ7zCU3Q_9_0"/>
      <w:bookmarkStart w:id="1419" w:name="Tc_Ciy8Iv9SUUe0sPHLnsEwFg_8_8"/>
      <w:bookmarkStart w:id="1420" w:name="Tc_xrkmnlQ_ukeZW9mgg0C8DA_8_5"/>
      <w:bookmarkStart w:id="1421" w:name="Tc_ZajZJ45zPE6_lPCOVjEINg_8_2"/>
      <w:bookmarkStart w:id="1422" w:name="Tc_BEhAn7fZpEamRuXu0siUsg_8_0"/>
      <w:bookmarkStart w:id="1423" w:name="Tc_KWUssf5toEi8HdkfeXUZLA_7_0"/>
      <w:bookmarkStart w:id="1424" w:name="Tc_Vy4r5mp1P0eEmWt8L5wL-w_6_8"/>
      <w:bookmarkStart w:id="1425" w:name="Tc_IDkPM573VECMmAzqG_b2uA_6_5"/>
      <w:bookmarkStart w:id="1426" w:name="Tc_0eYWthw6w06WbVF15Hb8Cw_6_2"/>
      <w:bookmarkStart w:id="1427" w:name="Tc_2uI2fQTHyUKndcwFnWd80g_6_0"/>
      <w:bookmarkStart w:id="1428" w:name="Tc_3jppAhGFeEGpRp8IwRLXgw_5_8"/>
      <w:bookmarkStart w:id="1429" w:name="Tc_N19u761-DUKV2gIY9dexJA_5_5"/>
      <w:bookmarkStart w:id="1430" w:name="Tc_y0Wdwk0yZkuYX3hBLQdsoQ_5_2"/>
      <w:bookmarkStart w:id="1431" w:name="Tc_HqXTzw4O_0i9s12vuzr_7g_5_0"/>
      <w:bookmarkStart w:id="1432" w:name="Tc_sSBgH9a0VE2t7fny3f3VRA_4_0"/>
      <w:bookmarkStart w:id="1433" w:name="Tc_9CeFLqZAs0KPp1KZyi1fFQ_3_8"/>
      <w:bookmarkStart w:id="1434" w:name="Tc_P8D8eaHVt0Wb3KrNKzlOLw_3_5"/>
      <w:bookmarkStart w:id="1435" w:name="Tc_dXiuiEQlcEam3IN8sXFcvA_3_2"/>
      <w:bookmarkStart w:id="1436" w:name="Tc_ED2LeLCVzE-cb-U36zY0mw_3_0"/>
      <w:bookmarkStart w:id="1437" w:name="Tc_TpKwH0s5v0O9uSxm-SyrKg_2_5"/>
      <w:bookmarkStart w:id="1438" w:name="Tc_REirj08lNEeX7LSL-XX72Q_2_2"/>
      <w:bookmarkStart w:id="1439" w:name="Tc_WGDgOFtEm0mA9dsf7Sto5g_2_0"/>
      <w:bookmarkStart w:id="1440" w:name="Tc_7Fm9EyGHKECqjL8Lb-IsxQ_1_2"/>
      <w:bookmarkStart w:id="1441" w:name="_cdbb6adf_f2e5_40e5_9ecc_085188f5aed1"/>
      <w:bookmarkStart w:id="1442" w:name="Tc_1QBiSll5c06RbMiEP4G25w_5_7"/>
      <w:bookmarkStart w:id="1443" w:name="Tc_1GaC8g6I4EumKlD8vvENhA_5_2"/>
      <w:bookmarkStart w:id="1444" w:name="Tc_vUcLT4KN3EOdtj6ExDcr5g_5_0"/>
      <w:bookmarkStart w:id="1445" w:name="Tc_qBi2tqCpCkWF2vc54C41lQ_4_7"/>
      <w:bookmarkStart w:id="1446" w:name="Tc_E7td_bZRlkWNo0leKI5Zyg_4_5"/>
      <w:bookmarkStart w:id="1447" w:name="Tc_8oeElG8t2km0chbP6CT-UQ_4_2"/>
      <w:bookmarkStart w:id="1448" w:name="Tc_eTF2e1im6EGyUdH1h83uxQ_4_0"/>
      <w:bookmarkStart w:id="1449" w:name="Tc_h5XBikshEUyrJJpSuVN8bw_3_7"/>
      <w:bookmarkStart w:id="1450" w:name="Tc_dLwS4IGt-kSspm4YL-JEug_3_5"/>
      <w:bookmarkStart w:id="1451" w:name="Tc_J1Dk51CL20emn09COsKkIQ_3_2"/>
      <w:bookmarkStart w:id="1452" w:name="Tc_8PBPIbxHnEarkUuuv6xPlA_3_0"/>
      <w:bookmarkStart w:id="1453" w:name="Tc_LfcJAa2Qn0WX2XV7aAVWlQ_2_7"/>
      <w:bookmarkStart w:id="1454" w:name="Tc_0uoxQgjP1k-Z-PsutjA-XA_1_0"/>
      <w:bookmarkStart w:id="1455" w:name="_1a4365f6_4406_4ee5_ad9e_b6ef788ae2b7"/>
      <w:bookmarkStart w:id="1456" w:name="Tc_nZlGSnETMk2mal1DDrRDnQ_7_8"/>
      <w:bookmarkStart w:id="1457" w:name="Tc_PXCvd_iB1UmwWEdDC1wNYg_7_5"/>
      <w:bookmarkStart w:id="1458" w:name="Tc_B-hWL5xnjEaJMNrDdejifQ_7_2"/>
      <w:bookmarkStart w:id="1459" w:name="Tc_j_dWdOKTR0GcfGEtNvA5MQ_7_0"/>
      <w:bookmarkStart w:id="1460" w:name="Tc_oRUQe0B0Q0yL71ZUzrK8lA_6_0"/>
      <w:bookmarkStart w:id="1461" w:name="Tc_9WJD_Mf_vEOmmsvLSNvZ7Q_5_8"/>
      <w:bookmarkStart w:id="1462" w:name="Tc_aD-GCpU_MUqOaMb7olFJIw_5_5"/>
      <w:bookmarkStart w:id="1463" w:name="Tc_cXyJjiT7-UKO4yIrusgN8Q_5_2"/>
      <w:bookmarkStart w:id="1464" w:name="Tc_xpdEJ8peJUGHlihKl_ikFg_5_0"/>
      <w:bookmarkStart w:id="1465" w:name="Tc_gdNMlxYygECeXT321Ijugg_4_0"/>
      <w:bookmarkStart w:id="1466" w:name="Tc_pQMuiGvhxkSmapo5vBDLeQ_3_8"/>
      <w:bookmarkStart w:id="1467" w:name="Tc_RKoYisnVI0yil5cH_6GAEw_3_5"/>
      <w:bookmarkStart w:id="1468" w:name="Tc_4zed2OzXyUiPO_nTHTs-Ew_3_2"/>
      <w:bookmarkStart w:id="1469" w:name="Tc_qDZd3U2XDUyabeUc2sfoNA_3_0"/>
      <w:bookmarkStart w:id="1470" w:name="Tc_uRAFDQOcJkGJ5_d8dLEoNQ_2_5"/>
      <w:bookmarkStart w:id="1471" w:name="Tc_CUA5s5bPeUqzktNAqV_GTQ_2_2"/>
      <w:bookmarkStart w:id="1472" w:name="Tc_P9gHr92W4kegVU3vhRkDhw_2_0"/>
      <w:bookmarkStart w:id="1473" w:name="Tc_TQABSyp9PkKjFExpDXrTtA_1_2"/>
      <w:bookmarkStart w:id="1474" w:name="_4d150810_5c8b_4de6_84b2_fddec2ff86f3"/>
      <w:bookmarkStart w:id="1475" w:name="Tc_hZo3I2DVoEu7vstQr_eKdA_9_8"/>
      <w:bookmarkStart w:id="1476" w:name="Tc_q6QcrLN3TUaWg36e3Lv2sA_9_5"/>
      <w:bookmarkStart w:id="1477" w:name="Tc_xHWVF_famUCu3KzLXln5dw_9_2"/>
      <w:bookmarkStart w:id="1478" w:name="Tc_tLbNplb32E6GBptQ7zCU3Q_9_0"/>
      <w:bookmarkStart w:id="1479" w:name="Tc_Ciy8Iv9SUUe0sPHLnsEwFg_8_8"/>
      <w:bookmarkStart w:id="1480" w:name="Tc_xrkmnlQ_ukeZW9mgg0C8DA_8_5"/>
      <w:bookmarkStart w:id="1481" w:name="Tc_ZajZJ45zPE6_lPCOVjEINg_8_2"/>
      <w:bookmarkStart w:id="1482" w:name="Tc_BEhAn7fZpEamRuXu0siUsg_8_0"/>
      <w:bookmarkStart w:id="1483" w:name="Tc_KWUssf5toEi8HdkfeXUZLA_7_0"/>
      <w:bookmarkStart w:id="1484" w:name="Tc_Vy4r5mp1P0eEmWt8L5wL-w_6_8"/>
      <w:bookmarkStart w:id="1485" w:name="Tc_IDkPM573VECMmAzqG_b2uA_6_5"/>
      <w:bookmarkStart w:id="1486" w:name="Tc_0eYWthw6w06WbVF15Hb8Cw_6_2"/>
      <w:bookmarkStart w:id="1487" w:name="Tc_2uI2fQTHyUKndcwFnWd80g_6_0"/>
      <w:bookmarkStart w:id="1488" w:name="Tc_3jppAhGFeEGpRp8IwRLXgw_5_8"/>
      <w:bookmarkStart w:id="1489" w:name="Tc_N19u761-DUKV2gIY9dexJA_5_5"/>
      <w:bookmarkStart w:id="1490" w:name="Tc_y0Wdwk0yZkuYX3hBLQdsoQ_5_2"/>
      <w:bookmarkStart w:id="1491" w:name="Tc_HqXTzw4O_0i9s12vuzr_7g_5_0"/>
      <w:bookmarkStart w:id="1492" w:name="Tc_sSBgH9a0VE2t7fny3f3VRA_4_0"/>
      <w:bookmarkStart w:id="1493" w:name="Tc_9CeFLqZAs0KPp1KZyi1fFQ_3_8"/>
      <w:bookmarkStart w:id="1494" w:name="Tc_P8D8eaHVt0Wb3KrNKzlOLw_3_5"/>
      <w:bookmarkStart w:id="1495" w:name="Tc_dXiuiEQlcEam3IN8sXFcvA_3_2"/>
      <w:bookmarkStart w:id="1496" w:name="Tc_ED2LeLCVzE-cb-U36zY0mw_3_0"/>
      <w:bookmarkStart w:id="1497" w:name="Tc_TpKwH0s5v0O9uSxm-SyrKg_2_5"/>
      <w:bookmarkStart w:id="1498" w:name="Tc_REirj08lNEeX7LSL-XX72Q_2_2"/>
      <w:bookmarkStart w:id="1499" w:name="Tc_WGDgOFtEm0mA9dsf7Sto5g_2_0"/>
      <w:bookmarkStart w:id="1500" w:name="Tc_7Fm9EyGHKECqjL8Lb-IsxQ_1_2"/>
      <w:bookmarkStart w:id="1501" w:name="_cdbb6adf_f2e5_40e5_9ecc_085188f5aed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p>
    <w:tbl>
      <w:tblPr>
        <w:tblW w:w="5417" w:type="dxa"/>
        <w:jc w:val="left"/>
        <w:tblInd w:w="0" w:type="dxa"/>
        <w:tblLayout w:type="fixed"/>
        <w:tblCellMar>
          <w:top w:w="0" w:type="dxa"/>
          <w:left w:w="0" w:type="dxa"/>
          <w:bottom w:w="0" w:type="dxa"/>
          <w:right w:w="0" w:type="dxa"/>
        </w:tblCellMar>
      </w:tblPr>
      <w:tblGrid>
        <w:gridCol w:w="271"/>
        <w:gridCol w:w="514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5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DERIVATIVE INSTRUMENTS AND HEDGING ACTIVITIES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accounts for its derivative instruments and hedging activities under ASC 815, “Derivatives and Hedging.” The following table presents the fair values of the Company’s derivative instruments:</w:t>
      </w:r>
    </w:p>
    <w:p>
      <w:pPr>
        <w:pStyle w:val="TextBody"/>
        <w:bidi w:val="0"/>
        <w:spacing w:before="0" w:after="0"/>
        <w:ind w:left="0" w:right="0" w:hanging="0"/>
        <w:jc w:val="left"/>
        <w:rPr/>
      </w:pPr>
      <w:r>
        <w:rPr/>
        <w:t>​</w:t>
      </w:r>
    </w:p>
    <w:tbl>
      <w:tblPr>
        <w:tblW w:w="7477" w:type="dxa"/>
        <w:jc w:val="left"/>
        <w:tblInd w:w="0" w:type="dxa"/>
        <w:tblLayout w:type="fixed"/>
        <w:tblCellMar>
          <w:top w:w="0" w:type="dxa"/>
          <w:left w:w="0" w:type="dxa"/>
          <w:bottom w:w="0" w:type="dxa"/>
          <w:right w:w="0" w:type="dxa"/>
        </w:tblCellMar>
      </w:tblPr>
      <w:tblGrid>
        <w:gridCol w:w="2191"/>
        <w:gridCol w:w="326"/>
        <w:gridCol w:w="211"/>
        <w:gridCol w:w="691"/>
        <w:gridCol w:w="326"/>
        <w:gridCol w:w="339"/>
        <w:gridCol w:w="921"/>
        <w:gridCol w:w="326"/>
        <w:gridCol w:w="214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91285" cy="175260"/>
                      <wp:effectExtent l="0" t="0" r="0" b="0"/>
                      <wp:wrapNone/>
                      <wp:docPr id="245" name="Frame245"/>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8785" cy="175260"/>
                      <wp:effectExtent l="0" t="0" r="0" b="0"/>
                      <wp:wrapNone/>
                      <wp:docPr id="248" name="Frame2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5265" cy="175260"/>
                      <wp:effectExtent l="0" t="0" r="0" b="0"/>
                      <wp:wrapNone/>
                      <wp:docPr id="250" name="Frame25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84835" cy="175260"/>
                      <wp:effectExtent l="0" t="0" r="0" b="0"/>
                      <wp:wrapNone/>
                      <wp:docPr id="251" name="Frame25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62710" cy="175260"/>
                      <wp:effectExtent l="0" t="0" r="0" b="0"/>
                      <wp:wrapNone/>
                      <wp:docPr id="253" name="Frame25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right"/>
              <w:rPr/>
            </w:pPr>
            <w:r>
              <w:rPr/>
              <w:t>  </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r>
    </w:tbl>
    <w:p>
      <w:pPr>
        <w:pStyle w:val="TextBody"/>
        <w:bidi w:val="0"/>
        <w:spacing w:before="0" w:after="0"/>
        <w:ind w:left="0" w:right="0" w:hanging="0"/>
        <w:jc w:val="left"/>
        <w:rPr/>
      </w:pPr>
      <w:r>
        <w:rPr/>
        <w:t>​</w:t>
      </w:r>
    </w:p>
    <w:tbl>
      <w:tblPr>
        <w:tblW w:w="8392" w:type="dxa"/>
        <w:jc w:val="left"/>
        <w:tblInd w:w="0" w:type="dxa"/>
        <w:tblLayout w:type="fixed"/>
        <w:tblCellMar>
          <w:top w:w="0" w:type="dxa"/>
          <w:left w:w="0" w:type="dxa"/>
          <w:bottom w:w="0" w:type="dxa"/>
          <w:right w:w="0" w:type="dxa"/>
        </w:tblCellMar>
      </w:tblPr>
      <w:tblGrid>
        <w:gridCol w:w="3106"/>
        <w:gridCol w:w="326"/>
        <w:gridCol w:w="211"/>
        <w:gridCol w:w="691"/>
        <w:gridCol w:w="326"/>
        <w:gridCol w:w="315"/>
        <w:gridCol w:w="945"/>
        <w:gridCol w:w="326"/>
        <w:gridCol w:w="214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72310" cy="175260"/>
                      <wp:effectExtent l="0" t="0" r="0" b="0"/>
                      <wp:wrapNone/>
                      <wp:docPr id="254" name="Frame254"/>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38785" cy="175260"/>
                      <wp:effectExtent l="0" t="0" r="0" b="0"/>
                      <wp:wrapNone/>
                      <wp:docPr id="257" name="Frame2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0025" cy="175260"/>
                      <wp:effectExtent l="0" t="0" r="0" b="0"/>
                      <wp:wrapNone/>
                      <wp:docPr id="259" name="Frame259"/>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00075" cy="175260"/>
                      <wp:effectExtent l="0" t="0" r="0" b="0"/>
                      <wp:wrapNone/>
                      <wp:docPr id="260" name="Frame260"/>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62710" cy="175260"/>
                      <wp:effectExtent l="0" t="0" r="0" b="0"/>
                      <wp:wrapNone/>
                      <wp:docPr id="262" name="Frame262"/>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 Flow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condensed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$143.8 million and $98.3 million as of June 30, 2024 and December 31, 2023,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impact that changes in the fair values of derivatives designated as cash flow hedges had on other comprehensive income, AOCI and earnings:</w:t>
      </w:r>
    </w:p>
    <w:p>
      <w:pPr>
        <w:pStyle w:val="TextBody"/>
        <w:bidi w:val="0"/>
        <w:spacing w:before="0" w:after="0"/>
        <w:ind w:left="0" w:right="0" w:hanging="0"/>
        <w:jc w:val="center"/>
        <w:rPr/>
      </w:pPr>
      <w:r>
        <w:rPr/>
        <w:t>​</w:t>
      </w:r>
    </w:p>
    <w:tbl>
      <w:tblPr>
        <w:tblW w:w="8526" w:type="dxa"/>
        <w:jc w:val="left"/>
        <w:tblInd w:w="0" w:type="dxa"/>
        <w:tblLayout w:type="fixed"/>
        <w:tblCellMar>
          <w:top w:w="0" w:type="dxa"/>
          <w:left w:w="0" w:type="dxa"/>
          <w:bottom w:w="0" w:type="dxa"/>
          <w:right w:w="0" w:type="dxa"/>
        </w:tblCellMar>
      </w:tblPr>
      <w:tblGrid>
        <w:gridCol w:w="2191"/>
        <w:gridCol w:w="326"/>
        <w:gridCol w:w="480"/>
        <w:gridCol w:w="1305"/>
        <w:gridCol w:w="326"/>
        <w:gridCol w:w="1936"/>
        <w:gridCol w:w="326"/>
        <w:gridCol w:w="520"/>
        <w:gridCol w:w="11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91285" cy="175260"/>
                      <wp:effectExtent l="0" t="0" r="0" b="0"/>
                      <wp:wrapNone/>
                      <wp:docPr id="263" name="Frame263"/>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04800" cy="175260"/>
                      <wp:effectExtent l="0" t="0" r="0" b="0"/>
                      <wp:wrapNone/>
                      <wp:docPr id="265" name="Frame265"/>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28675" cy="175260"/>
                      <wp:effectExtent l="0" t="0" r="0" b="0"/>
                      <wp:wrapNone/>
                      <wp:docPr id="266" name="Frame266"/>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29360" cy="175260"/>
                      <wp:effectExtent l="0" t="0" r="0" b="0"/>
                      <wp:wrapNone/>
                      <wp:docPr id="268" name="Frame268"/>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30200" cy="175260"/>
                      <wp:effectExtent l="0" t="0" r="0" b="0"/>
                      <wp:wrapNone/>
                      <wp:docPr id="270" name="Frame270"/>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08660" cy="175260"/>
                      <wp:effectExtent l="0" t="0" r="0" b="0"/>
                      <wp:wrapNone/>
                      <wp:docPr id="271" name="Frame271"/>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26"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2024</w:t>
            </w:r>
          </w:p>
        </w:tc>
      </w:tr>
      <w:tr>
        <w:trPr/>
        <w:tc>
          <w:tcPr>
            <w:tcW w:w="21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80" w:type="dxa"/>
            <w:tcBorders/>
            <w:vAlign w:val="center"/>
          </w:tcPr>
          <w:p>
            <w:pPr>
              <w:pStyle w:val="TableContents"/>
              <w:bidi w:val="0"/>
              <w:spacing w:before="0" w:after="0"/>
              <w:ind w:left="0" w:right="0" w:hanging="0"/>
              <w:jc w:val="center"/>
              <w:rPr/>
            </w:pPr>
            <w:r>
              <w:rPr/>
              <w:t>​</w:t>
            </w:r>
          </w:p>
        </w:tc>
        <w:tc>
          <w:tcPr>
            <w:tcW w:w="13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recognized in AOCI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02" w:name="Tc_G4aoqHZGTk6GBa8cJZlrvw_5_7"/>
      <w:bookmarkStart w:id="1503" w:name="Tc_UM807pOuAU-VBE3QR0K7CA_5_2"/>
      <w:bookmarkStart w:id="1504" w:name="Tc_mEBEFKeh7k2sukXoEPcsmg_5_0"/>
      <w:bookmarkStart w:id="1505" w:name="Tc_5xlVU1LUxkyhBFLhUe_F0Q_4_7"/>
      <w:bookmarkStart w:id="1506" w:name="Tc_zaKBuFDomEibdMmra475tw_4_5"/>
      <w:bookmarkStart w:id="1507" w:name="Tc_Bd76KZaGFEm0hwdOsuSyrA_4_2"/>
      <w:bookmarkStart w:id="1508" w:name="Tc_RUgBS2kijUeEXQUcdao4xQ_4_0"/>
      <w:bookmarkStart w:id="1509" w:name="Tc_nBAjzYYUY0i9Twgr2Hl0yQ_3_7"/>
      <w:bookmarkStart w:id="1510" w:name="Tc_Wo8WFV-MVUqqgYMZpFogzw_3_5"/>
      <w:bookmarkStart w:id="1511" w:name="Tc_KczIVQz_80WL0261jOgBIQ_3_2"/>
      <w:bookmarkStart w:id="1512" w:name="Tc_R3JukyOHkUSMNSCJZROX5w_3_0"/>
      <w:bookmarkStart w:id="1513" w:name="Tc_RAz0IuzxFUi1Grn_qAtAsg_2_7"/>
      <w:bookmarkStart w:id="1514" w:name="Tc_ODNyo7z-HUWSycyeO7gjoA_1_0"/>
      <w:bookmarkStart w:id="1515" w:name="_7fc23abd_66fe_4e78_9e93_6917ad6fb497"/>
      <w:bookmarkStart w:id="1516" w:name="Tc_X19p3x3UPkGmcntTxrfjJw_5_7"/>
      <w:bookmarkStart w:id="1517" w:name="Tc_RNSPnAW22UyfvGmYOj-GpA_5_2"/>
      <w:bookmarkStart w:id="1518" w:name="Tc_wgXoBNSg0EKVC6EZQkBrZw_5_0"/>
      <w:bookmarkStart w:id="1519" w:name="Tc_M2J-h4nCs02sU1CosnEOWA_4_7"/>
      <w:bookmarkStart w:id="1520" w:name="Tc_rMatvl45yk6IyA38sVz11A_4_5"/>
      <w:bookmarkStart w:id="1521" w:name="Tc_2ZH3zsBOqUebSJFRRr6CJA_4_2"/>
      <w:bookmarkStart w:id="1522" w:name="Tc_vvKe1U6DiEin7kwYMdl_Zg_4_0"/>
      <w:bookmarkStart w:id="1523" w:name="Tc_i4LkS_VvG0qmbJUhCBljmA_3_7"/>
      <w:bookmarkStart w:id="1524" w:name="Tc_rm43kA5Zck-s2LTQ6wGH3Q_3_5"/>
      <w:bookmarkStart w:id="1525" w:name="Tc_dGmafaSx1kyaJmQvAdufYw_3_2"/>
      <w:bookmarkStart w:id="1526" w:name="Tc_wao9O0LRbkq59XuFhcrpxw_3_0"/>
      <w:bookmarkStart w:id="1527" w:name="Tc_26hEYbA46kmBd3pnv-IDAQ_2_7"/>
      <w:bookmarkStart w:id="1528" w:name="Tc_lM-DzW7HvUKXNhp2EbhVqA_1_0"/>
      <w:bookmarkStart w:id="1529" w:name="_8bba2bbf_6aa3_4e26_9a64_7237c27e0dc1"/>
      <w:bookmarkStart w:id="1530" w:name="Tc_SGtk-LCV7kuPp7o5wNpHXw_5_7"/>
      <w:bookmarkStart w:id="1531" w:name="Tc_OeneIHUyJkuKGW71fBOVhg_5_2"/>
      <w:bookmarkStart w:id="1532" w:name="Tc_jresfYyUpUO19pWpbWCnFQ_5_0"/>
      <w:bookmarkStart w:id="1533" w:name="Tc_XAvNE3sVQ0eFOOe6OnaKwQ_4_7"/>
      <w:bookmarkStart w:id="1534" w:name="Tc_ek_b1ZpgM0SaxWa6VvRrew_4_5"/>
      <w:bookmarkStart w:id="1535" w:name="Tc_TI_CJn-2fEq_wVu4yj2DHA_4_2"/>
      <w:bookmarkStart w:id="1536" w:name="Tc_MNcBXVu2LEu6hl3PQpDTSQ_4_0"/>
      <w:bookmarkStart w:id="1537" w:name="Tc_qU33bAGxwU23dO6mteZzQA_3_7"/>
      <w:bookmarkStart w:id="1538" w:name="Tc_QWqLYQYL8ECiUGv7IaeVIg_3_5"/>
      <w:bookmarkStart w:id="1539" w:name="Tc_J5wKeAEuKk6CLTTJ1a_XGQ_3_3"/>
      <w:bookmarkStart w:id="1540" w:name="Tc_dIPMdTye6kyRFkMPMAQOtA_3_0"/>
      <w:bookmarkStart w:id="1541" w:name="Tc_PJux0XcVI028moli4LRt2g_2_7"/>
      <w:bookmarkStart w:id="1542" w:name="Tc__3YN7V7ATkubmcypB3JqcA_1_0"/>
      <w:bookmarkStart w:id="1543" w:name="_e7de65b5_9ed1_435c_84ec_318c5b379f60"/>
      <w:bookmarkStart w:id="1544" w:name="Tc_G4aoqHZGTk6GBa8cJZlrvw_5_7"/>
      <w:bookmarkStart w:id="1545" w:name="Tc_UM807pOuAU-VBE3QR0K7CA_5_2"/>
      <w:bookmarkStart w:id="1546" w:name="Tc_mEBEFKeh7k2sukXoEPcsmg_5_0"/>
      <w:bookmarkStart w:id="1547" w:name="Tc_5xlVU1LUxkyhBFLhUe_F0Q_4_7"/>
      <w:bookmarkStart w:id="1548" w:name="Tc_zaKBuFDomEibdMmra475tw_4_5"/>
      <w:bookmarkStart w:id="1549" w:name="Tc_Bd76KZaGFEm0hwdOsuSyrA_4_2"/>
      <w:bookmarkStart w:id="1550" w:name="Tc_RUgBS2kijUeEXQUcdao4xQ_4_0"/>
      <w:bookmarkStart w:id="1551" w:name="Tc_nBAjzYYUY0i9Twgr2Hl0yQ_3_7"/>
      <w:bookmarkStart w:id="1552" w:name="Tc_Wo8WFV-MVUqqgYMZpFogzw_3_5"/>
      <w:bookmarkStart w:id="1553" w:name="Tc_KczIVQz_80WL0261jOgBIQ_3_2"/>
      <w:bookmarkStart w:id="1554" w:name="Tc_R3JukyOHkUSMNSCJZROX5w_3_0"/>
      <w:bookmarkStart w:id="1555" w:name="Tc_RAz0IuzxFUi1Grn_qAtAsg_2_7"/>
      <w:bookmarkStart w:id="1556" w:name="Tc_ODNyo7z-HUWSycyeO7gjoA_1_0"/>
      <w:bookmarkStart w:id="1557" w:name="_7fc23abd_66fe_4e78_9e93_6917ad6fb497"/>
      <w:bookmarkStart w:id="1558" w:name="Tc_X19p3x3UPkGmcntTxrfjJw_5_7"/>
      <w:bookmarkStart w:id="1559" w:name="Tc_RNSPnAW22UyfvGmYOj-GpA_5_2"/>
      <w:bookmarkStart w:id="1560" w:name="Tc_wgXoBNSg0EKVC6EZQkBrZw_5_0"/>
      <w:bookmarkStart w:id="1561" w:name="Tc_M2J-h4nCs02sU1CosnEOWA_4_7"/>
      <w:bookmarkStart w:id="1562" w:name="Tc_rMatvl45yk6IyA38sVz11A_4_5"/>
      <w:bookmarkStart w:id="1563" w:name="Tc_2ZH3zsBOqUebSJFRRr6CJA_4_2"/>
      <w:bookmarkStart w:id="1564" w:name="Tc_vvKe1U6DiEin7kwYMdl_Zg_4_0"/>
      <w:bookmarkStart w:id="1565" w:name="Tc_i4LkS_VvG0qmbJUhCBljmA_3_7"/>
      <w:bookmarkStart w:id="1566" w:name="Tc_rm43kA5Zck-s2LTQ6wGH3Q_3_5"/>
      <w:bookmarkStart w:id="1567" w:name="Tc_dGmafaSx1kyaJmQvAdufYw_3_2"/>
      <w:bookmarkStart w:id="1568" w:name="Tc_wao9O0LRbkq59XuFhcrpxw_3_0"/>
      <w:bookmarkStart w:id="1569" w:name="Tc_26hEYbA46kmBd3pnv-IDAQ_2_7"/>
      <w:bookmarkStart w:id="1570" w:name="Tc_lM-DzW7HvUKXNhp2EbhVqA_1_0"/>
      <w:bookmarkStart w:id="1571" w:name="_8bba2bbf_6aa3_4e26_9a64_7237c27e0dc1"/>
      <w:bookmarkStart w:id="1572" w:name="Tc_SGtk-LCV7kuPp7o5wNpHXw_5_7"/>
      <w:bookmarkStart w:id="1573" w:name="Tc_OeneIHUyJkuKGW71fBOVhg_5_2"/>
      <w:bookmarkStart w:id="1574" w:name="Tc_jresfYyUpUO19pWpbWCnFQ_5_0"/>
      <w:bookmarkStart w:id="1575" w:name="Tc_XAvNE3sVQ0eFOOe6OnaKwQ_4_7"/>
      <w:bookmarkStart w:id="1576" w:name="Tc_ek_b1ZpgM0SaxWa6VvRrew_4_5"/>
      <w:bookmarkStart w:id="1577" w:name="Tc_TI_CJn-2fEq_wVu4yj2DHA_4_2"/>
      <w:bookmarkStart w:id="1578" w:name="Tc_MNcBXVu2LEu6hl3PQpDTSQ_4_0"/>
      <w:bookmarkStart w:id="1579" w:name="Tc_qU33bAGxwU23dO6mteZzQA_3_7"/>
      <w:bookmarkStart w:id="1580" w:name="Tc_QWqLYQYL8ECiUGv7IaeVIg_3_5"/>
      <w:bookmarkStart w:id="1581" w:name="Tc_J5wKeAEuKk6CLTTJ1a_XGQ_3_3"/>
      <w:bookmarkStart w:id="1582" w:name="Tc_dIPMdTye6kyRFkMPMAQOtA_3_0"/>
      <w:bookmarkStart w:id="1583" w:name="Tc_PJux0XcVI028moli4LRt2g_2_7"/>
      <w:bookmarkStart w:id="1584" w:name="Tc__3YN7V7ATkubmcypB3JqcA_1_0"/>
      <w:bookmarkStart w:id="1585" w:name="_e7de65b5_9ed1_435c_84ec_318c5b379f60"/>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
    <w:tbl>
      <w:tblPr>
        <w:tblW w:w="8872" w:type="dxa"/>
        <w:jc w:val="left"/>
        <w:tblInd w:w="0" w:type="dxa"/>
        <w:tblLayout w:type="fixed"/>
        <w:tblCellMar>
          <w:top w:w="0" w:type="dxa"/>
          <w:left w:w="0" w:type="dxa"/>
          <w:bottom w:w="0" w:type="dxa"/>
          <w:right w:w="0" w:type="dxa"/>
        </w:tblCellMar>
      </w:tblPr>
      <w:tblGrid>
        <w:gridCol w:w="2191"/>
        <w:gridCol w:w="326"/>
        <w:gridCol w:w="211"/>
        <w:gridCol w:w="1921"/>
        <w:gridCol w:w="326"/>
        <w:gridCol w:w="1936"/>
        <w:gridCol w:w="326"/>
        <w:gridCol w:w="519"/>
        <w:gridCol w:w="11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91285" cy="175260"/>
                      <wp:effectExtent l="0" t="0" r="0" b="0"/>
                      <wp:wrapNone/>
                      <wp:docPr id="272" name="Frame27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19835" cy="175260"/>
                      <wp:effectExtent l="0" t="0" r="0" b="0"/>
                      <wp:wrapNone/>
                      <wp:docPr id="275" name="Frame27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29360" cy="175260"/>
                      <wp:effectExtent l="0" t="0" r="0" b="0"/>
                      <wp:wrapNone/>
                      <wp:docPr id="277" name="Frame277"/>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29565" cy="175260"/>
                      <wp:effectExtent l="0" t="0" r="0" b="0"/>
                      <wp:wrapNone/>
                      <wp:docPr id="279" name="Frame279"/>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08660" cy="175260"/>
                      <wp:effectExtent l="0" t="0" r="0" b="0"/>
                      <wp:wrapNone/>
                      <wp:docPr id="280" name="Frame280"/>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7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2023</w:t>
            </w:r>
          </w:p>
        </w:tc>
      </w:tr>
      <w:tr>
        <w:trPr/>
        <w:tc>
          <w:tcPr>
            <w:tcW w:w="21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    </w:t>
            </w:r>
          </w:p>
        </w:tc>
        <w:tc>
          <w:tcPr>
            <w:tcW w:w="2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AOCI</w:t>
            </w:r>
          </w:p>
        </w:tc>
        <w:tc>
          <w:tcPr>
            <w:tcW w:w="326" w:type="dxa"/>
            <w:tcBorders/>
            <w:vAlign w:val="center"/>
          </w:tcPr>
          <w:p>
            <w:pPr>
              <w:pStyle w:val="TableContents"/>
              <w:bidi w:val="0"/>
              <w:spacing w:before="0" w:after="0"/>
              <w:ind w:left="0" w:right="0" w:hanging="0"/>
              <w:jc w:val="center"/>
              <w:rPr/>
            </w:pPr>
            <w:r>
              <w:rPr/>
              <w:t>    </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465" w:type="dxa"/>
        <w:jc w:val="left"/>
        <w:tblInd w:w="0" w:type="dxa"/>
        <w:tblLayout w:type="fixed"/>
        <w:tblCellMar>
          <w:top w:w="0" w:type="dxa"/>
          <w:left w:w="0" w:type="dxa"/>
          <w:bottom w:w="0" w:type="dxa"/>
          <w:right w:w="0" w:type="dxa"/>
        </w:tblCellMar>
      </w:tblPr>
      <w:tblGrid>
        <w:gridCol w:w="2191"/>
        <w:gridCol w:w="326"/>
        <w:gridCol w:w="464"/>
        <w:gridCol w:w="1261"/>
        <w:gridCol w:w="326"/>
        <w:gridCol w:w="1936"/>
        <w:gridCol w:w="326"/>
        <w:gridCol w:w="468"/>
        <w:gridCol w:w="1167"/>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91285" cy="175260"/>
                      <wp:effectExtent l="0" t="0" r="0" b="0"/>
                      <wp:wrapNone/>
                      <wp:docPr id="281" name="Frame281"/>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94640" cy="175260"/>
                      <wp:effectExtent l="0" t="0" r="0" b="0"/>
                      <wp:wrapNone/>
                      <wp:docPr id="283" name="Frame283"/>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800735" cy="175260"/>
                      <wp:effectExtent l="0" t="0" r="0" b="0"/>
                      <wp:wrapNone/>
                      <wp:docPr id="284" name="Frame28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29360" cy="175260"/>
                      <wp:effectExtent l="0" t="0" r="0" b="0"/>
                      <wp:wrapNone/>
                      <wp:docPr id="286" name="Frame286"/>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97180" cy="175260"/>
                      <wp:effectExtent l="0" t="0" r="0" b="0"/>
                      <wp:wrapNone/>
                      <wp:docPr id="288" name="Frame288"/>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41045" cy="175260"/>
                      <wp:effectExtent l="0" t="0" r="0" b="0"/>
                      <wp:wrapNone/>
                      <wp:docPr id="289" name="Frame289"/>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6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2024</w:t>
            </w:r>
          </w:p>
        </w:tc>
      </w:tr>
      <w:tr>
        <w:trPr/>
        <w:tc>
          <w:tcPr>
            <w:tcW w:w="21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  </w:t>
            </w:r>
          </w:p>
        </w:tc>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17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AOCI</w:t>
            </w:r>
          </w:p>
        </w:tc>
        <w:tc>
          <w:tcPr>
            <w:tcW w:w="326" w:type="dxa"/>
            <w:tcBorders/>
            <w:vAlign w:val="center"/>
          </w:tcPr>
          <w:p>
            <w:pPr>
              <w:pStyle w:val="TableContents"/>
              <w:bidi w:val="0"/>
              <w:spacing w:before="0" w:after="0"/>
              <w:ind w:left="0" w:right="0" w:hanging="0"/>
              <w:jc w:val="center"/>
              <w:rPr/>
            </w:pPr>
            <w:r>
              <w:rPr/>
              <w:t>    </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8,483</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4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bl>
    <w:p>
      <w:pPr>
        <w:pStyle w:val="TextBody"/>
        <w:bidi w:val="0"/>
        <w:spacing w:before="0" w:after="0"/>
        <w:ind w:left="0" w:right="0" w:hanging="0"/>
        <w:jc w:val="left"/>
        <w:rPr/>
      </w:pPr>
      <w:r>
        <w:rPr/>
        <w:t>​</w:t>
      </w:r>
    </w:p>
    <w:tbl>
      <w:tblPr>
        <w:tblW w:w="8526" w:type="dxa"/>
        <w:jc w:val="left"/>
        <w:tblInd w:w="0" w:type="dxa"/>
        <w:tblLayout w:type="fixed"/>
        <w:tblCellMar>
          <w:top w:w="0" w:type="dxa"/>
          <w:left w:w="0" w:type="dxa"/>
          <w:bottom w:w="0" w:type="dxa"/>
          <w:right w:w="0" w:type="dxa"/>
        </w:tblCellMar>
      </w:tblPr>
      <w:tblGrid>
        <w:gridCol w:w="2191"/>
        <w:gridCol w:w="326"/>
        <w:gridCol w:w="445"/>
        <w:gridCol w:w="1340"/>
        <w:gridCol w:w="326"/>
        <w:gridCol w:w="1936"/>
        <w:gridCol w:w="326"/>
        <w:gridCol w:w="520"/>
        <w:gridCol w:w="11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91285" cy="175260"/>
                      <wp:effectExtent l="0" t="0" r="0" b="0"/>
                      <wp:wrapNone/>
                      <wp:docPr id="290" name="Frame290"/>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82575" cy="175260"/>
                      <wp:effectExtent l="0" t="0" r="0" b="0"/>
                      <wp:wrapNone/>
                      <wp:docPr id="292" name="Frame292"/>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50900" cy="175260"/>
                      <wp:effectExtent l="0" t="0" r="0" b="0"/>
                      <wp:wrapNone/>
                      <wp:docPr id="293" name="Frame293"/>
                      <a:graphic xmlns:a="http://schemas.openxmlformats.org/drawingml/2006/main">
                        <a:graphicData uri="http://schemas.microsoft.com/office/word/2010/wordprocessingShape">
                          <wps:wsp>
                            <wps:cNvSpPr txBox="1"/>
                            <wps:spPr>
                              <a:xfrm>
                                <a:off x="0" y="0"/>
                                <a:ext cx="850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29360" cy="175260"/>
                      <wp:effectExtent l="0" t="0" r="0" b="0"/>
                      <wp:wrapNone/>
                      <wp:docPr id="295" name="Frame295"/>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30200" cy="175260"/>
                      <wp:effectExtent l="0" t="0" r="0" b="0"/>
                      <wp:wrapNone/>
                      <wp:docPr id="297" name="Frame297"/>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708660" cy="175260"/>
                      <wp:effectExtent l="0" t="0" r="0" b="0"/>
                      <wp:wrapNone/>
                      <wp:docPr id="298" name="Frame298"/>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26"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2023</w:t>
            </w:r>
          </w:p>
        </w:tc>
      </w:tr>
      <w:tr>
        <w:trPr/>
        <w:tc>
          <w:tcPr>
            <w:tcW w:w="21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45" w:type="dxa"/>
            <w:tcBorders/>
            <w:vAlign w:val="center"/>
          </w:tcPr>
          <w:p>
            <w:pPr>
              <w:pStyle w:val="TableContents"/>
              <w:bidi w:val="0"/>
              <w:spacing w:before="0" w:after="0"/>
              <w:ind w:left="0" w:right="0" w:hanging="0"/>
              <w:jc w:val="center"/>
              <w:rPr/>
            </w:pPr>
            <w:r>
              <w:rPr/>
              <w:t>​</w:t>
            </w:r>
          </w:p>
        </w:tc>
        <w:tc>
          <w:tcPr>
            <w:tcW w:w="13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recognized in AOCI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2024, the Company estimates that it will reclassify into earnings net gains (losses) of $8.4 million from the amount recorded in AOCI as the anticipated cash flows occur during the next 12 months.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Economic (Non-Designated)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exposed to foreign currency exchange rate risks related primarily to its foreign business operations. During the three- and six-months ended June 30, 2024 and 2023,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2024 have terms of approximately one month or less. The Company does not enter into forward currency exchange contracts for speculation 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not designated its foreign currency exchange contracts as hedge transactions. Therefore, gains and losses on the Company’s foreign currency exchange contracts are recognized in interest and other income, net, in the condensed consolidated statements of income, and are largely offset by the changes in the fair value of the underlying economically hedged item. The total notional values of derivatives related to our foreign currency economic hedges were $239.3 million and $282.7 million as of June 30, 2024 and December 31, 2023,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86" w:name="Tc_zpnXsjImZ0ibnOALOQeYLA_6_7"/>
      <w:bookmarkStart w:id="1587" w:name="Tc_1klJ_4Iy6kitYBMfpoWzag_6_4"/>
      <w:bookmarkStart w:id="1588" w:name="Tc_oLlU4iSJoketq7R7hmzCPw_6_0"/>
      <w:bookmarkStart w:id="1589" w:name="Tc_eXVlfnSGokuBUb-1x_ae1Q_5_7"/>
      <w:bookmarkStart w:id="1590" w:name="Tc_MSrer6SgQUizCKEYQMiZ0g_5_4"/>
      <w:bookmarkStart w:id="1591" w:name="Tc_Pn5g2veUeUGGx9PcPV9xXQ_5_2"/>
      <w:bookmarkStart w:id="1592" w:name="Tc_5ua2kIjUiUuWvY08WFc7VA_5_0"/>
      <w:bookmarkStart w:id="1593" w:name="Tc_fH4-FD-Pf0KyjsedsUyDew_4_7"/>
      <w:bookmarkStart w:id="1594" w:name="Tc_DRybNhMHo0Sy7aIh7Qe46w_4_4"/>
      <w:bookmarkStart w:id="1595" w:name="Tc_F_5XBSlsOUmSx0BRI2xgfA_4_2"/>
      <w:bookmarkStart w:id="1596" w:name="Tc_4ScqqAhHW0mhGB31xUFIBQ_4_0"/>
      <w:bookmarkStart w:id="1597" w:name="Tc_WxrmAh7IKUy1SQv-p7SYyQ_3_4"/>
      <w:bookmarkStart w:id="1598" w:name="Tc_QiRRmxJPQEqh8VtGQQaw5A_2_4"/>
      <w:bookmarkStart w:id="1599" w:name="Tc_-JUNKQDFH0OZTx9vTAdUwA_1_4"/>
      <w:bookmarkStart w:id="1600" w:name="_fe83bb76_20e3_4f62_b5ff_dbe234cd7ee6"/>
      <w:bookmarkStart w:id="1601" w:name="Tc_oVG_q-Wz6k2i-09XxzzfRw_6_7"/>
      <w:bookmarkStart w:id="1602" w:name="Tc_Md48SgXK7kC1AcMRp96QEg_6_4"/>
      <w:bookmarkStart w:id="1603" w:name="Tc_STkuNagrPkyRWY5fvQ9UIQ_6_0"/>
      <w:bookmarkStart w:id="1604" w:name="Tc_QCP4crQdJUihH6pKKvg3iw_5_7"/>
      <w:bookmarkStart w:id="1605" w:name="Tc_z10uy6edjEGJBVXL_W3Y_w_5_4"/>
      <w:bookmarkStart w:id="1606" w:name="Tc_FBcO_l3Yz0exrwdkHGwhQw_5_2"/>
      <w:bookmarkStart w:id="1607" w:name="Tc_lMEDj9Aj7EWvzYY5536vDg_5_0"/>
      <w:bookmarkStart w:id="1608" w:name="Tc_d3v2ejIqIU2KjhS1owdvwg_4_7"/>
      <w:bookmarkStart w:id="1609" w:name="Tc_nNDRgHGtyUOm8zKvm6LqgQ_4_4"/>
      <w:bookmarkStart w:id="1610" w:name="Tc_bPs9sPofhEmxFgt66F-qAg_4_2"/>
      <w:bookmarkStart w:id="1611" w:name="Tc_XV85G79tPEeChS_uXq7WMg_4_0"/>
      <w:bookmarkStart w:id="1612" w:name="Tc_MfiP6jJBDEimgyFza3VD2w_3_4"/>
      <w:bookmarkStart w:id="1613" w:name="Tc_VGRajsoz4U62lrgXPZ88BA_2_4"/>
      <w:bookmarkStart w:id="1614" w:name="Tc_4fYOt1Pz3EygZedwiM5IMQ_1_4"/>
      <w:bookmarkStart w:id="1615" w:name="_ff755a88_bc32_47da_a02e_2e7c5e7915e3"/>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r>
        <w:rPr>
          <w:rFonts w:ascii="Times New Roman;Times;serif" w:hAnsi="Times New Roman;Times;serif"/>
          <w:sz w:val="20"/>
        </w:rPr>
        <w:t>The net gains (losses) on derivatives not designated as hedging instruments in the condensed consolidated statements of income were as follows:</w:t>
      </w:r>
    </w:p>
    <w:p>
      <w:pPr>
        <w:pStyle w:val="TextBody"/>
        <w:bidi w:val="0"/>
        <w:spacing w:before="0" w:after="0"/>
        <w:ind w:left="0" w:right="0" w:firstLine="720"/>
        <w:jc w:val="both"/>
        <w:rPr/>
      </w:pPr>
      <w:r>
        <w:rPr/>
        <w:t>​</w:t>
      </w:r>
    </w:p>
    <w:tbl>
      <w:tblPr>
        <w:tblW w:w="8977" w:type="dxa"/>
        <w:jc w:val="left"/>
        <w:tblInd w:w="0" w:type="dxa"/>
        <w:tblLayout w:type="fixed"/>
        <w:tblCellMar>
          <w:top w:w="0" w:type="dxa"/>
          <w:left w:w="0" w:type="dxa"/>
          <w:bottom w:w="0" w:type="dxa"/>
          <w:right w:w="0" w:type="dxa"/>
        </w:tblCellMar>
      </w:tblPr>
      <w:tblGrid>
        <w:gridCol w:w="3106"/>
        <w:gridCol w:w="326"/>
        <w:gridCol w:w="3061"/>
        <w:gridCol w:w="326"/>
        <w:gridCol w:w="232"/>
        <w:gridCol w:w="762"/>
        <w:gridCol w:w="119"/>
        <w:gridCol w:w="232"/>
        <w:gridCol w:w="813"/>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972310" cy="175260"/>
                      <wp:effectExtent l="0" t="0" r="0" b="0"/>
                      <wp:wrapNone/>
                      <wp:docPr id="299" name="Frame29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943735" cy="175260"/>
                      <wp:effectExtent l="0" t="0" r="0" b="0"/>
                      <wp:wrapNone/>
                      <wp:docPr id="301" name="Frame30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7320" cy="175260"/>
                      <wp:effectExtent l="0" t="0" r="0" b="0"/>
                      <wp:wrapNone/>
                      <wp:docPr id="303" name="Frame30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83870" cy="175260"/>
                      <wp:effectExtent l="0" t="0" r="0" b="0"/>
                      <wp:wrapNone/>
                      <wp:docPr id="304" name="Frame304"/>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5565" cy="175260"/>
                      <wp:effectExtent l="0" t="0" r="0" b="0"/>
                      <wp:wrapNone/>
                      <wp:docPr id="305" name="Frame305"/>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47320" cy="175260"/>
                      <wp:effectExtent l="0" t="0" r="0" b="0"/>
                      <wp:wrapNone/>
                      <wp:docPr id="306" name="Frame30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16255" cy="175260"/>
                      <wp:effectExtent l="0" t="0" r="0" b="0"/>
                      <wp:wrapNone/>
                      <wp:docPr id="307" name="Frame307"/>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income on derivatives</w:t>
            </w:r>
          </w:p>
        </w:tc>
      </w:tr>
      <w:tr>
        <w:trPr/>
        <w:tc>
          <w:tcPr>
            <w:tcW w:w="31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119" w:type="dxa"/>
            <w:tcBorders/>
            <w:vAlign w:val="center"/>
          </w:tcPr>
          <w:p>
            <w:pPr>
              <w:pStyle w:val="TableContents"/>
              <w:bidi w:val="0"/>
              <w:spacing w:before="0" w:after="0"/>
              <w:ind w:left="0" w:right="0" w:hanging="0"/>
              <w:jc w:val="center"/>
              <w:rPr/>
            </w:pPr>
            <w:r>
              <w:rPr/>
              <w:t>​</w:t>
            </w:r>
          </w:p>
        </w:tc>
        <w:tc>
          <w:tcPr>
            <w:tcW w:w="104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hedging instruments </w:t>
            </w:r>
          </w:p>
        </w:tc>
        <w:tc>
          <w:tcPr>
            <w:tcW w:w="326" w:type="dxa"/>
            <w:tcBorders/>
            <w:vAlign w:val="center"/>
          </w:tcPr>
          <w:p>
            <w:pPr>
              <w:pStyle w:val="TableContents"/>
              <w:bidi w:val="0"/>
              <w:spacing w:before="0" w:after="0"/>
              <w:ind w:left="0" w:right="0" w:hanging="0"/>
              <w:jc w:val="left"/>
              <w:rPr/>
            </w:pPr>
            <w:r>
              <w:rPr/>
              <w:t>    </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326"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119" w:type="dxa"/>
            <w:tcBorders/>
            <w:vAlign w:val="center"/>
          </w:tcPr>
          <w:p>
            <w:pPr>
              <w:pStyle w:val="TableContents"/>
              <w:bidi w:val="0"/>
              <w:spacing w:before="0" w:after="0"/>
              <w:ind w:left="0" w:right="0" w:hanging="0"/>
              <w:jc w:val="left"/>
              <w:rPr/>
            </w:pPr>
            <w:r>
              <w:rPr/>
              <w:t>​</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bidi w:val="0"/>
              <w:spacing w:before="0" w:after="0"/>
              <w:ind w:left="0" w:right="0" w:hanging="0"/>
              <w:jc w:val="left"/>
              <w:rPr/>
            </w:pPr>
            <w:r>
              <w:rPr/>
              <w:t> </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11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r>
    </w:tbl>
    <w:p>
      <w:pPr>
        <w:pStyle w:val="TextBody"/>
        <w:bidi w:val="0"/>
        <w:spacing w:before="0" w:after="0"/>
        <w:ind w:left="0" w:right="0" w:hanging="0"/>
        <w:jc w:val="center"/>
        <w:rPr/>
      </w:pPr>
      <w:r>
        <w:rPr/>
        <w:t>​</w:t>
      </w:r>
    </w:p>
    <w:tbl>
      <w:tblPr>
        <w:tblW w:w="8980" w:type="dxa"/>
        <w:jc w:val="left"/>
        <w:tblInd w:w="0" w:type="dxa"/>
        <w:tblLayout w:type="fixed"/>
        <w:tblCellMar>
          <w:top w:w="0" w:type="dxa"/>
          <w:left w:w="0" w:type="dxa"/>
          <w:bottom w:w="0" w:type="dxa"/>
          <w:right w:w="0" w:type="dxa"/>
        </w:tblCellMar>
      </w:tblPr>
      <w:tblGrid>
        <w:gridCol w:w="3106"/>
        <w:gridCol w:w="326"/>
        <w:gridCol w:w="3061"/>
        <w:gridCol w:w="326"/>
        <w:gridCol w:w="222"/>
        <w:gridCol w:w="603"/>
        <w:gridCol w:w="342"/>
        <w:gridCol w:w="221"/>
        <w:gridCol w:w="773"/>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972310" cy="175260"/>
                      <wp:effectExtent l="0" t="0" r="0" b="0"/>
                      <wp:wrapNone/>
                      <wp:docPr id="308" name="Frame30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943735" cy="175260"/>
                      <wp:effectExtent l="0" t="0" r="0" b="0"/>
                      <wp:wrapNone/>
                      <wp:docPr id="310" name="Frame310"/>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0970" cy="175260"/>
                      <wp:effectExtent l="0" t="0" r="0" b="0"/>
                      <wp:wrapNone/>
                      <wp:docPr id="312" name="Frame31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82905" cy="175260"/>
                      <wp:effectExtent l="0" t="0" r="0" b="0"/>
                      <wp:wrapNone/>
                      <wp:docPr id="313" name="Frame313"/>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7170" cy="175260"/>
                      <wp:effectExtent l="0" t="0" r="0" b="0"/>
                      <wp:wrapNone/>
                      <wp:docPr id="314" name="Frame314"/>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0335" cy="175260"/>
                      <wp:effectExtent l="0" t="0" r="0" b="0"/>
                      <wp:wrapNone/>
                      <wp:docPr id="315" name="Frame31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0855" cy="175260"/>
                      <wp:effectExtent l="0" t="0" r="0" b="0"/>
                      <wp:wrapNone/>
                      <wp:docPr id="316" name="Frame316"/>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income on derivatives</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42" w:type="dxa"/>
            <w:tcBorders/>
            <w:vAlign w:val="center"/>
          </w:tcPr>
          <w:p>
            <w:pPr>
              <w:pStyle w:val="TableContents"/>
              <w:bidi w:val="0"/>
              <w:spacing w:before="0" w:after="0"/>
              <w:ind w:left="0" w:right="0" w:hanging="0"/>
              <w:jc w:val="center"/>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left"/>
              <w:rPr/>
            </w:pPr>
            <w:r>
              <w:rPr/>
              <w:t>    </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326" w:type="dxa"/>
            <w:tcBorders/>
            <w:vAlign w:val="center"/>
          </w:tcPr>
          <w:p>
            <w:pPr>
              <w:pStyle w:val="TableContents"/>
              <w:bidi w:val="0"/>
              <w:spacing w:before="0" w:after="0"/>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2"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bidi w:val="0"/>
              <w:spacing w:before="0" w:after="0"/>
              <w:ind w:left="0" w:right="0" w:hanging="0"/>
              <w:jc w:val="left"/>
              <w:rPr/>
            </w:pPr>
            <w:r>
              <w:rPr/>
              <w:t> </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the Company’s counterparty agreements contain provisions that require the Company to post collateral on derivative instruments in a net liability position. As of June 30, 2024, $7.4 million was held as collateral and $1.2 million was posted as collateral.</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p>
      <w:pPr>
        <w:pStyle w:val="Normal"/>
        <w:bidi w:val="0"/>
        <w:spacing w:before="0" w:after="0"/>
        <w:jc w:val="left"/>
        <w:rPr>
          <w:sz w:val="4"/>
          <w:szCs w:val="4"/>
        </w:rPr>
      </w:pPr>
      <w:r>
        <w:rPr>
          <w:sz w:val="4"/>
          <w:szCs w:val="4"/>
        </w:rPr>
      </w:r>
      <w:bookmarkStart w:id="1616" w:name="Tc_hjghX0rejkyBezaaeDu3HA_6_5"/>
      <w:bookmarkStart w:id="1617" w:name="Tc_1VbFb97ek0-32HbBWW0s8A_6_2"/>
      <w:bookmarkStart w:id="1618" w:name="Tc_0OPPb-85UEClCNZULfBoNA_5_0"/>
      <w:bookmarkStart w:id="1619" w:name="Tc_JuBzgv-ACUGvbyM4VhDhNA_4_0"/>
      <w:bookmarkStart w:id="1620" w:name="Tc_v92VSfgiLkaejNXWW1AYxw_3_5"/>
      <w:bookmarkStart w:id="1621" w:name="Tc_vd7qwiYGsEycGSkbnbu4QQ_3_2"/>
      <w:bookmarkStart w:id="1622" w:name="Tc_a4gxRFFlEkqQIW7wUeZBMg_3_0"/>
      <w:bookmarkStart w:id="1623" w:name="Tc_nO_9XV0Pvku2Xppaz9W20A_2_5"/>
      <w:bookmarkStart w:id="1624" w:name="Tc_pqyfDn6dskyF6MK9PW_LxA_2_2"/>
      <w:bookmarkStart w:id="1625" w:name="Tc_tTfd4QU4jk6T38r5EkGA1g_1_5"/>
      <w:bookmarkStart w:id="1626" w:name="Tc_QPaCKvp7qUig-y_QJQVKJw_1_2"/>
      <w:bookmarkStart w:id="1627" w:name="Tc_hjghX0rejkyBezaaeDu3HA_6_5"/>
      <w:bookmarkStart w:id="1628" w:name="Tc_1VbFb97ek0-32HbBWW0s8A_6_2"/>
      <w:bookmarkStart w:id="1629" w:name="Tc_0OPPb-85UEClCNZULfBoNA_5_0"/>
      <w:bookmarkStart w:id="1630" w:name="Tc_JuBzgv-ACUGvbyM4VhDhNA_4_0"/>
      <w:bookmarkStart w:id="1631" w:name="Tc_v92VSfgiLkaejNXWW1AYxw_3_5"/>
      <w:bookmarkStart w:id="1632" w:name="Tc_vd7qwiYGsEycGSkbnbu4QQ_3_2"/>
      <w:bookmarkStart w:id="1633" w:name="Tc_a4gxRFFlEkqQIW7wUeZBMg_3_0"/>
      <w:bookmarkStart w:id="1634" w:name="Tc_nO_9XV0Pvku2Xppaz9W20A_2_5"/>
      <w:bookmarkStart w:id="1635" w:name="Tc_pqyfDn6dskyF6MK9PW_LxA_2_2"/>
      <w:bookmarkStart w:id="1636" w:name="Tc_tTfd4QU4jk6T38r5EkGA1g_1_5"/>
      <w:bookmarkStart w:id="1637" w:name="Tc_QPaCKvp7qUig-y_QJQVKJw_1_2"/>
      <w:bookmarkEnd w:id="1627"/>
      <w:bookmarkEnd w:id="1628"/>
      <w:bookmarkEnd w:id="1629"/>
      <w:bookmarkEnd w:id="1630"/>
      <w:bookmarkEnd w:id="1631"/>
      <w:bookmarkEnd w:id="1632"/>
      <w:bookmarkEnd w:id="1633"/>
      <w:bookmarkEnd w:id="1634"/>
      <w:bookmarkEnd w:id="1635"/>
      <w:bookmarkEnd w:id="1636"/>
      <w:bookmarkEnd w:id="1637"/>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14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firstLine="720"/>
        <w:jc w:val="both"/>
        <w:rPr/>
      </w:pPr>
      <w:r>
        <w:rPr/>
        <w:t>​</w:t>
      </w:r>
    </w:p>
    <w:tbl>
      <w:tblPr>
        <w:tblW w:w="4375" w:type="dxa"/>
        <w:jc w:val="left"/>
        <w:tblInd w:w="0" w:type="dxa"/>
        <w:tblLayout w:type="fixed"/>
        <w:tblCellMar>
          <w:top w:w="0" w:type="dxa"/>
          <w:left w:w="0" w:type="dxa"/>
          <w:bottom w:w="0" w:type="dxa"/>
          <w:right w:w="0" w:type="dxa"/>
        </w:tblCellMar>
      </w:tblPr>
      <w:tblGrid>
        <w:gridCol w:w="1426"/>
        <w:gridCol w:w="326"/>
        <w:gridCol w:w="211"/>
        <w:gridCol w:w="781"/>
        <w:gridCol w:w="326"/>
        <w:gridCol w:w="250"/>
        <w:gridCol w:w="1055"/>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05510" cy="175260"/>
                      <wp:effectExtent l="0" t="0" r="0" b="0"/>
                      <wp:wrapNone/>
                      <wp:docPr id="317" name="Frame31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5935" cy="175260"/>
                      <wp:effectExtent l="0" t="0" r="0" b="0"/>
                      <wp:wrapNone/>
                      <wp:docPr id="320" name="Frame3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8750" cy="175260"/>
                      <wp:effectExtent l="0" t="0" r="0" b="0"/>
                      <wp:wrapNone/>
                      <wp:docPr id="322" name="Frame32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69925" cy="175260"/>
                      <wp:effectExtent l="0" t="0" r="0" b="0"/>
                      <wp:wrapNone/>
                      <wp:docPr id="323" name="Frame323"/>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271,341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330,021</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561,537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639,982</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834,404</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971,406</w:t>
            </w:r>
          </w:p>
        </w:tc>
      </w:tr>
    </w:tbl>
    <w:p>
      <w:pPr>
        <w:pStyle w:val="TextBody"/>
        <w:pBdr/>
        <w:bidi w:val="0"/>
        <w:spacing w:before="0" w:after="0"/>
        <w:ind w:left="0" w:right="0" w:hanging="720"/>
        <w:jc w:val="both"/>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638" w:name="Tc_s6PsvQS_J0ee35lVRk4FTQ_14_5"/>
      <w:bookmarkStart w:id="1639" w:name="Tc_jMwl-N4zi0mYQJLXhT29MQ_14_2"/>
      <w:bookmarkStart w:id="1640" w:name="Tc_bW5HUens30yxoe6p8Wuf_A_13_0"/>
      <w:bookmarkStart w:id="1641" w:name="Tc_0ZGic18XiE6XUSa2Xt8jjw_11_0"/>
      <w:bookmarkStart w:id="1642" w:name="Tc_25Rm-aDCjEKK1duiv-L_lg_10_0"/>
      <w:bookmarkStart w:id="1643" w:name="Tc_U-OerMHRzE-FW0gMfHcdAw_9_0"/>
      <w:bookmarkStart w:id="1644" w:name="Tc_Ss7kaLgoHEmmwJBl-POIng_8_0"/>
      <w:bookmarkStart w:id="1645" w:name="Tc_L4JvGTSpzkaKDtc1yqX7-w_7_0"/>
      <w:bookmarkStart w:id="1646" w:name="Tc_FUdl8DqwYEmgXb-hWZ3G5A_6_0"/>
      <w:bookmarkStart w:id="1647" w:name="Tc_qXHNNeJJakquUFyNg-s0TQ_5_0"/>
      <w:bookmarkStart w:id="1648" w:name="Tc_8lAcgSIIZUimmNfKVKt0dA_4_0"/>
      <w:bookmarkStart w:id="1649" w:name="Tc_Abi2T_0i50Wo9v2rED_Kqw_3_5"/>
      <w:bookmarkStart w:id="1650" w:name="Tc_MTdyF8kTeE6PaEw-7ljnlA_3_2"/>
      <w:bookmarkStart w:id="1651" w:name="Tc_Uf-CDt6HvkSf10UAhrWPPA_3_0"/>
      <w:bookmarkStart w:id="1652" w:name="Tc_lCadAC2_qkewKeDnFJu8cg_2_5"/>
      <w:bookmarkStart w:id="1653" w:name="Tc_aokOVyQI0kaw7hL6t_EKWA_2_2"/>
      <w:bookmarkStart w:id="1654" w:name="Tc_fWNoSS_c8kaTQOMdoSBuKQ_1_5"/>
      <w:bookmarkStart w:id="1655" w:name="Tc_URuKdY2EoUebam2N7Ge2hQ_1_2"/>
      <w:bookmarkStart w:id="1656" w:name="Tc_s6PsvQS_J0ee35lVRk4FTQ_14_5"/>
      <w:bookmarkStart w:id="1657" w:name="Tc_jMwl-N4zi0mYQJLXhT29MQ_14_2"/>
      <w:bookmarkStart w:id="1658" w:name="Tc_bW5HUens30yxoe6p8Wuf_A_13_0"/>
      <w:bookmarkStart w:id="1659" w:name="Tc_0ZGic18XiE6XUSa2Xt8jjw_11_0"/>
      <w:bookmarkStart w:id="1660" w:name="Tc_25Rm-aDCjEKK1duiv-L_lg_10_0"/>
      <w:bookmarkStart w:id="1661" w:name="Tc_U-OerMHRzE-FW0gMfHcdAw_9_0"/>
      <w:bookmarkStart w:id="1662" w:name="Tc_Ss7kaLgoHEmmwJBl-POIng_8_0"/>
      <w:bookmarkStart w:id="1663" w:name="Tc_L4JvGTSpzkaKDtc1yqX7-w_7_0"/>
      <w:bookmarkStart w:id="1664" w:name="Tc_FUdl8DqwYEmgXb-hWZ3G5A_6_0"/>
      <w:bookmarkStart w:id="1665" w:name="Tc_qXHNNeJJakquUFyNg-s0TQ_5_0"/>
      <w:bookmarkStart w:id="1666" w:name="Tc_8lAcgSIIZUimmNfKVKt0dA_4_0"/>
      <w:bookmarkStart w:id="1667" w:name="Tc_Abi2T_0i50Wo9v2rED_Kqw_3_5"/>
      <w:bookmarkStart w:id="1668" w:name="Tc_MTdyF8kTeE6PaEw-7ljnlA_3_2"/>
      <w:bookmarkStart w:id="1669" w:name="Tc_Uf-CDt6HvkSf10UAhrWPPA_3_0"/>
      <w:bookmarkStart w:id="1670" w:name="Tc_lCadAC2_qkewKeDnFJu8cg_2_5"/>
      <w:bookmarkStart w:id="1671" w:name="Tc_aokOVyQI0kaw7hL6t_EKWA_2_2"/>
      <w:bookmarkStart w:id="1672" w:name="Tc_fWNoSS_c8kaTQOMdoSBuKQ_1_5"/>
      <w:bookmarkStart w:id="1673" w:name="Tc_URuKdY2EoUebam2N7Ge2hQ_1_2"/>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firstLine="720"/>
        <w:jc w:val="both"/>
        <w:rPr/>
      </w:pPr>
      <w:r>
        <w:rPr/>
        <w:t>​</w:t>
      </w:r>
    </w:p>
    <w:tbl>
      <w:tblPr>
        <w:tblW w:w="7210" w:type="dxa"/>
        <w:jc w:val="left"/>
        <w:tblInd w:w="0" w:type="dxa"/>
        <w:tblLayout w:type="fixed"/>
        <w:tblCellMar>
          <w:top w:w="0" w:type="dxa"/>
          <w:left w:w="0" w:type="dxa"/>
          <w:bottom w:w="0" w:type="dxa"/>
          <w:right w:w="0" w:type="dxa"/>
        </w:tblCellMar>
      </w:tblPr>
      <w:tblGrid>
        <w:gridCol w:w="4111"/>
        <w:gridCol w:w="326"/>
        <w:gridCol w:w="211"/>
        <w:gridCol w:w="931"/>
        <w:gridCol w:w="326"/>
        <w:gridCol w:w="231"/>
        <w:gridCol w:w="107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610485" cy="175260"/>
                      <wp:effectExtent l="0" t="0" r="0" b="0"/>
                      <wp:wrapNone/>
                      <wp:docPr id="324" name="Frame32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91185" cy="175260"/>
                      <wp:effectExtent l="0" t="0" r="0" b="0"/>
                      <wp:wrapNone/>
                      <wp:docPr id="327" name="Frame3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46685" cy="175260"/>
                      <wp:effectExtent l="0" t="0" r="0" b="0"/>
                      <wp:wrapNone/>
                      <wp:docPr id="329" name="Frame32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81990" cy="175260"/>
                      <wp:effectExtent l="0" t="0" r="0" b="0"/>
                      <wp:wrapNone/>
                      <wp:docPr id="330" name="Frame330"/>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158,505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152,253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33,264</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26,833</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6,636</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462,428</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426,466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217,214</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211,951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69,902</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69,527</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261,279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211,562</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1,247,451</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1,152,031</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(286,489)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(261,235)</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960,962</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890,796</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was $17.8 million and $14.7 million for the three-months ended June 30, 2024 and 2023, respectively. Total depreciation and amortization expense was $36.9 million and $29.5 million for the six-months ended June 30, 2024 and 2023,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674" w:name="Tc_ETL-btNAlkudLwinjyjKzg_7_2"/>
      <w:bookmarkStart w:id="1675" w:name="Tc_QlO7EABUpkeu2sPo8H1d_w_6_0"/>
      <w:bookmarkStart w:id="1676" w:name="Tc_TX96DI_PFkaD7C65GRXaKA_5_0"/>
      <w:bookmarkStart w:id="1677" w:name="Tc_A5udQtHBzU6m7SSv6LtIYg_4_0"/>
      <w:bookmarkStart w:id="1678" w:name="Tc_HsZezrnWhkig_X27xVV35A_3_0"/>
      <w:bookmarkStart w:id="1679" w:name="Tc_ZWv6HD2HzUGQMH09zwRuwg_2_0"/>
      <w:bookmarkStart w:id="1680" w:name="Tc_sQqUf1UYdkCw0sXxm7QaLA_1_2"/>
      <w:bookmarkStart w:id="1681" w:name="Tc_Xldks0glaE2vMTYluHatyA_1_0"/>
      <w:bookmarkStart w:id="1682" w:name="Tc_KSkoqkJa40-x9OMNJCwO6g_7_5"/>
      <w:bookmarkStart w:id="1683" w:name="Tc_o6CP6Pi1XU-X8cqKV84OMA_7_2"/>
      <w:bookmarkStart w:id="1684" w:name="Tc_93ovagnzvUatsrbtFIyqVQ_6_0"/>
      <w:bookmarkStart w:id="1685" w:name="Tc_-aw4hb3eMkCBPOkO0bVUTA_4_0"/>
      <w:bookmarkStart w:id="1686" w:name="Tc_0TygxtTZfkuTMKC9qLktlw_3_5"/>
      <w:bookmarkStart w:id="1687" w:name="Tc_rrytuvUS_E6FNMO8JNeAkg_3_2"/>
      <w:bookmarkStart w:id="1688" w:name="Tc_2KmMZCRNtUG2wn3NZOscbg_3_0"/>
      <w:bookmarkStart w:id="1689" w:name="Tc_HL8kPO8aZEK-T7jka4HFwg_2_5"/>
      <w:bookmarkStart w:id="1690" w:name="Tc_VTnK880g40Gj9U0fT3tgIw_2_2"/>
      <w:bookmarkStart w:id="1691" w:name="Tc_9OH8l7uWgU2c-ykikEe7qw_1_5"/>
      <w:bookmarkStart w:id="1692" w:name="Tc_mbx5fog9A06xs6H9C33YVQ_1_2"/>
      <w:bookmarkStart w:id="1693" w:name="_e9768743_e4a2_4b35_bdd8_e8f6ac51ab82"/>
      <w:bookmarkStart w:id="1694" w:name="Tc_K2nBaxbet0yQ_bp06UndPQ_6_14"/>
      <w:bookmarkStart w:id="1695" w:name="Tc_RVEfxO8ePEOcWiok7ksXSw_6_11"/>
      <w:bookmarkStart w:id="1696" w:name="Tc_VnI7AUu3BEmmrKpK8DM-yw_6_8"/>
      <w:bookmarkStart w:id="1697" w:name="Tc_LDClniquYUaNqEIl305o1w_6_5"/>
      <w:bookmarkStart w:id="1698" w:name="Tc_1FX6ucOwgUuim--d8sBq7g_6_2"/>
      <w:bookmarkStart w:id="1699" w:name="Tc_p4H7KlImd0C7eerYJWEdPA_6_0"/>
      <w:bookmarkStart w:id="1700" w:name="Tc_k6fnuo0Snk6gPDGS2CN2NQ_5_0"/>
      <w:bookmarkStart w:id="1701" w:name="Tc_gz5Xw73YRESxs8yNkhlITA_4_14"/>
      <w:bookmarkStart w:id="1702" w:name="Tc_hrtTR_UKtEiGQuTdh1uccw_4_11"/>
      <w:bookmarkStart w:id="1703" w:name="Tc_dAzhjU_MikuzFwrCGPedAg_4_8"/>
      <w:bookmarkStart w:id="1704" w:name="Tc_StfAfetGE06a5wmaxIvALw_4_5"/>
      <w:bookmarkStart w:id="1705" w:name="Tc_-gx2Q4fM8UKt9HfQF4kUCQ_4_2"/>
      <w:bookmarkStart w:id="1706" w:name="Tc_92SH35a-lUGgFF5p6y9G5w_4_0"/>
      <w:bookmarkStart w:id="1707" w:name="Tc_B0LiS6O6DUSewrlYTBv2cA_3_14"/>
      <w:bookmarkStart w:id="1708" w:name="Tc_uXfebT-yv0ySIBlrGsvfrw_3_11"/>
      <w:bookmarkStart w:id="1709" w:name="Tc_5E3p8qexMUOMabrkFwNSRg_3_8"/>
      <w:bookmarkStart w:id="1710" w:name="Tc_n3-g_eGrhEGjK6ISyDEkSQ_3_5"/>
      <w:bookmarkStart w:id="1711" w:name="Tc_uxbmCFO6-kG3gH_boCILDg_3_2"/>
      <w:bookmarkStart w:id="1712" w:name="Tc_f9fkHUgbRUe_qsfqrkXNqA_2_8"/>
      <w:bookmarkStart w:id="1713" w:name="Tc_JK-iO7R9_k6qQj9HsGNUFg_2_5"/>
      <w:bookmarkStart w:id="1714" w:name="Tc_h5fWUmyxn0-bQdgOQa6jJg_2_2"/>
      <w:bookmarkStart w:id="1715" w:name="Tc_NFaSQ4-if0Gr0690SWO_Ew_1_2"/>
      <w:bookmarkStart w:id="1716" w:name="_aed5bb4a_25e7_4df6_b4bb_6ba46d5c6895"/>
      <w:bookmarkStart w:id="1717" w:name="Tc_dDePmeiNV0C6ukWhPUbyiQ_6_14"/>
      <w:bookmarkStart w:id="1718" w:name="Tc_w3W_J39iTEqMpmHYgTk54w_6_11"/>
      <w:bookmarkStart w:id="1719" w:name="Tc_lR0EzDwIfEe7M7dEK0pPGw_6_8"/>
      <w:bookmarkStart w:id="1720" w:name="Tc_WsSVezy6XUyUVh6aTZrYxA_6_5"/>
      <w:bookmarkStart w:id="1721" w:name="Tc_KiKehSGsgUSfAub2-BgEZg_6_2"/>
      <w:bookmarkStart w:id="1722" w:name="Tc_AEoLhFQuBk-CGenH2ClgAg_6_0"/>
      <w:bookmarkStart w:id="1723" w:name="Tc_DF8S7UU5AU2AFO3uOX2v_g_5_0"/>
      <w:bookmarkStart w:id="1724" w:name="Tc_KTld2iLGSk-XYG9vLD_siw_4_14"/>
      <w:bookmarkStart w:id="1725" w:name="Tc_GfsIMSLICUyf8FBFKUk2Og_4_11"/>
      <w:bookmarkStart w:id="1726" w:name="Tc_bxeuIrIVAUCuxVv7JRulUA_4_8"/>
      <w:bookmarkStart w:id="1727" w:name="Tc_uJFGb6EXhUeUKnNmjyB_wg_4_5"/>
      <w:bookmarkStart w:id="1728" w:name="Tc_BkraSXtbfUmbeAnv5SbfvQ_4_2"/>
      <w:bookmarkStart w:id="1729" w:name="Tc_Xjin-1NeJUWTjcUqTZzhzQ_4_0"/>
      <w:bookmarkStart w:id="1730" w:name="Tc_rbUEVC4yHUag0XMlxyo27g_3_14"/>
      <w:bookmarkStart w:id="1731" w:name="Tc_BD7emcMa8UKfzAeacqoL4g_3_11"/>
      <w:bookmarkStart w:id="1732" w:name="Tc_VudNnH6JGkqVem4aCUjP7w_3_8"/>
      <w:bookmarkStart w:id="1733" w:name="Tc_-IK5pnlCEUWegIBUaCBUbg_3_5"/>
      <w:bookmarkStart w:id="1734" w:name="Tc_If3DPaR900qyW7ATbHkIyQ_3_2"/>
      <w:bookmarkStart w:id="1735" w:name="Tc_TPjd7cW4OkaKbNRJsDBOgw_2_8"/>
      <w:bookmarkStart w:id="1736" w:name="Tc_fJ_jly1KN0O-A7NsaQAuJg_2_5"/>
      <w:bookmarkStart w:id="1737" w:name="Tc_4xJE6E3M-0ivPioMO1uEIQ_2_2"/>
      <w:bookmarkStart w:id="1738" w:name="Tc_g6ay_3SEpEecmMzakK349A_1_2"/>
      <w:bookmarkStart w:id="1739" w:name="_2e69e3ea_1eb2_4ded_a12e_71cac5175567"/>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r>
        <w:rPr>
          <w:rFonts w:ascii="Times New Roman;Times;serif" w:hAnsi="Times New Roman;Times;serif"/>
          <w:b w:val="false"/>
          <w:i w:val="false"/>
          <w:caps w:val="false"/>
          <w:smallCaps w:val="false"/>
          <w:sz w:val="20"/>
        </w:rPr>
        <w:t>9.</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goodwill for the six-months ended June 30, 2024 and 2023 by reportable segment:</w:t>
      </w:r>
    </w:p>
    <w:p>
      <w:pPr>
        <w:pStyle w:val="TextBody"/>
        <w:bidi w:val="0"/>
        <w:spacing w:before="0" w:after="0"/>
        <w:ind w:left="0" w:right="0" w:firstLine="720"/>
        <w:jc w:val="both"/>
        <w:rPr/>
      </w:pPr>
      <w:r>
        <w:rPr/>
        <w:t>​</w:t>
      </w:r>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648460" cy="175260"/>
                      <wp:effectExtent l="0" t="0" r="0" b="0"/>
                      <wp:wrapNone/>
                      <wp:docPr id="331" name="Frame33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334" name="Frame3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95935" cy="175260"/>
                      <wp:effectExtent l="0" t="0" r="0" b="0"/>
                      <wp:wrapNone/>
                      <wp:docPr id="337"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29260" cy="175260"/>
                      <wp:effectExtent l="0" t="0" r="0" b="0"/>
                      <wp:wrapNone/>
                      <wp:docPr id="340" name="Frame3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57860" cy="175260"/>
                      <wp:effectExtent l="0" t="0" r="0" b="0"/>
                      <wp:wrapNone/>
                      <wp:docPr id="346" name="Frame3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648460" cy="175260"/>
                      <wp:effectExtent l="0" t="0" r="0" b="0"/>
                      <wp:wrapNone/>
                      <wp:docPr id="347" name="Frame34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95935" cy="175260"/>
                      <wp:effectExtent l="0" t="0" r="0" b="0"/>
                      <wp:wrapNone/>
                      <wp:docPr id="350" name="Frame3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95935" cy="175260"/>
                      <wp:effectExtent l="0" t="0" r="0" b="0"/>
                      <wp:wrapNone/>
                      <wp:docPr id="353" name="Frame3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29260" cy="175260"/>
                      <wp:effectExtent l="0" t="0" r="0" b="0"/>
                      <wp:wrapNone/>
                      <wp:docPr id="356" name="Frame3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57860" cy="175260"/>
                      <wp:effectExtent l="0" t="0" r="0" b="0"/>
                      <wp:wrapNone/>
                      <wp:docPr id="362" name="Frame3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firstLine="720"/>
        <w:jc w:val="both"/>
        <w:rPr/>
      </w:pPr>
      <w:r>
        <w:rPr/>
        <w:t>​</w:t>
      </w:r>
    </w:p>
    <w:tbl>
      <w:tblPr>
        <w:tblW w:w="5470" w:type="dxa"/>
        <w:jc w:val="left"/>
        <w:tblInd w:w="0" w:type="dxa"/>
        <w:tblLayout w:type="fixed"/>
        <w:tblCellMar>
          <w:top w:w="0" w:type="dxa"/>
          <w:left w:w="0" w:type="dxa"/>
          <w:bottom w:w="0" w:type="dxa"/>
          <w:right w:w="0" w:type="dxa"/>
        </w:tblCellMar>
      </w:tblPr>
      <w:tblGrid>
        <w:gridCol w:w="2371"/>
        <w:gridCol w:w="326"/>
        <w:gridCol w:w="211"/>
        <w:gridCol w:w="931"/>
        <w:gridCol w:w="326"/>
        <w:gridCol w:w="220"/>
        <w:gridCol w:w="1085"/>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505585" cy="175260"/>
                      <wp:effectExtent l="0" t="0" r="0" b="0"/>
                      <wp:wrapNone/>
                      <wp:docPr id="363" name="Frame363"/>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91185" cy="175260"/>
                      <wp:effectExtent l="0" t="0" r="0" b="0"/>
                      <wp:wrapNone/>
                      <wp:docPr id="366" name="Frame3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9700" cy="175260"/>
                      <wp:effectExtent l="0" t="0" r="0" b="0"/>
                      <wp:wrapNone/>
                      <wp:docPr id="368" name="Frame36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88975" cy="175260"/>
                      <wp:effectExtent l="0" t="0" r="0" b="0"/>
                      <wp:wrapNone/>
                      <wp:docPr id="369" name="Frame369"/>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144,577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144,582</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(77,668)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(74,699)</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66,909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69,883</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1,366,417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1,357,256</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1,433,326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1,427,139</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to fifteen years. Total amortization expense was $1.7 million and $0.9 million for the three-months ended June 30, 2024 and 2023, respectively. Total amortization expense was $3.0 million and $2.9 million for the six-months ended June 30, 2024 and 2023, respectively. For the three- and six-months ended June 30, 2024, no impairment charges were recorded to intangible assets. For both the three- and six-months ended June 30, 2023, impairment charges of $2.8 million were recorded to non-amortizing intangibles.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June 30, 2024:</w:t>
      </w:r>
    </w:p>
    <w:p>
      <w:pPr>
        <w:pStyle w:val="TextBody"/>
        <w:bidi w:val="0"/>
        <w:spacing w:before="0" w:after="0"/>
        <w:ind w:left="0" w:right="0" w:firstLine="720"/>
        <w:jc w:val="both"/>
        <w:rPr/>
      </w:pPr>
      <w:r>
        <w:rPr/>
        <w:t>​</w:t>
      </w:r>
    </w:p>
    <w:tbl>
      <w:tblPr>
        <w:tblW w:w="5279" w:type="dxa"/>
        <w:jc w:val="left"/>
        <w:tblInd w:w="0" w:type="dxa"/>
        <w:tblLayout w:type="fixed"/>
        <w:tblCellMar>
          <w:top w:w="0" w:type="dxa"/>
          <w:left w:w="0" w:type="dxa"/>
          <w:bottom w:w="0" w:type="dxa"/>
          <w:right w:w="0" w:type="dxa"/>
        </w:tblCellMar>
      </w:tblPr>
      <w:tblGrid>
        <w:gridCol w:w="3961"/>
        <w:gridCol w:w="326"/>
        <w:gridCol w:w="211"/>
        <w:gridCol w:w="78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515235" cy="175260"/>
                      <wp:effectExtent l="0" t="0" r="0" b="0"/>
                      <wp:wrapNone/>
                      <wp:docPr id="370" name="Frame37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(from July 1, 2024 to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5,947</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5,947</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38,663</w:t>
            </w:r>
          </w:p>
        </w:tc>
      </w:tr>
      <w:tr>
        <w:trPr/>
        <w:tc>
          <w:tcPr>
            <w:tcW w:w="3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66,909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tbl>
      <w:tblPr>
        <w:tblW w:w="3212" w:type="dxa"/>
        <w:jc w:val="left"/>
        <w:tblInd w:w="0" w:type="dxa"/>
        <w:tblLayout w:type="fixed"/>
        <w:tblCellMar>
          <w:top w:w="0" w:type="dxa"/>
          <w:left w:w="0" w:type="dxa"/>
          <w:bottom w:w="0" w:type="dxa"/>
          <w:right w:w="0" w:type="dxa"/>
        </w:tblCellMar>
      </w:tblPr>
      <w:tblGrid>
        <w:gridCol w:w="376"/>
        <w:gridCol w:w="283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2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 million for both the three-months ended June 30, 2024 and 2023. Revenue recognized was $19.9 million for both the six-months ended June 30, 2024 and 2023.</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740" w:name="Tc_rCNxdY-uAEeBauow_nG-cA_9_6"/>
      <w:bookmarkStart w:id="1741" w:name="Tc_fTyPaCCsJE-5B41zTfkvHA_9_5"/>
      <w:bookmarkStart w:id="1742" w:name="Tc_MGhVUxx2y0qPyEiOzMjBJQ_9_2"/>
      <w:bookmarkStart w:id="1743" w:name="Tc_Mr1XG12X302h8Xb92OQGBA_9_0"/>
      <w:bookmarkStart w:id="1744" w:name="Tc_uepONA5ODU6LaQzfctE7Rg_8_6"/>
      <w:bookmarkStart w:id="1745" w:name="Tc_C-znax5DXEuYUzTy-Jzajw_8_3"/>
      <w:bookmarkStart w:id="1746" w:name="Tc_-yMZOeZtzkmoFLsM7d3YAg_8_0"/>
      <w:bookmarkStart w:id="1747" w:name="Tc_ZPRFhRcJoECkZaz9FDpokA_7_6"/>
      <w:bookmarkStart w:id="1748" w:name="Tc_fUJHYJyni0mK9tAw5_6oow_7_0"/>
      <w:bookmarkStart w:id="1749" w:name="Tc_9JiTjM4L_E-98X4Hg-B47w_6_6"/>
      <w:bookmarkStart w:id="1750" w:name="Tc_Hrey7zMat0awZAEvDjhlmA_6_0"/>
      <w:bookmarkStart w:id="1751" w:name="Tc_kPD8P-HHeUaSVteYiARzew_5_6"/>
      <w:bookmarkStart w:id="1752" w:name="Tc_6kBfBvkqhEOJj9AKJg8hcQ_5_0"/>
      <w:bookmarkStart w:id="1753" w:name="Tc_hKB1vUdzsUmtKij2Ywxucg_4_6"/>
      <w:bookmarkStart w:id="1754" w:name="Tc_W5tLqkJvy0u3aEN0xhP6SQ_4_3"/>
      <w:bookmarkStart w:id="1755" w:name="Tc_1jcI-77YcUGkpzWxrHqKFg_4_0"/>
      <w:bookmarkStart w:id="1756" w:name="Tc_S5o0EhxaFU-zHiwFXJU2og_3_6"/>
      <w:bookmarkStart w:id="1757" w:name="Tc_nLh5yxJwJ0-XTaK7-D9-ww_3_5"/>
      <w:bookmarkStart w:id="1758" w:name="Tc_RehfeSXXJEip4s4-OrDjIw_3_2"/>
      <w:bookmarkStart w:id="1759" w:name="Tc_TMC8ZO55aEylPdebmDY4gw_3_0"/>
      <w:bookmarkStart w:id="1760" w:name="Tc_dVPk54lNpEG-HHrn2-38UA_2_5"/>
      <w:bookmarkStart w:id="1761" w:name="Tc_xzhB-60qFE63p-JfPziQ6A_2_2"/>
      <w:bookmarkStart w:id="1762" w:name="Tc_z0Fsu7u4nka3GipMhUlUug_1_5"/>
      <w:bookmarkStart w:id="1763" w:name="Tc_9wi8Iq17tEaTF8FEeq__Fg_1_2"/>
      <w:bookmarkStart w:id="1764" w:name="Tc_rCNxdY-uAEeBauow_nG-cA_9_6"/>
      <w:bookmarkStart w:id="1765" w:name="Tc_fTyPaCCsJE-5B41zTfkvHA_9_5"/>
      <w:bookmarkStart w:id="1766" w:name="Tc_MGhVUxx2y0qPyEiOzMjBJQ_9_2"/>
      <w:bookmarkStart w:id="1767" w:name="Tc_Mr1XG12X302h8Xb92OQGBA_9_0"/>
      <w:bookmarkStart w:id="1768" w:name="Tc_uepONA5ODU6LaQzfctE7Rg_8_6"/>
      <w:bookmarkStart w:id="1769" w:name="Tc_C-znax5DXEuYUzTy-Jzajw_8_3"/>
      <w:bookmarkStart w:id="1770" w:name="Tc_-yMZOeZtzkmoFLsM7d3YAg_8_0"/>
      <w:bookmarkStart w:id="1771" w:name="Tc_ZPRFhRcJoECkZaz9FDpokA_7_6"/>
      <w:bookmarkStart w:id="1772" w:name="Tc_fUJHYJyni0mK9tAw5_6oow_7_0"/>
      <w:bookmarkStart w:id="1773" w:name="Tc_9JiTjM4L_E-98X4Hg-B47w_6_6"/>
      <w:bookmarkStart w:id="1774" w:name="Tc_Hrey7zMat0awZAEvDjhlmA_6_0"/>
      <w:bookmarkStart w:id="1775" w:name="Tc_kPD8P-HHeUaSVteYiARzew_5_6"/>
      <w:bookmarkStart w:id="1776" w:name="Tc_6kBfBvkqhEOJj9AKJg8hcQ_5_0"/>
      <w:bookmarkStart w:id="1777" w:name="Tc_hKB1vUdzsUmtKij2Ywxucg_4_6"/>
      <w:bookmarkStart w:id="1778" w:name="Tc_W5tLqkJvy0u3aEN0xhP6SQ_4_3"/>
      <w:bookmarkStart w:id="1779" w:name="Tc_1jcI-77YcUGkpzWxrHqKFg_4_0"/>
      <w:bookmarkStart w:id="1780" w:name="Tc_S5o0EhxaFU-zHiwFXJU2og_3_6"/>
      <w:bookmarkStart w:id="1781" w:name="Tc_nLh5yxJwJ0-XTaK7-D9-ww_3_5"/>
      <w:bookmarkStart w:id="1782" w:name="Tc_RehfeSXXJEip4s4-OrDjIw_3_2"/>
      <w:bookmarkStart w:id="1783" w:name="Tc_TMC8ZO55aEylPdebmDY4gw_3_0"/>
      <w:bookmarkStart w:id="1784" w:name="Tc_dVPk54lNpEG-HHrn2-38UA_2_5"/>
      <w:bookmarkStart w:id="1785" w:name="Tc_xzhB-60qFE63p-JfPziQ6A_2_2"/>
      <w:bookmarkStart w:id="1786" w:name="Tc_z0Fsu7u4nka3GipMhUlUug_1_5"/>
      <w:bookmarkStart w:id="1787" w:name="Tc_9wi8Iq17tEaTF8FEeq__Fg_1_2"/>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p>
    <w:tbl>
      <w:tblPr>
        <w:tblW w:w="1037" w:type="dxa"/>
        <w:jc w:val="left"/>
        <w:tblInd w:w="0" w:type="dxa"/>
        <w:tblLayout w:type="fixed"/>
        <w:tblCellMar>
          <w:top w:w="0" w:type="dxa"/>
          <w:left w:w="0" w:type="dxa"/>
          <w:bottom w:w="0" w:type="dxa"/>
          <w:right w:w="0" w:type="dxa"/>
        </w:tblCellMar>
      </w:tblPr>
      <w:tblGrid>
        <w:gridCol w:w="376"/>
        <w:gridCol w:w="66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6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DEBT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long-term debt consisted of the following:</w:t>
      </w:r>
    </w:p>
    <w:p>
      <w:pPr>
        <w:pStyle w:val="TextBody"/>
        <w:bidi w:val="0"/>
        <w:spacing w:before="0" w:after="0"/>
        <w:ind w:left="0" w:right="0" w:hanging="0"/>
        <w:jc w:val="left"/>
        <w:rPr/>
      </w:pPr>
      <w:r>
        <w:rPr/>
        <w:t>​</w:t>
      </w:r>
    </w:p>
    <w:tbl>
      <w:tblPr>
        <w:tblW w:w="7075" w:type="dxa"/>
        <w:jc w:val="left"/>
        <w:tblInd w:w="0" w:type="dxa"/>
        <w:tblLayout w:type="fixed"/>
        <w:tblCellMar>
          <w:top w:w="0" w:type="dxa"/>
          <w:left w:w="0" w:type="dxa"/>
          <w:bottom w:w="0" w:type="dxa"/>
          <w:right w:w="0" w:type="dxa"/>
        </w:tblCellMar>
      </w:tblPr>
      <w:tblGrid>
        <w:gridCol w:w="4171"/>
        <w:gridCol w:w="326"/>
        <w:gridCol w:w="211"/>
        <w:gridCol w:w="781"/>
        <w:gridCol w:w="326"/>
        <w:gridCol w:w="401"/>
        <w:gridCol w:w="859"/>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648585" cy="175260"/>
                      <wp:effectExtent l="0" t="0" r="0" b="0"/>
                      <wp:wrapNone/>
                      <wp:docPr id="374" name="Frame374"/>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77" name="Frame3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54635" cy="175260"/>
                      <wp:effectExtent l="0" t="0" r="0" b="0"/>
                      <wp:wrapNone/>
                      <wp:docPr id="379" name="Frame379"/>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45465" cy="175260"/>
                      <wp:effectExtent l="0" t="0" r="0" b="0"/>
                      <wp:wrapNone/>
                      <wp:docPr id="380" name="Frame380"/>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c>
          <w:tcPr>
            <w:tcW w:w="326"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c>
          <w:tcPr>
            <w:tcW w:w="326"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net of unamortized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748,740</w:t>
            </w:r>
          </w:p>
        </w:tc>
        <w:tc>
          <w:tcPr>
            <w:tcW w:w="326"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748,740</w:t>
            </w:r>
          </w:p>
        </w:tc>
        <w:tc>
          <w:tcPr>
            <w:tcW w:w="326" w:type="dxa"/>
            <w:tcBorders/>
            <w:shd w:fill="CCEEFF" w:val="clear"/>
            <w:vAlign w:val="center"/>
          </w:tcPr>
          <w:p>
            <w:pPr>
              <w:pStyle w:val="TableContents"/>
              <w:bidi w:val="0"/>
              <w:spacing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As of June 30, 2024, the Company was in compliance with all covenants under the Credit Facilities.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Borrowings under the Credit Facilities bear interest at a variable rate per annum equal to the applicable rate plus margin (as defined in the Credit Facilities). The interest rate in effect on the Term Loan was 6.30% as of June 30, 2024. No borrowings were outstanding under the Revolving Credit Facility as of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Borrowings under the Credit Facilities are due on the respective maturity date. Borrowings may be repaid at any time during the term of the Credit Facilities and, in the case of the Revolving Credit Facility, may be reborrowed prior to the maturity date.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At June 30, 2024, the interest rate on borrowings under the line of credit was 5.5%. As of June 30, 2024, no amount was outstanding on this line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Level 2 inputs, the carrying value of the Company’s debt approximates fair value, as borrowings are subject to variable interest rates that adjust with changes in market rates and market conditions and the current interest rate approximates that which would be available under similar financial arrangements.</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36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$262.5 million at June 30, 2024,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$432.1 million at June 30, 2024, which related primarily to sponsorships and other marketing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Litigation — </w:t>
      </w:r>
      <w:r>
        <w:rPr>
          <w:rFonts w:ascii="Times New Roman;Times;serif" w:hAnsi="Times New Roman;Times;serif"/>
          <w:sz w:val="20"/>
        </w:rPr>
        <w:t xml:space="preserve">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June 30, 2024 and December 31, 2023, $0.4 million and $0.3 million, respectively, of loss contingencies were included in the Company’s accompanying condensed consolidated balance sheets.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788" w:name="Tc_C0TAOXSfiUyYJtgXi7SQiw_9_11"/>
      <w:bookmarkStart w:id="1789" w:name="Tc_kMF8clpBVUiYWW_htKoFEw_9_8"/>
      <w:bookmarkStart w:id="1790" w:name="Tc_Vfl58Fk9R0-FwsUcdF6WpQ_9_5"/>
      <w:bookmarkStart w:id="1791" w:name="Tc_lKfvza-zCUmmIofRVGDvkw_9_2"/>
      <w:bookmarkStart w:id="1792" w:name="Tc_vMsYiN0twE-DZ8yoxal3NQ_9_0"/>
      <w:bookmarkStart w:id="1793" w:name="Tc_VNdPIUmneUu96e7kOiEThg_8_0"/>
      <w:bookmarkStart w:id="1794" w:name="Tc_H5Vt7R9tuEKiCkO1mJL3Wg_7_0"/>
      <w:bookmarkStart w:id="1795" w:name="Tc_gNdjhz7rS0SrKaoZJfY71Q_6_11"/>
      <w:bookmarkStart w:id="1796" w:name="Tc_KomSuR-HuUOlDklMfV4arA_6_8"/>
      <w:bookmarkStart w:id="1797" w:name="Tc_7WyeKZr9n0Kqm9DzTJhHFA_6_5"/>
      <w:bookmarkStart w:id="1798" w:name="Tc_rDDgiShSokawO-bOfoGk1w_6_2"/>
      <w:bookmarkStart w:id="1799" w:name="Tc_NSUq9VXqDUy60HrM3xOF9g_6_0"/>
      <w:bookmarkStart w:id="1800" w:name="Tc_4CZeI7JvyE2K9g4bR7VULg_5_11"/>
      <w:bookmarkStart w:id="1801" w:name="Tc_tYlJI8gLMkiJ5alYe1VRbA_5_8"/>
      <w:bookmarkStart w:id="1802" w:name="Tc_w1836wSVn0a2bZRXlDiarQ_5_5"/>
      <w:bookmarkStart w:id="1803" w:name="Tc_EExxHhfg9EeCGnf4M1moIw_5_2"/>
      <w:bookmarkStart w:id="1804" w:name="Tc_lpF95kaWlEqxvwrz83la_Q_4_8"/>
      <w:bookmarkStart w:id="1805" w:name="Tc_o1YuRdKaM06maZe2rlWFdA_4_5"/>
      <w:bookmarkStart w:id="1806" w:name="Tc_9VbFFjIhn0-5DObqbas4mA_4_2"/>
      <w:bookmarkStart w:id="1807" w:name="Tc_vDG-BDh44kaZWvzEyAFEOw_3_8"/>
      <w:bookmarkStart w:id="1808" w:name="Tc_KGbaFi2Sd0KQUZbQSaGomw_3_5"/>
      <w:bookmarkStart w:id="1809" w:name="Tc_qlhK_-aoV06aFzJBXKVDFg_3_2"/>
      <w:bookmarkStart w:id="1810" w:name="Tc_b53IiOLGbESTvxqCJR2u6g_2_8"/>
      <w:bookmarkStart w:id="1811" w:name="Tc_LpgN0vl6YkOzfCoNQLukVA_2_5"/>
      <w:bookmarkStart w:id="1812" w:name="Tc_2sW76ykj10C-J_4Qsp1frw_2_2"/>
      <w:bookmarkStart w:id="1813" w:name="Tc_gQswLP_6PUW46VDp3_wnkw_1_8"/>
      <w:bookmarkStart w:id="1814" w:name="Tc_xqQbHz0wr0Csy65_v99aHg_1_2"/>
      <w:bookmarkStart w:id="1815" w:name="_54819f0d_37fa_4553_ae63_2f683f059320"/>
      <w:bookmarkStart w:id="1816" w:name="Tc_n0Bz_ETLf0m4bwKVH7MB8g_9_11"/>
      <w:bookmarkStart w:id="1817" w:name="Tc_hhQ2aO3ULEiyXaZDL-m-Eg_9_8"/>
      <w:bookmarkStart w:id="1818" w:name="Tc_p35fM06EvEu4ZcW5Jo1c7Q_9_5"/>
      <w:bookmarkStart w:id="1819" w:name="Tc_cG0M1EgldUC-USO4ChnrwA_9_2"/>
      <w:bookmarkStart w:id="1820" w:name="Tc_HoDrfosyNEuZArfl3sCJRQ_9_0"/>
      <w:bookmarkStart w:id="1821" w:name="Tc_a53R852cpE6SodEkY3p0_Q_8_0"/>
      <w:bookmarkStart w:id="1822" w:name="Tc_5_Ehmy2JLUOrJ7tgH2c07g_7_0"/>
      <w:bookmarkStart w:id="1823" w:name="Tc_Z-2TggYyOUSNplrgAVcd8g_6_11"/>
      <w:bookmarkStart w:id="1824" w:name="Tc_jPJk4lUt90Ckp1Z2A8XxFw_6_8"/>
      <w:bookmarkStart w:id="1825" w:name="Tc_jiHh8DOP1k29vg-_dyXrqg_6_5"/>
      <w:bookmarkStart w:id="1826" w:name="Tc_KDUf5umj_U2zVkXmE4jiYQ_6_2"/>
      <w:bookmarkStart w:id="1827" w:name="Tc_MwjHuaya8UihEvDA2_hgig_6_0"/>
      <w:bookmarkStart w:id="1828" w:name="Tc_yNATnOc_w02KLU_4pSSzdw_5_11"/>
      <w:bookmarkStart w:id="1829" w:name="Tc_ILsfrGMc2EeA5NmGxKUUaQ_5_8"/>
      <w:bookmarkStart w:id="1830" w:name="Tc_a-CQukRN40ukg25zxaWLaA_5_5"/>
      <w:bookmarkStart w:id="1831" w:name="Tc_UBqVxFp5eUCF7OEBPVQNuw_5_2"/>
      <w:bookmarkStart w:id="1832" w:name="Tc_mfbNUaioGEWrT-fRXsJ0Xg_4_8"/>
      <w:bookmarkStart w:id="1833" w:name="Tc_A0wlQYB3UUamBOgraAQqGQ_4_5"/>
      <w:bookmarkStart w:id="1834" w:name="Tc_erDcExnCv0GCiCV3k-wH5w_4_2"/>
      <w:bookmarkStart w:id="1835" w:name="Tc_oqHm292aMUa9KS3CtQuqwQ_3_8"/>
      <w:bookmarkStart w:id="1836" w:name="Tc_HUYWNYXDG0aYFfAEZ61ewg_3_5"/>
      <w:bookmarkStart w:id="1837" w:name="Tc_ytNWzYP63kK2ogTWt4Z1sw_3_2"/>
      <w:bookmarkStart w:id="1838" w:name="Tc_GdXTKYa-r0OerpC7eq7tFw_2_8"/>
      <w:bookmarkStart w:id="1839" w:name="Tc_C70oYWJR1kyjTG2I8DNGZA_2_5"/>
      <w:bookmarkStart w:id="1840" w:name="Tc_Hmm6WmXvPUGFc4GtpdWfCw_2_2"/>
      <w:bookmarkStart w:id="1841" w:name="Tc_c1Bl5q6wDEKjP25K-4NAQQ_1_8"/>
      <w:bookmarkStart w:id="1842" w:name="Tc_1AR-UY6OAUege_7xQe9Y_Q_1_2"/>
      <w:bookmarkStart w:id="1843" w:name="_ce60d7f1_6680_451d_83ad_c274debf5c64"/>
      <w:bookmarkStart w:id="1844" w:name="Tc_C0TAOXSfiUyYJtgXi7SQiw_9_11"/>
      <w:bookmarkStart w:id="1845" w:name="Tc_kMF8clpBVUiYWW_htKoFEw_9_8"/>
      <w:bookmarkStart w:id="1846" w:name="Tc_Vfl58Fk9R0-FwsUcdF6WpQ_9_5"/>
      <w:bookmarkStart w:id="1847" w:name="Tc_lKfvza-zCUmmIofRVGDvkw_9_2"/>
      <w:bookmarkStart w:id="1848" w:name="Tc_vMsYiN0twE-DZ8yoxal3NQ_9_0"/>
      <w:bookmarkStart w:id="1849" w:name="Tc_VNdPIUmneUu96e7kOiEThg_8_0"/>
      <w:bookmarkStart w:id="1850" w:name="Tc_H5Vt7R9tuEKiCkO1mJL3Wg_7_0"/>
      <w:bookmarkStart w:id="1851" w:name="Tc_gNdjhz7rS0SrKaoZJfY71Q_6_11"/>
      <w:bookmarkStart w:id="1852" w:name="Tc_KomSuR-HuUOlDklMfV4arA_6_8"/>
      <w:bookmarkStart w:id="1853" w:name="Tc_7WyeKZr9n0Kqm9DzTJhHFA_6_5"/>
      <w:bookmarkStart w:id="1854" w:name="Tc_rDDgiShSokawO-bOfoGk1w_6_2"/>
      <w:bookmarkStart w:id="1855" w:name="Tc_NSUq9VXqDUy60HrM3xOF9g_6_0"/>
      <w:bookmarkStart w:id="1856" w:name="Tc_4CZeI7JvyE2K9g4bR7VULg_5_11"/>
      <w:bookmarkStart w:id="1857" w:name="Tc_tYlJI8gLMkiJ5alYe1VRbA_5_8"/>
      <w:bookmarkStart w:id="1858" w:name="Tc_w1836wSVn0a2bZRXlDiarQ_5_5"/>
      <w:bookmarkStart w:id="1859" w:name="Tc_EExxHhfg9EeCGnf4M1moIw_5_2"/>
      <w:bookmarkStart w:id="1860" w:name="Tc_lpF95kaWlEqxvwrz83la_Q_4_8"/>
      <w:bookmarkStart w:id="1861" w:name="Tc_o1YuRdKaM06maZe2rlWFdA_4_5"/>
      <w:bookmarkStart w:id="1862" w:name="Tc_9VbFFjIhn0-5DObqbas4mA_4_2"/>
      <w:bookmarkStart w:id="1863" w:name="Tc_vDG-BDh44kaZWvzEyAFEOw_3_8"/>
      <w:bookmarkStart w:id="1864" w:name="Tc_KGbaFi2Sd0KQUZbQSaGomw_3_5"/>
      <w:bookmarkStart w:id="1865" w:name="Tc_qlhK_-aoV06aFzJBXKVDFg_3_2"/>
      <w:bookmarkStart w:id="1866" w:name="Tc_b53IiOLGbESTvxqCJR2u6g_2_8"/>
      <w:bookmarkStart w:id="1867" w:name="Tc_LpgN0vl6YkOzfCoNQLukVA_2_5"/>
      <w:bookmarkStart w:id="1868" w:name="Tc_2sW76ykj10C-J_4Qsp1frw_2_2"/>
      <w:bookmarkStart w:id="1869" w:name="Tc_gQswLP_6PUW46VDp3_wnkw_1_8"/>
      <w:bookmarkStart w:id="1870" w:name="Tc_xqQbHz0wr0Csy65_v99aHg_1_2"/>
      <w:bookmarkStart w:id="1871" w:name="_54819f0d_37fa_4553_ae63_2f683f059320"/>
      <w:bookmarkStart w:id="1872" w:name="Tc_n0Bz_ETLf0m4bwKVH7MB8g_9_11"/>
      <w:bookmarkStart w:id="1873" w:name="Tc_hhQ2aO3ULEiyXaZDL-m-Eg_9_8"/>
      <w:bookmarkStart w:id="1874" w:name="Tc_p35fM06EvEu4ZcW5Jo1c7Q_9_5"/>
      <w:bookmarkStart w:id="1875" w:name="Tc_cG0M1EgldUC-USO4ChnrwA_9_2"/>
      <w:bookmarkStart w:id="1876" w:name="Tc_HoDrfosyNEuZArfl3sCJRQ_9_0"/>
      <w:bookmarkStart w:id="1877" w:name="Tc_a53R852cpE6SodEkY3p0_Q_8_0"/>
      <w:bookmarkStart w:id="1878" w:name="Tc_5_Ehmy2JLUOrJ7tgH2c07g_7_0"/>
      <w:bookmarkStart w:id="1879" w:name="Tc_Z-2TggYyOUSNplrgAVcd8g_6_11"/>
      <w:bookmarkStart w:id="1880" w:name="Tc_jPJk4lUt90Ckp1Z2A8XxFw_6_8"/>
      <w:bookmarkStart w:id="1881" w:name="Tc_jiHh8DOP1k29vg-_dyXrqg_6_5"/>
      <w:bookmarkStart w:id="1882" w:name="Tc_KDUf5umj_U2zVkXmE4jiYQ_6_2"/>
      <w:bookmarkStart w:id="1883" w:name="Tc_MwjHuaya8UihEvDA2_hgig_6_0"/>
      <w:bookmarkStart w:id="1884" w:name="Tc_yNATnOc_w02KLU_4pSSzdw_5_11"/>
      <w:bookmarkStart w:id="1885" w:name="Tc_ILsfrGMc2EeA5NmGxKUUaQ_5_8"/>
      <w:bookmarkStart w:id="1886" w:name="Tc_a-CQukRN40ukg25zxaWLaA_5_5"/>
      <w:bookmarkStart w:id="1887" w:name="Tc_UBqVxFp5eUCF7OEBPVQNuw_5_2"/>
      <w:bookmarkStart w:id="1888" w:name="Tc_mfbNUaioGEWrT-fRXsJ0Xg_4_8"/>
      <w:bookmarkStart w:id="1889" w:name="Tc_A0wlQYB3UUamBOgraAQqGQ_4_5"/>
      <w:bookmarkStart w:id="1890" w:name="Tc_erDcExnCv0GCiCV3k-wH5w_4_2"/>
      <w:bookmarkStart w:id="1891" w:name="Tc_oqHm292aMUa9KS3CtQuqwQ_3_8"/>
      <w:bookmarkStart w:id="1892" w:name="Tc_HUYWNYXDG0aYFfAEZ61ewg_3_5"/>
      <w:bookmarkStart w:id="1893" w:name="Tc_ytNWzYP63kK2ogTWt4Z1sw_3_2"/>
      <w:bookmarkStart w:id="1894" w:name="Tc_GdXTKYa-r0OerpC7eq7tFw_2_8"/>
      <w:bookmarkStart w:id="1895" w:name="Tc_C70oYWJR1kyjTG2I8DNGZA_2_5"/>
      <w:bookmarkStart w:id="1896" w:name="Tc_Hmm6WmXvPUGFc4GtpdWfCw_2_2"/>
      <w:bookmarkStart w:id="1897" w:name="Tc_c1Bl5q6wDEKjP25K-4NAQQ_1_8"/>
      <w:bookmarkStart w:id="1898" w:name="Tc_1AR-UY6OAUege_7xQe9Y_Q_1_2"/>
      <w:bookmarkStart w:id="1899" w:name="_ce60d7f1_6680_451d_83ad_c274debf5c64"/>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45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accumulated other comprehensive loss by component, after tax, for the six-months ended June 30, 2024 and 2023 are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176"/>
        <w:gridCol w:w="326"/>
        <w:gridCol w:w="329"/>
        <w:gridCol w:w="890"/>
        <w:gridCol w:w="326"/>
        <w:gridCol w:w="211"/>
        <w:gridCol w:w="887"/>
        <w:gridCol w:w="326"/>
        <w:gridCol w:w="384"/>
        <w:gridCol w:w="877"/>
        <w:gridCol w:w="326"/>
        <w:gridCol w:w="211"/>
        <w:gridCol w:w="936"/>
      </w:tblGrid>
      <w:tr>
        <w:trPr/>
        <w:tc>
          <w:tcPr>
            <w:tcW w:w="4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651760" cy="175260"/>
                      <wp:effectExtent l="0" t="0" r="0" b="0"/>
                      <wp:wrapNone/>
                      <wp:docPr id="381" name="Frame381"/>
                      <a:graphic xmlns:a="http://schemas.openxmlformats.org/drawingml/2006/main">
                        <a:graphicData uri="http://schemas.microsoft.com/office/word/2010/wordprocessingShape">
                          <wps:wsp>
                            <wps:cNvSpPr txBox="1"/>
                            <wps:spPr>
                              <a:xfrm>
                                <a:off x="0" y="0"/>
                                <a:ext cx="265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65150" cy="175260"/>
                      <wp:effectExtent l="0" t="0" r="0" b="0"/>
                      <wp:wrapNone/>
                      <wp:docPr id="382" name="Frame382"/>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63245" cy="175260"/>
                      <wp:effectExtent l="0" t="0" r="0" b="0"/>
                      <wp:wrapNone/>
                      <wp:docPr id="385" name="Frame38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43840" cy="175260"/>
                      <wp:effectExtent l="0" t="0" r="0" b="0"/>
                      <wp:wrapNone/>
                      <wp:docPr id="387" name="Frame38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56895" cy="175260"/>
                      <wp:effectExtent l="0" t="0" r="0" b="0"/>
                      <wp:wrapNone/>
                      <wp:docPr id="388" name="Frame388"/>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4360" cy="175260"/>
                      <wp:effectExtent l="0" t="0" r="0" b="0"/>
                      <wp:wrapNone/>
                      <wp:docPr id="391" name="Frame39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r>
      <w:tr>
        <w:trPr/>
        <w:tc>
          <w:tcPr>
            <w:tcW w:w="4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 Gains</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4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4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Commodity </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for-Sale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4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w:t>
            </w:r>
          </w:p>
        </w:tc>
        <w:tc>
          <w:tcPr>
            <w:tcW w:w="326"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4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(128,989)</w:t>
            </w:r>
          </w:p>
        </w:tc>
        <w:tc>
          <w:tcPr>
            <w:tcW w:w="326"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(125,337)</w:t>
            </w:r>
          </w:p>
        </w:tc>
      </w:tr>
      <w:tr>
        <w:trPr/>
        <w:tc>
          <w:tcPr>
            <w:tcW w:w="4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(61,799)</w:t>
            </w:r>
          </w:p>
        </w:tc>
        <w:tc>
          <w:tcPr>
            <w:tcW w:w="326" w:type="dxa"/>
            <w:tcBorders/>
            <w:vAlign w:val="center"/>
          </w:tcPr>
          <w:p>
            <w:pPr>
              <w:pStyle w:val="TableContents"/>
              <w:bidi w:val="0"/>
              <w:spacing w:before="0" w:after="0"/>
              <w:ind w:left="0" w:right="0" w:hanging="0"/>
              <w:jc w:val="right"/>
              <w:rPr/>
            </w:pPr>
            <w:r>
              <w:rPr/>
              <w:t>​</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r>
      <w:tr>
        <w:trPr/>
        <w:tc>
          <w:tcPr>
            <w:tcW w:w="4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(61,799)</w:t>
            </w:r>
          </w:p>
        </w:tc>
        <w:tc>
          <w:tcPr>
            <w:tcW w:w="326" w:type="dxa"/>
            <w:tcBorders/>
            <w:shd w:fill="CCEEFF" w:val="clear"/>
            <w:vAlign w:val="center"/>
          </w:tcPr>
          <w:p>
            <w:pPr>
              <w:pStyle w:val="TableContents"/>
              <w:bidi w:val="0"/>
              <w:spacing w:before="0" w:after="0"/>
              <w:ind w:left="0" w:right="0" w:hanging="0"/>
              <w:jc w:val="righ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r>
      <w:tr>
        <w:trPr/>
        <w:tc>
          <w:tcPr>
            <w:tcW w:w="4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(190,788)</w:t>
            </w:r>
          </w:p>
        </w:tc>
        <w:tc>
          <w:tcPr>
            <w:tcW w:w="326" w:type="dxa"/>
            <w:tcBorders/>
            <w:vAlign w:val="center"/>
          </w:tcPr>
          <w:p>
            <w:pPr>
              <w:pStyle w:val="TableContents"/>
              <w:bidi w:val="0"/>
              <w:spacing w:before="0" w:after="0"/>
              <w:ind w:left="0" w:right="0" w:hanging="0"/>
              <w:jc w:val="right"/>
              <w:rPr/>
            </w:pPr>
            <w:r>
              <w:rPr/>
              <w:t>​</w:t>
            </w:r>
          </w:p>
        </w:tc>
        <w:tc>
          <w:tcPr>
            <w:tcW w:w="3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(182,304)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75"/>
        <w:gridCol w:w="326"/>
        <w:gridCol w:w="305"/>
        <w:gridCol w:w="914"/>
        <w:gridCol w:w="326"/>
        <w:gridCol w:w="211"/>
        <w:gridCol w:w="887"/>
        <w:gridCol w:w="326"/>
        <w:gridCol w:w="315"/>
        <w:gridCol w:w="947"/>
        <w:gridCol w:w="326"/>
        <w:gridCol w:w="211"/>
        <w:gridCol w:w="936"/>
      </w:tblGrid>
      <w:tr>
        <w:trPr/>
        <w:tc>
          <w:tcPr>
            <w:tcW w:w="4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651125" cy="175260"/>
                      <wp:effectExtent l="0" t="0" r="0" b="0"/>
                      <wp:wrapNone/>
                      <wp:docPr id="392" name="Frame392"/>
                      <a:graphic xmlns:a="http://schemas.openxmlformats.org/drawingml/2006/main">
                        <a:graphicData uri="http://schemas.microsoft.com/office/word/2010/wordprocessingShape">
                          <wps:wsp>
                            <wps:cNvSpPr txBox="1"/>
                            <wps:spPr>
                              <a:xfrm>
                                <a:off x="0" y="0"/>
                                <a:ext cx="2651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93675" cy="175260"/>
                      <wp:effectExtent l="0" t="0" r="0" b="0"/>
                      <wp:wrapNone/>
                      <wp:docPr id="394" name="Frame39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80390" cy="175260"/>
                      <wp:effectExtent l="0" t="0" r="0" b="0"/>
                      <wp:wrapNone/>
                      <wp:docPr id="395" name="Frame395"/>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63245" cy="175260"/>
                      <wp:effectExtent l="0" t="0" r="0" b="0"/>
                      <wp:wrapNone/>
                      <wp:docPr id="398" name="Frame39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0025" cy="175260"/>
                      <wp:effectExtent l="0" t="0" r="0" b="0"/>
                      <wp:wrapNone/>
                      <wp:docPr id="400" name="Frame40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01345" cy="175260"/>
                      <wp:effectExtent l="0" t="0" r="0" b="0"/>
                      <wp:wrapNone/>
                      <wp:docPr id="401" name="Frame401"/>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94360" cy="175260"/>
                      <wp:effectExtent l="0" t="0" r="0" b="0"/>
                      <wp:wrapNone/>
                      <wp:docPr id="404" name="Frame404"/>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r>
      <w:tr>
        <w:trPr/>
        <w:tc>
          <w:tcPr>
            <w:tcW w:w="41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 Gains</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41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41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Commodity </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for-Sale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41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w:t>
            </w:r>
          </w:p>
        </w:tc>
        <w:tc>
          <w:tcPr>
            <w:tcW w:w="326"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(153,230)</w:t>
            </w:r>
          </w:p>
        </w:tc>
        <w:tc>
          <w:tcPr>
            <w:tcW w:w="326"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(159,073)</w:t>
            </w:r>
          </w:p>
        </w:tc>
      </w:tr>
      <w:tr>
        <w:trPr/>
        <w:tc>
          <w:tcPr>
            <w:tcW w:w="4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26" w:type="dxa"/>
            <w:tcBorders/>
            <w:vAlign w:val="center"/>
          </w:tcPr>
          <w:p>
            <w:pPr>
              <w:pStyle w:val="TableContents"/>
              <w:bidi w:val="0"/>
              <w:spacing w:before="0" w:after="0"/>
              <w:ind w:left="0" w:right="0" w:hanging="0"/>
              <w:jc w:val="righ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26" w:type="dxa"/>
            <w:tcBorders/>
            <w:shd w:fill="CCEEFF" w:val="clear"/>
            <w:vAlign w:val="center"/>
          </w:tcPr>
          <w:p>
            <w:pPr>
              <w:pStyle w:val="TableContents"/>
              <w:bidi w:val="0"/>
              <w:spacing w:before="0" w:after="0"/>
              <w:ind w:left="0" w:right="0" w:hanging="0"/>
              <w:jc w:val="righ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r>
      <w:tr>
        <w:trPr/>
        <w:tc>
          <w:tcPr>
            <w:tcW w:w="4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(151,024)</w:t>
            </w:r>
          </w:p>
        </w:tc>
        <w:tc>
          <w:tcPr>
            <w:tcW w:w="326" w:type="dxa"/>
            <w:tcBorders/>
            <w:vAlign w:val="center"/>
          </w:tcPr>
          <w:p>
            <w:pPr>
              <w:pStyle w:val="TableContents"/>
              <w:bidi w:val="0"/>
              <w:spacing w:before="0" w:after="0"/>
              <w:ind w:left="0" w:right="0" w:hanging="0"/>
              <w:jc w:val="righ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(155,725)</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18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June 30, 2024, the Company repurchased approximately 2.2 million shares of its common stock at an average purchase price of $49.55 per share, for a total amount of approximately $107.7 million (excluding broker commissions), under the November 2022 Repurchase Plan. Subsequent to June 30, 2024, the Company repurchased approximately 0.7 million shares of its common stock at an average purchase price of $49.82 per share, for a total amount of approximately $34.7 million (excluding broker commissions), under the November 2022 Repurchase Plan. As of August 6, 2024, no amount remained available for repurchase under the November 2022 Repurchase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7, 2023, the Company’s Board of Directors authorized a share repurchase program for the purchase of up to an additional $500.0 million of the Company’s outstanding common stock (the “November 2023 Repurchase Plan”). During the three-months ended June 30, 2024, no shares were repurchased under the November 2023 Repurchase Plan. Subsequent to June 30, 2024, the Company repurchased approximately 3.2 million shares of its common stock at an average purchase price of $49.54 per share, for a total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 of approximately $157.6 million (excluding broker commissions), under the November 2023 Repurchase Plan. As of August 6, 2024, $342.4 million remained available for repurchase under the November 2023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$342.4 million as of August 6,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condensed consolidated balance sheet at June 30, 2024.</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900" w:name="Tc_DwZMubzT4EisK0iL0iXj4Q_6_9"/>
      <w:bookmarkStart w:id="1901" w:name="Tc_OwZ5nksG5kiBgOOv5gQfaw_6_7"/>
      <w:bookmarkStart w:id="1902" w:name="Tc_JPFs17Y9T06ZjLDeyY6T1w_6_5"/>
      <w:bookmarkStart w:id="1903" w:name="Tc_8Wz30rtRFkmm2xHZKcuz7w_6_3"/>
      <w:bookmarkStart w:id="1904" w:name="Tc_lmMTydV9TkConNDZDdcx7A_6_0"/>
      <w:bookmarkStart w:id="1905" w:name="Tc_Me0g4auQwkWtaOyPf6DJyg_5_9"/>
      <w:bookmarkStart w:id="1906" w:name="Tc_OekwKw3gQ02AHi-xrvufAg_5_7"/>
      <w:bookmarkStart w:id="1907" w:name="Tc_3dhJwnUf-k-OJjy6TQZRcw_5_5"/>
      <w:bookmarkStart w:id="1908" w:name="Tc_6HmMU6cb_kyIebaZmASyaA_5_3"/>
      <w:bookmarkStart w:id="1909" w:name="Tc_7D293vAAsESzlHfx-4Dz0g_5_0"/>
      <w:bookmarkStart w:id="1910" w:name="Tc_ioOvJqZgGUWpKUEMaCVqBg_4_9"/>
      <w:bookmarkStart w:id="1911" w:name="Tc__P8swOJz00qfpRvawascQw_4_7"/>
      <w:bookmarkStart w:id="1912" w:name="Tc_AP2CjOdpi0OBHgG_dbK6dA_4_5"/>
      <w:bookmarkStart w:id="1913" w:name="Tc_pzUyYg4OwEyBKbGnhzF1sw_4_3"/>
      <w:bookmarkStart w:id="1914" w:name="Tc_qgn6KhEjK0u5p4tfMtXuFg_4_0"/>
      <w:bookmarkStart w:id="1915" w:name="Tc_u0eGyEyjaESHeAP9TtlX7w_3_9"/>
      <w:bookmarkStart w:id="1916" w:name="Tc_VtZaB85TuEiLUP610p3bTQ_3_7"/>
      <w:bookmarkStart w:id="1917" w:name="Tc_2aQRogJZ1k2CDoyrPSAsXQ_3_5"/>
      <w:bookmarkStart w:id="1918" w:name="Tc_X_COQprc-EmIDlF8x7KWhg_3_3"/>
      <w:bookmarkStart w:id="1919" w:name="Tc_W4WIG1al00C4sJEkl6KAzA_3_0"/>
      <w:bookmarkStart w:id="1920" w:name="Tc_FKjPJUqFRE6oNfygySqBPg_2_8"/>
      <w:bookmarkStart w:id="1921" w:name="Tc_Yec0kaXqp0OI207itvKPjA_2_6"/>
      <w:bookmarkStart w:id="1922" w:name="Tc_DvSck5BqK06lwviDWpCTOQ_2_4"/>
      <w:bookmarkStart w:id="1923" w:name="Tc_RdJYfh6JZkiocFUudkjF-A_2_2"/>
      <w:bookmarkStart w:id="1924" w:name="Tc_Owfru32clEWdnbt-7ANt7A_1_6"/>
      <w:bookmarkStart w:id="1925" w:name="Tc_6H78e6Y45kOoFbV6PF2dag_1_2"/>
      <w:bookmarkStart w:id="1926" w:name="Tc_DwZMubzT4EisK0iL0iXj4Q_6_9"/>
      <w:bookmarkStart w:id="1927" w:name="Tc_OwZ5nksG5kiBgOOv5gQfaw_6_7"/>
      <w:bookmarkStart w:id="1928" w:name="Tc_JPFs17Y9T06ZjLDeyY6T1w_6_5"/>
      <w:bookmarkStart w:id="1929" w:name="Tc_8Wz30rtRFkmm2xHZKcuz7w_6_3"/>
      <w:bookmarkStart w:id="1930" w:name="Tc_lmMTydV9TkConNDZDdcx7A_6_0"/>
      <w:bookmarkStart w:id="1931" w:name="Tc_Me0g4auQwkWtaOyPf6DJyg_5_9"/>
      <w:bookmarkStart w:id="1932" w:name="Tc_OekwKw3gQ02AHi-xrvufAg_5_7"/>
      <w:bookmarkStart w:id="1933" w:name="Tc_3dhJwnUf-k-OJjy6TQZRcw_5_5"/>
      <w:bookmarkStart w:id="1934" w:name="Tc_6HmMU6cb_kyIebaZmASyaA_5_3"/>
      <w:bookmarkStart w:id="1935" w:name="Tc_7D293vAAsESzlHfx-4Dz0g_5_0"/>
      <w:bookmarkStart w:id="1936" w:name="Tc_ioOvJqZgGUWpKUEMaCVqBg_4_9"/>
      <w:bookmarkStart w:id="1937" w:name="Tc__P8swOJz00qfpRvawascQw_4_7"/>
      <w:bookmarkStart w:id="1938" w:name="Tc_AP2CjOdpi0OBHgG_dbK6dA_4_5"/>
      <w:bookmarkStart w:id="1939" w:name="Tc_pzUyYg4OwEyBKbGnhzF1sw_4_3"/>
      <w:bookmarkStart w:id="1940" w:name="Tc_qgn6KhEjK0u5p4tfMtXuFg_4_0"/>
      <w:bookmarkStart w:id="1941" w:name="Tc_u0eGyEyjaESHeAP9TtlX7w_3_9"/>
      <w:bookmarkStart w:id="1942" w:name="Tc_VtZaB85TuEiLUP610p3bTQ_3_7"/>
      <w:bookmarkStart w:id="1943" w:name="Tc_2aQRogJZ1k2CDoyrPSAsXQ_3_5"/>
      <w:bookmarkStart w:id="1944" w:name="Tc_X_COQprc-EmIDlF8x7KWhg_3_3"/>
      <w:bookmarkStart w:id="1945" w:name="Tc_W4WIG1al00C4sJEkl6KAzA_3_0"/>
      <w:bookmarkStart w:id="1946" w:name="Tc_FKjPJUqFRE6oNfygySqBPg_2_8"/>
      <w:bookmarkStart w:id="1947" w:name="Tc_Yec0kaXqp0OI207itvKPjA_2_6"/>
      <w:bookmarkStart w:id="1948" w:name="Tc_DvSck5BqK06lwviDWpCTOQ_2_4"/>
      <w:bookmarkStart w:id="1949" w:name="Tc_RdJYfh6JZkiocFUudkjF-A_2_2"/>
      <w:bookmarkStart w:id="1950" w:name="Tc_Owfru32clEWdnbt-7ANt7A_1_6"/>
      <w:bookmarkStart w:id="1951" w:name="Tc_6H78e6Y45kOoFbV6PF2dag_1_2"/>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3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June 30, 2024: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$18.8 million and $18.6 million of compensation expense relating to outstanding options, restricted stock units, performance share units and other share-based awards during the three-months ended June 30, 2024 and 2023, respectively. The Company recorded $41.3 million and $34.6 million of compensation expense relating to outstanding options, restricted stock units, performance share units and other share-based awards during the six-months ended June 30,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June 30, 2024 and 2023 was $1.5 million and $4.1 million, respectively. The tax benefit for tax deductions from non-qualified stock option exercises, disqualifying dispositions of incentive stock options and vesting of restricted stock units and performance share units for the six-months ended June 30, 2024 and 2023 was $9.0 million and $30.0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June 30, 2024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firstLine="720"/>
        <w:jc w:val="both"/>
        <w:rPr/>
      </w:pPr>
      <w:r>
        <w:rPr/>
        <w:t>​</w:t>
      </w:r>
    </w:p>
    <w:tbl>
      <w:tblPr>
        <w:tblW w:w="8264" w:type="dxa"/>
        <w:jc w:val="left"/>
        <w:tblInd w:w="0" w:type="dxa"/>
        <w:tblLayout w:type="fixed"/>
        <w:tblCellMar>
          <w:top w:w="0" w:type="dxa"/>
          <w:left w:w="0" w:type="dxa"/>
          <w:bottom w:w="0" w:type="dxa"/>
          <w:right w:w="0" w:type="dxa"/>
        </w:tblCellMar>
      </w:tblPr>
      <w:tblGrid>
        <w:gridCol w:w="1846"/>
        <w:gridCol w:w="326"/>
        <w:gridCol w:w="865"/>
        <w:gridCol w:w="865"/>
        <w:gridCol w:w="865"/>
        <w:gridCol w:w="526"/>
        <w:gridCol w:w="800"/>
        <w:gridCol w:w="800"/>
        <w:gridCol w:w="800"/>
        <w:gridCol w:w="5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172210" cy="175260"/>
                      <wp:effectExtent l="0" t="0" r="0" b="0"/>
                      <wp:wrapNone/>
                      <wp:docPr id="405" name="Frame40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49275" cy="175260"/>
                      <wp:effectExtent l="0" t="0" r="0" b="0"/>
                      <wp:wrapNone/>
                      <wp:docPr id="407" name="Frame407"/>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49275" cy="175260"/>
                      <wp:effectExtent l="0" t="0" r="0" b="0"/>
                      <wp:wrapNone/>
                      <wp:docPr id="408" name="Frame40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49275" cy="175260"/>
                      <wp:effectExtent l="0" t="0" r="0" b="0"/>
                      <wp:wrapNone/>
                      <wp:docPr id="409" name="Frame409"/>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34010" cy="175260"/>
                      <wp:effectExtent l="0" t="0" r="0" b="0"/>
                      <wp:wrapNone/>
                      <wp:docPr id="410" name="Frame41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08000" cy="175260"/>
                      <wp:effectExtent l="0" t="0" r="0" b="0"/>
                      <wp:wrapNone/>
                      <wp:docPr id="411" name="Frame411"/>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08000" cy="175260"/>
                      <wp:effectExtent l="0" t="0" r="0" b="0"/>
                      <wp:wrapNone/>
                      <wp:docPr id="412" name="Frame412"/>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08000" cy="175260"/>
                      <wp:effectExtent l="0" t="0" r="0" b="0"/>
                      <wp:wrapNone/>
                      <wp:docPr id="413" name="Frame413"/>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62585" cy="175260"/>
                      <wp:effectExtent l="0" t="0" r="0" b="0"/>
                      <wp:wrapNone/>
                      <wp:docPr id="414" name="Frame4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w:t>
            </w:r>
          </w:p>
        </w:tc>
        <w:tc>
          <w:tcPr>
            <w:tcW w:w="526" w:type="dxa"/>
            <w:tcBorders/>
            <w:vAlign w:val="center"/>
          </w:tcPr>
          <w:p>
            <w:pPr>
              <w:pStyle w:val="TableContents"/>
              <w:bidi w:val="0"/>
              <w:spacing w:before="0" w:after="0"/>
              <w:ind w:left="0" w:right="0" w:hanging="0"/>
              <w:jc w:val="left"/>
              <w:rPr/>
            </w:pPr>
            <w:r>
              <w:rPr/>
              <w:t>​</w:t>
            </w:r>
          </w:p>
        </w:tc>
        <w:tc>
          <w:tcPr>
            <w:tcW w:w="24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865"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526"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800"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952" w:name="Tc_c8A5ZwB0hE6WKR3_w7VMpw_14_9"/>
      <w:bookmarkStart w:id="1953" w:name="Tc_OkWVtAZCGEGoM9SJw8mDEA_14_4"/>
      <w:bookmarkStart w:id="1954" w:name="Tc_iLHwHXwaekiIJLWf9j8_4w_14_0"/>
      <w:bookmarkStart w:id="1955" w:name="Tc_vt3oXXaCgkKRHwm9vkck6Q_13_9"/>
      <w:bookmarkStart w:id="1956" w:name="Tc_FbcC6AvmuEmPbiLDHPD_uw_13_4"/>
      <w:bookmarkStart w:id="1957" w:name="Tc_6VEvU5aUO0u0Js9Lkh6k6A_13_0"/>
      <w:bookmarkStart w:id="1958" w:name="Tc_Jhx2DxOcWEaez1gECKO3-w_12_9"/>
      <w:bookmarkStart w:id="1959" w:name="Tc_A9J3BpPJT0awok7570lDgw_12_4"/>
      <w:bookmarkStart w:id="1960" w:name="Tc_OQfy02rTSEiXuifP6Cpq2w_12_0"/>
      <w:bookmarkStart w:id="1961" w:name="Tc_qpYRIxlb5kOJw_h2S_1l5A_11_4"/>
      <w:bookmarkStart w:id="1962" w:name="Tc_-BlL1LwvK0KSfFh1iho69Q_11_0"/>
      <w:bookmarkStart w:id="1963" w:name="Tc_yqOH3D_t1kuSMvlCBTbaMA_10_4"/>
      <w:bookmarkStart w:id="1964" w:name="Tc_iIXp3z6QbkW5bnD78cVMDA_10_0"/>
      <w:bookmarkStart w:id="1965" w:name="Tc_gYhrYSDb7k2_PKWay23q0Q_9_4"/>
      <w:bookmarkStart w:id="1966" w:name="Tc_blM8GQprJ02kjied0q-b0w_9_0"/>
      <w:bookmarkStart w:id="1967" w:name="Tc_Hm-KY3tRgkeDAQwS0OD8mg_8_4"/>
      <w:bookmarkStart w:id="1968" w:name="Tc_4Xd51Hy5Q0yqLzmqBwlaVw_8_0"/>
      <w:bookmarkStart w:id="1969" w:name="Tc_W1DM6DlpcUWlPq7na7G7nw_7_9"/>
      <w:bookmarkStart w:id="1970" w:name="Tc_Fr53EsS0mk2raXH8Q9ez5Q_7_4"/>
      <w:bookmarkStart w:id="1971" w:name="Tc_Cozz1EjlME64bFDc8HLaCQ_7_0"/>
      <w:bookmarkStart w:id="1972" w:name="Tc_encuXccTWEmcpWF0WZeg_A_6_9"/>
      <w:bookmarkStart w:id="1973" w:name="Tc_gkBj4F4Bx0yp8Miq7SrGvw_6_7"/>
      <w:bookmarkStart w:id="1974" w:name="Tc_WnExUhEa7kKspv9gke_lCg_6_4"/>
      <w:bookmarkStart w:id="1975" w:name="Tc_jq5x8rAsGkS3sgCr9Cpkwg_6_2"/>
      <w:bookmarkStart w:id="1976" w:name="Tc_De3As_H3qEaiuO8AC3kWNA_6_0"/>
      <w:bookmarkStart w:id="1977" w:name="Tc_tr7Zto8OxUSlu4rNKKbPjA_5_9"/>
      <w:bookmarkStart w:id="1978" w:name="Tc_fSnEffmk90at7ANMfoXUDA_5_7"/>
      <w:bookmarkStart w:id="1979" w:name="Tc_mdHRzo2hu02k64fk2sXnRw_5_4"/>
      <w:bookmarkStart w:id="1980" w:name="Tc_i5nJN0xBXkG8dxGaemMPdw_5_2"/>
      <w:bookmarkStart w:id="1981" w:name="Tc_EuBwbfYQxEWaRXyp2ezq1Q_4_7"/>
      <w:bookmarkStart w:id="1982" w:name="Tc_TiGzfSdBD0m4KqbUD63e8A_4_4"/>
      <w:bookmarkStart w:id="1983" w:name="Tc_Hq1HAohdk02b8ol3Rw7XVQ_4_2"/>
      <w:bookmarkStart w:id="1984" w:name="Tc_h8lH_jYpv0u6fqwdfp_Qpg_3_7"/>
      <w:bookmarkStart w:id="1985" w:name="Tc_G1gZ0B1KsUeqyPwy0Unkpw_3_4"/>
      <w:bookmarkStart w:id="1986" w:name="Tc_1FRXFfTo2UqMvd_WTAEYYQ_2_7"/>
      <w:bookmarkStart w:id="1987" w:name="Tc_4eC5XRJcZESBA_wYklKm3w_1_7"/>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149"/>
        <w:gridCol w:w="326"/>
        <w:gridCol w:w="1200"/>
        <w:gridCol w:w="326"/>
        <w:gridCol w:w="318"/>
        <w:gridCol w:w="862"/>
        <w:gridCol w:w="326"/>
        <w:gridCol w:w="1066"/>
        <w:gridCol w:w="326"/>
        <w:gridCol w:w="250"/>
        <w:gridCol w:w="1056"/>
      </w:tblGrid>
      <w:tr>
        <w:trPr/>
        <w:tc>
          <w:tcPr>
            <w:tcW w:w="4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634615" cy="175260"/>
                      <wp:effectExtent l="0" t="0" r="0" b="0"/>
                      <wp:wrapNone/>
                      <wp:docPr id="415" name="Frame415"/>
                      <a:graphic xmlns:a="http://schemas.openxmlformats.org/drawingml/2006/main">
                        <a:graphicData uri="http://schemas.microsoft.com/office/word/2010/wordprocessingShape">
                          <wps:wsp>
                            <wps:cNvSpPr txBox="1"/>
                            <wps:spPr>
                              <a:xfrm>
                                <a:off x="0" y="0"/>
                                <a:ext cx="263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62000" cy="175260"/>
                      <wp:effectExtent l="0" t="0" r="0" b="0"/>
                      <wp:wrapNone/>
                      <wp:docPr id="417" name="Frame417"/>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1930" cy="175260"/>
                      <wp:effectExtent l="0" t="0" r="0" b="0"/>
                      <wp:wrapNone/>
                      <wp:docPr id="419" name="Frame41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47370" cy="175260"/>
                      <wp:effectExtent l="0" t="0" r="0" b="0"/>
                      <wp:wrapNone/>
                      <wp:docPr id="420" name="Frame42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76910" cy="175260"/>
                      <wp:effectExtent l="0" t="0" r="0" b="0"/>
                      <wp:wrapNone/>
                      <wp:docPr id="422" name="Frame42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58750" cy="175260"/>
                      <wp:effectExtent l="0" t="0" r="0" b="0"/>
                      <wp:wrapNone/>
                      <wp:docPr id="424" name="Frame42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70560" cy="175260"/>
                      <wp:effectExtent l="0" t="0" r="0" b="0"/>
                      <wp:wrapNone/>
                      <wp:docPr id="425" name="Frame425"/>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0"/>
              <w:ind w:left="0" w:right="0" w:hanging="0"/>
              <w:jc w:val="left"/>
              <w:rPr/>
            </w:pPr>
            <w:r>
              <w:rPr/>
              <w:t>​</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1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years)</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24,983</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598,866</w:t>
            </w:r>
          </w:p>
        </w:tc>
      </w:tr>
      <w:tr>
        <w:trPr/>
        <w:tc>
          <w:tcPr>
            <w:tcW w:w="4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01/01/24 - 03/31/24</w:t>
            </w:r>
          </w:p>
        </w:tc>
        <w:tc>
          <w:tcPr>
            <w:tcW w:w="326"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left"/>
              <w:rPr/>
            </w:pPr>
            <w:r>
              <w:rPr/>
              <w:t>​</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04/01/24 - 06/30/24</w:t>
            </w:r>
          </w:p>
        </w:tc>
        <w:tc>
          <w:tcPr>
            <w:tcW w:w="326"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left"/>
              <w:rPr/>
            </w:pPr>
            <w:r>
              <w:rPr/>
              <w:t>​</w:t>
            </w:r>
          </w:p>
        </w:tc>
      </w:tr>
      <w:tr>
        <w:trPr/>
        <w:tc>
          <w:tcPr>
            <w:tcW w:w="4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left"/>
              <w:rPr/>
            </w:pPr>
            <w:r>
              <w:rPr/>
              <w:t>​</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left"/>
              <w:rPr/>
            </w:pPr>
            <w:r>
              <w:rPr/>
              <w:t>​</w:t>
            </w:r>
          </w:p>
        </w:tc>
      </w:tr>
      <w:tr>
        <w:trPr/>
        <w:tc>
          <w:tcPr>
            <w:tcW w:w="4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2024</w:t>
            </w:r>
          </w:p>
        </w:tc>
        <w:tc>
          <w:tcPr>
            <w:tcW w:w="326"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366,872</w:t>
            </w:r>
          </w:p>
        </w:tc>
      </w:tr>
      <w:tr>
        <w:trPr/>
        <w:tc>
          <w:tcPr>
            <w:tcW w:w="41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363,597</w:t>
            </w:r>
          </w:p>
        </w:tc>
      </w:tr>
      <w:tr>
        <w:trPr/>
        <w:tc>
          <w:tcPr>
            <w:tcW w:w="4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2024</w:t>
            </w:r>
          </w:p>
        </w:tc>
        <w:tc>
          <w:tcPr>
            <w:tcW w:w="326"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15,087</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313,348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June 30, 2024 and 2023 was $19.52 per share and $21.14 per share, respectively. The weighted-average grant-date fair value of options granted during the six-months ended June 30, 2024 and 2023 was $22.64 per share and $18.25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June 30, 2024 and 2023 was $10.2 million and $26.9 million, respectively. The total intrinsic value of options exercised during the six-months ended June 30, 2024 and 2023 was $57.8 million and $157.9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June 30, 2024 and 2023 was $13.7 million and $23.3 million, respectively. Cash received from option exercises under all plans for the three-months ended June 30, 2024 and 2023 was $52.1 million and $59.7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2024, there was $162.4 million of total unrecognized compensation expense related to non-vested options granted to employees under the Company’s stock-based compensation plans. That cost is expected to be recognized over a weighted-average period of 3.4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988" w:name="Tc_2jTsg2BJ9EWDN1vz49Avsg_8_4"/>
      <w:bookmarkStart w:id="1989" w:name="Tc_Qg0j1bPurEWwQukIwAp91w_8_0"/>
      <w:bookmarkStart w:id="1990" w:name="Tc_v1r9P8zQyUaPf3KSRSRhVA_7_4"/>
      <w:bookmarkStart w:id="1991" w:name="Tc_jbdBGiGGy0uIW-EGpJaYog_7_0"/>
      <w:bookmarkStart w:id="1992" w:name="Tc_DC81n8hr_UWgQ-vvpouTSQ_6_4"/>
      <w:bookmarkStart w:id="1993" w:name="Tc_dZHWmrHmokWk5OIA7QxhKw_6_0"/>
      <w:bookmarkStart w:id="1994" w:name="Tc_k0ePpTwVlUad2Sqd4_OywA_5_4"/>
      <w:bookmarkStart w:id="1995" w:name="Tc_SBT40iBQaUCmWFoamTPXRA_5_0"/>
      <w:bookmarkStart w:id="1996" w:name="Tc_QEigm3NyYEymCs5u7o5XQw_4_4"/>
      <w:bookmarkStart w:id="1997" w:name="Tc_EnFiqNr3IU-N0VGR4C5aoQ_4_0"/>
      <w:bookmarkStart w:id="1998" w:name="Tc_oDgGmtIJbk24HzunJhFLjA_3_4"/>
      <w:bookmarkStart w:id="1999" w:name="Tc_S5vanqOMpUCGZEVO09qi9w_3_0"/>
      <w:bookmarkStart w:id="2000" w:name="Tc_e_LTES45Ek2NfCjTMWZDEQ_2_4"/>
      <w:bookmarkStart w:id="2001" w:name="Tc_c19D1pcG9EqaE6VAmjOBhQ_2_2"/>
      <w:bookmarkStart w:id="2002" w:name="Tc_3A0m25Bd50uHw2SJaHETHA_1_4"/>
      <w:bookmarkStart w:id="2003" w:name="Tc_Mhxht442X0G65XQ4QvjV5g_1_2"/>
      <w:bookmarkStart w:id="2004" w:name="_ca0314b6_f814_41ad_8c96_66c4002846ac"/>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6984" w:type="dxa"/>
        <w:jc w:val="left"/>
        <w:tblInd w:w="0" w:type="dxa"/>
        <w:tblLayout w:type="fixed"/>
        <w:tblCellMar>
          <w:top w:w="0" w:type="dxa"/>
          <w:left w:w="0" w:type="dxa"/>
          <w:bottom w:w="0" w:type="dxa"/>
          <w:right w:w="0" w:type="dxa"/>
        </w:tblCellMar>
      </w:tblPr>
      <w:tblGrid>
        <w:gridCol w:w="2581"/>
        <w:gridCol w:w="326"/>
        <w:gridCol w:w="1531"/>
        <w:gridCol w:w="326"/>
        <w:gridCol w:w="528"/>
        <w:gridCol w:w="1692"/>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638935" cy="175260"/>
                      <wp:effectExtent l="0" t="0" r="0" b="0"/>
                      <wp:wrapNone/>
                      <wp:docPr id="426" name="Frame426"/>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972185" cy="175260"/>
                      <wp:effectExtent l="0" t="0" r="0" b="0"/>
                      <wp:wrapNone/>
                      <wp:docPr id="428" name="Frame428"/>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35280" cy="175260"/>
                      <wp:effectExtent l="0" t="0" r="0" b="0"/>
                      <wp:wrapNone/>
                      <wp:docPr id="430" name="Frame430"/>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074420" cy="175260"/>
                      <wp:effectExtent l="0" t="0" r="0" b="0"/>
                      <wp:wrapNone/>
                      <wp:docPr id="431" name="Frame431"/>
                      <a:graphic xmlns:a="http://schemas.openxmlformats.org/drawingml/2006/main">
                        <a:graphicData uri="http://schemas.microsoft.com/office/word/2010/wordprocessingShape">
                          <wps:wsp>
                            <wps:cNvSpPr txBox="1"/>
                            <wps:spPr>
                              <a:xfrm>
                                <a:off x="0" y="0"/>
                                <a:ext cx="1074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w:t>
            </w:r>
          </w:p>
        </w:tc>
        <w:tc>
          <w:tcPr>
            <w:tcW w:w="326" w:type="dxa"/>
            <w:tcBorders/>
            <w:vAlign w:val="center"/>
          </w:tcPr>
          <w:p>
            <w:pPr>
              <w:pStyle w:val="TableContents"/>
              <w:bidi w:val="0"/>
              <w:spacing w:before="0" w:after="0"/>
              <w:ind w:left="0" w:right="0" w:hanging="0"/>
              <w:jc w:val="left"/>
              <w:rPr/>
            </w:pPr>
            <w:r>
              <w:rPr/>
              <w:t>​</w:t>
            </w:r>
          </w:p>
        </w:tc>
        <w:tc>
          <w:tcPr>
            <w:tcW w:w="22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 Average Grant-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2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Fair Value</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w:t>
            </w:r>
          </w:p>
        </w:tc>
      </w:tr>
      <w:tr>
        <w:trPr/>
        <w:tc>
          <w:tcPr>
            <w:tcW w:w="25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01/01/24 - 03/31/24</w:t>
            </w:r>
            <w:r>
              <w:rPr>
                <w:rFonts w:ascii="Times New Roman;Times;serif" w:hAnsi="Times New Roman;Times;serif"/>
                <w:sz w:val="17"/>
              </w:rPr>
              <w:t>1</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2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04/01/24 - 06/30/24</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2024</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46.06</w:t>
            </w:r>
          </w:p>
        </w:tc>
      </w:tr>
    </w:tbl>
    <w:p>
      <w:pPr>
        <w:pStyle w:val="TextBody"/>
        <w:bidi w:val="0"/>
        <w:spacing w:before="0" w:after="0"/>
        <w:ind w:left="0" w:right="0" w:hanging="0"/>
        <w:jc w:val="left"/>
        <w:rPr/>
      </w:pPr>
      <w:r>
        <w:rPr/>
        <w:t>​</w:t>
      </w:r>
    </w:p>
    <w:p>
      <w:pPr>
        <w:pStyle w:val="TextBody"/>
        <w:pBdr/>
        <w:bidi w:val="0"/>
        <w:spacing w:lineRule="auto" w:line="240" w:before="0" w:after="240"/>
        <w:ind w:left="1008" w:right="0" w:hanging="72"/>
        <w:jc w:val="both"/>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i/>
          <w:sz w:val="20"/>
        </w:rPr>
        <w:t>The grant activity for performance share units is recorded based on the target performance level earning 100%</w:t>
      </w:r>
      <w:r>
        <w:rPr>
          <w:rFonts w:ascii="Times New Roman;Times;serif" w:hAnsi="Times New Roman;Times;serif"/>
          <w:sz w:val="20"/>
        </w:rPr>
        <w:t xml:space="preserve"> </w:t>
      </w:r>
      <w:r>
        <w:rPr>
          <w:rFonts w:ascii="Times New Roman;Times;serif" w:hAnsi="Times New Roman;Times;serif"/>
          <w:i/>
          <w:sz w:val="20"/>
        </w:rPr>
        <w:t>of target performance share units. The actual number of performance share units earned could range from 0%</w:t>
      </w:r>
      <w:r>
        <w:rPr>
          <w:rFonts w:ascii="Times New Roman;Times;serif" w:hAnsi="Times New Roman;Times;serif"/>
          <w:sz w:val="20"/>
        </w:rPr>
        <w:t xml:space="preserve"> </w:t>
      </w:r>
      <w:r>
        <w:rPr>
          <w:rFonts w:ascii="Times New Roman;Times;serif" w:hAnsi="Times New Roman;Times;serif"/>
          <w:i/>
          <w:sz w:val="20"/>
        </w:rPr>
        <w:t>to 200%</w:t>
      </w:r>
      <w:r>
        <w:rPr>
          <w:rFonts w:ascii="Times New Roman;Times;serif" w:hAnsi="Times New Roman;Times;serif"/>
          <w:sz w:val="20"/>
        </w:rPr>
        <w:t xml:space="preserve"> </w:t>
      </w:r>
      <w:r>
        <w:rPr>
          <w:rFonts w:ascii="Times New Roman;Times;serif" w:hAnsi="Times New Roman;Times;serif"/>
          <w:i/>
          <w:sz w:val="20"/>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June 30, 2024 and 2023 was $49.12 and $59.17 per share, respectively. The weighted-average grant-date fair value of restricted stock units and/or performance share units granted during the six-months ended June 30, 2024 and 2023 was $59.58 and $48.93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2024, 1.6 million of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2024, total unrecognized compensation expense relating to non-vested restricted stock units and performance share units was $43.9 million, which is expected to be recognized over a weighted-average period of 1.6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June 30, 2024, other share-based awards outstanding included grants that vest over three years payable in the first quarters of 2025, 2026 and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2024, there was $0.1 million of total unrecognized compensation expense related to nonvested other share-based awards granted to employees under the Company’s stock-based compensation plans. That cost is expected to be recognized over a weighted-average period of 0.5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05" w:name="Tc_R1HeD5o4n0G7EYEExYeIdw_7_2"/>
      <w:bookmarkStart w:id="2006" w:name="Tc_QJQQRnieCkWG0KgBtiW5cQ_7_0"/>
      <w:bookmarkStart w:id="2007" w:name="Tc_xmLQKaB2hUCT8fVQJ5eNYw_6_0"/>
      <w:bookmarkStart w:id="2008" w:name="Tc_Ody4A56u10q1Vvyzp1UVfQ_5_0"/>
      <w:bookmarkStart w:id="2009" w:name="Tc_VBbmGI1PskelL68EHlcxVA_4_0"/>
      <w:bookmarkStart w:id="2010" w:name="Tc_GT3wJvgCA0ORPVVp8SEE3Q_3_2"/>
      <w:bookmarkStart w:id="2011" w:name="Tc_gq_A5VPvekSikvCIjUlm9Q_3_0"/>
      <w:bookmarkStart w:id="2012" w:name="Tc_EYF06pbwHUmpTRbW8TUkyA_2_2"/>
      <w:bookmarkStart w:id="2013" w:name="Tc_uBLBDqQY7kaSYKnB8XW3NA_1_2"/>
      <w:bookmarkStart w:id="2014" w:name="Tc_R1HeD5o4n0G7EYEExYeIdw_7_2"/>
      <w:bookmarkStart w:id="2015" w:name="Tc_QJQQRnieCkWG0KgBtiW5cQ_7_0"/>
      <w:bookmarkStart w:id="2016" w:name="Tc_xmLQKaB2hUCT8fVQJ5eNYw_6_0"/>
      <w:bookmarkStart w:id="2017" w:name="Tc_Ody4A56u10q1Vvyzp1UVfQ_5_0"/>
      <w:bookmarkStart w:id="2018" w:name="Tc_VBbmGI1PskelL68EHlcxVA_4_0"/>
      <w:bookmarkStart w:id="2019" w:name="Tc_GT3wJvgCA0ORPVVp8SEE3Q_3_2"/>
      <w:bookmarkStart w:id="2020" w:name="Tc_gq_A5VPvekSikvCIjUlm9Q_3_0"/>
      <w:bookmarkStart w:id="2021" w:name="Tc_EYF06pbwHUmpTRbW8TUkyA_2_2"/>
      <w:bookmarkStart w:id="2022" w:name="Tc_uBLBDqQY7kaSYKnB8XW3NA_1_2"/>
      <w:bookmarkEnd w:id="2014"/>
      <w:bookmarkEnd w:id="2015"/>
      <w:bookmarkEnd w:id="2016"/>
      <w:bookmarkEnd w:id="2017"/>
      <w:bookmarkEnd w:id="2018"/>
      <w:bookmarkEnd w:id="2019"/>
      <w:bookmarkEnd w:id="2020"/>
      <w:bookmarkEnd w:id="2021"/>
      <w:bookmarkEnd w:id="2022"/>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1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six-months ended June 30, 2024:</w:t>
      </w:r>
    </w:p>
    <w:p>
      <w:pPr>
        <w:pStyle w:val="TextBody"/>
        <w:bidi w:val="0"/>
        <w:spacing w:before="0" w:after="0"/>
        <w:ind w:left="0" w:right="0" w:firstLine="720"/>
        <w:jc w:val="both"/>
        <w:rPr/>
      </w:pPr>
      <w:r>
        <w:rPr/>
        <w:t>​</w:t>
      </w:r>
    </w:p>
    <w:tbl>
      <w:tblPr>
        <w:tblW w:w="6568" w:type="dxa"/>
        <w:jc w:val="left"/>
        <w:tblInd w:w="0" w:type="dxa"/>
        <w:tblLayout w:type="fixed"/>
        <w:tblCellMar>
          <w:top w:w="0" w:type="dxa"/>
          <w:left w:w="0" w:type="dxa"/>
          <w:bottom w:w="0" w:type="dxa"/>
          <w:right w:w="0" w:type="dxa"/>
        </w:tblCellMar>
      </w:tblPr>
      <w:tblGrid>
        <w:gridCol w:w="4411"/>
        <w:gridCol w:w="326"/>
        <w:gridCol w:w="435"/>
        <w:gridCol w:w="139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800985" cy="175260"/>
                      <wp:effectExtent l="0" t="0" r="0" b="0"/>
                      <wp:wrapNone/>
                      <wp:docPr id="432" name="Frame432"/>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76225" cy="175260"/>
                      <wp:effectExtent l="0" t="0" r="0" b="0"/>
                      <wp:wrapNone/>
                      <wp:docPr id="434" name="Frame434"/>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886460" cy="175260"/>
                      <wp:effectExtent l="0" t="0" r="0" b="0"/>
                      <wp:wrapNone/>
                      <wp:docPr id="435" name="Frame43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3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Tax 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3,109</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June 30, 2024, the Company had approximately $0.7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2020 through 2023 U.S. federal income tax returns are subject to examination by the IRS. The Company’s state income tax returns are subject to examination for the 2019 through 2023 tax years. The United Kingdom and Ireland income tax returns are subject to examination for the 2019 through 2023 tax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23" w:name="Tc_iEHiUS5rlUOjpV9q0mWuWw_7_0"/>
      <w:bookmarkStart w:id="2024" w:name="Tc_ETn6_w3rPUSldBFiTwkdeQ_6_0"/>
      <w:bookmarkStart w:id="2025" w:name="Tc_F2EXbvn1BkK9xvCZf1mp0Q_5_0"/>
      <w:bookmarkStart w:id="2026" w:name="Tc__5N6j9Qq_0CCnBIqorwoyA_4_0"/>
      <w:bookmarkStart w:id="2027" w:name="Tc_XqM01ZKpt029giVaLa28Gw_3_8"/>
      <w:bookmarkStart w:id="2028" w:name="Tc_2p2px3-BPkGpIwtE8N8u-A_3_6"/>
      <w:bookmarkStart w:id="2029" w:name="Tc_XYbb8b1YvUik3aQDR-nxmw_3_4"/>
      <w:bookmarkStart w:id="2030" w:name="Tc_3TDgP1gk-E2pESBrBiutSw_3_2"/>
      <w:bookmarkStart w:id="2031" w:name="Tc_87-Oo6oVgke5ajWEA7F_cw_2_6"/>
      <w:bookmarkStart w:id="2032" w:name="Tc_TbXkhKkAK0uB6QxRrvnbAA_2_2"/>
      <w:bookmarkStart w:id="2033" w:name="Tc_mJ9F7t9Fs0arU06VJ9s4Fg_1_6"/>
      <w:bookmarkStart w:id="2034" w:name="Tc_3wSa7VEIGESGmoDCgAAOlQ_1_2"/>
      <w:bookmarkStart w:id="2035" w:name="_eddd514f_331a_4132_8b29_0f5b0858f646"/>
      <w:bookmarkStart w:id="2036" w:name="Tc_iEHiUS5rlUOjpV9q0mWuWw_7_0"/>
      <w:bookmarkStart w:id="2037" w:name="Tc_ETn6_w3rPUSldBFiTwkdeQ_6_0"/>
      <w:bookmarkStart w:id="2038" w:name="Tc_F2EXbvn1BkK9xvCZf1mp0Q_5_0"/>
      <w:bookmarkStart w:id="2039" w:name="Tc__5N6j9Qq_0CCnBIqorwoyA_4_0"/>
      <w:bookmarkStart w:id="2040" w:name="Tc_XqM01ZKpt029giVaLa28Gw_3_8"/>
      <w:bookmarkStart w:id="2041" w:name="Tc_2p2px3-BPkGpIwtE8N8u-A_3_6"/>
      <w:bookmarkStart w:id="2042" w:name="Tc_XYbb8b1YvUik3aQDR-nxmw_3_4"/>
      <w:bookmarkStart w:id="2043" w:name="Tc_3TDgP1gk-E2pESBrBiutSw_3_2"/>
      <w:bookmarkStart w:id="2044" w:name="Tc_87-Oo6oVgke5ajWEA7F_cw_2_6"/>
      <w:bookmarkStart w:id="2045" w:name="Tc_TbXkhKkAK0uB6QxRrvnbAA_2_2"/>
      <w:bookmarkStart w:id="2046" w:name="Tc_mJ9F7t9Fs0arU06VJ9s4Fg_1_6"/>
      <w:bookmarkStart w:id="2047" w:name="Tc_3wSa7VEIGESGmoDCgAAOlQ_1_2"/>
      <w:bookmarkStart w:id="2048" w:name="_eddd514f_331a_4132_8b29_0f5b0858f646"/>
      <w:bookmarkEnd w:id="2036"/>
      <w:bookmarkEnd w:id="2037"/>
      <w:bookmarkEnd w:id="2038"/>
      <w:bookmarkEnd w:id="2039"/>
      <w:bookmarkEnd w:id="2040"/>
      <w:bookmarkEnd w:id="2041"/>
      <w:bookmarkEnd w:id="2042"/>
      <w:bookmarkEnd w:id="2043"/>
      <w:bookmarkEnd w:id="2044"/>
      <w:bookmarkEnd w:id="2045"/>
      <w:bookmarkEnd w:id="2046"/>
      <w:bookmarkEnd w:id="2047"/>
      <w:bookmarkEnd w:id="2048"/>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2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p>
      <w:pPr>
        <w:pStyle w:val="TextBody"/>
        <w:bidi w:val="0"/>
        <w:spacing w:before="0" w:after="0"/>
        <w:ind w:left="0" w:right="0" w:firstLine="720"/>
        <w:jc w:val="both"/>
        <w:rPr/>
      </w:pPr>
      <w:r>
        <w:rPr/>
        <w:t>​</w:t>
      </w:r>
    </w:p>
    <w:tbl>
      <w:tblPr>
        <w:tblW w:w="8359" w:type="dxa"/>
        <w:jc w:val="left"/>
        <w:tblInd w:w="0" w:type="dxa"/>
        <w:tblLayout w:type="fixed"/>
        <w:tblCellMar>
          <w:top w:w="0" w:type="dxa"/>
          <w:left w:w="0" w:type="dxa"/>
          <w:bottom w:w="0" w:type="dxa"/>
          <w:right w:w="0" w:type="dxa"/>
        </w:tblCellMar>
      </w:tblPr>
      <w:tblGrid>
        <w:gridCol w:w="3226"/>
        <w:gridCol w:w="326"/>
        <w:gridCol w:w="931"/>
        <w:gridCol w:w="326"/>
        <w:gridCol w:w="931"/>
        <w:gridCol w:w="326"/>
        <w:gridCol w:w="93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48510" cy="175260"/>
                      <wp:effectExtent l="0" t="0" r="0" b="0"/>
                      <wp:wrapNone/>
                      <wp:docPr id="436" name="Frame436"/>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91185" cy="175260"/>
                      <wp:effectExtent l="0" t="0" r="0" b="0"/>
                      <wp:wrapNone/>
                      <wp:docPr id="438" name="Frame4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91185" cy="175260"/>
                      <wp:effectExtent l="0" t="0" r="0" b="0"/>
                      <wp:wrapNone/>
                      <wp:docPr id="440" name="Frame4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91185" cy="175260"/>
                      <wp:effectExtent l="0" t="0" r="0" b="0"/>
                      <wp:wrapNone/>
                      <wp:docPr id="442" name="Frame4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57860" cy="175260"/>
                      <wp:effectExtent l="0" t="0" r="0" b="0"/>
                      <wp:wrapNone/>
                      <wp:docPr id="444" name="Frame4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1,029,268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1,047,065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1,035,175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1,045,993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1,037,378</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1,060,093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1,044,363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1,059,667</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three-months ended June 30, 2024 and 2023, options and awards outstanding totaling 8.8 million shares and 4.1 million shares, respectively, were excluded from the calculations as their effect would have been antidilutive. For the six-months ended June 30, 2024 and 2023, options and awards outstanding totaling 6.9 million shares and 2.6 million shares, respectively, were excluded from the calculations as their effect would have been antidilutive.</w:t>
      </w:r>
    </w:p>
    <w:p>
      <w:pPr>
        <w:pStyle w:val="TextBody"/>
        <w:bidi w:val="0"/>
        <w:spacing w:before="0" w:after="0"/>
        <w:ind w:left="0" w:right="0" w:firstLine="720"/>
        <w:jc w:val="both"/>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Reign Storm® total wellness energy drinks, Bang Energy® drinks and Monster Tour Water®, (ii) Strategic Brands segment, which is primarily comprised of the various energy drink brands acquired from TCCC in 2015 as well as the Company’s affordable energy brands, Predator® and Fury®, (iii) Alcohol Brands segment, which is comprised of various craft beers, hard seltzers and FMBs and (iv) Other segment, which is comprised of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2049" w:name="Tc_0AeXQYNxc02_IkVMPg6A6A_10_11"/>
      <w:bookmarkStart w:id="2050" w:name="Tc_ih62RrLGrUab5E8n6s9klg_10_8"/>
      <w:bookmarkStart w:id="2051" w:name="Tc_mrYPbQFmUE-ImJlHLTg1Lg_10_5"/>
      <w:bookmarkStart w:id="2052" w:name="Tc_jgoxSm-w-UKVXnigllAoAA_10_2"/>
      <w:bookmarkStart w:id="2053" w:name="Tc_XjswuluF_EOB6IhwkxFqVA_9_0"/>
      <w:bookmarkStart w:id="2054" w:name="Tc_K4B7m1bJYUmihhSSB6Fuuw_8_0"/>
      <w:bookmarkStart w:id="2055" w:name="Tc_QJaSUFaLmkaAat8ICUbfdw_7_0"/>
      <w:bookmarkStart w:id="2056" w:name="Tc_W8CejzAy3USF0frmAKd9nw_6_0"/>
      <w:bookmarkStart w:id="2057" w:name="Tc_LDLmoWci00K0fnr_c_C7cg_5_11"/>
      <w:bookmarkStart w:id="2058" w:name="Tc_rNWfd03t20GsIjd7rmSq9g_5_8"/>
      <w:bookmarkStart w:id="2059" w:name="Tc_rlvt6-1ZIkOqBK3JwAU9rQ_5_5"/>
      <w:bookmarkStart w:id="2060" w:name="Tc_rFiSIDOJ9EGKaMHhr36Y9Q_5_2"/>
      <w:bookmarkStart w:id="2061" w:name="Tc_FoHlJcKIWEmJnOVoqpTV4A_5_0"/>
      <w:bookmarkStart w:id="2062" w:name="Tc_BekC9Eq2o0KGnZ74ryYrIQ_4_0"/>
      <w:bookmarkStart w:id="2063" w:name="Tc_EHTyRyCZZEKPQYsPyM8zgg_3_11"/>
      <w:bookmarkStart w:id="2064" w:name="Tc_7WgKBsfqlkCmDQPrHHTOpA_3_8"/>
      <w:bookmarkStart w:id="2065" w:name="Tc_qh0w_iwwqUyL85n20frQIA_3_5"/>
      <w:bookmarkStart w:id="2066" w:name="Tc_UZC-KnoZrEqVKSDvwU5S6Q_3_2"/>
      <w:bookmarkStart w:id="2067" w:name="Tc_D4m7pHIY3USPgwUTCKV52w_2_8"/>
      <w:bookmarkStart w:id="2068" w:name="Tc_26AZEcCgGka4xdRMdLGpDw_2_2"/>
      <w:bookmarkStart w:id="2069" w:name="Tc_IGEhLfaUp0-62ZM8iwKOpw_1_8"/>
      <w:bookmarkStart w:id="2070" w:name="Tc_w2-KZA5UV0alkOtMkYh0AA_1_2"/>
      <w:bookmarkStart w:id="2071" w:name="_cc5717f4_0c2b_4f2e_ac51_39258d0b10db"/>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net revenues derived from the Company’s reportable segments and other financial information related thereto for the three- and six-months ended June 30, 2024 and 2023 were as follows:</w:t>
      </w:r>
    </w:p>
    <w:p>
      <w:pPr>
        <w:pStyle w:val="TextBody"/>
        <w:bidi w:val="0"/>
        <w:spacing w:before="0" w:after="0"/>
        <w:ind w:left="0" w:right="0" w:firstLine="720"/>
        <w:jc w:val="both"/>
        <w:rPr/>
      </w:pPr>
      <w:r>
        <w:rPr/>
        <w:t>​</w:t>
      </w:r>
    </w:p>
    <w:tbl>
      <w:tblPr>
        <w:tblW w:w="8258" w:type="dxa"/>
        <w:jc w:val="left"/>
        <w:tblInd w:w="0" w:type="dxa"/>
        <w:tblLayout w:type="fixed"/>
        <w:tblCellMar>
          <w:top w:w="0" w:type="dxa"/>
          <w:left w:w="0" w:type="dxa"/>
          <w:bottom w:w="0" w:type="dxa"/>
          <w:right w:w="0" w:type="dxa"/>
        </w:tblCellMar>
      </w:tblPr>
      <w:tblGrid>
        <w:gridCol w:w="2281"/>
        <w:gridCol w:w="326"/>
        <w:gridCol w:w="211"/>
        <w:gridCol w:w="931"/>
        <w:gridCol w:w="326"/>
        <w:gridCol w:w="211"/>
        <w:gridCol w:w="931"/>
        <w:gridCol w:w="326"/>
        <w:gridCol w:w="211"/>
        <w:gridCol w:w="931"/>
        <w:gridCol w:w="326"/>
        <w:gridCol w:w="211"/>
        <w:gridCol w:w="103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48435" cy="175260"/>
                      <wp:effectExtent l="0" t="0" r="0" b="0"/>
                      <wp:wrapNone/>
                      <wp:docPr id="445" name="Frame445"/>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91185" cy="175260"/>
                      <wp:effectExtent l="0" t="0" r="0" b="0"/>
                      <wp:wrapNone/>
                      <wp:docPr id="447" name="Frame4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91185" cy="175260"/>
                      <wp:effectExtent l="0" t="0" r="0" b="0"/>
                      <wp:wrapNone/>
                      <wp:docPr id="450" name="Frame4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3985" cy="175260"/>
                      <wp:effectExtent l="0" t="0" r="0" b="0"/>
                      <wp:wrapNone/>
                      <wp:docPr id="452"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91185" cy="175260"/>
                      <wp:effectExtent l="0" t="0" r="0" b="0"/>
                      <wp:wrapNone/>
                      <wp:docPr id="453" name="Frame4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57860" cy="175260"/>
                      <wp:effectExtent l="0" t="0" r="0" b="0"/>
                      <wp:wrapNone/>
                      <wp:docPr id="456" name="Frame4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1,742,808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3,471,859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3,248,555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186,048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3,553,891</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72" w:name="Tc_51UuWQTm0UC8N-a_069Eew_10_11"/>
      <w:bookmarkStart w:id="2073" w:name="Tc_Ms2h-ykd90esNG2PuwfQFw_10_8"/>
      <w:bookmarkStart w:id="2074" w:name="Tc_TElKkAYh-kKQ3d8Z51CFPQ_10_5"/>
      <w:bookmarkStart w:id="2075" w:name="Tc_zTVfIbSQ80aBQcNAUhDH5g_10_2"/>
      <w:bookmarkStart w:id="2076" w:name="Tc_Hxo57vBJEkKtT8Qk_w78Uw_9_0"/>
      <w:bookmarkStart w:id="2077" w:name="Tc_r7oyV75YukSdMwdv9ES5NQ_8_0"/>
      <w:bookmarkStart w:id="2078" w:name="Tc_lU1MIFZ0VE68XuT9lentVw_7_0"/>
      <w:bookmarkStart w:id="2079" w:name="Tc__rE7W6rYl0esTFX0F5RZdQ_6_0"/>
      <w:bookmarkStart w:id="2080" w:name="Tc_lxTmzRr7P0a9o28pdmjuPw_5_11"/>
      <w:bookmarkStart w:id="2081" w:name="Tc_LzKO9iQ4-EWkxWKDIaalWA_5_8"/>
      <w:bookmarkStart w:id="2082" w:name="Tc_Ngwk1-S7rECW3MwYpG-p8w_5_5"/>
      <w:bookmarkStart w:id="2083" w:name="Tc_-5y3ledBPUiKFkHqr3OJnw_5_2"/>
      <w:bookmarkStart w:id="2084" w:name="Tc_tPK4TKHwsk-Hpf49YbjgSA_5_0"/>
      <w:bookmarkStart w:id="2085" w:name="Tc_LjOEs9TYQUC_sKgsHt0gMQ_4_0"/>
      <w:bookmarkStart w:id="2086" w:name="Tc_MLCqWVWGlkOI51NGUtCcFQ_3_11"/>
      <w:bookmarkStart w:id="2087" w:name="Tc_slYeZhc4qUuJOkomBoqkmQ_3_8"/>
      <w:bookmarkStart w:id="2088" w:name="Tc_4k-5gorrqkKnUuTD4-3SvQ_3_5"/>
      <w:bookmarkStart w:id="2089" w:name="Tc_m_KfaxG8BUegNTzFfeo-4g_3_2"/>
      <w:bookmarkStart w:id="2090" w:name="Tc_IFEFfr5CDEGNSf-bNYpOew_2_8"/>
      <w:bookmarkStart w:id="2091" w:name="Tc_nx5H_jDE30emmEw8e-CAaA_2_2"/>
      <w:bookmarkStart w:id="2092" w:name="Tc_GZpZg5xmUUmYE2XQWuq5QA_1_8"/>
      <w:bookmarkStart w:id="2093" w:name="Tc_EeMM2y8Z7UqrNZkox2S7Jw_1_2"/>
      <w:bookmarkStart w:id="2094" w:name="_2326e99b_b6a2_411b_965f_5a2b99a53c97"/>
      <w:bookmarkStart w:id="2095" w:name="Tc_fsp0viBgdEmqDQMPjWrTMQ_10_11"/>
      <w:bookmarkStart w:id="2096" w:name="Tc_s6hnsL2xhUSJe-_EfoL2MA_10_8"/>
      <w:bookmarkStart w:id="2097" w:name="Tc_EaGYQWW13ESSXhf_4SuudA_10_5"/>
      <w:bookmarkStart w:id="2098" w:name="Tc_3KMdeHSBvEyK-2C3cRZGmA_10_2"/>
      <w:bookmarkStart w:id="2099" w:name="Tc_MI4I1zTPBkScXb7UNcZ5_Q_9_0"/>
      <w:bookmarkStart w:id="2100" w:name="Tc_8ofB-UZf4k-34klc8NQA9g_8_0"/>
      <w:bookmarkStart w:id="2101" w:name="Tc_YV8T-5cAW0CtpfjMyTueWw_7_0"/>
      <w:bookmarkStart w:id="2102" w:name="Tc_ie2-u3PrMkKpjtYOorvSEw_6_0"/>
      <w:bookmarkStart w:id="2103" w:name="Tc_pCgaf4Cc-UCVjraFqQznGQ_5_11"/>
      <w:bookmarkStart w:id="2104" w:name="Tc_8m4U_zBxQ06-oZdowt1EzQ_5_8"/>
      <w:bookmarkStart w:id="2105" w:name="Tc_kVrWMSm1UUqFSxs-Xb5CMQ_5_5"/>
      <w:bookmarkStart w:id="2106" w:name="Tc_tOX3nXPLTEC0JFRGlK-FMw_5_2"/>
      <w:bookmarkStart w:id="2107" w:name="Tc_sQE-U_Fo-EagFms-90HYbQ_5_0"/>
      <w:bookmarkStart w:id="2108" w:name="Tc_GtcKI3PcLEG0Qfptl5HZmQ_4_0"/>
      <w:bookmarkStart w:id="2109" w:name="Tc_l5og9qXJzEuDW9_xZoQIdQ_3_11"/>
      <w:bookmarkStart w:id="2110" w:name="Tc_iYo8kabv1USjOkip_5W-KA_3_8"/>
      <w:bookmarkStart w:id="2111" w:name="Tc_WAGGlAt42U-5SNtnJD-sZw_3_5"/>
      <w:bookmarkStart w:id="2112" w:name="Tc_feSnJREsfkKUXB_k_wNlIg_3_2"/>
      <w:bookmarkStart w:id="2113" w:name="Tc_kJCXHRW5CkyC23K0L-BD8g_2_8"/>
      <w:bookmarkStart w:id="2114" w:name="Tc_g1fW7uVKmUuu0CWr73Ii0w_2_2"/>
      <w:bookmarkStart w:id="2115" w:name="Tc_0iEHsi7seUGr1ucA2zVTVQ_1_8"/>
      <w:bookmarkStart w:id="2116" w:name="Tc_fEDg0DMl0k6rQUhtaMcbMg_1_2"/>
      <w:bookmarkStart w:id="2117" w:name="_b4c9d00b_8e0a_44f3_95ce_2c2339aeca40"/>
      <w:bookmarkStart w:id="2118" w:name="Tc_FKEPPhCpYkCEHxJG3P7eGg_10_11"/>
      <w:bookmarkStart w:id="2119" w:name="Tc_PAVpMiiE00SS2v8Jv4hP_Q_10_8"/>
      <w:bookmarkStart w:id="2120" w:name="Tc_3PRW4Vn39kOmB-o-1_lgzA_10_5"/>
      <w:bookmarkStart w:id="2121" w:name="Tc_npeF0DHZ-UOMeBqy-tdcXw_10_2"/>
      <w:bookmarkStart w:id="2122" w:name="Tc_F5MX7pFaEE6nC649iajaqw_9_0"/>
      <w:bookmarkStart w:id="2123" w:name="Tc_mRM0TLEY3EqBJrgE6mbrqA_8_0"/>
      <w:bookmarkStart w:id="2124" w:name="Tc_7xbaWi57W0K5veX89nEEZA_7_0"/>
      <w:bookmarkStart w:id="2125" w:name="Tc_0AS0bh5RKEOrp9GrHXDIrA_6_0"/>
      <w:bookmarkStart w:id="2126" w:name="Tc_0fuXdZEtdUulXWRRwt7SIg_5_11"/>
      <w:bookmarkStart w:id="2127" w:name="Tc_CDFnevZo_UyKZJbV8GGq-Q_5_8"/>
      <w:bookmarkStart w:id="2128" w:name="Tc_aXTIx3nb_E-UZLse39gT6g_5_5"/>
      <w:bookmarkStart w:id="2129" w:name="Tc_pSW-gR-UBEydT5l9baB3yQ_5_2"/>
      <w:bookmarkStart w:id="2130" w:name="Tc_SguG-agsNUWOD2hSiEfTWg_5_0"/>
      <w:bookmarkStart w:id="2131" w:name="Tc_PG_MFzLZy0-wtHTCqQRYZA_4_0"/>
      <w:bookmarkStart w:id="2132" w:name="Tc_rfHIjYjYV0ilmQKuvHUZwg_3_11"/>
      <w:bookmarkStart w:id="2133" w:name="Tc_uha_Qkosy0SKACjw3EjLKw_3_8"/>
      <w:bookmarkStart w:id="2134" w:name="Tc_LMceaZhLXU-enPQgJsQ4rw_3_5"/>
      <w:bookmarkStart w:id="2135" w:name="Tc_r0I04qGWD0ieFmnPBu9T6g_3_2"/>
      <w:bookmarkStart w:id="2136" w:name="Tc_OlkotXKlwE6AALuKgzKHmg_2_8"/>
      <w:bookmarkStart w:id="2137" w:name="Tc_d0V5K9YamU2epBCF7eFn1Q_2_2"/>
      <w:bookmarkStart w:id="2138" w:name="Tc_CHH4SySzpESjKEV9xAqZFg_1_8"/>
      <w:bookmarkStart w:id="2139" w:name="Tc_2gKbA28c-0GmEjufD5oOsw_1_2"/>
      <w:bookmarkStart w:id="2140" w:name="_f220666d_4b43_4a60_bacb_57793d45d121"/>
      <w:bookmarkStart w:id="2141" w:name="Tc_51UuWQTm0UC8N-a_069Eew_10_11"/>
      <w:bookmarkStart w:id="2142" w:name="Tc_Ms2h-ykd90esNG2PuwfQFw_10_8"/>
      <w:bookmarkStart w:id="2143" w:name="Tc_TElKkAYh-kKQ3d8Z51CFPQ_10_5"/>
      <w:bookmarkStart w:id="2144" w:name="Tc_zTVfIbSQ80aBQcNAUhDH5g_10_2"/>
      <w:bookmarkStart w:id="2145" w:name="Tc_Hxo57vBJEkKtT8Qk_w78Uw_9_0"/>
      <w:bookmarkStart w:id="2146" w:name="Tc_r7oyV75YukSdMwdv9ES5NQ_8_0"/>
      <w:bookmarkStart w:id="2147" w:name="Tc_lU1MIFZ0VE68XuT9lentVw_7_0"/>
      <w:bookmarkStart w:id="2148" w:name="Tc__rE7W6rYl0esTFX0F5RZdQ_6_0"/>
      <w:bookmarkStart w:id="2149" w:name="Tc_lxTmzRr7P0a9o28pdmjuPw_5_11"/>
      <w:bookmarkStart w:id="2150" w:name="Tc_LzKO9iQ4-EWkxWKDIaalWA_5_8"/>
      <w:bookmarkStart w:id="2151" w:name="Tc_Ngwk1-S7rECW3MwYpG-p8w_5_5"/>
      <w:bookmarkStart w:id="2152" w:name="Tc_-5y3ledBPUiKFkHqr3OJnw_5_2"/>
      <w:bookmarkStart w:id="2153" w:name="Tc_tPK4TKHwsk-Hpf49YbjgSA_5_0"/>
      <w:bookmarkStart w:id="2154" w:name="Tc_LjOEs9TYQUC_sKgsHt0gMQ_4_0"/>
      <w:bookmarkStart w:id="2155" w:name="Tc_MLCqWVWGlkOI51NGUtCcFQ_3_11"/>
      <w:bookmarkStart w:id="2156" w:name="Tc_slYeZhc4qUuJOkomBoqkmQ_3_8"/>
      <w:bookmarkStart w:id="2157" w:name="Tc_4k-5gorrqkKnUuTD4-3SvQ_3_5"/>
      <w:bookmarkStart w:id="2158" w:name="Tc_m_KfaxG8BUegNTzFfeo-4g_3_2"/>
      <w:bookmarkStart w:id="2159" w:name="Tc_IFEFfr5CDEGNSf-bNYpOew_2_8"/>
      <w:bookmarkStart w:id="2160" w:name="Tc_nx5H_jDE30emmEw8e-CAaA_2_2"/>
      <w:bookmarkStart w:id="2161" w:name="Tc_GZpZg5xmUUmYE2XQWuq5QA_1_8"/>
      <w:bookmarkStart w:id="2162" w:name="Tc_EeMM2y8Z7UqrNZkox2S7Jw_1_2"/>
      <w:bookmarkStart w:id="2163" w:name="_2326e99b_b6a2_411b_965f_5a2b99a53c97"/>
      <w:bookmarkStart w:id="2164" w:name="Tc_fsp0viBgdEmqDQMPjWrTMQ_10_11"/>
      <w:bookmarkStart w:id="2165" w:name="Tc_s6hnsL2xhUSJe-_EfoL2MA_10_8"/>
      <w:bookmarkStart w:id="2166" w:name="Tc_EaGYQWW13ESSXhf_4SuudA_10_5"/>
      <w:bookmarkStart w:id="2167" w:name="Tc_3KMdeHSBvEyK-2C3cRZGmA_10_2"/>
      <w:bookmarkStart w:id="2168" w:name="Tc_MI4I1zTPBkScXb7UNcZ5_Q_9_0"/>
      <w:bookmarkStart w:id="2169" w:name="Tc_8ofB-UZf4k-34klc8NQA9g_8_0"/>
      <w:bookmarkStart w:id="2170" w:name="Tc_YV8T-5cAW0CtpfjMyTueWw_7_0"/>
      <w:bookmarkStart w:id="2171" w:name="Tc_ie2-u3PrMkKpjtYOorvSEw_6_0"/>
      <w:bookmarkStart w:id="2172" w:name="Tc_pCgaf4Cc-UCVjraFqQznGQ_5_11"/>
      <w:bookmarkStart w:id="2173" w:name="Tc_8m4U_zBxQ06-oZdowt1EzQ_5_8"/>
      <w:bookmarkStart w:id="2174" w:name="Tc_kVrWMSm1UUqFSxs-Xb5CMQ_5_5"/>
      <w:bookmarkStart w:id="2175" w:name="Tc_tOX3nXPLTEC0JFRGlK-FMw_5_2"/>
      <w:bookmarkStart w:id="2176" w:name="Tc_sQE-U_Fo-EagFms-90HYbQ_5_0"/>
      <w:bookmarkStart w:id="2177" w:name="Tc_GtcKI3PcLEG0Qfptl5HZmQ_4_0"/>
      <w:bookmarkStart w:id="2178" w:name="Tc_l5og9qXJzEuDW9_xZoQIdQ_3_11"/>
      <w:bookmarkStart w:id="2179" w:name="Tc_iYo8kabv1USjOkip_5W-KA_3_8"/>
      <w:bookmarkStart w:id="2180" w:name="Tc_WAGGlAt42U-5SNtnJD-sZw_3_5"/>
      <w:bookmarkStart w:id="2181" w:name="Tc_feSnJREsfkKUXB_k_wNlIg_3_2"/>
      <w:bookmarkStart w:id="2182" w:name="Tc_kJCXHRW5CkyC23K0L-BD8g_2_8"/>
      <w:bookmarkStart w:id="2183" w:name="Tc_g1fW7uVKmUuu0CWr73Ii0w_2_2"/>
      <w:bookmarkStart w:id="2184" w:name="Tc_0iEHsi7seUGr1ucA2zVTVQ_1_8"/>
      <w:bookmarkStart w:id="2185" w:name="Tc_fEDg0DMl0k6rQUhtaMcbMg_1_2"/>
      <w:bookmarkStart w:id="2186" w:name="_b4c9d00b_8e0a_44f3_95ce_2c2339aeca40"/>
      <w:bookmarkStart w:id="2187" w:name="Tc_FKEPPhCpYkCEHxJG3P7eGg_10_11"/>
      <w:bookmarkStart w:id="2188" w:name="Tc_PAVpMiiE00SS2v8Jv4hP_Q_10_8"/>
      <w:bookmarkStart w:id="2189" w:name="Tc_3PRW4Vn39kOmB-o-1_lgzA_10_5"/>
      <w:bookmarkStart w:id="2190" w:name="Tc_npeF0DHZ-UOMeBqy-tdcXw_10_2"/>
      <w:bookmarkStart w:id="2191" w:name="Tc_F5MX7pFaEE6nC649iajaqw_9_0"/>
      <w:bookmarkStart w:id="2192" w:name="Tc_mRM0TLEY3EqBJrgE6mbrqA_8_0"/>
      <w:bookmarkStart w:id="2193" w:name="Tc_7xbaWi57W0K5veX89nEEZA_7_0"/>
      <w:bookmarkStart w:id="2194" w:name="Tc_0AS0bh5RKEOrp9GrHXDIrA_6_0"/>
      <w:bookmarkStart w:id="2195" w:name="Tc_0fuXdZEtdUulXWRRwt7SIg_5_11"/>
      <w:bookmarkStart w:id="2196" w:name="Tc_CDFnevZo_UyKZJbV8GGq-Q_5_8"/>
      <w:bookmarkStart w:id="2197" w:name="Tc_aXTIx3nb_E-UZLse39gT6g_5_5"/>
      <w:bookmarkStart w:id="2198" w:name="Tc_pSW-gR-UBEydT5l9baB3yQ_5_2"/>
      <w:bookmarkStart w:id="2199" w:name="Tc_SguG-agsNUWOD2hSiEfTWg_5_0"/>
      <w:bookmarkStart w:id="2200" w:name="Tc_PG_MFzLZy0-wtHTCqQRYZA_4_0"/>
      <w:bookmarkStart w:id="2201" w:name="Tc_rfHIjYjYV0ilmQKuvHUZwg_3_11"/>
      <w:bookmarkStart w:id="2202" w:name="Tc_uha_Qkosy0SKACjw3EjLKw_3_8"/>
      <w:bookmarkStart w:id="2203" w:name="Tc_LMceaZhLXU-enPQgJsQ4rw_3_5"/>
      <w:bookmarkStart w:id="2204" w:name="Tc_r0I04qGWD0ieFmnPBu9T6g_3_2"/>
      <w:bookmarkStart w:id="2205" w:name="Tc_OlkotXKlwE6AALuKgzKHmg_2_8"/>
      <w:bookmarkStart w:id="2206" w:name="Tc_d0V5K9YamU2epBCF7eFn1Q_2_2"/>
      <w:bookmarkStart w:id="2207" w:name="Tc_CHH4SySzpESjKEV9xAqZFg_1_8"/>
      <w:bookmarkStart w:id="2208" w:name="Tc_2gKbA28c-0GmEjufD5oOsw_1_2"/>
      <w:bookmarkStart w:id="2209" w:name="_f220666d_4b43_4a60_bacb_57793d45d121"/>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p>
    <w:tbl>
      <w:tblPr>
        <w:tblW w:w="8198" w:type="dxa"/>
        <w:jc w:val="left"/>
        <w:tblInd w:w="0" w:type="dxa"/>
        <w:tblLayout w:type="fixed"/>
        <w:tblCellMar>
          <w:top w:w="0" w:type="dxa"/>
          <w:left w:w="0" w:type="dxa"/>
          <w:bottom w:w="0" w:type="dxa"/>
          <w:right w:w="0" w:type="dxa"/>
        </w:tblCellMar>
      </w:tblPr>
      <w:tblGrid>
        <w:gridCol w:w="2281"/>
        <w:gridCol w:w="326"/>
        <w:gridCol w:w="211"/>
        <w:gridCol w:w="901"/>
        <w:gridCol w:w="326"/>
        <w:gridCol w:w="211"/>
        <w:gridCol w:w="901"/>
        <w:gridCol w:w="326"/>
        <w:gridCol w:w="211"/>
        <w:gridCol w:w="931"/>
        <w:gridCol w:w="326"/>
        <w:gridCol w:w="211"/>
        <w:gridCol w:w="103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448435" cy="175260"/>
                      <wp:effectExtent l="0" t="0" r="0" b="0"/>
                      <wp:wrapNone/>
                      <wp:docPr id="457" name="Frame457"/>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72135" cy="175260"/>
                      <wp:effectExtent l="0" t="0" r="0" b="0"/>
                      <wp:wrapNone/>
                      <wp:docPr id="459" name="Frame4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72135" cy="175260"/>
                      <wp:effectExtent l="0" t="0" r="0" b="0"/>
                      <wp:wrapNone/>
                      <wp:docPr id="462" name="Frame4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91185" cy="175260"/>
                      <wp:effectExtent l="0" t="0" r="0" b="0"/>
                      <wp:wrapNone/>
                      <wp:docPr id="465" name="Frame4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57860" cy="175260"/>
                      <wp:effectExtent l="0" t="0" r="0" b="0"/>
                      <wp:wrapNone/>
                      <wp:docPr id="468" name="Frame46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597,922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1,240,377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1,158,740</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106,909</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(13,460)</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(244,677)</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1,008,870</w:t>
            </w:r>
          </w:p>
        </w:tc>
      </w:tr>
    </w:tbl>
    <w:p>
      <w:pPr>
        <w:pStyle w:val="TextBody"/>
        <w:bidi w:val="0"/>
        <w:spacing w:before="0" w:after="0"/>
        <w:ind w:left="0" w:right="0" w:firstLine="720"/>
        <w:jc w:val="both"/>
        <w:rPr/>
      </w:pPr>
      <w:r>
        <w:rPr/>
        <w:t>​</w:t>
      </w:r>
    </w:p>
    <w:tbl>
      <w:tblPr>
        <w:tblW w:w="8198" w:type="dxa"/>
        <w:jc w:val="left"/>
        <w:tblInd w:w="0" w:type="dxa"/>
        <w:tblLayout w:type="fixed"/>
        <w:tblCellMar>
          <w:top w:w="0" w:type="dxa"/>
          <w:left w:w="0" w:type="dxa"/>
          <w:bottom w:w="0" w:type="dxa"/>
          <w:right w:w="0" w:type="dxa"/>
        </w:tblCellMar>
      </w:tblPr>
      <w:tblGrid>
        <w:gridCol w:w="2281"/>
        <w:gridCol w:w="326"/>
        <w:gridCol w:w="211"/>
        <w:gridCol w:w="901"/>
        <w:gridCol w:w="326"/>
        <w:gridCol w:w="211"/>
        <w:gridCol w:w="901"/>
        <w:gridCol w:w="326"/>
        <w:gridCol w:w="211"/>
        <w:gridCol w:w="931"/>
        <w:gridCol w:w="326"/>
        <w:gridCol w:w="211"/>
        <w:gridCol w:w="103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448435" cy="175260"/>
                      <wp:effectExtent l="0" t="0" r="0" b="0"/>
                      <wp:wrapNone/>
                      <wp:docPr id="469" name="Frame46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72135" cy="175260"/>
                      <wp:effectExtent l="0" t="0" r="0" b="0"/>
                      <wp:wrapNone/>
                      <wp:docPr id="471" name="Frame47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72135" cy="175260"/>
                      <wp:effectExtent l="0" t="0" r="0" b="0"/>
                      <wp:wrapNone/>
                      <wp:docPr id="474" name="Frame4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91185" cy="175260"/>
                      <wp:effectExtent l="0" t="0" r="0" b="0"/>
                      <wp:wrapNone/>
                      <wp:docPr id="477" name="Frame4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57860" cy="175260"/>
                      <wp:effectExtent l="0" t="0" r="0" b="0"/>
                      <wp:wrapNone/>
                      <wp:docPr id="480" name="Frame4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center"/>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1,242,561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1,160,330</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123,707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106,938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(13,451)</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(210,758)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(218,658)</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1,129,285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1,036,523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893" w:type="dxa"/>
            <w:tcBorders/>
            <w:vAlign w:val="center"/>
          </w:tcPr>
          <w:p>
            <w:pPr>
              <w:pStyle w:val="TableContents"/>
              <w:bidi w:val="0"/>
              <w:spacing w:before="0" w:after="283"/>
              <w:jc w:val="left"/>
              <w:rPr/>
            </w:pPr>
            <w:r>
              <w:rPr>
                <w:rFonts w:ascii="Times New Roman;Times;serif" w:hAnsi="Times New Roman;Times;serif"/>
                <w:b w:val="false"/>
                <w:i/>
                <w:sz w:val="20"/>
              </w:rPr>
              <w:t>Includes $10.0 million for both the three-months ended June 30, 2024 and 2023, related to the recognition of deferred revenue. Includes $19.9</w:t>
            </w:r>
            <w:r>
              <w:rPr/>
              <w:t xml:space="preserve"> </w:t>
            </w:r>
            <w:r>
              <w:rPr>
                <w:rFonts w:ascii="Times New Roman;Times;serif" w:hAnsi="Times New Roman;Times;serif"/>
                <w:b w:val="false"/>
                <w:i/>
                <w:sz w:val="20"/>
              </w:rPr>
              <w:t>million for both the six-months ended June 30, 2024 and 2023, related to the recognition of deferred revenue.</w:t>
            </w:r>
          </w:p>
        </w:tc>
      </w:tr>
    </w:tbl>
    <w:p>
      <w:pPr>
        <w:pStyle w:val="TextBody"/>
        <w:bidi w:val="0"/>
        <w:spacing w:before="0" w:after="0"/>
        <w:ind w:left="0" w:right="0" w:hanging="0"/>
        <w:jc w:val="left"/>
        <w:rPr/>
      </w:pPr>
      <w:r>
        <w:rPr/>
        <w:t>​</w:t>
      </w:r>
    </w:p>
    <w:tbl>
      <w:tblPr>
        <w:tblW w:w="7613" w:type="dxa"/>
        <w:jc w:val="left"/>
        <w:tblInd w:w="0" w:type="dxa"/>
        <w:tblLayout w:type="fixed"/>
        <w:tblCellMar>
          <w:top w:w="0" w:type="dxa"/>
          <w:left w:w="0" w:type="dxa"/>
          <w:bottom w:w="0" w:type="dxa"/>
          <w:right w:w="0" w:type="dxa"/>
        </w:tblCellMar>
      </w:tblPr>
      <w:tblGrid>
        <w:gridCol w:w="2656"/>
        <w:gridCol w:w="326"/>
        <w:gridCol w:w="211"/>
        <w:gridCol w:w="676"/>
        <w:gridCol w:w="326"/>
        <w:gridCol w:w="211"/>
        <w:gridCol w:w="676"/>
        <w:gridCol w:w="326"/>
        <w:gridCol w:w="211"/>
        <w:gridCol w:w="676"/>
        <w:gridCol w:w="326"/>
        <w:gridCol w:w="211"/>
        <w:gridCol w:w="78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686560" cy="175260"/>
                      <wp:effectExtent l="0" t="0" r="0" b="0"/>
                      <wp:wrapNone/>
                      <wp:docPr id="481" name="Frame48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29260" cy="175260"/>
                      <wp:effectExtent l="0" t="0" r="0" b="0"/>
                      <wp:wrapNone/>
                      <wp:docPr id="483" name="Frame4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29260" cy="175260"/>
                      <wp:effectExtent l="0" t="0" r="0" b="0"/>
                      <wp:wrapNone/>
                      <wp:docPr id="486" name="Frame4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29260" cy="175260"/>
                      <wp:effectExtent l="0" t="0" r="0" b="0"/>
                      <wp:wrapNone/>
                      <wp:docPr id="489" name="Frame4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95935" cy="175260"/>
                      <wp:effectExtent l="0" t="0" r="0" b="0"/>
                      <wp:wrapNone/>
                      <wp:docPr id="492" name="Frame4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17,806</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32,384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three-months ended June 30, 2024 include $87.5 million of payroll costs, of which $17.8 million was attributable to stock-based compensation expenses (see Note 15 “Stock-Based Compensation”), as well as $14.5 million attributable to professional service expenses, including accounting and legal costs, and $23.6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three-months ended June 30, 2023 include $82.6 million of payroll costs, of which $18.1 million was attributable to stock-based compensation expenses (see Note 15 “Stock-Based Compensation”), as well as $25.3 million attributable to professional service expenses, including accounting and legal costs, and $16.4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expenses for the six-months ended June 30, 2024 include $186.1 million of payroll costs, of which $39.7 million was attributable to stock-based compensation expenses (see Note 15 “Stock-Based Compensation”), as well as $34.5 million attributable to professional service expenses, including accounting and legal costs, and $48.1 million of other 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expenses for the six-months ended June 30, 2023 include $162.9 million of payroll costs, of which $33.8 million was attributable to stock-based compensation expenses (see Note 15 “Stock-Based Compensation”), as well as $47.4 million attributable to professional service expenses, including accounting and legal costs, and $34.4 million of other operating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2210" w:name="Tc_U7pgQOH3Pki-dW9p-t5zJA_8_5"/>
      <w:bookmarkStart w:id="2211" w:name="Tc_otnmlZ9mGU64JkZXm80ymw_8_2"/>
      <w:bookmarkStart w:id="2212" w:name="Tc_K1F-XgAdV0SGdM6UzHncFg_7_6"/>
      <w:bookmarkStart w:id="2213" w:name="Tc_v0WXsXsDA0iKkHwh97NiIw_7_3"/>
      <w:bookmarkStart w:id="2214" w:name="Tc_GpD_6DIszUm451PFSxbJEw_7_0"/>
      <w:bookmarkStart w:id="2215" w:name="Tc_o5sXM69rt0eYd1dkEJx3qg_6_0"/>
      <w:bookmarkStart w:id="2216" w:name="Tc_Nj7__5z3xECwr7Du8voXzg_5_0"/>
      <w:bookmarkStart w:id="2217" w:name="Tc_hcaigjs2k0qL9_XHhdhiXw_4_5"/>
      <w:bookmarkStart w:id="2218" w:name="Tc_Nz8K2DYo30miRNkC7b0Odg_4_2"/>
      <w:bookmarkStart w:id="2219" w:name="Tc_iUUIohYHhU-MCX9q3PBl1A_4_0"/>
      <w:bookmarkStart w:id="2220" w:name="Tc_swC4DngZBUeLlcIh2p89oA_3_0"/>
      <w:bookmarkStart w:id="2221" w:name="Tc_NyruTe_1TUSZVWemKJZADQ_2_5"/>
      <w:bookmarkStart w:id="2222" w:name="Tc_7VMhFSSMfEOb7t2ka9BmEQ_2_2"/>
      <w:bookmarkStart w:id="2223" w:name="Tc_YkwsuWiI6UyyRtnBdbzc2A_1_5"/>
      <w:bookmarkStart w:id="2224" w:name="Tc_GRkNiMSCAkSSWfABsF7FBg_1_2"/>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r>
        <w:rPr>
          <w:rFonts w:ascii="Times New Roman;Times;serif" w:hAnsi="Times New Roman;Times;serif"/>
          <w:sz w:val="20"/>
        </w:rPr>
        <w:t>Coca-Cola Europacific Partners accounted for approximately 14% of the Company’s net sales for both the three-months ended June 30, 2024 and 2023. Coca-Cola Europacific Partners accounted for approximately 14% and 13% of the Company’s net sales for the six-months ended June 30,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11% and 10% of the Company’s net sales for the three-months ended June 30, 2024 and 2023, respectively. Coca-Cola Consolidated, Inc. accounted for approximately 10% of the Company’s net sales for both the six-months ended June 30,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10% of the Company’s net sales for both the three-months ended June 30, 2024 and 2023. Reyes Holdings, LLC accounted for approximately 9% and 10% of the Company’s net sales for the six-months ended June 30,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$746.0 million and $715.4 million for the three-months ended June 30, 2024 and 2023, respectively. Such sales were approximately 39% of net sales for both the three-months ended June 30, 2024 and 2023. Net sales to customers outside the United States amounted to $1.49 billion and $1.34 billion for the six-months ended June 30, 2024 and 2023, respectively. Such sales were approximately 39% and 38% of net sales for the six-months ended June 30, 2024 and 2023,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were as follows at:</w:t>
      </w:r>
    </w:p>
    <w:p>
      <w:pPr>
        <w:pStyle w:val="TextBody"/>
        <w:bidi w:val="0"/>
        <w:spacing w:before="0" w:after="0"/>
        <w:ind w:left="0" w:right="0" w:firstLine="720"/>
        <w:jc w:val="both"/>
        <w:rPr/>
      </w:pPr>
      <w:r>
        <w:rPr/>
        <w:t>​</w:t>
      </w:r>
    </w:p>
    <w:tbl>
      <w:tblPr>
        <w:tblW w:w="6250" w:type="dxa"/>
        <w:jc w:val="left"/>
        <w:tblInd w:w="0" w:type="dxa"/>
        <w:tblLayout w:type="fixed"/>
        <w:tblCellMar>
          <w:top w:w="0" w:type="dxa"/>
          <w:left w:w="0" w:type="dxa"/>
          <w:bottom w:w="0" w:type="dxa"/>
          <w:right w:w="0" w:type="dxa"/>
        </w:tblCellMar>
      </w:tblPr>
      <w:tblGrid>
        <w:gridCol w:w="3151"/>
        <w:gridCol w:w="326"/>
        <w:gridCol w:w="211"/>
        <w:gridCol w:w="931"/>
        <w:gridCol w:w="326"/>
        <w:gridCol w:w="220"/>
        <w:gridCol w:w="1085"/>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00885" cy="175260"/>
                      <wp:effectExtent l="0" t="0" r="0" b="0"/>
                      <wp:wrapNone/>
                      <wp:docPr id="493" name="Frame49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91185" cy="175260"/>
                      <wp:effectExtent l="0" t="0" r="0" b="0"/>
                      <wp:wrapNone/>
                      <wp:docPr id="496" name="Frame4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9700" cy="175260"/>
                      <wp:effectExtent l="0" t="0" r="0" b="0"/>
                      <wp:wrapNone/>
                      <wp:docPr id="498" name="Frame49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88975" cy="175260"/>
                      <wp:effectExtent l="0" t="0" r="0" b="0"/>
                      <wp:wrapNone/>
                      <wp:docPr id="499" name="Frame499"/>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1,671,799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1,663,814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982,435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982,471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197,033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198,795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2,851,267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2,845,080</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19.</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$19.8 million and $18.1 million for the three-months ended June 30, 2024 and 2023, respectively, and are included as a reduction to net sales. TCCC commissions, based on sales to the TCCC Subsidiaries and the TCCC Related Parties, were $42.3 million and $33.8 million for the six-months ended June 30, 2024 and 2023, respectively, and are included as a reduction to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 were $8.7 million and $8.1 million for the three-months ended June 30, 2024 and 2023, respectively, and are included in operating expenses. TCCC commissions, based on sales to TCCC independent bottlers, were $18.4 million and $16.9 million for the six-months ended June 30, 2024 and 2023, respectively, and are included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June 30, 2024 and 2023 were $55.5 million and $33.2 million, respectively. Net sales to the TCCC Subsidiaries for the six-months ended June 30, 2024 and 2023 were $97.2 million and $68.3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purchases concentrates from TCCC which are then sold to certain of the Company’s bottlers/distributors. Concentrate purchases from TCCC were $6.9 million and $8.3 million for the three-months ended June 30, 2024 and 2023, respectively. Concentrate purchases from TCCC were $14.9 million and $14.8 million for the six-months ended June 30,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2225" w:name="Tc_XExhWNS26Ee70y07qQSg7Q_6_5"/>
      <w:bookmarkStart w:id="2226" w:name="Tc_kkO6jQJEuUyyqor1CxQBQQ_6_2"/>
      <w:bookmarkStart w:id="2227" w:name="Tc_uoirOmlLgUmJRr2dN576eg_6_0"/>
      <w:bookmarkStart w:id="2228" w:name="Tc_kVrTLnX220eRlBL2boeNFQ_5_5"/>
      <w:bookmarkStart w:id="2229" w:name="Tc_Ues-eR6uTkKn0AMOD21LUg_5_2"/>
      <w:bookmarkStart w:id="2230" w:name="Tc_pkFuoG66A0i9g2Dh-XWoMA_5_0"/>
      <w:bookmarkStart w:id="2231" w:name="Tc_TwUANaGUhku9r5egglP_jw_4_5"/>
      <w:bookmarkStart w:id="2232" w:name="Tc_sMvVBq9bRUutHHp0NhG3pg_4_2"/>
      <w:bookmarkStart w:id="2233" w:name="Tc_qpidsCaeck2F4QCBRXtEPg_4_0"/>
      <w:bookmarkStart w:id="2234" w:name="Tc_Fa9Gp78TmUKJksRfVIcJHw_3_5"/>
      <w:bookmarkStart w:id="2235" w:name="Tc_ATUKe7ISsEqlx2DhIGDiaw_3_2"/>
      <w:bookmarkStart w:id="2236" w:name="Tc_j2CIwjIIKE2w0-3olr6ByA_3_0"/>
      <w:bookmarkStart w:id="2237" w:name="Tc_ibvuaQwSCEKzQoWvHVA66A_2_5"/>
      <w:bookmarkStart w:id="2238" w:name="Tc_Ld3d4192kUivg8n6TWsmAg_2_2"/>
      <w:bookmarkStart w:id="2239" w:name="Tc_WLjCLn0MdUy4AgwJGp5nMQ_1_5"/>
      <w:bookmarkStart w:id="2240" w:name="Tc_HQjhrVhmuEOuJHcGAFfDTA_1_2"/>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r>
        <w:rPr>
          <w:rFonts w:ascii="Times New Roman;Times;serif" w:hAnsi="Times New Roman;Times;serif"/>
          <w:sz w:val="20"/>
        </w:rPr>
        <w:t>Certain TCCC Subsidiaries also contract manufacture certain of the Company’s energy drinks. Such contract manufacturing expenses were $9.6 million and $7.5 million for the three-months ended June 30, 2024 and 2023, respectively. Such contract manufacturing expenses were $18.6 million and $15.0 million for the six-months ended June 30, 2024 and 2023,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firstLine="720"/>
        <w:jc w:val="both"/>
        <w:rPr/>
      </w:pPr>
      <w:r>
        <w:rPr/>
        <w:t>​</w:t>
      </w:r>
    </w:p>
    <w:tbl>
      <w:tblPr>
        <w:tblW w:w="5755" w:type="dxa"/>
        <w:jc w:val="left"/>
        <w:tblInd w:w="0" w:type="dxa"/>
        <w:tblLayout w:type="fixed"/>
        <w:tblCellMar>
          <w:top w:w="0" w:type="dxa"/>
          <w:left w:w="0" w:type="dxa"/>
          <w:bottom w:w="0" w:type="dxa"/>
          <w:right w:w="0" w:type="dxa"/>
        </w:tblCellMar>
      </w:tblPr>
      <w:tblGrid>
        <w:gridCol w:w="2791"/>
        <w:gridCol w:w="326"/>
        <w:gridCol w:w="211"/>
        <w:gridCol w:w="796"/>
        <w:gridCol w:w="326"/>
        <w:gridCol w:w="265"/>
        <w:gridCol w:w="1040"/>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772285" cy="175260"/>
                      <wp:effectExtent l="0" t="0" r="0" b="0"/>
                      <wp:wrapNone/>
                      <wp:docPr id="500" name="Frame500"/>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05460" cy="175260"/>
                      <wp:effectExtent l="0" t="0" r="0" b="0"/>
                      <wp:wrapNone/>
                      <wp:docPr id="503" name="Frame5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68275" cy="175260"/>
                      <wp:effectExtent l="0" t="0" r="0" b="0"/>
                      <wp:wrapNone/>
                      <wp:docPr id="505" name="Frame50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60400" cy="175260"/>
                      <wp:effectExtent l="0" t="0" r="0" b="0"/>
                      <wp:wrapNone/>
                      <wp:docPr id="506" name="Frame506"/>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110,998</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135,246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(51,756)</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(68,386)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(20,375)</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(19,745)</w:t>
            </w:r>
          </w:p>
        </w:tc>
      </w:tr>
    </w:tbl>
    <w:p>
      <w:pPr>
        <w:pStyle w:val="TextBody"/>
        <w:pBdr/>
        <w:bidi w:val="0"/>
        <w:spacing w:before="0" w:after="0"/>
        <w:ind w:left="0" w:right="0" w:hanging="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June 30, 2024 and 2023 were $1.7 million and $1.0 million, respectively. Expenses incurred with such company in connection with promotional materials purchased during the six-months ended June 30, 2024 and 2023 were $3.6 million and $2.1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both the three-months ended June 30, 2024 and 2023, the Company incurred expense of $0.03 million in relation to the aircraft. During both the six-months ended June 30, 2024 and 2023, the Company incurred expense of $0.03 million in relation to the aircraft.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241" w:name="ITEM2MANAGEMENTSDISCUSSIONANDANALYSIS_40"/>
      <w:bookmarkStart w:id="2242" w:name="_04821612_01b4_47e7_a416_8a26241e10c5"/>
      <w:bookmarkEnd w:id="2241"/>
      <w:bookmarkEnd w:id="2242"/>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Repurchase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condensed consolidated balance sheet at June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at various times in certain international markets during the third and fourth quarters of 2023 as well as the first and second quarters of 2024 (collectively, the “Pricing Actions”), all of which positively impacted net sales and gross profit margins in the second quarter of 2024 as compared to the second quarter of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currently anticipates implementing price increases in the United States, at amounts yet to be determined, on certain of its Monster Energy® brand energy drinks in the fourth quarter of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p>
      <w:pPr>
        <w:pStyle w:val="TextBody"/>
        <w:bidi w:val="0"/>
        <w:spacing w:before="0" w:after="0"/>
        <w:ind w:left="0" w:right="0" w:firstLine="720"/>
        <w:jc w:val="both"/>
        <w:rPr/>
      </w:pPr>
      <w:r>
        <w:rPr/>
        <w:t>​</w:t>
      </w:r>
    </w:p>
    <w:tbl>
      <w:tblPr>
        <w:tblW w:w="6857" w:type="dxa"/>
        <w:jc w:val="left"/>
        <w:tblInd w:w="0" w:type="dxa"/>
        <w:tblLayout w:type="fixed"/>
        <w:tblCellMar>
          <w:top w:w="0" w:type="dxa"/>
          <w:left w:w="0" w:type="dxa"/>
          <w:bottom w:w="0" w:type="dxa"/>
          <w:right w:w="0" w:type="dxa"/>
        </w:tblCellMar>
      </w:tblPr>
      <w:tblGrid>
        <w:gridCol w:w="3436"/>
        <w:gridCol w:w="3421"/>
      </w:tblGrid>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Ultra®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Mother®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Rehab®</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Nalu®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Nitro</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Ultra Energy®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Java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Play® and Power Play® (stylized)</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Punch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Relentless®</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Juice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BPM®</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Total Body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Inferno® Thermogenic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Gladiator®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Storm®</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Samurai®</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Bang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Live+®</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NOS®</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Predator®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Full Throttle®</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Fury®</w:t>
            </w:r>
          </w:p>
        </w:tc>
      </w:tr>
    </w:tbl>
    <w:p>
      <w:pPr>
        <w:pStyle w:val="TextBody"/>
        <w:bidi w:val="0"/>
        <w:spacing w:before="0" w:after="0"/>
        <w:ind w:left="0" w:right="0" w:hanging="0"/>
        <w:jc w:val="left"/>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w:t>
      </w:r>
      <w:r>
        <w:rPr>
          <w:rFonts w:ascii="Times New Roman;Times;serif" w:hAnsi="Times New Roman;Times;serif"/>
          <w:sz w:val="15"/>
        </w:rPr>
        <w:t>TM</w:t>
      </w:r>
      <w:r>
        <w:rPr>
          <w:rFonts w:ascii="Times New Roman;Times;serif" w:hAnsi="Times New Roman;Times;serif"/>
          <w:sz w:val="20"/>
        </w:rPr>
        <w:t xml:space="preserve">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w:t>
      </w:r>
      <w:r>
        <w:rPr>
          <w:rFonts w:ascii="Times New Roman;Times;serif" w:hAnsi="Times New Roman;Times;serif"/>
          <w:sz w:val="15"/>
        </w:rPr>
        <w:t>TM</w:t>
      </w:r>
      <w:r>
        <w:rPr>
          <w:rFonts w:ascii="Times New Roman;Times;serif" w:hAnsi="Times New Roman;Times;serif"/>
          <w:sz w:val="20"/>
        </w:rPr>
        <w:t xml:space="preserve"> Black Ale, Hop Rising® Double IPA, Wasatch® Apricot Hefeweizen, The Beast Unleashed®, Nasty Beast</w:t>
      </w:r>
      <w:r>
        <w:rPr>
          <w:rFonts w:ascii="Times New Roman;Times;serif" w:hAnsi="Times New Roman;Times;serif"/>
          <w:sz w:val="15"/>
        </w:rPr>
        <w:t>TM</w:t>
      </w:r>
      <w:r>
        <w:rPr>
          <w:rFonts w:ascii="Times New Roman;Times;serif" w:hAnsi="Times New Roman;Times;serif"/>
          <w:sz w:val="20"/>
        </w:rPr>
        <w:t xml:space="preserve"> Hard Tea and a host of other brands.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Reign Storm® total wellness energy drinks, Bang Energy® drinks and Monster Tour Water®,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hard seltzers and FMBs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2024, we continued to expand our existing drink portfolio by adding additional products to our portfolio in a number of countries and further developed our distribution markets. Due to the planned timing of product innovations, there were no new products launched during the three-months ended June 30, 2024. In the third quarter of 2024, we plan to launch the following new products to our customers:</w:t>
      </w:r>
    </w:p>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Monster Energy® Ultra Vice Guava</w:t>
            </w:r>
            <w:r>
              <w:rPr>
                <w:rFonts w:ascii="Times New Roman;Times;serif" w:hAnsi="Times New Roman;Times;serif"/>
                <w:b w:val="false"/>
                <w:i w:val="false"/>
                <w:caps w:val="false"/>
                <w:smallCaps w:val="false"/>
                <w:sz w:val="15"/>
              </w:rPr>
              <w:t>TM</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Beast Unleashed® Gnarly Grape</w:t>
            </w:r>
            <w:r>
              <w:rPr>
                <w:rFonts w:ascii="Times New Roman;Times;serif" w:hAnsi="Times New Roman;Times;serif"/>
                <w:b w:val="false"/>
                <w:i w:val="false"/>
                <w:caps w:val="false"/>
                <w:smallCaps w:val="false"/>
                <w:sz w:val="15"/>
              </w:rPr>
              <w:t>TM</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Beast Unleashed® Killer Sunrise</w:t>
            </w:r>
            <w:r>
              <w:rPr>
                <w:rFonts w:ascii="Times New Roman;Times;serif" w:hAnsi="Times New Roman;Times;serif"/>
                <w:b w:val="false"/>
                <w:i w:val="false"/>
                <w:caps w:val="false"/>
                <w:smallCaps w:val="false"/>
                <w:sz w:val="15"/>
              </w:rPr>
              <w:t>TM</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Beast Unleashed® Pink Poison</w:t>
            </w:r>
            <w:r>
              <w:rPr>
                <w:rFonts w:ascii="Times New Roman;Times;serif" w:hAnsi="Times New Roman;Times;serif"/>
                <w:b w:val="false"/>
                <w:i w:val="false"/>
                <w:caps w:val="false"/>
                <w:smallCaps w:val="false"/>
                <w:sz w:val="15"/>
              </w:rPr>
              <w:t>TM</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three-months ended June 30, 2024,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of $1.90 billion for the three-months ended June 30, 2024 represented record sales for our second fiscal quarter. Net changes in foreign currency exchange rates had an unfavorable impact on net sales of approximately $67.7 million ($34.0 million related to Argentina) for the three-months ended June 30, 2024. Net sales on a foreign currency adjusted basis increased 6.1% (4.3% exclusive of Argentina’s impact)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vast majority of our net sales are derived from our Monster Energy® Drinks segment. Net sales of our Monster Energy® Drinks segment were $1.74 billion for the three-months ended June 30, 2024. Net sales of our Strategic Brands segment were $109.2 million for the three-months ended June 30, 2024. Net sales of our Alcohol Brands segment were $41.6 million for the three-months ended June 30, 2024. Net sales of our Other segment were $7.0 million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91.7% and 90.9% of our net sales for the three-months ended June 30, 2024 and 2023, respectively. Our Strategic Brands segment represented 5.7% and 5.4% of our net sales for the three-months ended June 30, 2024 and 2023, respectively. Our Alcohol Brands segment represented 2.2% and 3.3% of our net sales for the three-months ended June 30, 2024 and 2023, respectively. Our Other segment represented 0.4% of our net sales for both the three-months ended June 30,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expanding our international business and growing our business into new sectors, such as the alcohol beverage sector. Net sales to customers outside the United States were $746.0 million for the three-months ended June 30, 2024, an increase of approximately $30.7 million, or 4.3% higher than net sales to customers outside of the United States of $715.4 million for the three-months ended June 30, 2023. Such sales were approximately 39% of net sales for both the three-months ended June 30, 2024 and 2023. Net changes in foreign currency exchange rates had an unfavorable impact on net sales to customers outside of the United States of approximately $67.7 million ($34.0 million related to Argentina) for the three-months ended June 30, 2024. Net sales to customers outside the United States, on a foreign currency adjusted basis, increased 13.7% (9.0% exclusive of Argentina’s impact) for the three-months ended June 30,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are primarily full service beverage bottlers/distributors, retail grocery and specialty chains, wholesalers, club stores, mass merchandisers, convenience and gas chains, foodservice customers, value stores, e-commerce retailers and the military. Our alcohol customers are primarily beer distributors who in turn sell to retailers within the alcohol distribution system. Percentages of our gross billings to our various customer types for the three- and six-months ended June 30, 2024 and 2023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same customer types listed below. We limit our description of our customer types to include only our sales to our full service bottlers/distributors without reference to such bottlers/distributors’ sales to their own customers.</w:t>
      </w:r>
    </w:p>
    <w:p>
      <w:pPr>
        <w:pStyle w:val="TextBody"/>
        <w:bidi w:val="0"/>
        <w:spacing w:before="0" w:after="0"/>
        <w:ind w:left="0" w:right="0" w:firstLine="720"/>
        <w:jc w:val="both"/>
        <w:rPr/>
      </w:pPr>
      <w:r>
        <w:rPr/>
        <w:t>​</w:t>
      </w:r>
    </w:p>
    <w:tbl>
      <w:tblPr>
        <w:tblW w:w="10163" w:type="dxa"/>
        <w:jc w:val="left"/>
        <w:tblInd w:w="0" w:type="dxa"/>
        <w:tblLayout w:type="fixed"/>
        <w:tblCellMar>
          <w:top w:w="0" w:type="dxa"/>
          <w:left w:w="0" w:type="dxa"/>
          <w:bottom w:w="0" w:type="dxa"/>
          <w:right w:w="0" w:type="dxa"/>
        </w:tblCellMar>
      </w:tblPr>
      <w:tblGrid>
        <w:gridCol w:w="5641"/>
        <w:gridCol w:w="326"/>
        <w:gridCol w:w="698"/>
        <w:gridCol w:w="479"/>
        <w:gridCol w:w="698"/>
        <w:gridCol w:w="326"/>
        <w:gridCol w:w="641"/>
        <w:gridCol w:w="397"/>
        <w:gridCol w:w="641"/>
        <w:gridCol w:w="316"/>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582035" cy="175260"/>
                      <wp:effectExtent l="0" t="0" r="0" b="0"/>
                      <wp:wrapNone/>
                      <wp:docPr id="507" name="Frame507"/>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43230" cy="175260"/>
                      <wp:effectExtent l="0" t="0" r="0" b="0"/>
                      <wp:wrapNone/>
                      <wp:docPr id="509" name="Frame50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04165" cy="175260"/>
                      <wp:effectExtent l="0" t="0" r="0" b="0"/>
                      <wp:wrapNone/>
                      <wp:docPr id="510" name="Frame510"/>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43230" cy="175260"/>
                      <wp:effectExtent l="0" t="0" r="0" b="0"/>
                      <wp:wrapNone/>
                      <wp:docPr id="511" name="Frame511"/>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07035" cy="175260"/>
                      <wp:effectExtent l="0" t="0" r="0" b="0"/>
                      <wp:wrapNone/>
                      <wp:docPr id="513" name="Frame513"/>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52095" cy="175260"/>
                      <wp:effectExtent l="0" t="0" r="0" b="0"/>
                      <wp:wrapNone/>
                      <wp:docPr id="514" name="Frame514"/>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07035" cy="175260"/>
                      <wp:effectExtent l="0" t="0" r="0" b="0"/>
                      <wp:wrapNone/>
                      <wp:docPr id="515" name="Frame515"/>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0660" cy="175260"/>
                      <wp:effectExtent l="0" t="0" r="0" b="0"/>
                      <wp:wrapNone/>
                      <wp:docPr id="516" name="Frame5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167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67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479" w:type="dxa"/>
            <w:tcBorders/>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97" w:type="dxa"/>
            <w:tcBorders/>
            <w:vAlign w:val="center"/>
          </w:tcPr>
          <w:p>
            <w:pPr>
              <w:pStyle w:val="TableContents"/>
              <w:bidi w:val="0"/>
              <w:spacing w:before="0" w:after="0"/>
              <w:ind w:left="0" w:right="0" w:hanging="0"/>
              <w:jc w:val="left"/>
              <w:rPr/>
            </w:pPr>
            <w:r>
              <w:rPr/>
              <w:t>    </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Sheehan Family Companies.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of our net sales for both the three-months ended June 30, 2024 and 2023. Coca-Cola Europacific Partners accounted for approximately 14% and 13% of our net sales for the six-months ended June 30, 2024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Coca-Cola Consolidated, Inc. accounted for approximately 11% and 10% of our net sales for the three-months ended June 30, 2024 and 2023, respectively. Coca-Cola Consolidated, Inc. accounted for approximately 10% of our net sales for both the six-months ended June 30, 2024 and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10% of our net sales for both the three-months ended June 30, 2024 and 2023. Reyes Holdings, LLC accounted for approximately 9% and 10% of our net sales for the six-months ended June 30,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three-and six-months ended June 30, 2024 and 2023.</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148"/>
        <w:gridCol w:w="326"/>
        <w:gridCol w:w="196"/>
        <w:gridCol w:w="826"/>
        <w:gridCol w:w="331"/>
        <w:gridCol w:w="196"/>
        <w:gridCol w:w="826"/>
        <w:gridCol w:w="331"/>
        <w:gridCol w:w="856"/>
        <w:gridCol w:w="331"/>
        <w:gridCol w:w="196"/>
        <w:gridCol w:w="826"/>
        <w:gridCol w:w="326"/>
        <w:gridCol w:w="196"/>
        <w:gridCol w:w="826"/>
        <w:gridCol w:w="326"/>
        <w:gridCol w:w="856"/>
        <w:gridCol w:w="286"/>
      </w:tblGrid>
      <w:tr>
        <w:trPr/>
        <w:tc>
          <w:tcPr>
            <w:tcW w:w="2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63980" cy="175260"/>
                      <wp:effectExtent l="0" t="0" r="0" b="0"/>
                      <wp:wrapNone/>
                      <wp:docPr id="517" name="Frame517"/>
                      <a:graphic xmlns:a="http://schemas.openxmlformats.org/drawingml/2006/main">
                        <a:graphicData uri="http://schemas.microsoft.com/office/word/2010/wordprocessingShape">
                          <wps:wsp>
                            <wps:cNvSpPr txBox="1"/>
                            <wps:spPr>
                              <a:xfrm>
                                <a:off x="0" y="0"/>
                                <a:ext cx="136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4460" cy="175260"/>
                      <wp:effectExtent l="0" t="0" r="0" b="0"/>
                      <wp:wrapNone/>
                      <wp:docPr id="519" name="Frame5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24510" cy="175260"/>
                      <wp:effectExtent l="0" t="0" r="0" b="0"/>
                      <wp:wrapNone/>
                      <wp:docPr id="520" name="Frame5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0185" cy="175260"/>
                      <wp:effectExtent l="0" t="0" r="0" b="0"/>
                      <wp:wrapNone/>
                      <wp:docPr id="521" name="Frame52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24460" cy="175260"/>
                      <wp:effectExtent l="0" t="0" r="0" b="0"/>
                      <wp:wrapNone/>
                      <wp:docPr id="522" name="Frame5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24510" cy="175260"/>
                      <wp:effectExtent l="0" t="0" r="0" b="0"/>
                      <wp:wrapNone/>
                      <wp:docPr id="523" name="Frame5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0185" cy="175260"/>
                      <wp:effectExtent l="0" t="0" r="0" b="0"/>
                      <wp:wrapNone/>
                      <wp:docPr id="524" name="Frame5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43560" cy="175260"/>
                      <wp:effectExtent l="0" t="0" r="0" b="0"/>
                      <wp:wrapNone/>
                      <wp:docPr id="525" name="Frame52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0185" cy="175260"/>
                      <wp:effectExtent l="0" t="0" r="0" b="0"/>
                      <wp:wrapNone/>
                      <wp:docPr id="526" name="Frame52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24460" cy="175260"/>
                      <wp:effectExtent l="0" t="0" r="0" b="0"/>
                      <wp:wrapNone/>
                      <wp:docPr id="527" name="Frame5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24510" cy="175260"/>
                      <wp:effectExtent l="0" t="0" r="0" b="0"/>
                      <wp:wrapNone/>
                      <wp:docPr id="528" name="Frame5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24460" cy="175260"/>
                      <wp:effectExtent l="0" t="0" r="0" b="0"/>
                      <wp:wrapNone/>
                      <wp:docPr id="530" name="Frame5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24510" cy="175260"/>
                      <wp:effectExtent l="0" t="0" r="0" b="0"/>
                      <wp:wrapNone/>
                      <wp:docPr id="531" name="Frame5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543560" cy="175260"/>
                      <wp:effectExtent l="0" t="0" r="0" b="0"/>
                      <wp:wrapNone/>
                      <wp:docPr id="533" name="Frame53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81610" cy="175260"/>
                      <wp:effectExtent l="0" t="0" r="0" b="0"/>
                      <wp:wrapNone/>
                      <wp:docPr id="534" name="Frame53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31" w:type="dxa"/>
            <w:tcBorders/>
            <w:vAlign w:val="center"/>
          </w:tcPr>
          <w:p>
            <w:pPr>
              <w:pStyle w:val="TableContents"/>
              <w:bidi w:val="0"/>
              <w:spacing w:before="0" w:after="0"/>
              <w:ind w:left="0" w:right="0" w:hanging="0"/>
              <w:jc w:val="left"/>
              <w:rPr/>
            </w:pPr>
            <w:r>
              <w:rPr/>
              <w:t>​</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Six-Months Ended</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31"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31"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31"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 vs. 23</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 vs. 23</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sales</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1,900,597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1,854,961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3,799,695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3,553,891</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881,091</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880,739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1,753,061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1,681,820</w:t>
            </w:r>
          </w:p>
        </w:tc>
        <w:tc>
          <w:tcPr>
            <w:tcW w:w="32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Gross profit*</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1,019,506</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974,222</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2,046,634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1,872,071</w:t>
            </w:r>
          </w:p>
        </w:tc>
        <w:tc>
          <w:tcPr>
            <w:tcW w:w="32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 as a percentage of net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492,343</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450,417</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977,480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863,201</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527,163</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523,805</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1,069,154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1,008,870</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as a percentage of net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other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24,376</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15,159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27,653</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551,539</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538,964</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1,129,285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1,036,523</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126,170</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125,093</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261,867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225,208</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as a percentage of income before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425,369</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867,418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811,315</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1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0.41</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0.40</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0.78</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0.41</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0.39</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0.77</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1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 drink case sales (in thousands) (in 192</w:t>
              <w:noBreakHyphen/>
              <w:t>ounce case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212,194</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198,406</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380,850</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pBdr/>
        <w:bidi w:val="0"/>
        <w:spacing w:lineRule="auto" w:line="240" w:before="0" w:after="240"/>
        <w:ind w:left="0" w:right="0" w:hanging="72"/>
        <w:jc w:val="both"/>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i/>
          <w:sz w:val="20"/>
        </w:rPr>
        <w:t>Includes $10.0 million for both the three-months ended June 30, 2024 and 2023, related to the recognition of deferred revenue. Includes $19.9 million for both the six-months ended June 30, 2024 and 2023, related to the recognition of deferred revenue.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Three-Months Ended June 30, 2024 Compared to the Three-Months Ended June 30, 2023</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were $1.90 billion for the three-months ended June 30, 2024, an increase of approximately $45.6 million, or 2.5% higher than net sales of $1.85 billion for the three-months ended June 30, 2023. Net sales increased primarily due to increased worldwide sales by volume of our Monster Energy® brand energy drinks as a result of increased consumer demand, as well as due to the Pricing Actions. Net changes in foreign currency exchange rates had an unfavorable impact on net sales of approximately $67.7 million ($34.0 million related to Argentina) for the three-months ended June 30, 2024. Net sales on a foreign currency adjusted basis increased 6.1% (4.3% exclusive of Argentina’s impact) for the three-months ended June 30, 2024.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sales were $702.4 million and $670.5 million for the three-months ended June 30, 2024 and 2023, respectively, in EMEA, Asia Pacific (including Oceania), Latin America and the Caribbean. Net changes in foreign currency exchange rates had an unfavorable impact on net sales to customers in EMEA, Asia Pacific (including Oceania), Latin America and the Caribbean of approximately $67.3 million ($34.0 million related to Argentina) for the three-months ended June 30, 2024. Net sales on a foreign currency adjusted basis in EMEA, Asia Pacific (including Oceania), Latin America and the Caribbean increased 14.8% (9.7% exclusive of Argentina’s impact) for the three-months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$1.74 billion for the three-months ended June 30, 2024, an increase of approximately $55.9 million, or 3.3% higher than net sales of $1.69 billion for the three-months ended June 30, 2023. Net sales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net sales for the Monster Energy® Drinks segment of approximately $53.6 million ($34.0 million related to Argentina) for the three-months ended June 30, 2024. Net sales for the Monster Energy® Drinks segment on a foreign currency adjusted basis increased 6.5% (4.5% exclusive of Argentina’s impact)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$109.2 million for the three-months ended June 30, 2024, an increase of approximately $9.5 million, or 9.6% higher than net sales of $99.7 million for the three-months ended June 30, 2023. Net sales for the Strategic Brands segment increased primarily due to increased sales by volume of our NOS®, Burn® and Predator® brand energy drinks. Net changes in foreign currency exchange rates had an unfavorable impact on net sales of approximately $14.0 million for the Strategic Brands segment for the three-months ended June 30, 2024. Net sales for the Strategic Brands segment on a foreign currency adjusted basis increased 23.6% for the three-months ended June 30, 2024. Net sales of concentrates within the Strategic Brands segment tend to have more pronounced fluctuations from period to period as compared to net sales of our finished goods within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$41.6 million for the three-months ended June 30, 2024, a decrease of approximately $19.5 million, or 31.9% lower than net sales of $61.1 million for the three-months ended June 30, 2023. The decrease in net sales for the three-months ended June 30, 2024 was primarily due to decreased sales by volume of FMBs.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$7.0 million for the three-months ended June 30, 2024, a decrease of approximately $0.3 million, or 4.2% lower than net sales of $7.3 million for the three-months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212.2 million cases for the three-months ended June 30, 2024, an increase of approximately 13.8 million cases or 6.9% higher than case sales of 198.4 million cases for the three-months ended June 30, 2023. The overall average net sales per case for our energy drink products (excluding net sales of Alcohol Brands and Other segments) decreased to $8.73 for the three-months ended June 30, 2024, which was 3.1% lower than the average net sales per case of $9.00 for the three-months ended June 30, 2023. The decrease in overall average net sales per case for our energy drink products for the three-months ended June 30, 2024 compared to the three-months ended June 30, 2023 was primarily due to geographical/product sales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hard seltzers and FMBs, in 192-ounce equivalents, were 3.0 million cases for the three-months ended June 30, 2024, a decrease of approximately 1.4 million cases or 31.6% lower than case sales of 4.4 million cases for the three-months ended June 30, 2023. Barrel sales for our craft beers, hard seltzers and FMBs, in 31 U.S. gallon equivalents, were 0.15 million barrels for the three-months ended June 30, 2024, a decrease of approximately 0.07 million barrels or 31.6% lower than barrel sales of 0.21 million barrels for the three-months ended June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was $1.02 billion for the three-months ended June 30, 2024, an increase of approximately $45.3 million, or 4.6% higher than the gross profit of $974.2 million for the three-months ended June 30, 2023. The increase in gross profit dollars was primarily the result of the $45.6 million increase in net sales for the three-months ended June 30, 2024.</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53.6% for the three-months ended June 30, 2024 from 52.5% for the three-months ended June 30, 2023. The increase in gross profit as a percentage of net sales for the three-months ended June 30, 2024 was primarily the result of decreased freight-in costs, the Pricing Actions and lower aluminum can costs, partially offset by production inefficiencies.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operating expenses were $492.3 million for the three-months ended June 30, 2024, an increase of approximately $41.9 million, or 9.3% higher than total operating expenses of $450.4 million for the three-months ended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$19.6 million (primarily sponsorships and endorsements), increased payroll expenses of $12.0 million and increased distribution expenses (including storage and warehouse) of $5.4 million. Operating expenses as a percentage of net sales for the three-months ended June 30, 2024 were 25.9% as compared to 24.3% for the three-months ended June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$527.2 million for the three-months ended June 30, 2024, an increase of approximately $3.4 million, or 0.6% higher than operating income of $523.8 million for the three-months ended June 30, 2023. Operating income as a percentage of net sales decreased to 27.7% for the three-months ended June 30, 2024 from 28.2% for the three-months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$145.8 million and $114.2 million for the three-months ended June 30, 2024 and 2023, respectively, for our operations in EMEA, Asia Pacific (including Oceania), Latin America and the Caribbean.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$612.3 million for the three-months ended June 30, 2024, an increase of approximately $14.3 million, or 2.4% higher than operating income of $597.9 million for the three-months ended June 30, 2023. The increase in operating income for the Monster Energy® Drinks segment was primarily the result of an increase in net sales as well as an increase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$61.7 million for the three-months ended June 30, 2024, an increase of approximately $6.5 million, or 11.8% higher than operating income of $55.1 million for the three-months ended June 30, 2023.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loss for the Alcohol Brands segment, exclusive of corporate and unallocated expenses, was $22.6 million for the three-months ended June 30, 2024, an increase of approximately $16.0 million, or 243.0% higher than the operating loss of $6.6 million for the three-months ended June 30, 2023. The increase in operating losses for the three-months ended June 30, 2024 was primarily due to a decrease in net sales as well as an $8.1 million loss on impairment and disposal of property and equipment.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$1.4 million for the three-months ended June 30, 2024, as compared to operating income of $1.7 million for the three-months ended June 30, 2023. The decrease in operating income for the three-months ended June 30, 2024 was primarily the result of a decrease in net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non-operating income, net, was $24.4 million for the three-months ended June 30, 2024, as compared to interest and other non-operating income, net, of $15.2 million for the three-months ended June 30, 2023. Foreign currency transaction losses were $8.0 million and $14.2 million for the three-months ended June 30, 2024 and 2023, respectively. Interest income was $38.2 million and $29.4 million for the three-months ended June 30, 2024 and 2023, respectively. Interest expense was $4.9 million and $0.1 million for the three-months ended June 30, 2024 and 2023,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$126.2 million for the three-months ended June 30, 2024, an increase of $1.1 million, or 0.9% higher than the provision for income taxes of $125.1 million for the three-months ended June 30, 2023. The effective combined federal, state and foreign tax rate decreased to 22.9% from 23.2% for the three-months ended June 30, 2024 and 2023, respectively. The decrease in the effective tax rate was primarily attributable to an increase in deductible interest expense in the three-months ended June 30, 2024 as compared to the three-months ended June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income was $425.4 million for the three-months ended June 30, 2024, an increase of $11.5 million, or 2.8% higher than net income of $413.9 million for the three-months ended June 30, 2023. The increase in net income for the three-months ended June 30, 2024 was primarily due to the increase in net sales and the increase in the gross profit percentage of net sales, which was partially offset by the increase in operating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Six-Months Ended June 30, 2024 Compared to the Six-Months Ended June 30, 2023</w:t>
      </w:r>
      <w:r>
        <w:rPr>
          <w:rFonts w:ascii="Times New Roman;Times;serif" w:hAnsi="Times New Roman;Times;serif"/>
          <w:b/>
          <w:sz w:val="20"/>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were $3.80 billion for the six-months ended June 30, 2024, an increase of approximately $245.8 million, or 6.9% higher than net sales of $3.55 billion for the six-months ended June 30, 2023. Net sales increased primarily due to increased worldwide sales by volume of our Monster Energy® brand energy drinks as a result of increased consumer demand, as well as due to the Pricing Actions. Net changes in foreign currency exchange rates had an unfavorable impact on net sales of approximately $132.0 million ($84.4 million related to Argentina) for the six-months ended June 30, 2024. Net sales on a foreign currency adjusted basis increased 10.6% (8.3% exclusive of Argentina’s impact) for the six-months ended June 30,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$1.40 billion and $1.25 billion for the six-months ended June 30, 2024 and 2023, respectively, in EMEA, Asia Pacific (including Oceania), Latin America and the Caribbean. Net changes in foreign currency exchange rates had an unfavorable impact on net sales to customers in EMEA, Asia Pacific (including Oceania), Latin America and the Caribbean of approximately $131.9 million ($84.4 million related to Argentina) for the six-months ended June 30, 2024. Net sales on a foreign currency adjusted basis in EMEA, Asia Pacific (including Oceania), Latin America and the Caribbean increased 21.8% (15.1% exclusive of Argentina’s impact)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Monster Energy® Drinks segment were $3.47 billion for the six-months ended June 30, 2024, an increase of approximately $223.3 million, or 6.9% higher than net sales of $3.25 billion for the six-months ended June 30, 2023. Net sales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net sales for the Monster Energy® Drinks segment of approximately $108.2 million ($84.4 million related to Argentina) for the six-months ended June 30, 2024. Net sales for the Monster Energy® Drinks segment on a foreign currency adjusted basis increased 10.2% (7.6% exclusive of Argentina’s impact) for the six-months ended June 30,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$217.7 million for the six-months ended June 30, 2024, an increase of approximately $31.6 million, or 17.0% higher than net sales of $186.0 million for the six-months ended June 30, 2023. Net sales for the Strategic Brands segment increased primarily due to increased sales by volume of our Fury®, NOS®, Burn® and Predator® brand energy drinks. Net changes in foreign currency exchange rates had an unfavorable impact on net sales of approximately $23.8 million for the Strategic Brands segment for the six-months ended June 30, 2024. Net sales for the Strategic Brands segment on a foreign currency adjusted basis increased 29.8% for the six-months ended June 30, 2024. Net sales of concentrates within the Strategic Brands segment tend to have more pronounced fluctuations from period to period as compared to net sales of our finished goods within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$97.6 million for the six-months ended June 30, 2024, a decrease of approximately $9.7 million, or 9.1% lower than net sales of $107.4 million for the six-months ended June 30, 2023. The decrease in net sales for the six-months ended June 30, 2024 was primarily due to decreased sales by volume of FMBs.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$12.5 million for the six-months ended June 30, 2024, an increase of approximately $0.6 million, or 5.2% higher than net sales of $11.9 million for the six-months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423.6 million cases for the six-months ended June 30, 2024, an increase of approximately 42.8 million cases or 11.2% higher than case sales of 380.8 million cases for the six-months ended June 30, 2023. The overall average net sales per case for our energy drink products (excluding net sales of Alcohol Brands and Other segments) decreased to $8.71 for the six-months ended June 30, 2024, which was 3.4% lower than the average net sales per case of $9.02 for the six-months ended June 30, 2023. The decrease in overall average net sales per case for our energy drink products for the six-months ended June 30, 2024 compared to the six-months ended June 30, 2023 was primarily due to geographical/product sales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hard seltzers and FMBs, in 192-ounce equivalents, were 7.1 million cases for the six-months ended June 30, 2024, a decrease of approximately 0.4 million cases or 5.6% lower than case sales of 7.5 million cases for the six-months ended June 30, 2023. Barrel sales for our craft beers, hard seltzers and FMBs, in 31 U.S. gallon equivalents, were 0.34 million barrels for the six-months ended June 30, 2024, a decrease of approximately 0.03 million barrels or 5.6% lower than barrel sales of 0.37 million barrels for the six-months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$2.05 billion for the six-months ended June 30, 2024, an increase of approximately $174.6 million, or 9.3% higher than the gross profit of $1.87 billion for the six-months ended June 30, 2023. The increase in gross profit dollars was primarily the result of the $245.8 million increase in net sales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53.9% for the six-months ended June 30, 2024 from 52.7% for the six-months ended June 30, 2023. The increase in gross profit as a percentage of net sales for the six-months ended June 30, 2024 was primarily the result of decreased freight-in costs, the Pricing Actions and lower aluminum can costs, partially offset by geographical/product sales mix.</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Total operating expenses were $977.5 million for the six-months ended June 30, 2024, an increase of approximately $114.3 million, or 13.2% higher than total operating expenses of $863.2 million for the six-months ended June 30, 2023.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$45.0 million (primarily sponsorships and endorsements), increased payroll expenses of $34.6 million, as well as increased distribution expenses (including storage and warehouse) of $23.5 million. Operating expenses as a percentage of net sales for the six-months ended June 30, 2024 were 25.7% as compared to 24.3% for the six-months ended June 30, 2023.</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$1.07 billion for the six-months ended June 30, 2024, an increase of approximately $60.3 million, or 6.0% higher than operating income of $1.01 billion for the six-months ended June 30, 2023. The increase in operating income was primarily the result of an increase in net sales, as well as an increase in gross profit as a percentage of net sales, partially offset by an increase in operating expenses. Operating income as a percentage of net sales decreased to 28.1% for the six-months ended June 30, 2024 from 28.4% for the six-months ended June 30, 2023.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$283.7 million and $207.9 million for the six-months ended June 30, 2024 and 2023, respectively, for our operations in EMEA, Asia Pacific (including Oceania), Latin America and the Caribbean.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$1.24 billion for the six-months ended June 30, 2024, an increase of approximately $81.6 million, or 7.0% higher than operating income of $1.16 billion for the six-months ended June 30, 2023. The increase in operating income for the Monster Energy® Drinks segment was primarily the result of an increase in net sales as well as an increase in gross profit as a percentage of net sales.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$123.7 million for the six-months ended June 30, 2024, an increase of approximately $16.8 million, or 15.7% higher than operating income of $106.9 million for the six-months ended June 30, 2023. The increase in operating income for the Strategic Brands segment was primarily the result of an increase in net sales.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$28.6 million for the six-months ended June 30, 2024, an increase of approximately $15.1 million, or 112.3% higher than operating loss of $13.5 million for the six-months ended June 30, 2023. The operating losses for the six-months ended June 30, 2024 were primarily due to a decrease in net sales as well as an $8.1 million loss on impairment and disposal of property and equipment.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$2.4 million for the six-months ended June 30, 2024, as compared to operating income of $1.4 million for the six-months ended June 30, 2023. The operating income for the six-months ended June 30, 2024 was primarily the result of an increase in net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Interest and other non-operating income, net, was $60.1 million for the six-months ended June 30, 2024, as compared to interest and other non-operating income, net, of $27.7 million for the six-months ended June 30, 2023. Foreign currency transaction losses were $14.0 million and $25.4 million for the six-months ended June 30, 2024 and 2023, respectively. Interest income was $79.4 million and $52.8 million for the six-months ended June 30, 2024 and 2023, respectively. Interest expense was $5.0 million and $0.2 million for the six-months ended June 30, 2024 and 2023, respectively.</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$261.9 million for the six-months ended June 30, 2024, an increase of $36.7 million, or 16.3% higher than the provision for income taxes of $225.2 million for the six-months ended June 30, 2023. The effective combined federal, state and foreign tax rate increased to 23.2% from 21.7% for the six-months ended June 30, 2024 and 2023, respectively. The increase in the effective tax rate was primarily attributable to the decrease in the stock-based compensation deduction in the six-months ended June 30, 2024 as compared to the six-months ended June 30, 2023.</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Net income was $867.4 million for the six-months ended June 30, 2024, an increase of $56.1 million, or 6.9% higher than net income of $811.3 million for the six-months ended June 30, 2023. The increase in net income for the six-months ended June 30, 2024 was primarily due to the increase in net sales and the increase in the gross profit percentage of net sales, which was partially offset by the increase in operating expenses and the increase in the provision for income taxes.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were $2.22 billion for the three-months ended June 30, 2024, an increase of approximately $76.1 million, or 3.6% higher than gross billings of $2.14 billion for the three-months ended June 30, 2023. Net changes in foreign currency exchange rates had an unfavorable impact on gross billings of approximately $68.6 million ($34.0 million related to Argentina) for the three-months ended June 30, 2024. Gross billings on a foreign currency adjusted basis increased 6.8% (5.2% exclusive of Argentina’s impact)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$2.05 billion for the three-months ended June 30, 2024, an increase of approximately $84.1 million, or 4.3% higher than gross billings of $1.96 billion for the three-months ended June 30, 2023. Gross billings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gross billings for the Monster Energy® Drinks segment of approximately $54.6 million ($34.0 million related to Argentina) for the three-months ended June 30, 2024. Gross billings for the Monster Energy® Drinks segment on a foreign currency adjusted basis increased 7.1% (5.3% exclusive of Argentina’s impact) for the three-months ended June 30, 2024.</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$123.1 million for the three-months ended June 30, 2024, an increase of $11.5 million, or 10.3% higher than gross billings of $111.6 million for the three-months ended June 30, 2023. Gross billings for the Strategic Brands segment increased primarily due to increased sales by volume of our Burn®, NOS® and Predator® brand energy drinks. Net changes in foreign currency exchange rates had an unfavorable impact on gross billings in the Strategic Brands segment of approximately $14.0 million for the three-months ended June 30, 2024. Gross billings for the Strategic Brands segment on a foreign currency adjusted basis increased 22.9% for the three-months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$42.9 million for the three-months ended June 30, 2024, a decrease of approximately $19.3 million, or 31.0% lower than gross billings of $62.2 million for the three-months ended June 30, 2023. The decrease in gross billings for the three-months ended June 30, 2024 was primarily due to decreased sales by volume of FMBs.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$7.0 million for the three-months ended June 30, 2024, a decrease of $0.3 million, or 4.0% lower than gross billings of $7.3 million for the three-months ended June 30, 2023.</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$327.5 million for the three-months ended June 30, 2024, an increase of $30.4 million, or 10.2% higher than promotional allowances, commissions and other expenses of $297.1 million for the three-months ended June 30, 2023. Promotional allowances, commissions and other expenses as a percentage of gross billings increased to 14.8% from 13.9% for the three-months ended June 30, 2024 and 2023, respectively.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were $4.41 billion for the six-months ended June 30, 2024, an increase of approximately $310.0 million, or 7.6% higher than gross billings of $4.10 billion for the six-months ended June 30, 2023. Net changes in foreign currency exchange rates had an unfavorable impact on gross billings of approximately $131.4 million ($84.4 million related to Argentina) for the six-months ended June 30, 2024. Gross billings on a foreign currency adjusted basis increased 10.8% (8.7% exclusive of Argentina’s impact) for the six-months ended June 30, 2024.</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$4.05 billion for the six-months ended June 30, 2024, an increase of approximately $283.1 million, or 7.5% higher than gross billings of $3.77 billion for the six-months ended June 30, 2023. Gross billings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gross billings for the Monster Energy® Drinks segment of approximately $107.7 million ($84.4 million related to Argentina) for the six-months ended June 30, 2024. Gross billings for the Monster Energy® Drinks segment on a foreign currency adjusted basis increased 10.4% (8.1% exclusive of Argentina’s impact) for the six-months ended June 30, 2024.</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$245.6 million for the six-months ended June 30, 2024, an increase of $35.4 million, or 16.8% higher than gross billings of $210.3 million for the six-months ended June 30, 2023. Gross billings for the Strategic Brands segment increased primarily due to increased sales by volume of our Fury®, Burn®, NOS® and Predator® brand energy drinks. Net changes in foreign currency exchange rates had an unfavorable impact on gross billings in the Strategic Brands segment of approximately $23.7 million for the six-months ended June 30, 2024. Gross billings for the Strategic Brands segment on a foreign currency adjusted basis increased 28.1% for the six-months ended June 30, 2024.</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$100.0 million for the six-months ended June 30, 2024, a decrease of approximately $9.2 million, or 8.5% lower than gross billings of $109.2 million for the six-months ended June 30, 2023. The decrease in gross billings for the six-months ended June 30, 2024 was primarily due to decreased sales by volume of FMBs.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$12.7 million for the six-months ended June 30, 2024, an increase of $0.7 million, or 6.0% higher than gross billings of $12.0 million for the six-months ended June 30, 2023.</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$627.2 million for the six-months ended June 30, 2024, an increase of $64.1 million, or 11.4% higher than promotional allowances, commissions and other expenses of $563.2 million for the six-months ended June 30, 2023. Promotional allowances, commissions and other expenses as a percentage of gross billings increased to 14.2% from 13.7% for the six-months ended June 30, 2024 and 2023, respectively.</w:t>
      </w:r>
    </w:p>
    <w:p>
      <w:pPr>
        <w:pStyle w:val="TextBody"/>
        <w:bidi w:val="0"/>
        <w:spacing w:before="240" w:after="0"/>
        <w:ind w:left="0" w:right="0" w:hanging="0"/>
        <w:jc w:val="both"/>
        <w:rPr>
          <w:rFonts w:ascii="Times New Roman;Times;serif" w:hAnsi="Times New Roman;Times;serif"/>
          <w:i/>
          <w:sz w:val="20"/>
        </w:rPr>
      </w:pPr>
      <w:r>
        <w:rPr>
          <w:rFonts w:ascii="Times New Roman;Times;serif" w:hAnsi="Times New Roman;Times;serif"/>
          <w:i/>
          <w:sz w:val="20"/>
        </w:rPr>
        <w:t xml:space="preserve">**Gross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1348"/>
        <w:gridCol w:w="326"/>
        <w:gridCol w:w="211"/>
        <w:gridCol w:w="931"/>
        <w:gridCol w:w="326"/>
        <w:gridCol w:w="211"/>
        <w:gridCol w:w="931"/>
        <w:gridCol w:w="326"/>
        <w:gridCol w:w="991"/>
        <w:gridCol w:w="361"/>
        <w:gridCol w:w="211"/>
        <w:gridCol w:w="931"/>
        <w:gridCol w:w="326"/>
        <w:gridCol w:w="211"/>
        <w:gridCol w:w="931"/>
        <w:gridCol w:w="326"/>
        <w:gridCol w:w="991"/>
        <w:gridCol w:w="316"/>
      </w:tblGrid>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91185" cy="175260"/>
                      <wp:effectExtent l="0" t="0" r="0" b="0"/>
                      <wp:wrapNone/>
                      <wp:docPr id="537" name="Frame5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9"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91185" cy="175260"/>
                      <wp:effectExtent l="0" t="0" r="0" b="0"/>
                      <wp:wrapNone/>
                      <wp:docPr id="540" name="Frame5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29285" cy="175260"/>
                      <wp:effectExtent l="0" t="0" r="0" b="0"/>
                      <wp:wrapNone/>
                      <wp:docPr id="542" name="Frame5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29235" cy="175260"/>
                      <wp:effectExtent l="0" t="0" r="0" b="0"/>
                      <wp:wrapNone/>
                      <wp:docPr id="543" name="Frame5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91185" cy="175260"/>
                      <wp:effectExtent l="0" t="0" r="0" b="0"/>
                      <wp:wrapNone/>
                      <wp:docPr id="545" name="Frame5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7"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91185" cy="175260"/>
                      <wp:effectExtent l="0" t="0" r="0" b="0"/>
                      <wp:wrapNone/>
                      <wp:docPr id="548" name="Frame5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29285" cy="175260"/>
                      <wp:effectExtent l="0" t="0" r="0" b="0"/>
                      <wp:wrapNone/>
                      <wp:docPr id="550" name="Frame55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0660" cy="175260"/>
                      <wp:effectExtent l="0" t="0" r="0" b="0"/>
                      <wp:wrapNone/>
                      <wp:docPr id="551" name="Frame5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2399"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 vs. 23</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 vs. 23</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2,218,152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2,142,095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4,097,133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19,931</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297,119</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563,173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3,553,891</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 and six-months ended June 30, 2024 and 2023, respectively. Data from any one or more quarters or periods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23"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326"/>
        <w:gridCol w:w="211"/>
        <w:gridCol w:w="931"/>
        <w:gridCol w:w="32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2" name="Frame5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3"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91185" cy="175260"/>
                      <wp:effectExtent l="0" t="0" r="0" b="0"/>
                      <wp:wrapNone/>
                      <wp:docPr id="554" name="Frame5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6"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91185" cy="175260"/>
                      <wp:effectExtent l="0" t="0" r="0" b="0"/>
                      <wp:wrapNone/>
                      <wp:docPr id="557" name="Frame5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591185" cy="175260"/>
                      <wp:effectExtent l="0" t="0" r="0" b="0"/>
                      <wp:wrapNone/>
                      <wp:docPr id="560" name="Frame5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19760" cy="175260"/>
                      <wp:effectExtent l="0" t="0" r="0" b="0"/>
                      <wp:wrapNone/>
                      <wp:docPr id="563" name="Frame56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3,553,891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(11,922)</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1,852,030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3,689,525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3,434,603</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314,460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66,389</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380,849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9.02</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i/>
          <w:sz w:val="20"/>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the overall average net sales per case for the three- and six-months ended June 30,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hard seltzers and FMBs, in 192-ounce equivalents:</w:t>
      </w:r>
    </w:p>
    <w:p>
      <w:pPr>
        <w:pStyle w:val="TextBody"/>
        <w:bidi w:val="0"/>
        <w:spacing w:before="0" w:after="0"/>
        <w:ind w:left="0" w:right="0" w:hanging="0"/>
        <w:jc w:val="left"/>
        <w:rPr/>
      </w:pPr>
      <w:r>
        <w:rPr/>
        <w:t>​</w:t>
      </w:r>
    </w:p>
    <w:tbl>
      <w:tblPr>
        <w:tblW w:w="9008"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676"/>
        <w:gridCol w:w="326"/>
        <w:gridCol w:w="211"/>
        <w:gridCol w:w="676"/>
        <w:gridCol w:w="326"/>
        <w:gridCol w:w="211"/>
        <w:gridCol w:w="82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29260" cy="175260"/>
                      <wp:effectExtent l="0" t="0" r="0" b="0"/>
                      <wp:wrapNone/>
                      <wp:docPr id="566" name="Frame5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29260" cy="175260"/>
                      <wp:effectExtent l="0" t="0" r="0" b="0"/>
                      <wp:wrapNone/>
                      <wp:docPr id="569" name="Frame5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1" name="Frame5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29260" cy="175260"/>
                      <wp:effectExtent l="0" t="0" r="0" b="0"/>
                      <wp:wrapNone/>
                      <wp:docPr id="572" name="Frame5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24510" cy="175260"/>
                      <wp:effectExtent l="0" t="0" r="0" b="0"/>
                      <wp:wrapNone/>
                      <wp:docPr id="575" name="Frame5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14.23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net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At June 30, 2024, we had $1.56 billion in cash and cash equivalents. Of our $1.56 billion of cash and cash equivalents held at June 30, 2024, $954.9 million was held by our foreign subsidiaries.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Long-term debt.</w:t>
      </w:r>
      <w:r>
        <w:rPr>
          <w:rFonts w:ascii="Times New Roman;Times;serif" w:hAnsi="Times New Roman;Times;serif"/>
          <w:sz w:val="20"/>
        </w:rPr>
        <w:t xml:space="preserve"> 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Borrowings under the Credit Facilities may be repaid at any time during the term of the Credit Facilities and, in the case of the Revolving Credit Facility, may be reborrowed prior to the maturity date. As of June 30, 2024, the Revolving Credit Facility had remaining availability of $750.0 million.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$500.0 million through June 30, 2025. However, future business opportunities may cause a change in this estimate.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six-months ended June 30, 2024 and 2023 (in thousands):</w:t>
      </w:r>
    </w:p>
    <w:tbl>
      <w:tblPr>
        <w:tblW w:w="5727" w:type="dxa"/>
        <w:jc w:val="left"/>
        <w:tblInd w:w="0" w:type="dxa"/>
        <w:tblLayout w:type="fixed"/>
        <w:tblCellMar>
          <w:top w:w="0" w:type="dxa"/>
          <w:left w:w="0" w:type="dxa"/>
          <w:bottom w:w="0" w:type="dxa"/>
          <w:right w:w="0" w:type="dxa"/>
        </w:tblCellMar>
      </w:tblPr>
      <w:tblGrid>
        <w:gridCol w:w="2656"/>
        <w:gridCol w:w="326"/>
        <w:gridCol w:w="211"/>
        <w:gridCol w:w="1051"/>
        <w:gridCol w:w="326"/>
        <w:gridCol w:w="211"/>
        <w:gridCol w:w="94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686560" cy="175260"/>
                      <wp:effectExtent l="0" t="0" r="0" b="0"/>
                      <wp:wrapNone/>
                      <wp:docPr id="576" name="Frame57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78" name="Frame5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67385" cy="175260"/>
                      <wp:effectExtent l="0" t="0" r="0" b="0"/>
                      <wp:wrapNone/>
                      <wp:docPr id="579" name="Frame57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80"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1"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00710" cy="175260"/>
                      <wp:effectExtent l="0" t="0" r="0" b="0"/>
                      <wp:wrapNone/>
                      <wp:docPr id="582" name="Frame58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763,162</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$848.4 million for the six-months ended June 30, 2024, as compared with cash provided by operating activities of $763.2 million for the six-months ended June 30, 2023.</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2024, cash provided by operating activities was primarily attributable to net income earned of $867.4 million and adjustments for certain non-cash expenses, consisting primarily of $46.5 million of depreciation and amortization and non-cash lease expense and $41.3 million of stock-based compensation. For the six-months ended June 30, 2024, cash provided by operating activities also increased due to a $123.5 million decrease in inventories, a $54.2 million increase in accrued promotional allowances, an $11.3 million increase in income taxes payable and a $2.7 million increase in accrued liabilities. For the six-months ended June 30, 2024, cash used in operating activities was primarily attributable to a $197.2 million increase in accounts receivable, a $33.5 million decrease in accounts payable, a $27.0 million decrease in accrued compensation, a $14.0 million increase in prepaid expenses and other assets, a $12.3 million increase in prepaid income taxes and a $7.7 million decrease in deferred revenue.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2023, cash provided by operating activities was primarily attributable to net income earned of $811.3 million and adjustments for certain non-cash expenses, consisting of $35.2 million of depreciation and amortization and non-cash lease expense, and $34.6 million of stock-based compensation. For the six-months ended June 30, 2023, cash provided by operating activities also increased due to a $132.2 million increase in accounts payable, a $93.1 million decrease in inventories, a $23.6 million increase in accrued promotional allowances and a $20.5 million increase in accrued liabilities. For the six-months ended June 30, 2023, cash used in operating activities was primarily attributable to a $317.8 million increase in accounts receivable, a $36.8 million increase in prepaid expenses and other assets, a $17.6 million decrease in accrued compensation, a $12.4 million decrease in deferred revenue, a $3.3 million increase in prepaid income taxes and a $1.2 million decrease in income taxes payable.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(used in) investing activities. </w:t>
      </w:r>
      <w:r>
        <w:rPr>
          <w:rFonts w:ascii="Times New Roman;Times;serif" w:hAnsi="Times New Roman;Times;serif"/>
          <w:sz w:val="20"/>
        </w:rPr>
        <w:t>Cash provided by investing activities was $903.3 million for the six-months ended June 30, 2024 as compared to cash used in investing activities of $158.2 million for the six-months ended June 30, 2023.</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For both the six-months ended June 30, 2024 and 2023, cash provided by investing activities was primarily attributable to sales of available-for-sale investments. For both the six-months ended June 30, 2024 and 2023, cash used in investing activities was primarily attributable to purchases of available-for-sale investments. To a lesser extent, for both the six-months ended June 30, 2024 and 2023,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construction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 xml:space="preserve">Cash flows used in financing activities. </w:t>
      </w:r>
      <w:r>
        <w:rPr>
          <w:rFonts w:ascii="Times New Roman;Times;serif" w:hAnsi="Times New Roman;Times;serif"/>
          <w:sz w:val="20"/>
        </w:rPr>
        <w:t xml:space="preserve">Cash used in financing activities was $2.44 billion for the six-months ended June 30, 2024 as compared to cash used in financing activities of $37.8 million for the six-months ended June 30, 2023. The cash used in financing activities for both the six-months ended June 30, 2024 and 2023 was primarily the result of the repurchases of our common stock. The cash provided by financing activities for the six-months ended June 30, 2024 was primarily attributable to borrowings under the Credit Facilities and, to a lesser extent, the issuance of our common stock under our stock-based compensation plans. The cash provided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financing activities for the six-months ended June 30, 2023 was primarily attributable to the issuance of our common stock under our stock-based compensation plans.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June 30, 2024:</w:t>
      </w:r>
    </w:p>
    <w:tbl>
      <w:tblPr>
        <w:tblW w:w="8901"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11"/>
        <w:gridCol w:w="781"/>
        <w:gridCol w:w="326"/>
        <w:gridCol w:w="211"/>
        <w:gridCol w:w="781"/>
        <w:gridCol w:w="326"/>
        <w:gridCol w:w="211"/>
        <w:gridCol w:w="78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72235" cy="175260"/>
                      <wp:effectExtent l="0" t="0" r="0" b="0"/>
                      <wp:wrapNone/>
                      <wp:docPr id="583" name="Frame58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4"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591185" cy="175260"/>
                      <wp:effectExtent l="0" t="0" r="0" b="0"/>
                      <wp:wrapNone/>
                      <wp:docPr id="586" name="Frame5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7"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95935" cy="175260"/>
                      <wp:effectExtent l="0" t="0" r="0" b="0"/>
                      <wp:wrapNone/>
                      <wp:docPr id="589" name="Frame5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90"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95935" cy="175260"/>
                      <wp:effectExtent l="0" t="0" r="0" b="0"/>
                      <wp:wrapNone/>
                      <wp:docPr id="592" name="Frame5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3"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4" name="Frame5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95935" cy="175260"/>
                      <wp:effectExtent l="0" t="0" r="0" b="0"/>
                      <wp:wrapNone/>
                      <wp:docPr id="595" name="Frame5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6"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33985" cy="175260"/>
                      <wp:effectExtent l="0" t="0" r="0" b="0"/>
                      <wp:wrapNone/>
                      <wp:docPr id="597" name="Frame5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95935" cy="175260"/>
                      <wp:effectExtent l="0" t="0" r="0" b="0"/>
                      <wp:wrapNone/>
                      <wp:docPr id="598" name="Frame5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1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1,512,672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15,094</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pBdr/>
        <w:bidi w:val="0"/>
        <w:spacing w:lineRule="auto" w:line="240" w:before="0" w:after="240"/>
        <w:ind w:left="0" w:right="0" w:hanging="72"/>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$3.1 million of unrecognized tax benefits have been recorded as liabilities as of June 30, 2024. It is expected that the amount of unrecognized tax benefits will not significantly change within the next 12 months. As of June 30, 2024, we had $0.7 million of accrued interest and penalties related to unrecognized tax benefits.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2023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 Recent Accounting Pronouncements, in Part I, Item 1, of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 had an impact on our results of operations for the three- and six-months ended June 30, 2024 primarily due to inflation related local currency price increases in certain international markets.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the Bang Energy® business and recognize the anticipated benefits of the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consolidate operations and/or rationalize brands acquired from Monster Brewing Company and Bang Energy®;</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within our Alcohol Brands segment;</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customers and/or consumers;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an economic slowdown or recession that could negatively impact the financial condition of our customers and could result in a reduced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military conflicts in Ukraine, Israel and Gaza as well as tensions in the Middle East and across the Taiwan Straits, including supply chain disruptions, volatility in commodity and energy prices, increased economic uncertainty and escalating geopolitical tensions;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w:t>
            </w:r>
            <w:r>
              <w:rPr>
                <w:caps w:val="false"/>
                <w:smallCaps w:val="false"/>
              </w:rPr>
              <w:t xml:space="preserve"> </w:t>
            </w:r>
            <w:r>
              <w:rPr>
                <w:rFonts w:ascii="Times New Roman;Times;serif" w:hAnsi="Times New Roman;Times;serif"/>
                <w:b w:val="false"/>
                <w:i w:val="false"/>
                <w:caps w:val="false"/>
                <w:smallCaps w:val="false"/>
                <w:sz w:val="20"/>
              </w:rPr>
              <w:t>including a slowdown in consumer spending generally or reduced demand for consumer goods;</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of and/or achieve growth for our Monster Energy®, Reign Total Body Fuel®, Reign Storm®, Bang Energy® and NOS® brand energy drinks and/or our other products, including our Strategic Brands and Alcohol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modify our manufacturing facilities to comply with safety, health, environmental, and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 of TCCC’s bottlers/distributors distributing Coca-Cola brand energy drinks, possible reductions in the number of our SKUs carried by such bottlers/distributors and/or such bottlers/distributors imposing limitations on distributing new product SKUs;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distribution channels and/or declines in sales due to the termination and/or insolvency of existing and/or new domestic and/or international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inventory levels or those of our bottlers/distributors, planned or otherwise, and the resultant impact on our revenues;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tax laws as a result of any legislation proposed by the U.S. Presidential Administration or U.S. Congress, which may include efforts to change or repeal the 2017 Tax Cuts and Jobs Act and the federal corporate income tax rate reduction;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 and/or our accounts receivables;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that may be brought against us by the U.S. Securities and Exchange Commission (the “SEC”), the FDA, the FTC, the ATF or other governmental or quasi-governmental agencies or bodies;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existing capital resources to fund our future operating expenses and capital expenditure requirements, including our new credit agreement providing for a $750 million delayed draw senior term loan A facility and a $750 million senior revolving credit facility;</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use of our existing cash resources and our ability to obtain additional financing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comply with sustainability-related expectations, standards, and regulations, including rules adopted by the SEC, laws implemented by the California legislature, and directives adopted by the European Commission;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cost and availability of certain key ingredients including aluminum cans, as well as disruptions to the supply chain, as a result of climate change and poor or extreme weather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widespread outbreaks of infectious diseases (such as the COVID-19 pandemic), or unforeseen economic and political changes and local or international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transition distribution agreements in our Alcohol Brands segment and/or the impact of higher costs to change distributors for our alcohol beverages;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secure and purify sufficient supplies of quality water;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procuring sufficient quantities of aluminum cans;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our products, temporarily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sponsorships and endorsements, marketing and promotional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packaging and/or non-compliant formulas or production in one or more jurisdictions;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pBdr/>
        <w:bidi w:val="0"/>
        <w:spacing w:before="0" w:after="240"/>
        <w:ind w:left="0" w:right="0" w:hanging="1152"/>
        <w:jc w:val="both"/>
        <w:rPr>
          <w:rFonts w:ascii="Times New Roman;Times;serif" w:hAnsi="Times New Roman;Times;serif"/>
          <w:b/>
          <w:sz w:val="20"/>
        </w:rPr>
      </w:pPr>
      <w:bookmarkStart w:id="2243" w:name="ITEM3QUANTITATIVEANDQUALITATIVEDISCLOSUR"/>
      <w:bookmarkStart w:id="2244" w:name="_b3a48cc8_9b73_4148_b534_f1dca44b3fd9"/>
      <w:bookmarkEnd w:id="2243"/>
      <w:bookmarkEnd w:id="2244"/>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June 30, 2024 compared with the disclosures in Part II, Item 7A of our Form 10-K.</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2245" w:name="ITEM4CONTROLSANDPROCEDURES_270637"/>
      <w:bookmarkStart w:id="2246" w:name="_56ebf7c4_44b2_444e_ac5f_d9493f262448"/>
      <w:bookmarkEnd w:id="2245"/>
      <w:bookmarkEnd w:id="2246"/>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June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247" w:name="PARTIIOTHERINFORMATION_669833"/>
      <w:bookmarkStart w:id="2248" w:name="_48b08fd8_fd55_41be_b549_4818c39bcb50"/>
      <w:bookmarkEnd w:id="2247"/>
      <w:bookmarkEnd w:id="224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2249" w:name="ITEM1LEGALPROCEEDINGS_448899"/>
      <w:bookmarkEnd w:id="2249"/>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12.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250" w:name="ITEM1ARISKFACTORS_609704"/>
      <w:bookmarkStart w:id="2251" w:name="_d320a033_6dad_41bc_a817_bd10fa548247"/>
      <w:bookmarkEnd w:id="2250"/>
      <w:bookmarkEnd w:id="2251"/>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52" w:name="ITEM2UNREGISTEREDSALESOFEQUITY_417570"/>
      <w:bookmarkStart w:id="2253" w:name="_4994acf8_731b_40b8_931f_142749cf943d"/>
      <w:bookmarkStart w:id="2254" w:name="ITEM2UNREGISTEREDSALESOFEQUITY_417570"/>
      <w:bookmarkStart w:id="2255" w:name="_4994acf8_731b_40b8_931f_142749cf943d"/>
      <w:bookmarkEnd w:id="2254"/>
      <w:bookmarkEnd w:id="2255"/>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June 30, 2024, the Company repurchased approximately 2.2 million shares of its common stock at an average purchase price of $49.55 per share, for a total amount of approximately $107.7 million (excluding broker commissions), under the November 2022 Repurchase Plan. Subsequent to June 30, 2024, the Company repurchased approximately 0.7 million shares of its common stock at an average purchase price of $49.82 per share, for a total amount of approximately $34.7 million (excluding broker commissions), under the November 2022 Repurchase Plan. As of August 6, 2024, no amount remained available for repurchase under the November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7, 2023, the Company’s Board of Directors authorized a share repurchase program for the purchase of up to an additional $500.0 million of the Company’s outstanding common stock (the “November 2023 Repurchase Plan”). During the three-months ended June 30, 2024, no shares were repurchased under the November 2023 Repurchase Plan. Subsequent to June 30, 2024, the Company repurchased approximately 3.2 million shares of its common stock at an average purchase price of $49.54 per share, for a total amount of approximately $157.6 million (excluding broker commissions), under the November 2023 Repurchase Plan. As of August 6, 2024, $342.4 million remained available for repurchase under the November 2023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$342.4 million as of August 6,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condensed consolidated balance sheet at June 30,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June 30, 2024.</w:t>
      </w:r>
    </w:p>
    <w:p>
      <w:pPr>
        <w:pStyle w:val="TextBody"/>
        <w:bidi w:val="0"/>
        <w:spacing w:before="0" w:after="0"/>
        <w:ind w:left="0" w:right="0" w:hanging="0"/>
        <w:jc w:val="both"/>
        <w:rPr/>
      </w:pPr>
      <w:r>
        <w:rPr/>
        <w:t>​</w:t>
      </w:r>
    </w:p>
    <w:tbl>
      <w:tblPr>
        <w:tblW w:w="9677" w:type="dxa"/>
        <w:jc w:val="left"/>
        <w:tblInd w:w="0" w:type="dxa"/>
        <w:tblLayout w:type="fixed"/>
        <w:tblCellMar>
          <w:top w:w="0" w:type="dxa"/>
          <w:left w:w="0" w:type="dxa"/>
          <w:bottom w:w="0" w:type="dxa"/>
          <w:right w:w="0" w:type="dxa"/>
        </w:tblCellMar>
      </w:tblPr>
      <w:tblGrid>
        <w:gridCol w:w="2341"/>
        <w:gridCol w:w="326"/>
        <w:gridCol w:w="1231"/>
        <w:gridCol w:w="326"/>
        <w:gridCol w:w="332"/>
        <w:gridCol w:w="898"/>
        <w:gridCol w:w="326"/>
        <w:gridCol w:w="1576"/>
        <w:gridCol w:w="326"/>
        <w:gridCol w:w="354"/>
        <w:gridCol w:w="1641"/>
      </w:tblGrid>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9" name="Frame5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81685" cy="175260"/>
                      <wp:effectExtent l="0" t="0" r="0" b="0"/>
                      <wp:wrapNone/>
                      <wp:docPr id="600" name="Frame60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601"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0820" cy="175260"/>
                      <wp:effectExtent l="0" t="0" r="0" b="0"/>
                      <wp:wrapNone/>
                      <wp:docPr id="602" name="Frame60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70230" cy="175260"/>
                      <wp:effectExtent l="0" t="0" r="0" b="0"/>
                      <wp:wrapNone/>
                      <wp:docPr id="603" name="Frame60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000760" cy="175260"/>
                      <wp:effectExtent l="0" t="0" r="0" b="0"/>
                      <wp:wrapNone/>
                      <wp:docPr id="605" name="Frame60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6"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24790" cy="175260"/>
                      <wp:effectExtent l="0" t="0" r="0" b="0"/>
                      <wp:wrapNone/>
                      <wp:docPr id="607" name="Frame60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042035" cy="175260"/>
                      <wp:effectExtent l="0" t="0" r="0" b="0"/>
                      <wp:wrapNone/>
                      <wp:docPr id="608" name="Frame608"/>
                      <a:graphic xmlns:a="http://schemas.openxmlformats.org/drawingml/2006/main">
                        <a:graphicData uri="http://schemas.microsoft.com/office/word/2010/wordprocessingShape">
                          <wps:wsp>
                            <wps:cNvSpPr txBox="1"/>
                            <wps:spPr>
                              <a:xfrm>
                                <a:off x="0" y="0"/>
                                <a:ext cx="104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Programs (In</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Purchased</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Share¹</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 Programs</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thousands)²</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 1 – Apr 30, 2024</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642,400</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2024 Authorization</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3,642,400</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 1 – Jun 30, 2024</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58,777,129</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58,777,129</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534,687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¹Excluding broker commissions paid.</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²Net of broker commissions paid.</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2256" w:name="ITEM3DEFAULTSUPONSENIORSECURITIES_753663"/>
      <w:bookmarkStart w:id="2257" w:name="_617e5536_0a42_4990_94a3_7ebeb2256d45"/>
      <w:bookmarkEnd w:id="2256"/>
      <w:bookmarkEnd w:id="2257"/>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258" w:name="ITEM4MINESAFETYDISCLOSURES_417702"/>
      <w:bookmarkStart w:id="2259" w:name="_3afd8e0b_1b36_4e90_917a_fcc89bba2901"/>
      <w:bookmarkEnd w:id="2258"/>
      <w:bookmarkEnd w:id="2259"/>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260" w:name="ITEM5OTHERINFORMATION_353440"/>
      <w:bookmarkStart w:id="2261" w:name="_1258f7a9_e69c_4cc5_b821_bbdef341ec52"/>
      <w:bookmarkEnd w:id="2260"/>
      <w:bookmarkEnd w:id="2261"/>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June 30, 2024,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262" w:name="ITEM6EXHIBITS_20622"/>
      <w:bookmarkStart w:id="2263" w:name="_2d72e65f_158b_4265_a0ef_b5bae8d564c4"/>
      <w:bookmarkEnd w:id="2262"/>
      <w:bookmarkEnd w:id="226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93"/>
        <w:gridCol w:w="266"/>
        <w:gridCol w:w="9446"/>
      </w:tblGrid>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446" w:type="dxa"/>
            <w:tcBorders/>
            <w:vAlign w:val="center"/>
          </w:tcPr>
          <w:p>
            <w:pPr>
              <w:pStyle w:val="TableContents"/>
              <w:bidi w:val="0"/>
              <w:spacing w:before="0" w:after="0"/>
              <w:ind w:left="0" w:right="0" w:hanging="0"/>
              <w:jc w:val="left"/>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493"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the Company (incorporated by reference to Exhibit 3.2 to our Form 8-K dated June 27, 2023).</w:t>
              </w:r>
            </w:hyperlink>
          </w:p>
        </w:tc>
      </w:tr>
      <w:tr>
        <w:trPr/>
        <w:tc>
          <w:tcPr>
            <w:tcW w:w="493"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Credit Agreement dated as of May 22, 2024 among the Company, Monster Energy Company, Monster Energy US LLC, JPMorgan Chase Bank, N.A., as administrative agent and the lenders party thereto (incorporated by reference to Exhibit 10.1 to our Form 8-K dated May 23, 2024).</w:t>
              </w:r>
            </w:hyperlink>
          </w:p>
        </w:tc>
      </w:tr>
      <w:tr>
        <w:trPr/>
        <w:tc>
          <w:tcPr>
            <w:tcW w:w="493"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Employment Agreement between the Company and Emilie Tirre dated June 13, 2024 (incorporated by reference to Exhibit 10.1 to our Form 8-K dated June 14, 2024).</w:t>
              </w:r>
            </w:hyperlink>
          </w:p>
        </w:tc>
      </w:tr>
      <w:tr>
        <w:trPr/>
        <w:tc>
          <w:tcPr>
            <w:tcW w:w="493"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66" w:type="dxa"/>
            <w:tcBorders/>
            <w:vAlign w:val="center"/>
          </w:tcPr>
          <w:p>
            <w:pPr>
              <w:pStyle w:val="TableContents"/>
              <w:bidi w:val="0"/>
              <w:spacing w:before="0" w:after="0"/>
              <w:ind w:left="0" w:right="0" w:hanging="0"/>
              <w:jc w:val="both"/>
              <w:rPr/>
            </w:pPr>
            <w:r>
              <w:rPr/>
              <w:t>   </w:t>
            </w:r>
          </w:p>
        </w:tc>
        <w:tc>
          <w:tcPr>
            <w:tcW w:w="9446" w:type="dxa"/>
            <w:tcBorders/>
            <w:vAlign w:val="center"/>
          </w:tcPr>
          <w:p>
            <w:pPr>
              <w:pStyle w:val="TableContents"/>
              <w:bidi w:val="0"/>
              <w:spacing w:before="0" w:after="0"/>
              <w:ind w:left="0" w:right="0" w:hanging="0"/>
              <w:jc w:val="both"/>
              <w:rPr/>
            </w:pPr>
            <w:hyperlink w:anchor="mnst-20240630xex31d1.htm">
              <w:r>
                <w:rPr>
                  <w:rStyle w:val="InternetLink"/>
                  <w:rFonts w:ascii="Times New Roman;Times;serif" w:hAnsi="Times New Roman;Times;serif"/>
                  <w:b w:val="false"/>
                  <w:i w:val="false"/>
                  <w:caps w:val="false"/>
                  <w:smallCaps w:val="false"/>
                  <w:sz w:val="20"/>
                </w:rPr>
                <w:t>Certification of Co-Chief Executive Officer Pursuant to Section 302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66" w:type="dxa"/>
            <w:tcBorders/>
            <w:vAlign w:val="center"/>
          </w:tcPr>
          <w:p>
            <w:pPr>
              <w:pStyle w:val="TableContents"/>
              <w:bidi w:val="0"/>
              <w:spacing w:before="0" w:after="0"/>
              <w:ind w:left="0" w:right="0" w:hanging="0"/>
              <w:jc w:val="left"/>
              <w:rPr/>
            </w:pPr>
            <w:r>
              <w:rPr/>
              <w:t>​</w:t>
            </w:r>
          </w:p>
        </w:tc>
        <w:tc>
          <w:tcPr>
            <w:tcW w:w="9446" w:type="dxa"/>
            <w:tcBorders/>
            <w:vAlign w:val="center"/>
          </w:tcPr>
          <w:p>
            <w:pPr>
              <w:pStyle w:val="TableContents"/>
              <w:bidi w:val="0"/>
              <w:spacing w:before="0" w:after="0"/>
              <w:ind w:left="0" w:right="0" w:hanging="0"/>
              <w:jc w:val="left"/>
              <w:rPr/>
            </w:pPr>
            <w:hyperlink w:anchor="mnst-20240630xex31d2.htm">
              <w:r>
                <w:rPr>
                  <w:rStyle w:val="InternetLink"/>
                  <w:rFonts w:ascii="Times New Roman;Times;serif" w:hAnsi="Times New Roman;Times;serif"/>
                  <w:b w:val="false"/>
                  <w:i w:val="false"/>
                  <w:caps w:val="false"/>
                  <w:smallCaps w:val="false"/>
                  <w:sz w:val="20"/>
                </w:rPr>
                <w:t>Certification of Co-Chief Executive Officer Pursuant to Section 302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31.3*</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40630xex31d3.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40630xex32d1.htm">
              <w:r>
                <w:rPr>
                  <w:rStyle w:val="InternetLink"/>
                  <w:rFonts w:ascii="Times New Roman;Times;serif" w:hAnsi="Times New Roman;Times;serif"/>
                  <w:b w:val="false"/>
                  <w:i w:val="false"/>
                  <w:caps w:val="false"/>
                  <w:smallCaps w:val="false"/>
                  <w:sz w:val="20"/>
                </w:rPr>
                <w:t>Certification of Co-Chief Executive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40630xex32d2.htm">
              <w:r>
                <w:rPr>
                  <w:rStyle w:val="InternetLink"/>
                  <w:rFonts w:ascii="Times New Roman;Times;serif" w:hAnsi="Times New Roman;Times;serif"/>
                  <w:b w:val="false"/>
                  <w:i w:val="false"/>
                  <w:caps w:val="false"/>
                  <w:smallCaps w:val="false"/>
                  <w:sz w:val="20"/>
                </w:rPr>
                <w:t>Certification of Co-Chief Executive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32.3*</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hyperlink w:anchor="mnst-20240630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June 30, 2024, formatted in iXBRL (Inline eXtensible Business Reporting Language): (i) Condensed Consolidated Balance Sheets as of June 30, 2024 and December 31, 2023, (ii) Condensed Consolidated Statements of Income for the three- and six-months ended June 30, 2024 and 2023, (iii) Condensed Consolidated Statements of Comprehensive Income for the three- and six-months ended June 30, 2024 and 2023, (iv) Condensed Consolidated Statements of Stockholders’ Equity for the three- and six-months ended June 30, 2024 and 2023, (v) Condensed Consolidated Statements of Cash Flows for the six-months ended June 30, 2024 and 2023, and (vi) the Notes to Condensed Consolidated Financial Statements.</w:t>
            </w:r>
          </w:p>
        </w:tc>
      </w:tr>
      <w:tr>
        <w:trPr/>
        <w:tc>
          <w:tcPr>
            <w:tcW w:w="4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66" w:type="dxa"/>
            <w:tcBorders/>
            <w:vAlign w:val="center"/>
          </w:tcPr>
          <w:p>
            <w:pPr>
              <w:pStyle w:val="TableContents"/>
              <w:bidi w:val="0"/>
              <w:spacing w:before="0" w:after="0"/>
              <w:ind w:left="0" w:right="0" w:hanging="0"/>
              <w:jc w:val="both"/>
              <w:rPr/>
            </w:pPr>
            <w:r>
              <w:rPr/>
              <w:t>​</w:t>
            </w:r>
          </w:p>
        </w:tc>
        <w:tc>
          <w:tcPr>
            <w:tcW w:w="94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June 30, 2024, formatted in iXBRL (Inline eXtensible Business Reporting Language)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64" w:name="SIGNATURES_652864"/>
      <w:bookmarkStart w:id="2265" w:name="_69ae5bc2_f575_428d_a758_52b589d7928a"/>
      <w:bookmarkEnd w:id="2264"/>
      <w:bookmarkEnd w:id="2265"/>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417" w:type="dxa"/>
        <w:jc w:val="left"/>
        <w:tblInd w:w="0" w:type="dxa"/>
        <w:tblLayout w:type="fixed"/>
        <w:tblCellMar>
          <w:top w:w="0" w:type="dxa"/>
          <w:left w:w="0" w:type="dxa"/>
          <w:bottom w:w="0" w:type="dxa"/>
          <w:right w:w="0" w:type="dxa"/>
        </w:tblCellMar>
      </w:tblPr>
      <w:tblGrid>
        <w:gridCol w:w="1846"/>
        <w:gridCol w:w="3571"/>
      </w:tblGrid>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right"/>
        <w:rPr>
          <w:rFonts w:ascii="Times New Roman;Times;serif" w:hAnsi="Times New Roman;Times;serif"/>
          <w:b/>
          <w:sz w:val="20"/>
        </w:rPr>
      </w:pPr>
      <w:bookmarkStart w:id="2266" w:name="mnst-20240630xex31d1.htm"/>
      <w:bookmarkStart w:id="2267" w:name="ksmnst20240630xex31d1"/>
      <w:bookmarkEnd w:id="2266"/>
      <w:bookmarkEnd w:id="2267"/>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Rodney Sacks, certify that:</w:t>
      </w:r>
    </w:p>
    <w:p>
      <w:pPr>
        <w:pStyle w:val="TextBody"/>
        <w:bidi w:val="0"/>
        <w:spacing w:before="0" w:after="0"/>
        <w:ind w:left="0" w:right="0" w:hanging="0"/>
        <w:jc w:val="both"/>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Monster Beverage Corporation;</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893" w:type="dxa"/>
        <w:jc w:val="left"/>
        <w:tblInd w:w="0" w:type="dxa"/>
        <w:tblLayout w:type="fixed"/>
        <w:tblCellMar>
          <w:top w:w="0" w:type="dxa"/>
          <w:left w:w="0" w:type="dxa"/>
          <w:bottom w:w="0" w:type="dxa"/>
          <w:right w:w="0" w:type="dxa"/>
        </w:tblCellMar>
      </w:tblPr>
      <w:tblGrid>
        <w:gridCol w:w="556"/>
        <w:gridCol w:w="1351"/>
        <w:gridCol w:w="298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68" w:name="mnst-20240630xex31d2.htm"/>
      <w:bookmarkStart w:id="2269" w:name="ksmnst20240630xex31d2"/>
      <w:bookmarkEnd w:id="2268"/>
      <w:bookmarkEnd w:id="2269"/>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Hilton Schlosberg,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Monster Beverage Corporation;</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556"/>
        <w:gridCol w:w="1351"/>
        <w:gridCol w:w="375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70" w:name="mnst-20240630xex31d3.htm"/>
      <w:bookmarkStart w:id="2271" w:name="ksmnst20240630xex31d3"/>
      <w:bookmarkEnd w:id="2270"/>
      <w:bookmarkEnd w:id="2271"/>
      <w:r>
        <w:rPr>
          <w:rFonts w:ascii="Times New Roman;Times;serif" w:hAnsi="Times New Roman;Times;serif"/>
          <w:b/>
          <w:sz w:val="20"/>
        </w:rPr>
        <w:t>EXHIBIT 31.3</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Thomas Kelly,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Monster Beverage Corporation;</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918" w:type="dxa"/>
        <w:jc w:val="left"/>
        <w:tblInd w:w="0" w:type="dxa"/>
        <w:tblLayout w:type="fixed"/>
        <w:tblCellMar>
          <w:top w:w="0" w:type="dxa"/>
          <w:left w:w="0" w:type="dxa"/>
          <w:bottom w:w="0" w:type="dxa"/>
          <w:right w:w="0" w:type="dxa"/>
        </w:tblCellMar>
      </w:tblPr>
      <w:tblGrid>
        <w:gridCol w:w="556"/>
        <w:gridCol w:w="135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72" w:name="mnst-20240630xex32d1.htm"/>
      <w:bookmarkStart w:id="2273" w:name="ksmnst20240630xex32d1"/>
      <w:bookmarkEnd w:id="2272"/>
      <w:bookmarkEnd w:id="2273"/>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2024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3" w:type="dxa"/>
        <w:jc w:val="left"/>
        <w:tblInd w:w="0" w:type="dxa"/>
        <w:tblLayout w:type="fixed"/>
        <w:tblCellMar>
          <w:top w:w="0" w:type="dxa"/>
          <w:left w:w="0" w:type="dxa"/>
          <w:bottom w:w="0" w:type="dxa"/>
          <w:right w:w="0" w:type="dxa"/>
        </w:tblCellMar>
      </w:tblPr>
      <w:tblGrid>
        <w:gridCol w:w="556"/>
        <w:gridCol w:w="1351"/>
        <w:gridCol w:w="298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74" w:name="mnst-20240630xex32d2.htm"/>
      <w:bookmarkStart w:id="2275" w:name="ksmnst20240630xex32d2"/>
      <w:bookmarkEnd w:id="2274"/>
      <w:bookmarkEnd w:id="2275"/>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2024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556"/>
        <w:gridCol w:w="1351"/>
        <w:gridCol w:w="375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76" w:name="mnst-20240630xex32d3.htm"/>
      <w:bookmarkStart w:id="2277" w:name="ksmnst20240630xex32d3"/>
      <w:bookmarkEnd w:id="2276"/>
      <w:bookmarkEnd w:id="2277"/>
      <w:r>
        <w:rPr>
          <w:rFonts w:ascii="Times New Roman;Times;serif" w:hAnsi="Times New Roman;Times;serif"/>
          <w:b/>
          <w:sz w:val="20"/>
        </w:rPr>
        <w:t>EXHIBIT 32.3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2024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918" w:type="dxa"/>
        <w:jc w:val="left"/>
        <w:tblInd w:w="0" w:type="dxa"/>
        <w:tblLayout w:type="fixed"/>
        <w:tblCellMar>
          <w:top w:w="0" w:type="dxa"/>
          <w:left w:w="0" w:type="dxa"/>
          <w:bottom w:w="0" w:type="dxa"/>
          <w:right w:w="0" w:type="dxa"/>
        </w:tblCellMar>
      </w:tblPr>
      <w:tblGrid>
        <w:gridCol w:w="556"/>
        <w:gridCol w:w="135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3074933/tm2319592d1_ex3-2.htm" TargetMode="External"/><Relationship Id="rId4" Type="http://schemas.openxmlformats.org/officeDocument/2006/relationships/hyperlink" Target="https://www.sec.gov/Archives/edgar/data/865752/000110465924064691/tm2415312d1_ex10-1.htm" TargetMode="External"/><Relationship Id="rId5" Type="http://schemas.openxmlformats.org/officeDocument/2006/relationships/hyperlink" Target="https://www.sec.gov/Archives/edgar/data/865752/000110465924071717/tm2417277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27879</Words>
  <Characters>157031</Characters>
  <CharactersWithSpaces>187691</CharactersWithSpaces>
  <Paragraphs>9188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