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-228600</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5"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17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-617220</wp:posOffset>
            </wp:positionV>
            <wp:extent cx="57785" cy="6305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055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-617220</wp:posOffset>
            </wp:positionV>
            <wp:extent cx="57785" cy="630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055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731520</wp:posOffset>
            </wp:positionV>
            <wp:extent cx="7047230" cy="4986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986655"/>
                    </a:xfrm>
                    <a:prstGeom prst="rect">
                      <a:avLst/>
                    </a:prstGeom>
                    <a:noFill/>
                  </pic:spPr>
                </pic:pic>
              </a:graphicData>
            </a:graphic>
          </wp:anchor>
        </w:drawing>
      </w:r>
    </w:p>
    <w:p>
      <w:pPr>
        <w:spacing w:after="0" w:line="1203" w:lineRule="exact"/>
        <w:rPr>
          <w:sz w:val="24"/>
          <w:szCs w:val="24"/>
          <w:color w:val="auto"/>
        </w:rPr>
      </w:pPr>
    </w:p>
    <w:p>
      <w:pPr>
        <w:sectPr>
          <w:pgSz w:w="11900" w:h="16838" w:orient="portrait"/>
          <w:cols w:equalWidth="0" w:num="2">
            <w:col w:w="2280" w:space="340"/>
            <w:col w:w="8460"/>
          </w:cols>
          <w:pgMar w:left="460" w:top="216" w:right="359" w:bottom="144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Demel Ana</w:t>
        </w:r>
      </w:hyperlink>
    </w:p>
    <w:p>
      <w:pPr>
        <w:spacing w:after="0" w:line="29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MONSTER WAY</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Monster Beverage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MNST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05/13/2026</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left="-6" w:right="680" w:firstLine="6"/>
        <w:spacing w:after="0" w:line="252"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14"/>
        <w:spacing w:after="0"/>
        <w:tabs>
          <w:tab w:leader="none" w:pos="207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6"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14"/>
        <w:spacing w:after="0"/>
        <w:tabs>
          <w:tab w:leader="none" w:pos="207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7"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CORONA</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92879</w:t>
            </w:r>
          </w:p>
        </w:tc>
      </w:tr>
      <w:tr>
        <w:trPr>
          <w:trHeight w:val="146"/>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4"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tcPr>
          <w:p>
            <w:pPr>
              <w:ind w:left="84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ind w:left="84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40" w:type="dxa"/>
            <w:vAlign w:val="bottom"/>
          </w:tcPr>
          <w:p>
            <w:pPr>
              <w:ind w:left="84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7. Title and</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36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36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 of</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(D) (Instr.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2,748</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05/13/2026</w:t>
            </w:r>
          </w:p>
        </w:tc>
        <w:tc>
          <w:tcPr>
            <w:tcW w:w="1080" w:type="dxa"/>
            <w:vAlign w:val="bottom"/>
          </w:tcPr>
          <w:p>
            <w:pPr>
              <w:spacing w:after="0"/>
              <w:rPr>
                <w:sz w:val="5"/>
                <w:szCs w:val="5"/>
                <w:color w:val="auto"/>
              </w:rPr>
            </w:pPr>
          </w:p>
        </w:tc>
        <w:tc>
          <w:tcPr>
            <w:tcW w:w="780" w:type="dxa"/>
            <w:vAlign w:val="bottom"/>
            <w:vMerge w:val="restart"/>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620" w:type="dxa"/>
            <w:vAlign w:val="bottom"/>
          </w:tcPr>
          <w:p>
            <w:pPr>
              <w:spacing w:after="0"/>
              <w:rPr>
                <w:sz w:val="5"/>
                <w:szCs w:val="5"/>
                <w:color w:val="auto"/>
              </w:rPr>
            </w:pPr>
          </w:p>
        </w:tc>
        <w:tc>
          <w:tcPr>
            <w:tcW w:w="360" w:type="dxa"/>
            <w:vAlign w:val="bottom"/>
            <w:vMerge w:val="restart"/>
          </w:tcPr>
          <w:p>
            <w:pPr>
              <w:ind w:left="20"/>
              <w:spacing w:after="0" w:line="140" w:lineRule="exact"/>
              <w:rPr>
                <w:sz w:val="20"/>
                <w:szCs w:val="20"/>
                <w:color w:val="auto"/>
              </w:rPr>
            </w:pPr>
            <w:r>
              <w:rPr>
                <w:rFonts w:ascii="Times New Roman" w:cs="Times New Roman" w:eastAsia="Times New Roman" w:hAnsi="Times New Roman"/>
                <w:sz w:val="13"/>
                <w:szCs w:val="13"/>
                <w:color w:val="0000FF"/>
              </w:rPr>
              <w:t>2,748</w:t>
            </w:r>
          </w:p>
        </w:tc>
        <w:tc>
          <w:tcPr>
            <w:tcW w:w="78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05/13/2026</w:t>
            </w: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2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72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20" w:type="dxa"/>
            <w:vAlign w:val="bottom"/>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2,039</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05/14/2026</w:t>
            </w:r>
          </w:p>
        </w:tc>
        <w:tc>
          <w:tcPr>
            <w:tcW w:w="1080" w:type="dxa"/>
            <w:vAlign w:val="bottom"/>
          </w:tcPr>
          <w:p>
            <w:pPr>
              <w:spacing w:after="0"/>
              <w:rPr>
                <w:sz w:val="5"/>
                <w:szCs w:val="5"/>
                <w:color w:val="auto"/>
              </w:rPr>
            </w:pPr>
          </w:p>
        </w:tc>
        <w:tc>
          <w:tcPr>
            <w:tcW w:w="780" w:type="dxa"/>
            <w:vAlign w:val="bottom"/>
            <w:vMerge w:val="restart"/>
          </w:tcPr>
          <w:p>
            <w:pPr>
              <w:ind w:left="160"/>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20" w:type="dxa"/>
            <w:vAlign w:val="bottom"/>
            <w:vMerge w:val="restart"/>
          </w:tcPr>
          <w:p>
            <w:pPr>
              <w:jc w:val="right"/>
              <w:ind w:right="122"/>
              <w:spacing w:after="0" w:line="140" w:lineRule="exact"/>
              <w:rPr>
                <w:sz w:val="20"/>
                <w:szCs w:val="20"/>
                <w:color w:val="auto"/>
              </w:rPr>
            </w:pPr>
            <w:r>
              <w:rPr>
                <w:rFonts w:ascii="Times New Roman" w:cs="Times New Roman" w:eastAsia="Times New Roman" w:hAnsi="Times New Roman"/>
                <w:sz w:val="13"/>
                <w:szCs w:val="13"/>
                <w:color w:val="0000FF"/>
              </w:rPr>
              <w:t>2,039</w:t>
            </w:r>
          </w:p>
        </w:tc>
        <w:tc>
          <w:tcPr>
            <w:tcW w:w="3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2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5"/>
              </w:rPr>
              <w:t>2,039</w:t>
            </w:r>
          </w:p>
        </w:tc>
        <w:tc>
          <w:tcPr>
            <w:tcW w:w="72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20" w:type="dxa"/>
            <w:vAlign w:val="bottom"/>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vMerge w:val="restart"/>
          </w:tcPr>
          <w:p>
            <w:pPr>
              <w:jc w:val="center"/>
              <w:ind w:right="42"/>
              <w:spacing w:after="0"/>
              <w:rPr>
                <w:sz w:val="20"/>
                <w:szCs w:val="20"/>
                <w:color w:val="auto"/>
              </w:rPr>
            </w:pPr>
            <w:r>
              <w:rPr>
                <w:rFonts w:ascii="Times New Roman" w:cs="Times New Roman" w:eastAsia="Times New Roman" w:hAnsi="Times New Roman"/>
                <w:sz w:val="13"/>
                <w:szCs w:val="13"/>
                <w:color w:val="0000FF"/>
              </w:rPr>
              <w:t>2,748</w:t>
            </w:r>
            <w:r>
              <w:rPr>
                <w:rFonts w:ascii="Times New Roman" w:cs="Times New Roman" w:eastAsia="Times New Roman" w:hAnsi="Times New Roman"/>
                <w:sz w:val="21"/>
                <w:szCs w:val="21"/>
                <w:color w:val="008000"/>
                <w:vertAlign w:val="superscript"/>
              </w:rPr>
              <w:t>(6)</w:t>
            </w:r>
          </w:p>
        </w:tc>
        <w:tc>
          <w:tcPr>
            <w:tcW w:w="360" w:type="dxa"/>
            <w:vAlign w:val="bottom"/>
          </w:tcPr>
          <w:p>
            <w:pPr>
              <w:spacing w:after="0"/>
              <w:rPr>
                <w:sz w:val="15"/>
                <w:szCs w:val="15"/>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(7)</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2,748</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(1)(6)</w:t>
            </w: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05/13/2026</w:t>
            </w:r>
          </w:p>
        </w:tc>
        <w:tc>
          <w:tcPr>
            <w:tcW w:w="1080" w:type="dxa"/>
            <w:vAlign w:val="bottom"/>
          </w:tcPr>
          <w:p>
            <w:pPr>
              <w:spacing w:after="0"/>
              <w:rPr>
                <w:sz w:val="5"/>
                <w:szCs w:val="5"/>
                <w:color w:val="auto"/>
              </w:rPr>
            </w:pPr>
          </w:p>
        </w:tc>
        <w:tc>
          <w:tcPr>
            <w:tcW w:w="780" w:type="dxa"/>
            <w:vAlign w:val="bottom"/>
            <w:vMerge w:val="restart"/>
          </w:tcPr>
          <w:p>
            <w:pPr>
              <w:ind w:left="160"/>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2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rPr>
              <w:t>19,864</w:t>
            </w:r>
          </w:p>
        </w:tc>
        <w:tc>
          <w:tcPr>
            <w:tcW w:w="72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20" w:type="dxa"/>
            <w:vAlign w:val="bottom"/>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380"/>
        <w:spacing w:after="0" w:line="249"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either (i) a contingent right to receive one share of the Company's common stock or (ii) a cash amount equal to the number of shares received as of the vesting date. These restricted stock units were settled as shares of common stock and the reporting person has elected to defer the same. See footnote 6 below.</w:t>
      </w:r>
    </w:p>
    <w:p>
      <w:pPr>
        <w:spacing w:after="0" w:line="2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 applicable.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either (i) a contingent right to receive one share of the Company's common stock or (ii) a cash amount equal to the number of shares received as of the vesting date.</w:t>
      </w:r>
    </w:p>
    <w:p>
      <w:pPr>
        <w:spacing w:after="0" w:line="41" w:lineRule="exact"/>
        <w:rPr>
          <w:rFonts w:ascii="Times New Roman" w:cs="Times New Roman" w:eastAsia="Times New Roman" w:hAnsi="Times New Roman"/>
          <w:sz w:val="13"/>
          <w:szCs w:val="13"/>
          <w:color w:val="008000"/>
        </w:rPr>
      </w:pPr>
    </w:p>
    <w:p>
      <w:pPr>
        <w:ind w:left="40" w:right="200"/>
        <w:spacing w:after="0" w:line="249"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with respect to 100% of such restricted stock units on the last business day prior to the Company's 2027 annual stockholder meeting, provided that the reporting person continues as a director of the Company through such date.</w:t>
      </w:r>
    </w:p>
    <w:p>
      <w:pPr>
        <w:spacing w:after="0" w:line="2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deferred stock unit is economically equivalent to one share of the Company's common stock.</w:t>
      </w:r>
    </w:p>
    <w:p>
      <w:pPr>
        <w:spacing w:after="0" w:line="41" w:lineRule="exact"/>
        <w:rPr>
          <w:rFonts w:ascii="Times New Roman" w:cs="Times New Roman" w:eastAsia="Times New Roman" w:hAnsi="Times New Roman"/>
          <w:sz w:val="13"/>
          <w:szCs w:val="13"/>
          <w:color w:val="008000"/>
        </w:rPr>
      </w:pPr>
    </w:p>
    <w:p>
      <w:pPr>
        <w:ind w:left="40" w:right="160"/>
        <w:spacing w:after="0" w:line="249"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Deferred stock units credited to the reporting person under the Monster Beverage Corporation Deferred Compensation Plan for Non-Employee Directors (the "Deferral Plan"), a sub-plan of the Monster Beverage Corporation 2017 Compensation Plan for Non-Employee Directors as Amended and Restated on February 23, 2022, which may include voluntary deferred compensation.</w:t>
      </w:r>
    </w:p>
    <w:p>
      <w:pPr>
        <w:spacing w:after="0" w:line="20" w:lineRule="exact"/>
        <w:rPr>
          <w:rFonts w:ascii="Times New Roman" w:cs="Times New Roman" w:eastAsia="Times New Roman" w:hAnsi="Times New Roman"/>
          <w:sz w:val="13"/>
          <w:szCs w:val="13"/>
          <w:color w:val="008000"/>
        </w:rPr>
      </w:pPr>
    </w:p>
    <w:p>
      <w:pPr>
        <w:ind w:left="40" w:right="300"/>
        <w:spacing w:after="0" w:line="237"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deferred stock units credited under the Deferral Plan are settled (other than fractional units) in stock and are generally payable in the form elected or provided under the Deferral Plan on the earliest of: (i) a specified date or event designated by the reporting person, (ii) in the calendar year following the year in which the reporting person's service with the Board of Directors of the Company separates, or (iii) upon death, disability or change in control as defined under the Deferral Plan.</w:t>
      </w:r>
    </w:p>
    <w:p>
      <w:pPr>
        <w:ind w:left="6600"/>
        <w:spacing w:after="0" w:line="184" w:lineRule="auto"/>
        <w:rPr>
          <w:sz w:val="20"/>
          <w:szCs w:val="20"/>
          <w:color w:val="auto"/>
        </w:rPr>
      </w:pPr>
      <w:r>
        <w:rPr>
          <w:rFonts w:ascii="Times New Roman" w:cs="Times New Roman" w:eastAsia="Times New Roman" w:hAnsi="Times New Roman"/>
          <w:sz w:val="16"/>
          <w:szCs w:val="16"/>
          <w:color w:val="0000FF"/>
        </w:rPr>
        <w:t xml:space="preserve">/s/ Paul J. Dechary, Attorney-in- </w:t>
      </w:r>
      <w:r>
        <w:rPr>
          <w:rFonts w:ascii="Times New Roman" w:cs="Times New Roman" w:eastAsia="Times New Roman" w:hAnsi="Times New Roman"/>
          <w:sz w:val="31"/>
          <w:szCs w:val="31"/>
          <w:color w:val="0000FF"/>
          <w:vertAlign w:val="subscript"/>
        </w:rPr>
        <w:t>05/15/2026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563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-22225</wp:posOffset>
            </wp:positionV>
            <wp:extent cx="180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-86360</wp:posOffset>
            </wp:positionV>
            <wp:extent cx="4775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7520"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03741" TargetMode="External"/><Relationship Id="rId14" Type="http://schemas.openxmlformats.org/officeDocument/2006/relationships/hyperlink" Target="http://www.sec.gov/cgi-bin/browse-edgar?action=getcompany&amp;CIK=000086575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2026-05-15T17:02:56Z</dcterms:created>
  <dcterms:modified xsi:type="dcterms:W3CDTF">2026-05-15T17:02:56Z</dcterms:modified>
</cp:coreProperties>
</file>