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0" w:lineRule="exact"/>
        <w:rPr>
          <w:sz w:val="24"/>
          <w:szCs w:val="24"/>
          <w:color w:val="auto"/>
        </w:rPr>
      </w:pPr>
    </w:p>
    <w:p>
      <w:pPr>
        <w:ind w:left="660"/>
        <w:spacing w:after="0"/>
        <w:tabs>
          <w:tab w:leader="none" w:pos="6660" w:val="left"/>
        </w:tabs>
        <w:rPr>
          <w:sz w:val="20"/>
          <w:szCs w:val="20"/>
          <w:color w:val="auto"/>
        </w:rPr>
      </w:pPr>
      <w:r>
        <w:rPr>
          <w:rFonts w:ascii="Times New Roman" w:cs="Times New Roman" w:eastAsia="Times New Roman" w:hAnsi="Times New Roman"/>
          <w:sz w:val="18"/>
          <w:szCs w:val="18"/>
          <w:color w:val="auto"/>
        </w:rPr>
        <w:t>For the quarterly period ended September 30, 2022</w:t>
      </w:r>
      <w:r>
        <w:rPr>
          <w:sz w:val="20"/>
          <w:szCs w:val="20"/>
          <w:color w:val="auto"/>
        </w:rPr>
        <w:tab/>
      </w:r>
      <w:r>
        <w:rPr>
          <w:rFonts w:ascii="Times New Roman" w:cs="Times New Roman" w:eastAsia="Times New Roman" w:hAnsi="Times New Roman"/>
          <w:sz w:val="18"/>
          <w:szCs w:val="18"/>
          <w:color w:val="auto"/>
        </w:rPr>
        <w:t>Commission File Number 001-18761</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MONSTER BEVERAGE CORPORATION</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24"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3340" w:type="dxa"/>
            <w:vAlign w:val="bottom"/>
          </w:tcPr>
          <w:p>
            <w:pPr>
              <w:jc w:val="center"/>
              <w:ind w:left="2376"/>
              <w:spacing w:after="0"/>
              <w:rPr>
                <w:sz w:val="20"/>
                <w:szCs w:val="20"/>
                <w:color w:val="auto"/>
              </w:rPr>
            </w:pPr>
            <w:r>
              <w:rPr>
                <w:rFonts w:ascii="Times New Roman" w:cs="Times New Roman" w:eastAsia="Times New Roman" w:hAnsi="Times New Roman"/>
                <w:sz w:val="18"/>
                <w:szCs w:val="18"/>
                <w:color w:val="auto"/>
                <w:w w:val="98"/>
              </w:rPr>
              <w:t>Delaware</w:t>
            </w:r>
          </w:p>
        </w:tc>
        <w:tc>
          <w:tcPr>
            <w:tcW w:w="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860" w:type="dxa"/>
            <w:vAlign w:val="bottom"/>
          </w:tcPr>
          <w:p>
            <w:pPr>
              <w:jc w:val="center"/>
              <w:ind w:right="2017"/>
              <w:spacing w:after="0"/>
              <w:rPr>
                <w:sz w:val="20"/>
                <w:szCs w:val="20"/>
                <w:color w:val="auto"/>
              </w:rPr>
            </w:pPr>
            <w:r>
              <w:rPr>
                <w:rFonts w:ascii="Times New Roman" w:cs="Times New Roman" w:eastAsia="Times New Roman" w:hAnsi="Times New Roman"/>
                <w:sz w:val="18"/>
                <w:szCs w:val="18"/>
                <w:color w:val="auto"/>
              </w:rPr>
              <w:t>47-1809393</w:t>
            </w:r>
          </w:p>
        </w:tc>
      </w:tr>
      <w:tr>
        <w:trPr>
          <w:trHeight w:val="149"/>
        </w:trPr>
        <w:tc>
          <w:tcPr>
            <w:tcW w:w="6080" w:type="dxa"/>
            <w:vAlign w:val="bottom"/>
            <w:gridSpan w:val="3"/>
          </w:tcPr>
          <w:p>
            <w:pPr>
              <w:jc w:val="center"/>
              <w:ind w:right="17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860" w:type="dxa"/>
            <w:vAlign w:val="bottom"/>
          </w:tcPr>
          <w:p>
            <w:pPr>
              <w:jc w:val="center"/>
              <w:ind w:right="1997"/>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6080" w:type="dxa"/>
            <w:vAlign w:val="bottom"/>
            <w:gridSpan w:val="3"/>
          </w:tcPr>
          <w:p>
            <w:pPr>
              <w:jc w:val="center"/>
              <w:ind w:right="17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860" w:type="dxa"/>
            <w:vAlign w:val="bottom"/>
          </w:tcPr>
          <w:p>
            <w:pPr>
              <w:jc w:val="center"/>
              <w:ind w:right="2017"/>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97"/>
        </w:trPr>
        <w:tc>
          <w:tcPr>
            <w:tcW w:w="3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Monster Way</w:t>
            </w:r>
          </w:p>
        </w:tc>
        <w:tc>
          <w:tcPr>
            <w:tcW w:w="3860" w:type="dxa"/>
            <w:vAlign w:val="bottom"/>
          </w:tcPr>
          <w:p>
            <w:pPr>
              <w:spacing w:after="0"/>
              <w:rPr>
                <w:sz w:val="24"/>
                <w:szCs w:val="24"/>
                <w:color w:val="auto"/>
              </w:rPr>
            </w:pPr>
          </w:p>
        </w:tc>
      </w:tr>
      <w:tr>
        <w:trPr>
          <w:trHeight w:val="212"/>
        </w:trPr>
        <w:tc>
          <w:tcPr>
            <w:tcW w:w="3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Corona, California 92879</w:t>
            </w:r>
          </w:p>
        </w:tc>
        <w:tc>
          <w:tcPr>
            <w:tcW w:w="3860" w:type="dxa"/>
            <w:vAlign w:val="bottom"/>
          </w:tcPr>
          <w:p>
            <w:pPr>
              <w:spacing w:after="0"/>
              <w:rPr>
                <w:sz w:val="18"/>
                <w:szCs w:val="18"/>
                <w:color w:val="auto"/>
              </w:rPr>
            </w:pPr>
          </w:p>
        </w:tc>
      </w:tr>
      <w:tr>
        <w:trPr>
          <w:trHeight w:val="188"/>
        </w:trPr>
        <w:tc>
          <w:tcPr>
            <w:tcW w:w="3340" w:type="dxa"/>
            <w:vAlign w:val="bottom"/>
          </w:tcPr>
          <w:p>
            <w:pPr>
              <w:spacing w:after="0"/>
              <w:rPr>
                <w:sz w:val="16"/>
                <w:szCs w:val="16"/>
                <w:color w:val="auto"/>
              </w:rPr>
            </w:pPr>
          </w:p>
        </w:tc>
        <w:tc>
          <w:tcPr>
            <w:tcW w:w="6600" w:type="dxa"/>
            <w:vAlign w:val="bottom"/>
            <w:gridSpan w:val="3"/>
          </w:tcPr>
          <w:p>
            <w:pPr>
              <w:jc w:val="center"/>
              <w:ind w:right="3277"/>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r>
      <w:tr>
        <w:trPr>
          <w:trHeight w:val="311"/>
        </w:trPr>
        <w:tc>
          <w:tcPr>
            <w:tcW w:w="3340" w:type="dxa"/>
            <w:vAlign w:val="bottom"/>
          </w:tcPr>
          <w:p>
            <w:pPr>
              <w:spacing w:after="0"/>
              <w:rPr>
                <w:sz w:val="24"/>
                <w:szCs w:val="24"/>
                <w:color w:val="auto"/>
              </w:rPr>
            </w:pPr>
          </w:p>
        </w:tc>
        <w:tc>
          <w:tcPr>
            <w:tcW w:w="2740" w:type="dxa"/>
            <w:vAlign w:val="bottom"/>
            <w:gridSpan w:val="2"/>
          </w:tcPr>
          <w:p>
            <w:pPr>
              <w:jc w:val="center"/>
              <w:ind w:left="442"/>
              <w:spacing w:after="0"/>
              <w:rPr>
                <w:sz w:val="20"/>
                <w:szCs w:val="20"/>
                <w:color w:val="auto"/>
              </w:rPr>
            </w:pPr>
            <w:r>
              <w:rPr>
                <w:rFonts w:ascii="Times New Roman" w:cs="Times New Roman" w:eastAsia="Times New Roman" w:hAnsi="Times New Roman"/>
                <w:sz w:val="18"/>
                <w:szCs w:val="18"/>
                <w:color w:val="auto"/>
              </w:rPr>
              <w:t>(951) 739 - 6200</w:t>
            </w:r>
          </w:p>
        </w:tc>
        <w:tc>
          <w:tcPr>
            <w:tcW w:w="3860" w:type="dxa"/>
            <w:vAlign w:val="bottom"/>
          </w:tcPr>
          <w:p>
            <w:pPr>
              <w:spacing w:after="0"/>
              <w:rPr>
                <w:sz w:val="24"/>
                <w:szCs w:val="24"/>
                <w:color w:val="auto"/>
              </w:rPr>
            </w:pPr>
          </w:p>
        </w:tc>
      </w:tr>
      <w:tr>
        <w:trPr>
          <w:trHeight w:val="188"/>
        </w:trPr>
        <w:tc>
          <w:tcPr>
            <w:tcW w:w="3340" w:type="dxa"/>
            <w:vAlign w:val="bottom"/>
          </w:tcPr>
          <w:p>
            <w:pPr>
              <w:spacing w:after="0"/>
              <w:rPr>
                <w:sz w:val="16"/>
                <w:szCs w:val="16"/>
                <w:color w:val="auto"/>
              </w:rPr>
            </w:pPr>
          </w:p>
        </w:tc>
        <w:tc>
          <w:tcPr>
            <w:tcW w:w="6600" w:type="dxa"/>
            <w:vAlign w:val="bottom"/>
            <w:gridSpan w:val="3"/>
          </w:tcPr>
          <w:p>
            <w:pPr>
              <w:jc w:val="center"/>
              <w:ind w:right="3277"/>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334"/>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60" w:type="dxa"/>
            <w:vAlign w:val="bottom"/>
          </w:tcPr>
          <w:p>
            <w:pPr>
              <w:spacing w:after="0"/>
              <w:rPr>
                <w:sz w:val="24"/>
                <w:szCs w:val="24"/>
                <w:color w:val="auto"/>
              </w:rPr>
            </w:pPr>
          </w:p>
        </w:tc>
      </w:tr>
      <w:tr>
        <w:trPr>
          <w:trHeight w:val="148"/>
        </w:trPr>
        <w:tc>
          <w:tcPr>
            <w:tcW w:w="33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r>
      <w:tr>
        <w:trPr>
          <w:trHeight w:val="210"/>
        </w:trPr>
        <w:tc>
          <w:tcPr>
            <w:tcW w:w="3340" w:type="dxa"/>
            <w:vAlign w:val="bottom"/>
            <w:tcBorders>
              <w:left w:val="single" w:sz="8" w:color="auto"/>
              <w:bottom w:val="single" w:sz="8" w:color="auto"/>
            </w:tcBorders>
          </w:tcPr>
          <w:p>
            <w:pPr>
              <w:jc w:val="center"/>
              <w:ind w:left="436"/>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2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9"/>
        </w:trPr>
        <w:tc>
          <w:tcPr>
            <w:tcW w:w="3340" w:type="dxa"/>
            <w:vAlign w:val="bottom"/>
            <w:tcBorders>
              <w:left w:val="single" w:sz="8" w:color="auto"/>
              <w:bottom w:val="single" w:sz="8" w:color="auto"/>
            </w:tcBorders>
          </w:tcPr>
          <w:p>
            <w:pPr>
              <w:jc w:val="center"/>
              <w:ind w:left="416"/>
              <w:spacing w:after="0"/>
              <w:rPr>
                <w:sz w:val="20"/>
                <w:szCs w:val="20"/>
                <w:color w:val="auto"/>
              </w:rPr>
            </w:pPr>
            <w:r>
              <w:rPr>
                <w:rFonts w:ascii="Times New Roman" w:cs="Times New Roman" w:eastAsia="Times New Roman" w:hAnsi="Times New Roman"/>
                <w:sz w:val="18"/>
                <w:szCs w:val="18"/>
                <w:color w:val="auto"/>
                <w:w w:val="99"/>
              </w:rPr>
              <w:t>Common Stock</w:t>
            </w:r>
          </w:p>
        </w:tc>
        <w:tc>
          <w:tcPr>
            <w:tcW w:w="52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MNST</w:t>
            </w:r>
          </w:p>
        </w:tc>
        <w:tc>
          <w:tcPr>
            <w:tcW w:w="3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5"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u w:val="single" w:color="auto"/>
          <w:color w:val="auto"/>
        </w:rPr>
        <w:t>X</w:t>
      </w:r>
      <w:r>
        <w:rPr>
          <w:sz w:val="20"/>
          <w:szCs w:val="20"/>
          <w:color w:val="auto"/>
        </w:rPr>
        <w:tab/>
      </w:r>
      <w:r>
        <w:rPr>
          <w:rFonts w:ascii="Times New Roman" w:cs="Times New Roman" w:eastAsia="Times New Roman" w:hAnsi="Times New Roman"/>
          <w:sz w:val="17"/>
          <w:szCs w:val="17"/>
          <w:color w:val="auto"/>
        </w:rPr>
        <w:t>No __</w:t>
      </w:r>
    </w:p>
    <w:p>
      <w:pPr>
        <w:spacing w:after="0" w:line="144"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5"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u w:val="single" w:color="auto"/>
          <w:color w:val="auto"/>
        </w:rPr>
        <w:t>X</w:t>
      </w:r>
      <w:r>
        <w:rPr>
          <w:sz w:val="20"/>
          <w:szCs w:val="20"/>
          <w:color w:val="auto"/>
        </w:rPr>
        <w:tab/>
      </w:r>
      <w:r>
        <w:rPr>
          <w:rFonts w:ascii="Times New Roman" w:cs="Times New Roman" w:eastAsia="Times New Roman" w:hAnsi="Times New Roman"/>
          <w:sz w:val="17"/>
          <w:szCs w:val="17"/>
          <w:color w:val="auto"/>
        </w:rPr>
        <w:t>No __</w:t>
      </w:r>
    </w:p>
    <w:p>
      <w:pPr>
        <w:spacing w:after="0" w:line="144" w:lineRule="exact"/>
        <w:rPr>
          <w:sz w:val="24"/>
          <w:szCs w:val="24"/>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40"/>
          </w:cols>
          <w:pgMar w:left="980" w:top="661" w:right="979" w:bottom="1440" w:gutter="0" w:footer="0" w:header="0"/>
        </w:sectPr>
      </w:pPr>
    </w:p>
    <w:p>
      <w:pPr>
        <w:spacing w:after="0" w:line="8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4220" w:space="720"/>
            <w:col w:w="5000"/>
          </w:cols>
          <w:pgMar w:left="980" w:top="661" w:right="979" w:bottom="1440" w:gutter="0" w:footer="0" w:header="0"/>
          <w:type w:val="continuous"/>
        </w:sectPr>
      </w:pPr>
    </w:p>
    <w:p>
      <w:pPr>
        <w:spacing w:after="0" w:line="17" w:lineRule="exact"/>
        <w:rPr>
          <w:sz w:val="24"/>
          <w:szCs w:val="24"/>
          <w:color w:val="auto"/>
        </w:rPr>
      </w:pPr>
    </w:p>
    <w:p>
      <w:pPr>
        <w:ind w:right="4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8"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44" w:lineRule="exact"/>
        <w:rPr>
          <w:sz w:val="24"/>
          <w:szCs w:val="24"/>
          <w:color w:val="auto"/>
        </w:rPr>
      </w:pPr>
    </w:p>
    <w:p>
      <w:pPr>
        <w:jc w:val="center"/>
        <w:spacing w:after="0"/>
        <w:tabs>
          <w:tab w:leader="none" w:pos="160" w:val="left"/>
        </w:tabs>
        <w:rPr>
          <w:sz w:val="20"/>
          <w:szCs w:val="20"/>
          <w:color w:val="auto"/>
        </w:rPr>
      </w:pPr>
      <w:r>
        <w:rPr>
          <w:rFonts w:ascii="Times New Roman" w:cs="Times New Roman" w:eastAsia="Times New Roman" w:hAnsi="Times New Roman"/>
          <w:sz w:val="18"/>
          <w:szCs w:val="18"/>
          <w:color w:val="auto"/>
        </w:rPr>
        <w:t>Yes __</w:t>
        <w:tab/>
        <w:t xml:space="preserve">No </w:t>
      </w:r>
      <w:r>
        <w:rPr>
          <w:rFonts w:ascii="Times New Roman" w:cs="Times New Roman" w:eastAsia="Times New Roman" w:hAnsi="Times New Roman"/>
          <w:sz w:val="18"/>
          <w:szCs w:val="18"/>
          <w:u w:val="single" w:color="auto"/>
          <w:color w:val="auto"/>
        </w:rPr>
        <w:t>X</w:t>
      </w:r>
    </w:p>
    <w:p>
      <w:pPr>
        <w:spacing w:after="0" w:line="1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registrant had 521,743,612 shares of common stock, par value $0.005 per share, outstanding as of October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68580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102870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1" w:right="9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86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60" w:type="dxa"/>
            <w:vAlign w:val="bottom"/>
            <w:gridSpan w:val="21"/>
          </w:tcPr>
          <w:p>
            <w:pPr>
              <w:jc w:val="center"/>
              <w:ind w:right="1340"/>
              <w:spacing w:after="0"/>
              <w:rPr>
                <w:sz w:val="20"/>
                <w:szCs w:val="20"/>
                <w:color w:val="auto"/>
              </w:rPr>
            </w:pPr>
            <w:r>
              <w:rPr>
                <w:rFonts w:ascii="Times New Roman" w:cs="Times New Roman" w:eastAsia="Times New Roman" w:hAnsi="Times New Roman"/>
                <w:sz w:val="18"/>
                <w:szCs w:val="18"/>
                <w:b w:val="1"/>
                <w:bCs w:val="1"/>
                <w:color w:val="auto"/>
                <w:w w:val="99"/>
              </w:rPr>
              <w:t>MONSTER BEVERAGE CORPORATION AND SUBSIDIARIES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780" w:type="dxa"/>
            <w:vAlign w:val="bottom"/>
            <w:tcBorders>
              <w:top w:val="single" w:sz="8" w:color="auto"/>
              <w:bottom w:val="single" w:sz="8" w:color="auto"/>
            </w:tcBorders>
            <w:gridSpan w:val="7"/>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1660" w:type="dxa"/>
            <w:vAlign w:val="bottom"/>
            <w:tcBorders>
              <w:top w:val="single" w:sz="8" w:color="auto"/>
            </w:tcBorders>
            <w:gridSpan w:val="2"/>
          </w:tcPr>
          <w:p>
            <w:pPr>
              <w:spacing w:after="0"/>
              <w:rPr>
                <w:sz w:val="17"/>
                <w:szCs w:val="17"/>
                <w:color w:val="auto"/>
              </w:rPr>
            </w:pPr>
          </w:p>
        </w:tc>
        <w:tc>
          <w:tcPr>
            <w:tcW w:w="1340" w:type="dxa"/>
            <w:vAlign w:val="bottom"/>
            <w:gridSpan w:val="5"/>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600" w:type="dxa"/>
            <w:vAlign w:val="bottom"/>
            <w:gridSpan w:val="11"/>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784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520" w:type="dxa"/>
            <w:vAlign w:val="bottom"/>
            <w:gridSpan w:val="3"/>
            <w:vMerge w:val="restart"/>
          </w:tcPr>
          <w:p>
            <w:pPr>
              <w:spacing w:after="0" w:line="20" w:lineRule="exact"/>
              <w:rPr>
                <w:sz w:val="1"/>
                <w:szCs w:val="1"/>
                <w:color w:val="auto"/>
              </w:rPr>
            </w:pPr>
          </w:p>
        </w:tc>
        <w:tc>
          <w:tcPr>
            <w:tcW w:w="42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Financial Statements (Unaudited)</w:t>
            </w:r>
          </w:p>
        </w:tc>
        <w:tc>
          <w:tcPr>
            <w:tcW w:w="3580" w:type="dxa"/>
            <w:vAlign w:val="bottom"/>
            <w:gridSpan w:val="10"/>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500" w:type="dxa"/>
            <w:vAlign w:val="bottom"/>
            <w:tcBorders>
              <w:bottom w:val="single" w:sz="8" w:color="0000EE"/>
            </w:tcBorders>
            <w:vMerge w:val="continue"/>
          </w:tcPr>
          <w:p>
            <w:pPr>
              <w:spacing w:after="0"/>
              <w:rPr>
                <w:sz w:val="24"/>
                <w:szCs w:val="24"/>
                <w:color w:val="auto"/>
              </w:rPr>
            </w:pPr>
          </w:p>
        </w:tc>
        <w:tc>
          <w:tcPr>
            <w:tcW w:w="520" w:type="dxa"/>
            <w:vAlign w:val="bottom"/>
            <w:gridSpan w:val="3"/>
            <w:vMerge w:val="continue"/>
          </w:tcPr>
          <w:p>
            <w:pPr>
              <w:spacing w:after="0"/>
              <w:rPr>
                <w:sz w:val="24"/>
                <w:szCs w:val="24"/>
                <w:color w:val="auto"/>
              </w:rPr>
            </w:pPr>
          </w:p>
        </w:tc>
        <w:tc>
          <w:tcPr>
            <w:tcW w:w="4260" w:type="dxa"/>
            <w:vAlign w:val="bottom"/>
            <w:tcBorders>
              <w:bottom w:val="single" w:sz="8" w:color="0000EE"/>
            </w:tcBorders>
            <w:gridSpan w:val="20"/>
            <w:vMerge w:val="continue"/>
          </w:tcPr>
          <w:p>
            <w:pPr>
              <w:spacing w:after="0"/>
              <w:rPr>
                <w:sz w:val="24"/>
                <w:szCs w:val="24"/>
                <w:color w:val="auto"/>
              </w:rPr>
            </w:pPr>
          </w:p>
        </w:tc>
        <w:tc>
          <w:tcPr>
            <w:tcW w:w="3580" w:type="dxa"/>
            <w:vAlign w:val="bottom"/>
            <w:gridSpan w:val="10"/>
            <w:vMerge w:val="continue"/>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5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September 30, 2022 and December 31, 2021</w:t>
            </w:r>
          </w:p>
        </w:tc>
        <w:tc>
          <w:tcPr>
            <w:tcW w:w="1260" w:type="dxa"/>
            <w:vAlign w:val="bottom"/>
            <w:gridSpan w:val="4"/>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4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 for the Three- and Nine-Months Ended September 30,</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2022 and 2021</w:t>
            </w:r>
          </w:p>
        </w:tc>
        <w:tc>
          <w:tcPr>
            <w:tcW w:w="6760" w:type="dxa"/>
            <w:vAlign w:val="bottom"/>
            <w:gridSpan w:val="24"/>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2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and Nine-Months Ended</w:t>
            </w:r>
          </w:p>
        </w:tc>
        <w:tc>
          <w:tcPr>
            <w:tcW w:w="220" w:type="dxa"/>
            <w:vAlign w:val="bottom"/>
            <w:gridSpan w:val="2"/>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2022 and 2021</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Nine-Months Ended</w:t>
            </w:r>
          </w:p>
        </w:tc>
        <w:tc>
          <w:tcPr>
            <w:tcW w:w="240" w:type="dxa"/>
            <w:vAlign w:val="bottom"/>
            <w:gridSpan w:val="3"/>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30, 2022 and 2021</w:t>
            </w:r>
          </w:p>
        </w:tc>
        <w:tc>
          <w:tcPr>
            <w:tcW w:w="5680" w:type="dxa"/>
            <w:vAlign w:val="bottom"/>
            <w:gridSpan w:val="17"/>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Nine-Months Ended September 30, 2022 and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840" w:type="dxa"/>
            <w:vAlign w:val="bottom"/>
            <w:gridSpan w:val="12"/>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2.</w:t>
            </w:r>
          </w:p>
        </w:tc>
        <w:tc>
          <w:tcPr>
            <w:tcW w:w="520" w:type="dxa"/>
            <w:vAlign w:val="bottom"/>
            <w:gridSpan w:val="3"/>
          </w:tcPr>
          <w:p>
            <w:pPr>
              <w:spacing w:after="0"/>
              <w:rPr>
                <w:sz w:val="24"/>
                <w:szCs w:val="24"/>
                <w:color w:val="auto"/>
              </w:rPr>
            </w:pPr>
          </w:p>
        </w:tc>
        <w:tc>
          <w:tcPr>
            <w:tcW w:w="64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380" w:type="dxa"/>
            <w:vAlign w:val="bottom"/>
            <w:gridSpan w:val="6"/>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3.</w:t>
            </w:r>
          </w:p>
        </w:tc>
        <w:tc>
          <w:tcPr>
            <w:tcW w:w="520" w:type="dxa"/>
            <w:vAlign w:val="bottom"/>
            <w:gridSpan w:val="3"/>
          </w:tcPr>
          <w:p>
            <w:pPr>
              <w:spacing w:after="0"/>
              <w:rPr>
                <w:sz w:val="24"/>
                <w:szCs w:val="24"/>
                <w:color w:val="auto"/>
              </w:rPr>
            </w:pPr>
          </w:p>
        </w:tc>
        <w:tc>
          <w:tcPr>
            <w:tcW w:w="43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480" w:type="dxa"/>
            <w:vAlign w:val="bottom"/>
            <w:gridSpan w:val="8"/>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4.</w:t>
            </w:r>
          </w:p>
        </w:tc>
        <w:tc>
          <w:tcPr>
            <w:tcW w:w="520" w:type="dxa"/>
            <w:vAlign w:val="bottom"/>
            <w:gridSpan w:val="3"/>
          </w:tcPr>
          <w:p>
            <w:pPr>
              <w:spacing w:after="0"/>
              <w:rPr>
                <w:sz w:val="24"/>
                <w:szCs w:val="24"/>
                <w:color w:val="auto"/>
              </w:rPr>
            </w:pPr>
          </w:p>
        </w:tc>
        <w:tc>
          <w:tcPr>
            <w:tcW w:w="17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6060" w:type="dxa"/>
            <w:vAlign w:val="bottom"/>
            <w:gridSpan w:val="20"/>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Part II.</w:t>
            </w:r>
          </w:p>
        </w:tc>
        <w:tc>
          <w:tcPr>
            <w:tcW w:w="440" w:type="dxa"/>
            <w:vAlign w:val="bottom"/>
            <w:gridSpan w:val="2"/>
          </w:tcPr>
          <w:p>
            <w:pPr>
              <w:spacing w:after="0"/>
              <w:rPr>
                <w:sz w:val="24"/>
                <w:szCs w:val="24"/>
                <w:color w:val="auto"/>
              </w:rPr>
            </w:pPr>
          </w:p>
        </w:tc>
        <w:tc>
          <w:tcPr>
            <w:tcW w:w="784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80" w:type="dxa"/>
            <w:vAlign w:val="bottom"/>
            <w:tcBorders>
              <w:top w:val="single" w:sz="8" w:color="0000EE"/>
            </w:tcBorders>
          </w:tcPr>
          <w:p>
            <w:pPr>
              <w:spacing w:after="0"/>
              <w:rPr>
                <w:sz w:val="24"/>
                <w:szCs w:val="24"/>
                <w:color w:val="auto"/>
              </w:rPr>
            </w:pPr>
          </w:p>
        </w:tc>
        <w:tc>
          <w:tcPr>
            <w:tcW w:w="440" w:type="dxa"/>
            <w:vAlign w:val="bottom"/>
            <w:gridSpan w:val="2"/>
          </w:tcPr>
          <w:p>
            <w:pPr>
              <w:spacing w:after="0"/>
              <w:rPr>
                <w:sz w:val="24"/>
                <w:szCs w:val="24"/>
                <w:color w:val="auto"/>
              </w:rPr>
            </w:pPr>
          </w:p>
        </w:tc>
        <w:tc>
          <w:tcPr>
            <w:tcW w:w="13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80" w:type="dxa"/>
            <w:vAlign w:val="bottom"/>
            <w:tcBorders>
              <w:top w:val="single" w:sz="8" w:color="0000EE"/>
            </w:tcBorders>
            <w:gridSpan w:val="3"/>
          </w:tcPr>
          <w:p>
            <w:pPr>
              <w:spacing w:after="0"/>
              <w:rPr>
                <w:sz w:val="24"/>
                <w:szCs w:val="24"/>
                <w:color w:val="auto"/>
              </w:rPr>
            </w:pPr>
          </w:p>
        </w:tc>
        <w:tc>
          <w:tcPr>
            <w:tcW w:w="5820" w:type="dxa"/>
            <w:vAlign w:val="bottom"/>
            <w:gridSpan w:val="19"/>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412"/>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78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500" w:type="dxa"/>
            <w:vAlign w:val="bottom"/>
            <w:gridSpan w:val="9"/>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2.</w:t>
            </w:r>
          </w:p>
        </w:tc>
        <w:tc>
          <w:tcPr>
            <w:tcW w:w="14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78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3.</w:t>
            </w:r>
          </w:p>
        </w:tc>
        <w:tc>
          <w:tcPr>
            <w:tcW w:w="520" w:type="dxa"/>
            <w:vAlign w:val="bottom"/>
            <w:gridSpan w:val="3"/>
          </w:tcPr>
          <w:p>
            <w:pPr>
              <w:spacing w:after="0"/>
              <w:rPr>
                <w:sz w:val="24"/>
                <w:szCs w:val="24"/>
                <w:color w:val="auto"/>
              </w:rPr>
            </w:pPr>
          </w:p>
        </w:tc>
        <w:tc>
          <w:tcPr>
            <w:tcW w:w="4340" w:type="dxa"/>
            <w:vAlign w:val="bottom"/>
            <w:tcBorders>
              <w:top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3500" w:type="dxa"/>
            <w:vAlign w:val="bottom"/>
            <w:gridSpan w:val="9"/>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4.</w:t>
            </w:r>
          </w:p>
        </w:tc>
        <w:tc>
          <w:tcPr>
            <w:tcW w:w="520" w:type="dxa"/>
            <w:vAlign w:val="bottom"/>
            <w:gridSpan w:val="3"/>
          </w:tcPr>
          <w:p>
            <w:pPr>
              <w:spacing w:after="0"/>
              <w:rPr>
                <w:sz w:val="24"/>
                <w:szCs w:val="24"/>
                <w:color w:val="auto"/>
              </w:rPr>
            </w:pPr>
          </w:p>
        </w:tc>
        <w:tc>
          <w:tcPr>
            <w:tcW w:w="1780" w:type="dxa"/>
            <w:vAlign w:val="bottom"/>
            <w:tcBorders>
              <w:top w:val="single" w:sz="8" w:color="0000EE"/>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4"/>
          </w:tcPr>
          <w:p>
            <w:pPr>
              <w:spacing w:after="0"/>
              <w:rPr>
                <w:sz w:val="24"/>
                <w:szCs w:val="24"/>
                <w:color w:val="auto"/>
              </w:rPr>
            </w:pPr>
          </w:p>
        </w:tc>
        <w:tc>
          <w:tcPr>
            <w:tcW w:w="5520" w:type="dxa"/>
            <w:vAlign w:val="bottom"/>
            <w:gridSpan w:val="16"/>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5.</w:t>
            </w:r>
          </w:p>
        </w:tc>
        <w:tc>
          <w:tcPr>
            <w:tcW w:w="520" w:type="dxa"/>
            <w:vAlign w:val="bottom"/>
            <w:gridSpan w:val="3"/>
          </w:tcPr>
          <w:p>
            <w:pPr>
              <w:spacing w:after="0"/>
              <w:rPr>
                <w:sz w:val="24"/>
                <w:szCs w:val="24"/>
                <w:color w:val="auto"/>
              </w:rPr>
            </w:pPr>
          </w:p>
        </w:tc>
        <w:tc>
          <w:tcPr>
            <w:tcW w:w="13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520" w:type="dxa"/>
            <w:vAlign w:val="bottom"/>
            <w:gridSpan w:val="23"/>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6.</w:t>
            </w:r>
          </w:p>
        </w:tc>
        <w:tc>
          <w:tcPr>
            <w:tcW w:w="520" w:type="dxa"/>
            <w:vAlign w:val="bottom"/>
            <w:gridSpan w:val="3"/>
          </w:tcPr>
          <w:p>
            <w:pPr>
              <w:spacing w:after="0"/>
              <w:rPr>
                <w:sz w:val="24"/>
                <w:szCs w:val="24"/>
                <w:color w:val="auto"/>
              </w:rPr>
            </w:pPr>
          </w:p>
        </w:tc>
        <w:tc>
          <w:tcPr>
            <w:tcW w:w="78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Exhibits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80" w:type="dxa"/>
            <w:vAlign w:val="bottom"/>
            <w:gridSpan w:val="2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ind w:right="4800"/>
        <w:spacing w:after="0" w:line="274" w:lineRule="auto"/>
        <w:rPr>
          <w:sz w:val="20"/>
          <w:szCs w:val="20"/>
          <w:color w:val="auto"/>
        </w:rPr>
      </w:pPr>
      <w:r>
        <w:rPr>
          <w:rFonts w:ascii="Times New Roman" w:cs="Times New Roman" w:eastAsia="Times New Roman" w:hAnsi="Times New Roman"/>
          <w:sz w:val="17"/>
          <w:szCs w:val="17"/>
          <w:b w:val="1"/>
          <w:bCs w:val="1"/>
          <w:color w:val="auto"/>
        </w:rPr>
        <w:t>MONSTER BEVERAGE CORPORATION AND SUBSIDIARIES CONDENSED CONSOLIDATED BALANCE SHEETS AS OF SEPTEMBER 30, 2022 AND DECEMBER 31,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5340" w:type="dxa"/>
            <w:vAlign w:val="bottom"/>
            <w:gridSpan w:val="4"/>
            <w:shd w:val="clear" w:color="auto" w:fill="CCEEFF"/>
          </w:tcPr>
          <w:p>
            <w:pPr>
              <w:jc w:val="center"/>
              <w:ind w:right="2200"/>
              <w:spacing w:after="0" w:line="11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Borders>
              <w:top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540" w:type="dxa"/>
            <w:vAlign w:val="bottom"/>
            <w:tcBorders>
              <w:top w:val="single" w:sz="8" w:color="auto"/>
            </w:tcBorders>
          </w:tcPr>
          <w:p>
            <w:pPr>
              <w:spacing w:after="0"/>
              <w:rPr>
                <w:sz w:val="12"/>
                <w:szCs w:val="12"/>
                <w:color w:val="auto"/>
              </w:rPr>
            </w:pPr>
          </w:p>
        </w:tc>
        <w:tc>
          <w:tcPr>
            <w:tcW w:w="3500" w:type="dxa"/>
            <w:vAlign w:val="bottom"/>
            <w:tcBorders>
              <w:top w:val="single" w:sz="8" w:color="CCEEFF"/>
            </w:tcBorders>
            <w:gridSpan w:val="2"/>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1,303,048</w:t>
            </w:r>
          </w:p>
        </w:tc>
        <w:tc>
          <w:tcPr>
            <w:tcW w:w="2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1,326,462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1,346,781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1,749,727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1,051,642</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896,658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862,977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593,357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112,294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82,668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4"/>
                <w:szCs w:val="14"/>
                <w:color w:val="auto"/>
              </w:rPr>
              <w:t>Prepaid income taxes</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19,949</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33,238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4,696,691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4,682,110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72,373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99,419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485,550</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313,753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 net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195,511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225,221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1,412,941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1,331,643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1,225,826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115,913</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80,252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Borders>
              <w:bottom w:val="single" w:sz="8" w:color="CCEEFF"/>
            </w:tcBorders>
            <w:shd w:val="clear" w:color="auto" w:fill="CCEEFF"/>
          </w:tcPr>
          <w:p>
            <w:pPr>
              <w:spacing w:after="0"/>
              <w:rPr>
                <w:sz w:val="12"/>
                <w:szCs w:val="12"/>
                <w:color w:val="auto"/>
              </w:rPr>
            </w:pPr>
          </w:p>
        </w:tc>
        <w:tc>
          <w:tcPr>
            <w:tcW w:w="5340" w:type="dxa"/>
            <w:vAlign w:val="bottom"/>
            <w:tcBorders>
              <w:bottom w:val="single" w:sz="8" w:color="CCEEFF"/>
            </w:tcBorders>
            <w:gridSpan w:val="4"/>
            <w:shd w:val="clear" w:color="auto" w:fill="CCEEFF"/>
          </w:tcPr>
          <w:p>
            <w:pPr>
              <w:jc w:val="center"/>
              <w:ind w:right="220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8,204,805</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7,804,784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Borders>
              <w:bottom w:val="single" w:sz="8" w:color="CCEEFF"/>
            </w:tcBorders>
            <w:shd w:val="clear" w:color="auto" w:fill="CCEEFF"/>
          </w:tcPr>
          <w:p>
            <w:pPr>
              <w:spacing w:after="0"/>
              <w:rPr>
                <w:sz w:val="11"/>
                <w:szCs w:val="11"/>
                <w:color w:val="auto"/>
              </w:rPr>
            </w:pPr>
          </w:p>
        </w:tc>
        <w:tc>
          <w:tcPr>
            <w:tcW w:w="3140" w:type="dxa"/>
            <w:vAlign w:val="bottom"/>
            <w:tcBorders>
              <w:bottom w:val="single" w:sz="8" w:color="auto"/>
            </w:tcBorders>
            <w:gridSpan w:val="3"/>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520,198</w:t>
            </w:r>
          </w:p>
        </w:tc>
        <w:tc>
          <w:tcPr>
            <w:tcW w:w="2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404,263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198,692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promotional allowances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281,650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211,461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42,608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61,426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17,143</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30,399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1,121,717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965,076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226,294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243,249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41,034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29,508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12)</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20" w:type="dxa"/>
            <w:vAlign w:val="bottom"/>
            <w:gridSpan w:val="5"/>
          </w:tcPr>
          <w:p>
            <w:pPr>
              <w:spacing w:after="0" w:line="126" w:lineRule="exact"/>
              <w:rPr>
                <w:sz w:val="20"/>
                <w:szCs w:val="20"/>
                <w:color w:val="auto"/>
              </w:rPr>
            </w:pPr>
            <w:r>
              <w:rPr>
                <w:rFonts w:ascii="Times New Roman" w:cs="Times New Roman" w:eastAsia="Times New Roman" w:hAnsi="Times New Roman"/>
                <w:sz w:val="14"/>
                <w:szCs w:val="14"/>
                <w:color w:val="auto"/>
              </w:rPr>
              <w:t>Common stock - $0.005 par value; 1,250,000 shares authorized; 641,245 shares issued and 523,965 shares outstanding as</w:t>
            </w: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3,206</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0" w:type="dxa"/>
            <w:vAlign w:val="bottom"/>
          </w:tcPr>
          <w:p>
            <w:pPr>
              <w:spacing w:after="0"/>
              <w:rPr>
                <w:sz w:val="1"/>
                <w:szCs w:val="1"/>
                <w:color w:val="auto"/>
              </w:rPr>
            </w:pPr>
          </w:p>
        </w:tc>
      </w:tr>
      <w:tr>
        <w:trPr>
          <w:trHeight w:val="171"/>
        </w:trPr>
        <w:tc>
          <w:tcPr>
            <w:tcW w:w="73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of September 30, 2022; 640,043 shares issued and 529,323 shares outstanding as of December 31, 2021</w:t>
            </w: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4,736,141</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4,652,620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10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8,699,499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7,809,549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(224,455)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(69,165)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20" w:type="dxa"/>
            <w:vAlign w:val="bottom"/>
            <w:gridSpan w:val="5"/>
          </w:tcPr>
          <w:p>
            <w:pPr>
              <w:spacing w:after="0" w:line="126" w:lineRule="exact"/>
              <w:rPr>
                <w:sz w:val="20"/>
                <w:szCs w:val="20"/>
                <w:color w:val="auto"/>
              </w:rPr>
            </w:pPr>
            <w:r>
              <w:rPr>
                <w:rFonts w:ascii="Times New Roman" w:cs="Times New Roman" w:eastAsia="Times New Roman" w:hAnsi="Times New Roman"/>
                <w:sz w:val="14"/>
                <w:szCs w:val="14"/>
                <w:color w:val="auto"/>
              </w:rPr>
              <w:t>Common stock in treasury, at cost; 117,280 shares and 110,720 shares as of September 30, 2022 and December 31, 2021,</w:t>
            </w:r>
          </w:p>
        </w:tc>
        <w:tc>
          <w:tcPr>
            <w:tcW w:w="100" w:type="dxa"/>
            <w:vAlign w:val="bottom"/>
          </w:tcPr>
          <w:p>
            <w:pPr>
              <w:spacing w:after="0"/>
              <w:rPr>
                <w:sz w:val="10"/>
                <w:szCs w:val="10"/>
                <w:color w:val="auto"/>
              </w:rPr>
            </w:pPr>
          </w:p>
        </w:tc>
        <w:tc>
          <w:tcPr>
            <w:tcW w:w="13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(6,398,631)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(5,829,253)</w:t>
            </w:r>
          </w:p>
        </w:tc>
        <w:tc>
          <w:tcPr>
            <w:tcW w:w="0" w:type="dxa"/>
            <w:vAlign w:val="bottom"/>
          </w:tcPr>
          <w:p>
            <w:pPr>
              <w:spacing w:after="0"/>
              <w:rPr>
                <w:sz w:val="1"/>
                <w:szCs w:val="1"/>
                <w:color w:val="auto"/>
              </w:rPr>
            </w:pPr>
          </w:p>
        </w:tc>
      </w:tr>
      <w:tr>
        <w:trPr>
          <w:trHeight w:val="171"/>
        </w:trPr>
        <w:tc>
          <w:tcPr>
            <w:tcW w:w="7340" w:type="dxa"/>
            <w:vAlign w:val="bottom"/>
            <w:gridSpan w:val="6"/>
          </w:tcPr>
          <w:p>
            <w:pPr>
              <w:spacing w:after="0"/>
              <w:rPr>
                <w:sz w:val="20"/>
                <w:szCs w:val="20"/>
                <w:color w:val="auto"/>
              </w:rPr>
            </w:pPr>
            <w:r>
              <w:rPr>
                <w:rFonts w:ascii="Times New Roman" w:cs="Times New Roman" w:eastAsia="Times New Roman" w:hAnsi="Times New Roman"/>
                <w:sz w:val="14"/>
                <w:szCs w:val="14"/>
                <w:color w:val="auto"/>
              </w:rPr>
              <w:t>respectively</w:t>
            </w: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top w:val="single" w:sz="8" w:color="CCEEFF"/>
            </w:tcBorders>
            <w:gridSpan w:val="5"/>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6,815,760</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6,566,951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340" w:type="dxa"/>
            <w:vAlign w:val="bottom"/>
            <w:gridSpan w:val="4"/>
          </w:tcPr>
          <w:p>
            <w:pPr>
              <w:jc w:val="center"/>
              <w:ind w:right="220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8,204,805</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7,804,784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800"/>
        <w:spacing w:after="0" w:line="278" w:lineRule="auto"/>
        <w:rPr>
          <w:sz w:val="20"/>
          <w:szCs w:val="20"/>
          <w:color w:val="auto"/>
        </w:rPr>
      </w:pPr>
      <w:r>
        <w:rPr>
          <w:rFonts w:ascii="Times New Roman" w:cs="Times New Roman" w:eastAsia="Times New Roman" w:hAnsi="Times New Roman"/>
          <w:sz w:val="17"/>
          <w:szCs w:val="17"/>
          <w:b w:val="1"/>
          <w:bCs w:val="1"/>
          <w:color w:val="auto"/>
        </w:rPr>
        <w:t>MONSTER BEVERAGE CORPORATION AND SUBSIDIARIES CONDENSED CONSOLIDATED STATEMENTS OF INCOME</w:t>
      </w:r>
    </w:p>
    <w:p>
      <w:pPr>
        <w:spacing w:after="0" w:line="1" w:lineRule="exact"/>
        <w:rPr>
          <w:sz w:val="20"/>
          <w:szCs w:val="20"/>
          <w:color w:val="auto"/>
        </w:rPr>
      </w:pPr>
    </w:p>
    <w:p>
      <w:pPr>
        <w:ind w:right="3200"/>
        <w:spacing w:after="0" w:line="260" w:lineRule="auto"/>
        <w:rPr>
          <w:sz w:val="20"/>
          <w:szCs w:val="20"/>
          <w:color w:val="auto"/>
        </w:rPr>
      </w:pPr>
      <w:r>
        <w:rPr>
          <w:rFonts w:ascii="Times New Roman" w:cs="Times New Roman" w:eastAsia="Times New Roman" w:hAnsi="Times New Roman"/>
          <w:sz w:val="18"/>
          <w:szCs w:val="18"/>
          <w:b w:val="1"/>
          <w:bCs w:val="1"/>
          <w:color w:val="auto"/>
        </w:rPr>
        <w:t>FOR THE THREE- AND NINE- MONTHS ENDED SEPTEMBER 30, 2022 AND 2021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Nine-Months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1,624,286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1,410,557</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4,798,119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4,116,308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1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790,561</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621,399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2,407,867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1,775,375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833,725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789,158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2,390,252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2,340,933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415,795</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344,694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1,199,883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956,346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417,930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444,464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1,190,369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1,384,587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OTHER INCOME (EXPENSE), net</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(11,932)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420,079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442,174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1,178,437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1,382,408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97,692</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104,969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288,487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322,387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337,205</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889,950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1,056,161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0.64</w:t>
            </w:r>
          </w:p>
        </w:tc>
        <w:tc>
          <w:tcPr>
            <w:tcW w:w="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6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00" w:type="dxa"/>
            <w:vAlign w:val="bottom"/>
            <w:tcBorders>
              <w:top w:val="single" w:sz="8" w:color="CCEEFF"/>
              <w:bottom w:val="single" w:sz="8" w:color="CCEEFF"/>
            </w:tcBorders>
            <w:shd w:val="clear" w:color="auto" w:fill="CCEEFF"/>
          </w:tcPr>
          <w:p>
            <w:pPr>
              <w:ind w:left="100"/>
              <w:spacing w:after="0" w:line="171" w:lineRule="exact"/>
              <w:rPr>
                <w:sz w:val="20"/>
                <w:szCs w:val="20"/>
                <w:color w:val="auto"/>
              </w:rPr>
            </w:pPr>
            <w:r>
              <w:rPr>
                <w:rFonts w:ascii="Times New Roman" w:cs="Times New Roman" w:eastAsia="Times New Roman" w:hAnsi="Times New Roman"/>
                <w:sz w:val="16"/>
                <w:szCs w:val="16"/>
                <w:color w:val="auto"/>
              </w:rPr>
              <w:t>Diluted</w:t>
            </w:r>
          </w:p>
        </w:tc>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0.60</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ectPr>
          <w:pgSz w:w="11900" w:h="16838" w:orient="portrait"/>
          <w:cols w:equalWidth="0" w:num="1">
            <w:col w:w="9920"/>
          </w:cols>
          <w:pgMar w:left="980" w:top="661" w:right="999" w:bottom="1440" w:gutter="0" w:footer="0" w:header="0"/>
        </w:sectPr>
      </w:pPr>
    </w:p>
    <w:p>
      <w:pPr>
        <w:ind w:right="20"/>
        <w:spacing w:after="0" w:line="269" w:lineRule="auto"/>
        <w:rPr>
          <w:sz w:val="20"/>
          <w:szCs w:val="20"/>
          <w:color w:val="auto"/>
        </w:rPr>
      </w:pPr>
      <w:r>
        <w:rPr>
          <w:rFonts w:ascii="Times New Roman" w:cs="Times New Roman" w:eastAsia="Times New Roman" w:hAnsi="Times New Roman"/>
          <w:sz w:val="16"/>
          <w:szCs w:val="16"/>
          <w:color w:val="auto"/>
        </w:rPr>
        <w:t>WEIGHTED AVERAGE NUMBER OF SHARES OF COMMON STOCK AND COMMON STOCK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-252730</wp:posOffset>
            </wp:positionV>
            <wp:extent cx="6292215" cy="257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71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6"/>
          <w:szCs w:val="16"/>
          <w:color w:val="auto"/>
        </w:rPr>
        <w:t>Basic</w:t>
      </w:r>
    </w:p>
    <w:p>
      <w:pPr>
        <w:spacing w:after="0" w:line="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-107315</wp:posOffset>
            </wp:positionV>
            <wp:extent cx="6292215"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526,797</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528,997</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528,263</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528,618</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6"/>
        </w:trPr>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533,300</w:t>
            </w:r>
          </w:p>
        </w:tc>
        <w:tc>
          <w:tcPr>
            <w:tcW w:w="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535,915</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534,599</w:t>
            </w: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535,554</w:t>
            </w:r>
          </w:p>
        </w:tc>
      </w:tr>
      <w:tr>
        <w:trPr>
          <w:trHeight w:val="20"/>
        </w:trPr>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320" w:space="720"/>
            <w:col w:w="3880"/>
          </w:cols>
          <w:pgMar w:left="980" w:top="661" w:right="99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 AND SUBSIDIARIES</w:t>
      </w:r>
    </w:p>
    <w:p>
      <w:pPr>
        <w:spacing w:after="0" w:line="31" w:lineRule="exact"/>
        <w:rPr>
          <w:sz w:val="20"/>
          <w:szCs w:val="20"/>
          <w:color w:val="auto"/>
        </w:rPr>
      </w:pPr>
    </w:p>
    <w:p>
      <w:pPr>
        <w:ind w:right="3200"/>
        <w:spacing w:after="0" w:line="255"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FOR THE THREE- AND NINE- MONTHS ENDED SEPTEMBER 30, 2022 AND 2021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140" w:type="dxa"/>
            <w:vAlign w:val="bottom"/>
          </w:tcPr>
          <w:p>
            <w:pPr>
              <w:spacing w:after="0"/>
              <w:rPr>
                <w:sz w:val="18"/>
                <w:szCs w:val="18"/>
                <w:color w:val="auto"/>
              </w:rPr>
            </w:pPr>
          </w:p>
        </w:tc>
        <w:tc>
          <w:tcPr>
            <w:tcW w:w="19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Nine-Months Ended</w:t>
            </w:r>
          </w:p>
        </w:tc>
      </w:tr>
      <w:tr>
        <w:trPr>
          <w:trHeight w:val="238"/>
        </w:trPr>
        <w:tc>
          <w:tcPr>
            <w:tcW w:w="5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190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5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322,387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337,205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889,950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$ 1,056,161</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(26,716)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(147,450)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(46,412)</w:t>
            </w: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net unrealized (losses) gains</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(7,840)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 for net gains included in net income</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available-for-sale investments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09"/>
        </w:trPr>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(71,497)</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(26,673)</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(155,290)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(46,529)</w:t>
            </w:r>
          </w:p>
        </w:tc>
      </w:tr>
      <w:tr>
        <w:trPr>
          <w:trHeight w:val="209"/>
        </w:trPr>
        <w:tc>
          <w:tcPr>
            <w:tcW w:w="5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250,890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310,532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734,660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$ 1,009,632</w:t>
            </w:r>
          </w:p>
        </w:tc>
      </w:tr>
      <w:tr>
        <w:trPr>
          <w:trHeight w:val="20"/>
        </w:trPr>
        <w:tc>
          <w:tcPr>
            <w:tcW w:w="5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 AND SUBSIDIARIES</w:t>
      </w:r>
    </w:p>
    <w:p>
      <w:pPr>
        <w:spacing w:after="0" w:line="20" w:lineRule="exact"/>
        <w:rPr>
          <w:sz w:val="20"/>
          <w:szCs w:val="20"/>
          <w:color w:val="auto"/>
        </w:rPr>
      </w:pPr>
    </w:p>
    <w:p>
      <w:pPr>
        <w:ind w:right="3240"/>
        <w:spacing w:after="0" w:line="234"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FOR THE THREE- AND NINE-MONTHS ENDED SEPTEMBER 30, 2022 AND 2021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24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72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720" w:type="dxa"/>
            <w:vAlign w:val="bottom"/>
            <w:gridSpan w:val="6"/>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5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7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68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640,043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3,200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4,652,620</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$ 7,809,549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(69,165)</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(110,720)</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(5,829,253)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6,566,951</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16,175</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16,175</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4,507</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4,510</w:t>
            </w: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loss, net on available-for-</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(4,059)</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(4,059)</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sale securities</w:t>
            </w: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(12,187)</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(12,187)</w:t>
            </w: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294,203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294,203</w:t>
            </w:r>
          </w:p>
        </w:tc>
        <w:tc>
          <w:tcPr>
            <w:tcW w:w="0" w:type="dxa"/>
            <w:vAlign w:val="bottom"/>
          </w:tcPr>
          <w:p>
            <w:pPr>
              <w:spacing w:after="0"/>
              <w:rPr>
                <w:sz w:val="1"/>
                <w:szCs w:val="1"/>
                <w:color w:val="auto"/>
              </w:rPr>
            </w:pPr>
          </w:p>
        </w:tc>
      </w:tr>
      <w:tr>
        <w:trPr>
          <w:trHeight w:val="142"/>
        </w:trPr>
        <w:tc>
          <w:tcPr>
            <w:tcW w:w="2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2022</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640,528</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3,203</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4,673,302</w:t>
            </w: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8,103,752</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(72,145)</w:t>
            </w:r>
          </w:p>
        </w:tc>
        <w:tc>
          <w:tcPr>
            <w:tcW w:w="1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(110,886)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(5,841,440)</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6,866,672</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16,157</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16,157</w:t>
            </w: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18,110</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18,112</w:t>
            </w:r>
          </w:p>
        </w:tc>
        <w:tc>
          <w:tcPr>
            <w:tcW w:w="0" w:type="dxa"/>
            <w:vAlign w:val="bottom"/>
          </w:tcPr>
          <w:p>
            <w:pPr>
              <w:spacing w:after="0"/>
              <w:rPr>
                <w:sz w:val="1"/>
                <w:szCs w:val="1"/>
                <w:color w:val="auto"/>
              </w:rPr>
            </w:pPr>
          </w:p>
        </w:tc>
      </w:tr>
      <w:tr>
        <w:trPr>
          <w:trHeight w:val="126"/>
        </w:trPr>
        <w:tc>
          <w:tcPr>
            <w:tcW w:w="2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loss, net on available-for-</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(1,106)</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 securities</w:t>
            </w: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(3,286)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(284,311)</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(284,311)</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(79,707)</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(79,707)</w:t>
            </w:r>
          </w:p>
        </w:tc>
        <w:tc>
          <w:tcPr>
            <w:tcW w:w="0" w:type="dxa"/>
            <w:vAlign w:val="bottom"/>
          </w:tcPr>
          <w:p>
            <w:pPr>
              <w:spacing w:after="0"/>
              <w:rPr>
                <w:sz w:val="1"/>
                <w:szCs w:val="1"/>
                <w:color w:val="auto"/>
              </w:rPr>
            </w:pPr>
          </w:p>
        </w:tc>
      </w:tr>
      <w:tr>
        <w:trPr>
          <w:trHeight w:val="149"/>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273,360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273,360</w:t>
            </w:r>
          </w:p>
        </w:tc>
        <w:tc>
          <w:tcPr>
            <w:tcW w:w="0" w:type="dxa"/>
            <w:vAlign w:val="bottom"/>
          </w:tcPr>
          <w:p>
            <w:pPr>
              <w:spacing w:after="0"/>
              <w:rPr>
                <w:sz w:val="1"/>
                <w:szCs w:val="1"/>
                <w:color w:val="auto"/>
              </w:rPr>
            </w:pPr>
          </w:p>
        </w:tc>
      </w:tr>
      <w:tr>
        <w:trPr>
          <w:trHeight w:val="142"/>
        </w:trPr>
        <w:tc>
          <w:tcPr>
            <w:tcW w:w="2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June 30, 2022</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640,944</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3,205</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4,707,569</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8,377,112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(152,958)</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(114,172)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(6,125,751)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6,809,177</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16,436</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16,436</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12,136</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12,137</w:t>
            </w: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loss, net on available-for-</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(2,675)</w:t>
            </w: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sale securities</w:t>
            </w: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(3,108)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(272,880)</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(272,880)</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(68,822)</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(68,822)</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322,387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322,387</w:t>
            </w:r>
          </w:p>
        </w:tc>
        <w:tc>
          <w:tcPr>
            <w:tcW w:w="0" w:type="dxa"/>
            <w:vAlign w:val="bottom"/>
          </w:tcPr>
          <w:p>
            <w:pPr>
              <w:spacing w:after="0"/>
              <w:rPr>
                <w:sz w:val="1"/>
                <w:szCs w:val="1"/>
                <w:color w:val="auto"/>
              </w:rPr>
            </w:pPr>
          </w:p>
        </w:tc>
      </w:tr>
      <w:tr>
        <w:trPr>
          <w:trHeight w:val="142"/>
        </w:trPr>
        <w:tc>
          <w:tcPr>
            <w:tcW w:w="2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September 30, 2022</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641,245</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3,206</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4,736,141</w:t>
            </w:r>
          </w:p>
        </w:tc>
        <w:tc>
          <w:tcPr>
            <w:tcW w:w="1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$ 8,699,499</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(224,455)</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(117,280)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(6,398,631)</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6,815,760</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3"/>
                <w:szCs w:val="13"/>
                <w:color w:val="auto"/>
              </w:rPr>
            </w:pPr>
          </w:p>
        </w:tc>
        <w:tc>
          <w:tcPr>
            <w:tcW w:w="124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7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720" w:type="dxa"/>
            <w:vAlign w:val="bottom"/>
            <w:gridSpan w:val="6"/>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40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720" w:type="dxa"/>
            <w:vAlign w:val="bottom"/>
            <w:gridSpan w:val="6"/>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400" w:type="dxa"/>
            <w:vAlign w:val="bottom"/>
          </w:tcPr>
          <w:p>
            <w:pPr>
              <w:spacing w:after="0"/>
              <w:rPr>
                <w:sz w:val="12"/>
                <w:szCs w:val="12"/>
                <w:color w:val="auto"/>
              </w:rPr>
            </w:pPr>
          </w:p>
        </w:tc>
        <w:tc>
          <w:tcPr>
            <w:tcW w:w="560" w:type="dxa"/>
            <w:vAlign w:val="bottom"/>
            <w:tcBorders>
              <w:top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1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7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Income</w:t>
            </w:r>
          </w:p>
        </w:tc>
        <w:tc>
          <w:tcPr>
            <w:tcW w:w="68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638,662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4,537,982</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$ 6,432,074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3,034</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(110,565)</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(5,815,423)</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5,160,860</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17,949</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17,949</w:t>
            </w: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6,758</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6,761</w:t>
            </w: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gain, net on available-for-</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sale securities</w:t>
            </w: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(13,419)</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(13,419)</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(27,932)</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(27,932)</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315,194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315,194</w:t>
            </w:r>
          </w:p>
        </w:tc>
        <w:tc>
          <w:tcPr>
            <w:tcW w:w="0" w:type="dxa"/>
            <w:vAlign w:val="bottom"/>
          </w:tcPr>
          <w:p>
            <w:pPr>
              <w:spacing w:after="0"/>
              <w:rPr>
                <w:sz w:val="1"/>
                <w:szCs w:val="1"/>
                <w:color w:val="auto"/>
              </w:rPr>
            </w:pPr>
          </w:p>
        </w:tc>
      </w:tr>
      <w:tr>
        <w:trPr>
          <w:trHeight w:val="142"/>
        </w:trPr>
        <w:tc>
          <w:tcPr>
            <w:tcW w:w="24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2021</w:t>
            </w: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639,154</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3,196</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4,562,689</w:t>
            </w: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6,747,268</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(24,874)</w:t>
            </w:r>
          </w:p>
        </w:tc>
        <w:tc>
          <w:tcPr>
            <w:tcW w:w="140" w:type="dxa"/>
            <w:vAlign w:val="bottom"/>
          </w:tcPr>
          <w:p>
            <w:pPr>
              <w:spacing w:after="0"/>
              <w:rPr>
                <w:sz w:val="12"/>
                <w:szCs w:val="12"/>
                <w:color w:val="auto"/>
              </w:rPr>
            </w:pP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(110,715)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(5,828,842)</w:t>
            </w: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5,459,437</w:t>
            </w: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16,921</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16,921</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422</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17,723</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17,725</w:t>
            </w:r>
          </w:p>
        </w:tc>
        <w:tc>
          <w:tcPr>
            <w:tcW w:w="0" w:type="dxa"/>
            <w:vAlign w:val="bottom"/>
          </w:tcPr>
          <w:p>
            <w:pPr>
              <w:spacing w:after="0"/>
              <w:rPr>
                <w:sz w:val="1"/>
                <w:szCs w:val="1"/>
                <w:color w:val="auto"/>
              </w:rPr>
            </w:pPr>
          </w:p>
        </w:tc>
      </w:tr>
      <w:tr>
        <w:trPr>
          <w:trHeight w:val="126"/>
        </w:trPr>
        <w:tc>
          <w:tcPr>
            <w:tcW w:w="2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loss, net on available-for-</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(183)</w:t>
            </w:r>
          </w:p>
        </w:tc>
        <w:tc>
          <w:tcPr>
            <w:tcW w:w="6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71"/>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 securities</w:t>
            </w:r>
          </w:p>
        </w:tc>
        <w:tc>
          <w:tcPr>
            <w:tcW w:w="5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8,235</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8,235</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403,762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403,762</w:t>
            </w:r>
          </w:p>
        </w:tc>
        <w:tc>
          <w:tcPr>
            <w:tcW w:w="0" w:type="dxa"/>
            <w:vAlign w:val="bottom"/>
          </w:tcPr>
          <w:p>
            <w:pPr>
              <w:spacing w:after="0"/>
              <w:rPr>
                <w:sz w:val="1"/>
                <w:szCs w:val="1"/>
                <w:color w:val="auto"/>
              </w:rPr>
            </w:pPr>
          </w:p>
        </w:tc>
      </w:tr>
      <w:tr>
        <w:trPr>
          <w:trHeight w:val="142"/>
        </w:trPr>
        <w:tc>
          <w:tcPr>
            <w:tcW w:w="2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June 30, 2021</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639,576</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4,597,333</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7,151,030</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(16,822)</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(110,719)</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(5,829,241)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5,905,498</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16,293</w:t>
            </w: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16,293</w:t>
            </w:r>
          </w:p>
        </w:tc>
        <w:tc>
          <w:tcPr>
            <w:tcW w:w="0" w:type="dxa"/>
            <w:vAlign w:val="bottom"/>
          </w:tcPr>
          <w:p>
            <w:pPr>
              <w:spacing w:after="0"/>
              <w:rPr>
                <w:sz w:val="1"/>
                <w:szCs w:val="1"/>
                <w:color w:val="auto"/>
              </w:rPr>
            </w:pPr>
          </w:p>
        </w:tc>
      </w:tr>
      <w:tr>
        <w:trPr>
          <w:trHeight w:val="148"/>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12,673</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12,674</w:t>
            </w:r>
          </w:p>
        </w:tc>
        <w:tc>
          <w:tcPr>
            <w:tcW w:w="0" w:type="dxa"/>
            <w:vAlign w:val="bottom"/>
          </w:tcPr>
          <w:p>
            <w:pPr>
              <w:spacing w:after="0"/>
              <w:rPr>
                <w:sz w:val="1"/>
                <w:szCs w:val="1"/>
                <w:color w:val="auto"/>
              </w:rPr>
            </w:pPr>
          </w:p>
        </w:tc>
      </w:tr>
      <w:tr>
        <w:trPr>
          <w:trHeight w:val="126"/>
        </w:trPr>
        <w:tc>
          <w:tcPr>
            <w:tcW w:w="24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gain, net on available-for-</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40" w:type="dxa"/>
            <w:vAlign w:val="bottom"/>
          </w:tcPr>
          <w:p>
            <w:pPr>
              <w:spacing w:after="0"/>
              <w:rPr>
                <w:sz w:val="10"/>
                <w:szCs w:val="10"/>
                <w:color w:val="auto"/>
              </w:rPr>
            </w:pPr>
          </w:p>
        </w:tc>
        <w:tc>
          <w:tcPr>
            <w:tcW w:w="6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71"/>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sale securities</w:t>
            </w: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(26,716)</w:t>
            </w:r>
          </w:p>
        </w:tc>
        <w:tc>
          <w:tcPr>
            <w:tcW w:w="6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(26,716)</w:t>
            </w:r>
          </w:p>
        </w:tc>
        <w:tc>
          <w:tcPr>
            <w:tcW w:w="0" w:type="dxa"/>
            <w:vAlign w:val="bottom"/>
          </w:tcPr>
          <w:p>
            <w:pPr>
              <w:spacing w:after="0"/>
              <w:rPr>
                <w:sz w:val="1"/>
                <w:szCs w:val="1"/>
                <w:color w:val="auto"/>
              </w:rPr>
            </w:pPr>
          </w:p>
        </w:tc>
      </w:tr>
      <w:tr>
        <w:trPr>
          <w:trHeight w:val="148"/>
        </w:trPr>
        <w:tc>
          <w:tcPr>
            <w:tcW w:w="2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337,205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337,205</w:t>
            </w:r>
          </w:p>
        </w:tc>
        <w:tc>
          <w:tcPr>
            <w:tcW w:w="0" w:type="dxa"/>
            <w:vAlign w:val="bottom"/>
          </w:tcPr>
          <w:p>
            <w:pPr>
              <w:spacing w:after="0"/>
              <w:rPr>
                <w:sz w:val="1"/>
                <w:szCs w:val="1"/>
                <w:color w:val="auto"/>
              </w:rPr>
            </w:pPr>
          </w:p>
        </w:tc>
      </w:tr>
      <w:tr>
        <w:trPr>
          <w:trHeight w:val="142"/>
        </w:trPr>
        <w:tc>
          <w:tcPr>
            <w:tcW w:w="24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September 30, 2021</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639,851</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4,626,299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$ 7,488,235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(43,495)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(110,719)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(5,829,241)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6,244,997</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400"/>
        <w:spacing w:after="0" w:line="241"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STATEMENTS OF CASH FLOWS FOR THE NINE-MONTHS ENDED SEPTEMBER 30, 2022 AND 2021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Nine-Months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889,950</w:t>
            </w:r>
          </w:p>
        </w:tc>
        <w:tc>
          <w:tcPr>
            <w:tcW w:w="240" w:type="dxa"/>
            <w:vAlign w:val="bottom"/>
          </w:tcPr>
          <w:p>
            <w:pPr>
              <w:spacing w:after="0"/>
              <w:rPr>
                <w:sz w:val="17"/>
                <w:szCs w:val="17"/>
                <w:color w:val="auto"/>
              </w:rPr>
            </w:pP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1,056,161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46,040</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disposal of property and equipment</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(253)</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49,167</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29,710</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on cash of changes in operating assets and liabilities net of acquisition:</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(202,447)</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(297,140)</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(39,204)</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income taxes</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7,867</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52,663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liabilities</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(2,572)</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promotional allowances</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89,236</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compensation</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(6,636)</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Income taxes payable</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(12,823)</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liabilities</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(3,492)</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(16,060)</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589,186</w:t>
            </w: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927,982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Sales of available-for-sale investments</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1,823,943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1,016,556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available-for-sale investments</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(1,393,910)</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(1,343,351)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CANarchy, net of cash</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(329,472)</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(136,158)</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to intangibles</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(3,578)</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Increase in other assets</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(19,171)</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(57,743)</w:t>
            </w: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Payments on debt</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(719)</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34,759</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common stock held in treasury</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(493,315)</w:t>
            </w:r>
          </w:p>
        </w:tc>
        <w:tc>
          <w:tcPr>
            <w:tcW w:w="3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8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(459,275)</w:t>
            </w:r>
          </w:p>
        </w:tc>
        <w:tc>
          <w:tcPr>
            <w:tcW w:w="2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(95,582)</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(35,552)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(23,414)</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532,258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86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1,326,462</w:t>
            </w:r>
          </w:p>
        </w:tc>
        <w:tc>
          <w:tcPr>
            <w:tcW w:w="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1,180,413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8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1,303,048</w:t>
            </w:r>
          </w:p>
        </w:tc>
        <w:tc>
          <w:tcPr>
            <w:tcW w:w="2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1,712,671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11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6"/>
                <w:szCs w:val="16"/>
                <w:color w:val="auto"/>
              </w:rPr>
              <w:t>Income taxes</w:t>
            </w:r>
          </w:p>
        </w:tc>
        <w:tc>
          <w:tcPr>
            <w:tcW w:w="86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12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297,526</w:t>
            </w:r>
          </w:p>
        </w:tc>
        <w:tc>
          <w:tcPr>
            <w:tcW w:w="240" w:type="dxa"/>
            <w:vAlign w:val="bottom"/>
          </w:tcPr>
          <w:p>
            <w:pPr>
              <w:spacing w:after="0"/>
              <w:rPr>
                <w:sz w:val="15"/>
                <w:szCs w:val="15"/>
                <w:color w:val="auto"/>
              </w:rPr>
            </w:pPr>
          </w:p>
        </w:tc>
        <w:tc>
          <w:tcPr>
            <w:tcW w:w="3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338,584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400"/>
        <w:spacing w:after="0" w:line="262"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STATEMENTS OF CASH FLOWS FOR THE NINE-MONTHS ENDED SEPTEMBER 30, 2022 AND 2021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 OF NON-CASH ITEMS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Included in accrued liabilities as of September 30, 2022 and 2021 were $14.4 million and $13.0 million, respectively, related to net additions to other intangible assets.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Included in accounts payable as of September 30, 2022 and 2021 were $2.6 million and $0.5 million, respectively, related to equipment purchases.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in accounts payable as of September 30, 2021 were $2.0 million related to additions to other intangible assets.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in accounts payable as of September 30, 2022 were available-for-sale short-term investment purchases of $7.9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Included in accounts payable as of September 30, 2022 were purchases of common stock held in treasury of $76.1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Notes to Consolidated Financial Statements, in Monster Beverage Corporation and Subsidiaries (the “Company”) Annual Report on Form 10-K for the year ended December 31, 2021 for a summary of significant accounting policies utilized by the Company and its consolidated subsidiaries and other disclosures, which should be read in conjunction with this Quarterly Report on Form 10-Q (“Form 10-Q”).</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nine-months ended September 30, 2022 and 2021,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recently issued or adopted accounting pronouncements that would materially impact the Company from those disclosed in our Annual Report on Form 10-K for the fiscal year ended December 31, 2021.</w:t>
      </w:r>
    </w:p>
    <w:p>
      <w:pPr>
        <w:spacing w:after="0" w:line="162"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22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7"/>
          <w:szCs w:val="17"/>
          <w:color w:val="auto"/>
        </w:rPr>
        <w:t>On February 17, 2022, the Company completed its acquisition of CANarchy Craft Brewery Collective LLC (“CANarchy”), a craft beer and hard seltzer company, for $330.4 million in cash, subject to adjustments (the “CANarchy Transaction”). The CANarchy Transaction facilitates the Company’s entry into the alcohol beverage sector and brings the Cigar City</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family of brands including Jai Alai® IPA and Florida Man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IPA, the Oskar Blues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family of brands including Dale’s Pale Ale® and Wild Basin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Hard Seltzers, the Deep Ellum</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family of brands including Dallas Blonde® and Deep Ellum</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IPA, the Perrin Brewing</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family of brands including Black Ale, the Squatters® family of brands including Hop Rising® Double IPA and Juicy IPA, the Wasatch® family of brands including Apricot Hefeweizen, as well as certain other brands (collectively the “CANarchy Brands”) to the Company’s beverage portfolio. The transaction did not include CANarchy’s stand-alone restaurants. The Company’s organizational structure for its existing energy beverage business remains unchanged. CANarchy is functioning independently, retaining its own organizational structure and team.</w:t>
      </w:r>
    </w:p>
    <w:p>
      <w:pPr>
        <w:spacing w:after="0" w:line="20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accounted for the CANarchy Transaction in accordance with Financial Accounting Standards Board (“FASB”) Accounting Standards Codification (“ASC”) 805 “Business Combinations”.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fair value allocations of the CANarchy Transaction:</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Identifiable</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Assets Acquired</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and Liabilities</w:t>
            </w: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Consideration</w:t>
            </w:r>
          </w:p>
        </w:tc>
      </w:tr>
      <w:tr>
        <w:trPr>
          <w:trHeight w:val="234"/>
        </w:trPr>
        <w:tc>
          <w:tcPr>
            <w:tcW w:w="57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Assumed</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5"/>
              </w:rPr>
              <w:t>Transferred</w:t>
            </w:r>
          </w:p>
        </w:tc>
      </w:tr>
      <w:tr>
        <w:trPr>
          <w:trHeight w:val="209"/>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 trademarks (non-amortizing)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 customer relationships (amortizing)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 permits (non-amortizing)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81,285</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Right-of -use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(excluding inventory)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81,298</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332,721</w:t>
            </w:r>
          </w:p>
        </w:tc>
      </w:tr>
      <w:tr>
        <w:trPr>
          <w:trHeight w:val="210"/>
        </w:trPr>
        <w:tc>
          <w:tcPr>
            <w:tcW w:w="5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332,721</w:t>
            </w: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332,721</w:t>
            </w:r>
          </w:p>
        </w:tc>
      </w:tr>
      <w:tr>
        <w:trPr>
          <w:trHeight w:val="20"/>
        </w:trPr>
        <w:tc>
          <w:tcPr>
            <w:tcW w:w="5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determined the fair values as follows:</w:t>
      </w:r>
    </w:p>
    <w:p>
      <w:pPr>
        <w:spacing w:after="0" w:line="225" w:lineRule="exact"/>
        <w:rPr>
          <w:sz w:val="20"/>
          <w:szCs w:val="20"/>
          <w:color w:val="auto"/>
        </w:rPr>
      </w:pP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 relief-from-royalty method of the income approach</w:t>
      </w:r>
    </w:p>
    <w:p>
      <w:pPr>
        <w:spacing w:after="0" w:line="27"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relationships – distributor method of the income approach</w:t>
      </w:r>
    </w:p>
    <w:p>
      <w:pPr>
        <w:spacing w:after="0" w:line="9"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 with-and-without method of the income approach</w:t>
      </w:r>
    </w:p>
    <w:p>
      <w:pPr>
        <w:spacing w:after="0" w:line="9"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 cost approach</w:t>
      </w:r>
    </w:p>
    <w:p>
      <w:pPr>
        <w:spacing w:after="0" w:line="9"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 comparative sales method and replacement cost method</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book value of the working capital (excluding inventory) approximates fair value due to the short-term nature of the accounts.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determined goodwill in accordance with ASC 805, which requires the recognition of goodwill for the excess of the aggregate consideration over the net amounts of identifiable assets acquired and liabilities assumed as of the acquisition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tax purposes, the CANarchy Transaction was recorded as an asset purchase. As such, the Company received a step-up in tax basis of the CANarchy assets, net, equal to the purchase price.</w:t>
      </w:r>
    </w:p>
    <w:p>
      <w:pPr>
        <w:spacing w:after="0" w:line="162"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In accordance with Regulation S-X, pro forma unaudited condensed financial information for the CANarchy Transaction has not been provided as the impact of the transaction on the Company’s financial position, results of operations and liquidity was not material.</w:t>
      </w:r>
    </w:p>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5, 2022, the Company acquired certain real property and equipment in Norwalk, California for a purchase price of $62.5 million. The acquisition was treated as an asset acquisition for accounting purposes. The fair value allocations include $50.6 million for land, $10.0 million for building and $1.9 million for equipment. The Company intends to utilize the property as a manufacturing facility for certain of its products.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four operating and reportable segments: (i) Monster Energy® Drinks segment (“Monster Energy® Drinks”), which is primarily comprised of the Company’s Monster Energy® drinks, Reign Total Body Fuel® high performance energy drinks and True North® Pure Energy Seltzers, (ii) Strategic Brands segment (“Strategic Brands”), which is primarily comprised of the various energy drink brands acquired from The Coca-Cola Company (“TCCC”) in 2015 as well as the Company’s affordable energy brands, (iii) Alcohol Brands segment (“Alcohol Brands”), which is primarily comprised of the various craft beers and hard seltzers purchased as part of the CANarchy Transaction on February 17, 2022 and (iv) Other segment (“Other”), which is comprised of certain products sold by American Fruits and Flavors, LLC, a wholly-owned subsidiary of the Company, to independent third-party customers (the “AFF Third-Party Products”).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Monster Energy® Drinks segment generates net operating revenues by selling ready-to-drink packaged energy drinks primarily to bottlers and full service beverage bottlers/distributors (“bottlers/distributors”). In some cases, the Company sells ready-to-drink packaged energy drinks directly to retail grocery and specialty chains, wholesalers, club stores, mass merchandisers, convenience chains, drug stores, foodservice customers, value stores, e-commerce retailers and the military.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Alcohol Brands segment primarily generates operating revenues by selling kegged and canned beer as well as hard seltzers primarily to distributors in the United States.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September 30, 2022 and December 31, 2021.</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Distribution expenses to transport the Company’s products, where applicable, and warehousing expense after manufacture are accounted for within operating expenses.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62" w:lineRule="exact"/>
        <w:rPr>
          <w:sz w:val="20"/>
          <w:szCs w:val="20"/>
          <w:color w:val="auto"/>
        </w:rPr>
      </w:pPr>
    </w:p>
    <w:p>
      <w:pPr>
        <w:ind w:left="1340" w:hanging="333"/>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granted off list prices to support price promotions to end-consumers by retailers;</w:t>
      </w:r>
    </w:p>
    <w:p>
      <w:pPr>
        <w:spacing w:after="0" w:line="27" w:lineRule="exact"/>
        <w:rPr>
          <w:rFonts w:ascii="Times New Roman" w:cs="Times New Roman" w:eastAsia="Times New Roman" w:hAnsi="Times New Roman"/>
          <w:sz w:val="18"/>
          <w:szCs w:val="18"/>
          <w:color w:val="auto"/>
        </w:rPr>
      </w:pPr>
    </w:p>
    <w:p>
      <w:pPr>
        <w:ind w:left="1340" w:right="20" w:hanging="333"/>
        <w:spacing w:after="0" w:line="250"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reimbursements given to the Company’s bottlers/distributors for agreed portions of their promotional spend with retailers, including slotting, shelf space allowances and other fees for both new and existing products;</w:t>
      </w:r>
    </w:p>
    <w:p>
      <w:pPr>
        <w:ind w:left="1340" w:right="20" w:hanging="333"/>
        <w:spacing w:after="0" w:line="250"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agreed share of fees given to bottlers/distributors and/or directly to retailers for advertising, in-store marketing and promotional activities;</w:t>
      </w:r>
    </w:p>
    <w:p>
      <w:pPr>
        <w:ind w:left="1340" w:hanging="333"/>
        <w:spacing w:after="0" w:line="260"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agreed share of slotting, shelf space allowances and other fees given directly to retailers, club stores and/or wholesalers;</w:t>
      </w:r>
    </w:p>
    <w:p>
      <w:pPr>
        <w:sectPr>
          <w:pgSz w:w="11900" w:h="16838" w:orient="portrait"/>
          <w:cols w:equalWidth="0" w:num="1">
            <w:col w:w="9920"/>
          </w:cols>
          <w:pgMar w:left="980" w:top="661"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1340" w:right="20" w:hanging="333"/>
        <w:spacing w:after="0" w:line="261"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incentives given to the Company’s bottlers/distributors and/or retailers for achieving or exceeding certain predetermined sales goals;</w:t>
      </w:r>
    </w:p>
    <w:p>
      <w:pPr>
        <w:ind w:left="1340" w:hanging="333"/>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or free products;</w:t>
      </w:r>
    </w:p>
    <w:p>
      <w:pPr>
        <w:spacing w:after="0" w:line="9" w:lineRule="exact"/>
        <w:rPr>
          <w:rFonts w:ascii="Times New Roman" w:cs="Times New Roman" w:eastAsia="Times New Roman" w:hAnsi="Times New Roman"/>
          <w:sz w:val="18"/>
          <w:szCs w:val="18"/>
          <w:color w:val="auto"/>
        </w:rPr>
      </w:pPr>
    </w:p>
    <w:p>
      <w:pPr>
        <w:ind w:left="1340" w:hanging="333"/>
        <w:spacing w:after="0" w:line="250"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fees given to the Company’s bottlers/distributors related to sales made directly by the Company to certain customers that fall within the bottlers’/distributors’ sales territories; and</w:t>
      </w:r>
    </w:p>
    <w:p>
      <w:pPr>
        <w:jc w:val="both"/>
        <w:ind w:left="1340" w:hanging="333"/>
        <w:spacing w:after="0" w:line="255"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to TCCC based on the Company’s sales to wholly-owned subsidiaries of TCCC (the “TCCC Subsidiaries”) and/or to TCCC bottlers/distributors accounted for under the equity method by TCCC (the “TCCC Related Parties”).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adequate provision has been made for cash discounts, returns and spoilage based on the Company’s historical experience.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disaggregate the Company’s revenue by geographical markets and reportable segments: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1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Three-Months Ended September 30, 2022</w:t>
            </w: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8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America</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U.S. and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and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Caribbean</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982,952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288,077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130,902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1,502,219</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3,407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88,802</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9"/>
                <w:szCs w:val="19"/>
                <w:color w:val="auto"/>
              </w:rPr>
              <w:t>Alcohol Brands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26,818</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1,060,242</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320,642</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109,093</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134,309</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1,624,286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Three-Months Ended September 30, 2021</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America</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U.S. and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and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Caribbean</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880,012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252,101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120,864</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76,816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1,329,793</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9"/>
                <w:szCs w:val="19"/>
                <w:color w:val="auto"/>
              </w:rPr>
              <w:t>Alcohol Brands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921,744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280,551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126,467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81,795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1,410,557</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Times New Roman" w:cs="Times New Roman" w:eastAsia="Times New Roman" w:hAnsi="Times New Roman"/>
                <w:sz w:val="24"/>
                <w:szCs w:val="24"/>
                <w:i w:val="1"/>
                <w:iCs w:val="1"/>
                <w:color w:val="252525"/>
                <w:vertAlign w:val="superscript"/>
              </w:rPr>
              <w:t>1</w:t>
            </w:r>
            <w:r>
              <w:rPr>
                <w:rFonts w:ascii="Times New Roman" w:cs="Times New Roman" w:eastAsia="Times New Roman" w:hAnsi="Times New Roman"/>
                <w:sz w:val="16"/>
                <w:szCs w:val="16"/>
                <w:i w:val="1"/>
                <w:iCs w:val="1"/>
                <w:color w:val="252525"/>
              </w:rPr>
              <w:t xml:space="preserve">Europe, </w:t>
            </w:r>
            <w:r>
              <w:rPr>
                <w:rFonts w:ascii="Times New Roman" w:cs="Times New Roman" w:eastAsia="Times New Roman" w:hAnsi="Times New Roman"/>
                <w:sz w:val="14"/>
                <w:szCs w:val="14"/>
                <w:i w:val="1"/>
                <w:iCs w:val="1"/>
                <w:color w:val="000000"/>
              </w:rPr>
              <w:t>Middle</w:t>
            </w:r>
            <w:r>
              <w:rPr>
                <w:rFonts w:ascii="Times New Roman" w:cs="Times New Roman" w:eastAsia="Times New Roman" w:hAnsi="Times New Roman"/>
                <w:sz w:val="16"/>
                <w:szCs w:val="16"/>
                <w:i w:val="1"/>
                <w:iCs w:val="1"/>
                <w:color w:val="252525"/>
              </w:rPr>
              <w:t xml:space="preserve"> East and Africa (“EMEA”)</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3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2"/>
          </w:tcPr>
          <w:p>
            <w:pPr>
              <w:jc w:val="center"/>
              <w:ind w:right="160"/>
              <w:spacing w:after="0"/>
              <w:rPr>
                <w:sz w:val="20"/>
                <w:szCs w:val="20"/>
                <w:color w:val="auto"/>
              </w:rPr>
            </w:pPr>
            <w:r>
              <w:rPr>
                <w:rFonts w:ascii="Times New Roman" w:cs="Times New Roman" w:eastAsia="Times New Roman" w:hAnsi="Times New Roman"/>
                <w:sz w:val="18"/>
                <w:szCs w:val="18"/>
                <w:color w:val="auto"/>
              </w:rPr>
              <w:t>Nine-Months Ended September 30, 2022</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6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America</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U.S. and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and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Caribbean</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2,882,306</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857,805</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327,632</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377,012</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4,444,755</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91,912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260,536</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74,472</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3,110,579</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949,717</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350,575</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387,248</w:t>
            </w: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4,798,119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12"/>
          </w:tcPr>
          <w:p>
            <w:pPr>
              <w:jc w:val="center"/>
              <w:ind w:right="140"/>
              <w:spacing w:after="0"/>
              <w:rPr>
                <w:sz w:val="20"/>
                <w:szCs w:val="20"/>
                <w:color w:val="auto"/>
              </w:rPr>
            </w:pPr>
            <w:r>
              <w:rPr>
                <w:rFonts w:ascii="Times New Roman" w:cs="Times New Roman" w:eastAsia="Times New Roman" w:hAnsi="Times New Roman"/>
                <w:sz w:val="18"/>
                <w:szCs w:val="18"/>
                <w:color w:val="auto"/>
                <w:w w:val="99"/>
              </w:rPr>
              <w:t>Nine-Months Ended September 30, 2021</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w w:val="94"/>
              </w:rPr>
              <w:t>Latin</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6"/>
              </w:rPr>
              <w:t>America</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U.S. and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Caribbean</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2,548,873</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741,208</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346,545</w:t>
            </w:r>
          </w:p>
        </w:tc>
        <w:tc>
          <w:tcPr>
            <w:tcW w:w="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230,536</w:t>
            </w:r>
          </w:p>
        </w:tc>
        <w:tc>
          <w:tcPr>
            <w:tcW w:w="2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3,867,162</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76,234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9,425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229,193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Alcohol Brands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2,691,313</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817,442</w:t>
            </w: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367,592</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239,961</w:t>
            </w:r>
          </w:p>
        </w:tc>
        <w:tc>
          <w:tcPr>
            <w:tcW w:w="20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4,116,308</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6"/>
          <w:szCs w:val="16"/>
          <w:i w:val="1"/>
          <w:iCs w:val="1"/>
          <w:color w:val="auto"/>
        </w:rPr>
        <w:t>Europe, Middle East and Africa (“EMEA”)</w:t>
      </w:r>
    </w:p>
    <w:p>
      <w:pPr>
        <w:spacing w:after="0"/>
        <w:rPr>
          <w:sz w:val="20"/>
          <w:szCs w:val="20"/>
          <w:color w:val="auto"/>
        </w:rPr>
      </w:pPr>
      <w:r>
        <w:rPr>
          <w:rFonts w:ascii="Times New Roman" w:cs="Times New Roman" w:eastAsia="Times New Roman" w:hAnsi="Times New Roman"/>
          <w:sz w:val="24"/>
          <w:szCs w:val="24"/>
          <w:i w:val="1"/>
          <w:iCs w:val="1"/>
          <w:color w:val="auto"/>
          <w:vertAlign w:val="superscript"/>
        </w:rPr>
        <w:t>2</w:t>
      </w:r>
      <w:r>
        <w:rPr>
          <w:rFonts w:ascii="Times New Roman" w:cs="Times New Roman" w:eastAsia="Times New Roman" w:hAnsi="Times New Roman"/>
          <w:sz w:val="16"/>
          <w:szCs w:val="16"/>
          <w:i w:val="1"/>
          <w:iCs w:val="1"/>
          <w:color w:val="auto"/>
        </w:rPr>
        <w:t>Effectively from February 17, 2022 to September 30, 2022</w:t>
      </w:r>
    </w:p>
    <w:p>
      <w:pPr>
        <w:sectPr>
          <w:pgSz w:w="11900" w:h="16838" w:orient="portrait"/>
          <w:cols w:equalWidth="0" w:num="1">
            <w:col w:w="9920"/>
          </w:cols>
          <w:pgMar w:left="980" w:top="661" w:right="99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Amounts received from certain bottlers/distributors at inception of their distribution contracts or at the inception of certain sales/marketing programs are accounted for as deferred revenue. As of September 30, 2022, the Company had $268.9 million of deferred revenue, which is included in current and long-term deferred revenue in the Company’s condensed consolidated balance sheet. As of December 31, 2021, the Company had $285.8 million of deferred revenue, which is included in current and long-term deferred revenue in the Company’s condensed consolidated balance sheet. During the three-months ended September 30, 2022 and 2021, $10.0 million and $10.4 million, respectively, of deferred revenue was recognized in net sales. See Note 11. During the nine-months ended September 30, 2022 and 2021, $30.0 million and $31.3 million, respectively, of deferred revenue was recognized in net sales. See Note 11.</w:t>
      </w:r>
    </w:p>
    <w:p>
      <w:pPr>
        <w:spacing w:after="0" w:line="200" w:lineRule="exact"/>
        <w:rPr>
          <w:sz w:val="20"/>
          <w:szCs w:val="20"/>
          <w:color w:val="auto"/>
        </w:rPr>
      </w:pPr>
    </w:p>
    <w:p>
      <w:pPr>
        <w:spacing w:after="0" w:line="20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leases identified assets comprising of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Leases are classified as either finance leases or operating leases based on criteria in ASC 842, “Leases”. The Company’s operating leases are comprised of real estate and warehouse equipment, and the Company’s finance leases are comprised of vehicles.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Right-of-use (“ROU”) assets and lease liabilities are recognized at the lease commencement date based on the present value of lease payments over the lease term. As the Company’s leases generally do not provide an implicit rate, the Company uses its incremental borrowing rate based on the estimated rate of interest for collateralized borrowing over a similar term of the lease payments at the commencement date. ROU assets also include any lease payments made and exclude lease incentives. Lease terms include options to extend or terminate the lease when it is reasonably certain that the Company will exercise that option.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real estate taxes and insurance, are recorded as a period expense when incurred.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consisting of lease payments, is recognized on a straight-line basis over the lease term and is included in operating expenses in the condensed consolidated statement of income. Lease expense for finance leases consists of the amortization of the ROU asset on a straight-line basis over the asset’s estimated useful life and is included in operating expenses in the condensed consolidated statement of income. Interest expense on finance leases is calculated using the amortized cost basis and is included in interest and other income (expense), net in the condensed consolidated statement of income.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leases have remaining lease terms of less than one year to 12 years, some of which include options to extend the leases for up to five years, and some of which include options to terminate the leases within one year. The Company has elected not to recognize ROU assets and lease liabilities for short-term operating leases that have a term of 12 months or less.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 were comprised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Three-Months</w:t>
            </w: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Three-Months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Nine-Months</w:t>
            </w:r>
          </w:p>
        </w:tc>
        <w:tc>
          <w:tcPr>
            <w:tcW w:w="12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Nine-Months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Ended</w:t>
            </w:r>
          </w:p>
        </w:tc>
        <w:tc>
          <w:tcPr>
            <w:tcW w:w="120" w:type="dxa"/>
            <w:vAlign w:val="bottom"/>
          </w:tcPr>
          <w:p>
            <w:pPr>
              <w:spacing w:after="0"/>
              <w:rPr>
                <w:sz w:val="18"/>
                <w:szCs w:val="18"/>
                <w:color w:val="auto"/>
              </w:rPr>
            </w:pPr>
          </w:p>
        </w:tc>
        <w:tc>
          <w:tcPr>
            <w:tcW w:w="12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Ended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Ended</w:t>
            </w: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September 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2022</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2021</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 lease cost</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lease cost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3,644</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10,108</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Supplemental cash flow information for the following periods:</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Nine-Months</w:t>
            </w:r>
          </w:p>
        </w:tc>
        <w:tc>
          <w:tcPr>
            <w:tcW w:w="200" w:type="dxa"/>
            <w:vAlign w:val="bottom"/>
          </w:tcPr>
          <w:p>
            <w:pPr>
              <w:spacing w:after="0"/>
              <w:rPr>
                <w:sz w:val="24"/>
                <w:szCs w:val="24"/>
                <w:color w:val="auto"/>
              </w:rPr>
            </w:pPr>
          </w:p>
        </w:tc>
        <w:tc>
          <w:tcPr>
            <w:tcW w:w="13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Nine-Months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7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Ended September 30,</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Ended 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9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200" w:type="dxa"/>
            <w:vAlign w:val="bottom"/>
          </w:tcPr>
          <w:p>
            <w:pPr>
              <w:spacing w:after="0"/>
              <w:rPr>
                <w:sz w:val="18"/>
                <w:szCs w:val="18"/>
                <w:color w:val="auto"/>
              </w:rPr>
            </w:pPr>
          </w:p>
        </w:tc>
        <w:tc>
          <w:tcPr>
            <w:tcW w:w="2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ROU assets for operating and finance leases recognized in the Company’s condensed consolidated balance sheets were comprised of the following at: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center"/>
              <w:ind w:left="430"/>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Equipment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37,085</w:t>
            </w:r>
          </w:p>
        </w:tc>
        <w:tc>
          <w:tcPr>
            <w:tcW w:w="2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1,753</w:t>
            </w:r>
          </w:p>
        </w:tc>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0" w:type="dxa"/>
            <w:vAlign w:val="bottom"/>
          </w:tcPr>
          <w:p>
            <w:pPr>
              <w:spacing w:after="0"/>
              <w:rPr>
                <w:sz w:val="1"/>
                <w:szCs w:val="1"/>
                <w:color w:val="auto"/>
              </w:rPr>
            </w:pPr>
          </w:p>
        </w:tc>
      </w:tr>
      <w:tr>
        <w:trPr>
          <w:trHeight w:val="427"/>
        </w:trPr>
        <w:tc>
          <w:tcPr>
            <w:tcW w:w="4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6"/>
          </w:tcPr>
          <w:p>
            <w:pPr>
              <w:jc w:val="center"/>
              <w:ind w:left="430"/>
              <w:spacing w:after="0"/>
              <w:rPr>
                <w:sz w:val="20"/>
                <w:szCs w:val="20"/>
                <w:color w:val="auto"/>
              </w:rPr>
            </w:pPr>
            <w:r>
              <w:rPr>
                <w:rFonts w:ascii="Times New Roman" w:cs="Times New Roman" w:eastAsia="Times New Roman" w:hAnsi="Times New Roman"/>
                <w:sz w:val="18"/>
                <w:szCs w:val="18"/>
                <w:color w:val="auto"/>
                <w:w w:val="98"/>
              </w:rPr>
              <w:t>December 31, 2021</w:t>
            </w:r>
          </w:p>
        </w:tc>
        <w:tc>
          <w:tcPr>
            <w:tcW w:w="6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Real Estate</w:t>
            </w:r>
          </w:p>
        </w:tc>
        <w:tc>
          <w:tcPr>
            <w:tcW w:w="1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Equipment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CCEEFF"/>
            </w:tcBorders>
          </w:tcPr>
          <w:p>
            <w:pPr>
              <w:spacing w:after="0"/>
              <w:rPr>
                <w:sz w:val="18"/>
                <w:szCs w:val="18"/>
                <w:color w:val="auto"/>
              </w:rPr>
            </w:pPr>
          </w:p>
        </w:tc>
        <w:tc>
          <w:tcPr>
            <w:tcW w:w="2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23,157</w:t>
            </w:r>
          </w:p>
        </w:tc>
        <w:tc>
          <w:tcPr>
            <w:tcW w:w="20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0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0" w:type="dxa"/>
            <w:vAlign w:val="bottom"/>
          </w:tcPr>
          <w:p>
            <w:pPr>
              <w:spacing w:after="0"/>
              <w:rPr>
                <w:sz w:val="1"/>
                <w:szCs w:val="1"/>
                <w:color w:val="auto"/>
              </w:rPr>
            </w:pPr>
          </w:p>
        </w:tc>
      </w:tr>
      <w:tr>
        <w:trPr>
          <w:trHeight w:val="846"/>
        </w:trPr>
        <w:tc>
          <w:tcPr>
            <w:tcW w:w="4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2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and finance lease liabilities recognized in the Company’s condensed consolidated balance sheets were as follows at:</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color w:val="auto"/>
              </w:rPr>
              <w:t>September 30, 2022</w:t>
            </w:r>
          </w:p>
        </w:tc>
        <w:tc>
          <w:tcPr>
            <w:tcW w:w="520" w:type="dxa"/>
            <w:vAlign w:val="bottom"/>
            <w:tcBorders>
              <w:bottom w:val="single" w:sz="8" w:color="auto"/>
            </w:tcBorders>
          </w:tcPr>
          <w:p>
            <w:pPr>
              <w:spacing w:after="0"/>
              <w:rPr>
                <w:sz w:val="20"/>
                <w:szCs w:val="20"/>
                <w:color w:val="auto"/>
              </w:rPr>
            </w:pPr>
          </w:p>
        </w:tc>
      </w:tr>
      <w:tr>
        <w:trPr>
          <w:trHeight w:val="210"/>
        </w:trPr>
        <w:tc>
          <w:tcPr>
            <w:tcW w:w="53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Operating Leases</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Finance Leases</w:t>
            </w: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29,265</w:t>
            </w:r>
          </w:p>
        </w:tc>
        <w:tc>
          <w:tcPr>
            <w:tcW w:w="2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5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36,293</w:t>
            </w: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426"/>
        </w:trPr>
        <w:tc>
          <w:tcPr>
            <w:tcW w:w="5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color w:val="auto"/>
              </w:rPr>
              <w:t>December 31, 2021</w:t>
            </w:r>
          </w:p>
        </w:tc>
        <w:tc>
          <w:tcPr>
            <w:tcW w:w="520" w:type="dxa"/>
            <w:vAlign w:val="bottom"/>
            <w:tcBorders>
              <w:bottom w:val="single" w:sz="8" w:color="auto"/>
            </w:tcBorders>
          </w:tcPr>
          <w:p>
            <w:pPr>
              <w:spacing w:after="0"/>
              <w:rPr>
                <w:sz w:val="24"/>
                <w:szCs w:val="24"/>
                <w:color w:val="auto"/>
              </w:rPr>
            </w:pPr>
          </w:p>
        </w:tc>
      </w:tr>
      <w:tr>
        <w:trPr>
          <w:trHeight w:val="209"/>
        </w:trPr>
        <w:tc>
          <w:tcPr>
            <w:tcW w:w="53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Operating Leases</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Finance Leases</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2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9"/>
        </w:trPr>
        <w:tc>
          <w:tcPr>
            <w:tcW w:w="5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w:t>
            </w: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and finance leases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December 31, 2021 were as follows:</w:t>
      </w:r>
    </w:p>
    <w:p>
      <w:pPr>
        <w:spacing w:after="0" w:line="247"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8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September 30, 2022</w:t>
            </w:r>
          </w:p>
        </w:tc>
      </w:tr>
      <w:tr>
        <w:trPr>
          <w:trHeight w:val="210"/>
        </w:trPr>
        <w:tc>
          <w:tcPr>
            <w:tcW w:w="512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Finance Leases</w:t>
            </w:r>
          </w:p>
        </w:tc>
        <w:tc>
          <w:tcPr>
            <w:tcW w:w="180" w:type="dxa"/>
            <w:vAlign w:val="bottom"/>
          </w:tcPr>
          <w:p>
            <w:pPr>
              <w:spacing w:after="0"/>
              <w:rPr>
                <w:sz w:val="18"/>
                <w:szCs w:val="18"/>
                <w:color w:val="auto"/>
              </w:rPr>
            </w:pP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Borders>
              <w:top w:val="single" w:sz="8" w:color="CCEEFF"/>
            </w:tcBorders>
            <w:shd w:val="clear" w:color="auto" w:fill="CCEEFF"/>
          </w:tcPr>
          <w:p>
            <w:pPr>
              <w:spacing w:after="0"/>
              <w:rPr>
                <w:sz w:val="18"/>
                <w:szCs w:val="18"/>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3.4 %</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2.7 %</w:t>
            </w:r>
          </w:p>
        </w:tc>
      </w:tr>
      <w:tr>
        <w:trPr>
          <w:trHeight w:val="427"/>
        </w:trPr>
        <w:tc>
          <w:tcPr>
            <w:tcW w:w="5120" w:type="dxa"/>
            <w:vAlign w:val="bottom"/>
          </w:tcPr>
          <w:p>
            <w:pPr>
              <w:spacing w:after="0"/>
              <w:rPr>
                <w:sz w:val="24"/>
                <w:szCs w:val="24"/>
                <w:color w:val="auto"/>
              </w:rPr>
            </w:pPr>
          </w:p>
        </w:tc>
        <w:tc>
          <w:tcPr>
            <w:tcW w:w="28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09"/>
        </w:trPr>
        <w:tc>
          <w:tcPr>
            <w:tcW w:w="512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Finance Leases</w:t>
            </w:r>
          </w:p>
        </w:tc>
        <w:tc>
          <w:tcPr>
            <w:tcW w:w="180" w:type="dxa"/>
            <w:vAlign w:val="bottom"/>
          </w:tcPr>
          <w:p>
            <w:pPr>
              <w:spacing w:after="0"/>
              <w:rPr>
                <w:sz w:val="18"/>
                <w:szCs w:val="18"/>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Borders>
              <w:top w:val="single" w:sz="8" w:color="CCEEFF"/>
            </w:tcBorders>
            <w:shd w:val="clear" w:color="auto" w:fill="CCEEFF"/>
          </w:tcPr>
          <w:p>
            <w:pPr>
              <w:spacing w:after="0"/>
              <w:rPr>
                <w:sz w:val="18"/>
                <w:szCs w:val="18"/>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3.5 %</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1.3 %</w:t>
            </w:r>
          </w:p>
        </w:tc>
      </w:tr>
    </w:tbl>
    <w:p>
      <w:pPr>
        <w:spacing w:after="0" w:line="17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future lease payments for operating and finance leases to the operating and finance leases recorded in the Company’s condensed consolidated balance sheet at September 30, 2022:</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7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Undiscounted Future Lease Payments</w:t>
            </w:r>
          </w:p>
        </w:tc>
      </w:tr>
      <w:tr>
        <w:trPr>
          <w:trHeight w:val="210"/>
        </w:trPr>
        <w:tc>
          <w:tcPr>
            <w:tcW w:w="44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Operating Leases</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Finance Leases</w:t>
            </w:r>
          </w:p>
        </w:tc>
      </w:tr>
      <w:tr>
        <w:trPr>
          <w:trHeight w:val="209"/>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(from October 1, 2022 to December 31, 2022)</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7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15,974</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r>
      <w:tr>
        <w:trPr>
          <w:trHeight w:val="216"/>
        </w:trPr>
        <w:tc>
          <w:tcPr>
            <w:tcW w:w="44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7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4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36,293</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r>
      <w:tr>
        <w:trPr>
          <w:trHeight w:val="20"/>
        </w:trPr>
        <w:tc>
          <w:tcPr>
            <w:tcW w:w="4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did not have any significant additional operating or finance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Continuous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Continuous</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Loss Position</w:t>
            </w:r>
          </w:p>
        </w:tc>
        <w:tc>
          <w:tcPr>
            <w:tcW w:w="2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Loss Position</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Amortized</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Holding</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Holding</w:t>
            </w:r>
          </w:p>
        </w:tc>
        <w:tc>
          <w:tcPr>
            <w:tcW w:w="1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Fair</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less than 12</w:t>
            </w:r>
          </w:p>
        </w:tc>
        <w:tc>
          <w:tcPr>
            <w:tcW w:w="2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greater than 12</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Cost</w:t>
            </w:r>
          </w:p>
        </w:tc>
        <w:tc>
          <w:tcPr>
            <w:tcW w:w="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Gains</w:t>
            </w:r>
          </w:p>
        </w:tc>
        <w:tc>
          <w:tcPr>
            <w:tcW w:w="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r>
      <w:tr>
        <w:trPr>
          <w:trHeight w:val="209"/>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828,029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1,427,954</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1,419,154</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08"/>
        </w:trPr>
        <w:tc>
          <w:tcPr>
            <w:tcW w:w="2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Continuous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Continuous</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Unrealized</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Loss Position</w:t>
            </w:r>
          </w:p>
        </w:tc>
        <w:tc>
          <w:tcPr>
            <w:tcW w:w="2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Loss Position</w:t>
            </w:r>
          </w:p>
        </w:tc>
      </w:tr>
      <w:tr>
        <w:trPr>
          <w:trHeight w:val="216"/>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Amortized</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Holding</w:t>
            </w:r>
          </w:p>
        </w:tc>
        <w:tc>
          <w:tcPr>
            <w:tcW w:w="8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Holding</w:t>
            </w:r>
          </w:p>
        </w:tc>
        <w:tc>
          <w:tcPr>
            <w:tcW w:w="14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Fair</w:t>
            </w: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less than 12</w:t>
            </w:r>
          </w:p>
        </w:tc>
        <w:tc>
          <w:tcPr>
            <w:tcW w:w="20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greater than 12</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Cost</w:t>
            </w:r>
          </w:p>
        </w:tc>
        <w:tc>
          <w:tcPr>
            <w:tcW w:w="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Gains</w:t>
            </w:r>
          </w:p>
        </w:tc>
        <w:tc>
          <w:tcPr>
            <w:tcW w:w="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Short-term: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1,307,821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87,133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8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1,850,101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1,849,146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nine-months ended September 30, 2022 and 2021, realized gains or losses recognized on the sale of investments were not significant.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investments at September 30, 2022 and December 31, 2021 carried investment grade credit ratings.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underlying contractual maturities of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September 30, 2022</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09"/>
        </w:trPr>
        <w:tc>
          <w:tcPr>
            <w:tcW w:w="38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Amortized Cost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Fair Value</w:t>
            </w: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Amortized Cost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4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218,573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218,566</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334,077</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securities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192,429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62,661</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44,502</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834,249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828,029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1,308,536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1,307,821</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1 -10 years: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securities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86,943</w:t>
            </w:r>
          </w:p>
        </w:tc>
      </w:tr>
      <w:tr>
        <w:trPr>
          <w:trHeight w:val="216"/>
        </w:trPr>
        <w:tc>
          <w:tcPr>
            <w:tcW w:w="3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11,638</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12,476</w:t>
            </w:r>
          </w:p>
        </w:tc>
      </w:tr>
      <w:tr>
        <w:trPr>
          <w:trHeight w:val="209"/>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1,427,954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1,419,154</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1,850,101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1,849,146</w:t>
            </w:r>
          </w:p>
        </w:tc>
      </w:tr>
      <w:tr>
        <w:trPr>
          <w:trHeight w:val="20"/>
        </w:trPr>
        <w:tc>
          <w:tcPr>
            <w:tcW w:w="3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CERTAIN FINANCIAL ASSETS AND LIABILITIES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ASC 820, “Fair Value Measurement”,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79"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68"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Level 1 prices, such as quoted prices for similar assets or liabilities, quoted prices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for substantially the full term of the related assets or liabilities.</w:t>
      </w:r>
    </w:p>
    <w:p>
      <w:pPr>
        <w:spacing w:after="0" w:line="170" w:lineRule="exact"/>
        <w:rPr>
          <w:rFonts w:ascii="Times New Roman" w:cs="Times New Roman" w:eastAsia="Times New Roman" w:hAnsi="Times New Roman"/>
          <w:sz w:val="18"/>
          <w:szCs w:val="18"/>
          <w:color w:val="auto"/>
        </w:rPr>
      </w:pPr>
    </w:p>
    <w:p>
      <w:pPr>
        <w:ind w:left="680" w:right="20" w:hanging="321"/>
        <w:spacing w:after="0" w:line="286"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or liabilities.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ASC 820 requires the use of observable market inputs (quoted market prices) when measuring fair value and requires a Level 1 quoted price to be used to measure fair value whenever possible.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30, 2022</w:t>
            </w: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1,113,207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1,230,159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1,491,839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1,230,159</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72,889</w:t>
            </w:r>
          </w:p>
        </w:tc>
        <w:tc>
          <w:tcPr>
            <w:tcW w:w="120" w:type="dxa"/>
            <w:vAlign w:val="bottom"/>
          </w:tcPr>
          <w:p>
            <w:pPr>
              <w:spacing w:after="0"/>
              <w:rPr>
                <w:sz w:val="18"/>
                <w:szCs w:val="18"/>
                <w:color w:val="auto"/>
              </w:rPr>
            </w:pPr>
          </w:p>
        </w:tc>
        <w:tc>
          <w:tcPr>
            <w:tcW w:w="1120" w:type="dxa"/>
            <w:vAlign w:val="bottom"/>
            <w:gridSpan w:val="2"/>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1,346,781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1,230,159</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1,491,839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2,721,998</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749,089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1,189,915</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136,547</w:t>
            </w:r>
          </w:p>
        </w:tc>
        <w:tc>
          <w:tcPr>
            <w:tcW w:w="120" w:type="dxa"/>
            <w:vAlign w:val="bottom"/>
          </w:tcPr>
          <w:p>
            <w:pPr>
              <w:spacing w:after="0"/>
              <w:rPr>
                <w:sz w:val="18"/>
                <w:szCs w:val="18"/>
                <w:color w:val="auto"/>
              </w:rPr>
            </w:pPr>
          </w:p>
        </w:tc>
        <w:tc>
          <w:tcPr>
            <w:tcW w:w="1120" w:type="dxa"/>
            <w:vAlign w:val="bottom"/>
            <w:gridSpan w:val="2"/>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of the Company’s short-term and long-term investments are classified within Level 1 or Level 2 of the fair value hierarchy.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nine-months ended September 30, 2022, or during the year-ended December 31, 2021, and there were no changes in the Company’s valuation techniques.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AND HEDGING ACTIVITIES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risks related primarily to its foreign business operations. During the nine-months ended September 30, 2022 and the year-ended December 31, 2021,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September 30, 2022 have terms of one month or less. The Company does not enter into forward currency exchange contracts for speculation or trading purposes.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not designated its foreign currency exchange contracts as hedge transactions under ASC 815, “Derivatives and Hedging”. Therefore, gains and losses on the Company’s foreign currency exchange contracts are recognized in interest and other income (expense), net, in the condensed consolidated statements of income, and are largely offset by the changes in the fair value of the underlying economically hedged item.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notional amount and fair value of all outstanding foreign currency derivative instruments in the Company’s condensed consolidated balance sheets consist of the following at: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280" w:type="dxa"/>
            <w:vAlign w:val="bottom"/>
            <w:tcBorders>
              <w:top w:val="single" w:sz="8" w:color="auto"/>
            </w:tcBorders>
          </w:tcPr>
          <w:p>
            <w:pPr>
              <w:jc w:val="center"/>
              <w:ind w:left="910"/>
              <w:spacing w:after="0" w:line="191"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hedging instruments under</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Notional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ASC 815</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1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COP</w:t>
            </w: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CLP</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NZD</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ZAR</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RSD/pay USD</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AUD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GBP</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12,492</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w:t>
            </w: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CAD/pay USD</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w:t>
            </w:r>
          </w:p>
        </w:tc>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CNY</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w:t>
            </w: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EUR</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SGD/pay USD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MXN</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w:t>
            </w:r>
          </w:p>
        </w:tc>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DKK</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846"/>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hedging instruments under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Notional</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Fair</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ASC 815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Value</w:t>
            </w:r>
          </w:p>
        </w:tc>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SGD/pay USD</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16,544</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COP</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RSD/pay USD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RUB</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GBP</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29,929</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(666)</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AUD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CNY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NZD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EUR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ZAR</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DKK</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gains (losses) on derivative instruments in the condensed consolidated statements of income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 of gain (loss)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rPr>
              <w:t>recognized in income on</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8"/>
              </w:rPr>
              <w:t>derivatives</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Derivatives not designated as</w:t>
            </w:r>
          </w:p>
        </w:tc>
        <w:tc>
          <w:tcPr>
            <w:tcW w:w="240" w:type="dxa"/>
            <w:vAlign w:val="bottom"/>
          </w:tcPr>
          <w:p>
            <w:pPr>
              <w:spacing w:after="0"/>
              <w:rPr>
                <w:sz w:val="18"/>
                <w:szCs w:val="18"/>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Location of gain (loss)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rPr>
              <w:t>Three-months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hedging instruments under</w:t>
            </w:r>
          </w:p>
        </w:tc>
        <w:tc>
          <w:tcPr>
            <w:tcW w:w="24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recognized in income on</w:t>
            </w:r>
          </w:p>
        </w:tc>
        <w:tc>
          <w:tcPr>
            <w:tcW w:w="2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18"/>
                <w:szCs w:val="18"/>
                <w:color w:val="auto"/>
              </w:rPr>
            </w:pP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3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ASC 815</w:t>
            </w:r>
          </w:p>
        </w:tc>
        <w:tc>
          <w:tcPr>
            <w:tcW w:w="240" w:type="dxa"/>
            <w:vAlign w:val="bottom"/>
            <w:tcBorders>
              <w:bottom w:val="single" w:sz="8" w:color="CCEEFF"/>
            </w:tcBorders>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2022</w:t>
            </w: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4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Amount of gain (loss)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rPr>
              <w:t>recognized in income on</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8"/>
              </w:rPr>
              <w:t>derivatives</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Derivatives not designated as</w:t>
            </w:r>
          </w:p>
        </w:tc>
        <w:tc>
          <w:tcPr>
            <w:tcW w:w="240" w:type="dxa"/>
            <w:vAlign w:val="bottom"/>
          </w:tcPr>
          <w:p>
            <w:pPr>
              <w:spacing w:after="0"/>
              <w:rPr>
                <w:sz w:val="18"/>
                <w:szCs w:val="18"/>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Location of gain (loss)</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8"/>
                <w:szCs w:val="18"/>
                <w:color w:val="auto"/>
              </w:rPr>
              <w:t>Nine-months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hedging instruments under</w:t>
            </w:r>
          </w:p>
        </w:tc>
        <w:tc>
          <w:tcPr>
            <w:tcW w:w="24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recognized in income on</w:t>
            </w:r>
          </w:p>
        </w:tc>
        <w:tc>
          <w:tcPr>
            <w:tcW w:w="2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240" w:type="dxa"/>
            <w:vAlign w:val="bottom"/>
          </w:tcPr>
          <w:p>
            <w:pPr>
              <w:spacing w:after="0"/>
              <w:rPr>
                <w:sz w:val="18"/>
                <w:szCs w:val="18"/>
                <w:color w:val="auto"/>
              </w:rPr>
            </w:pPr>
          </w:p>
        </w:tc>
        <w:tc>
          <w:tcPr>
            <w:tcW w:w="11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September 30,</w:t>
            </w:r>
          </w:p>
        </w:tc>
        <w:tc>
          <w:tcPr>
            <w:tcW w:w="0" w:type="dxa"/>
            <w:vAlign w:val="bottom"/>
          </w:tcPr>
          <w:p>
            <w:pPr>
              <w:spacing w:after="0"/>
              <w:rPr>
                <w:sz w:val="1"/>
                <w:szCs w:val="1"/>
                <w:color w:val="auto"/>
              </w:rPr>
            </w:pPr>
          </w:p>
        </w:tc>
      </w:tr>
      <w:tr>
        <w:trPr>
          <w:trHeight w:val="23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ASC 815</w:t>
            </w:r>
          </w:p>
        </w:tc>
        <w:tc>
          <w:tcPr>
            <w:tcW w:w="240" w:type="dxa"/>
            <w:vAlign w:val="bottom"/>
            <w:tcBorders>
              <w:bottom w:val="single" w:sz="8" w:color="CCEEFF"/>
            </w:tcBorders>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2022</w:t>
            </w:r>
          </w:p>
        </w:tc>
        <w:tc>
          <w:tcPr>
            <w:tcW w:w="24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4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320" w:type="dxa"/>
            <w:vAlign w:val="bottom"/>
            <w:gridSpan w:val="2"/>
            <w:vMerge w:val="restart"/>
          </w:tcPr>
          <w:p>
            <w:pPr>
              <w:jc w:val="right"/>
              <w:ind w:right="199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820" w:type="dxa"/>
            <w:vAlign w:val="bottom"/>
          </w:tcPr>
          <w:p>
            <w:pPr>
              <w:spacing w:after="0"/>
              <w:rPr>
                <w:sz w:val="24"/>
                <w:szCs w:val="24"/>
                <w:color w:val="auto"/>
              </w:rPr>
            </w:pPr>
          </w:p>
        </w:tc>
        <w:tc>
          <w:tcPr>
            <w:tcW w:w="33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consist of the following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1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18"/>
                <w:szCs w:val="18"/>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450,097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349,865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0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243,492</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862,977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593,357</w:t>
            </w:r>
          </w:p>
        </w:tc>
        <w:tc>
          <w:tcPr>
            <w:tcW w:w="0" w:type="dxa"/>
            <w:vAlign w:val="bottom"/>
          </w:tcPr>
          <w:p>
            <w:pPr>
              <w:spacing w:after="0"/>
              <w:rPr>
                <w:sz w:val="1"/>
                <w:szCs w:val="1"/>
                <w:color w:val="auto"/>
              </w:rPr>
            </w:pPr>
          </w:p>
        </w:tc>
      </w:tr>
      <w:tr>
        <w:trPr>
          <w:trHeight w:val="20"/>
        </w:trPr>
        <w:tc>
          <w:tcPr>
            <w:tcW w:w="4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9.</w:t>
            </w:r>
          </w:p>
        </w:tc>
        <w:tc>
          <w:tcPr>
            <w:tcW w:w="51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0" w:type="dxa"/>
            <w:vAlign w:val="bottom"/>
            <w:vMerge w:val="continue"/>
          </w:tcPr>
          <w:p>
            <w:pPr>
              <w:spacing w:after="0"/>
              <w:rPr>
                <w:sz w:val="24"/>
                <w:szCs w:val="24"/>
                <w:color w:val="auto"/>
              </w:rPr>
            </w:pPr>
          </w:p>
        </w:tc>
        <w:tc>
          <w:tcPr>
            <w:tcW w:w="516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5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and equipment consist of the following at:</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140" w:type="dxa"/>
            <w:vAlign w:val="bottom"/>
            <w:gridSpan w:val="3"/>
          </w:tcPr>
          <w:p>
            <w:pPr>
              <w:ind w:left="104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4"/>
                <w:szCs w:val="24"/>
                <w:color w:val="auto"/>
              </w:rPr>
            </w:pPr>
          </w:p>
        </w:tc>
        <w:tc>
          <w:tcPr>
            <w:tcW w:w="1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139,248</w:t>
            </w:r>
          </w:p>
        </w:tc>
        <w:tc>
          <w:tcPr>
            <w:tcW w:w="2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7,409</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253,057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189,820</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162,034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148,971</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45,088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under construction</w:t>
            </w:r>
          </w:p>
        </w:tc>
        <w:tc>
          <w:tcPr>
            <w:tcW w:w="10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20,125</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728,868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538,538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(243,318)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(224,785)</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485,550</w:t>
            </w:r>
          </w:p>
        </w:tc>
        <w:tc>
          <w:tcPr>
            <w:tcW w:w="200" w:type="dxa"/>
            <w:vAlign w:val="bottom"/>
            <w:gridSpan w:val="2"/>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313,753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depreciation and amortization expense recorded was $13.6 million and $11.3 million for the three-months ended September 30, 2022 and 2021, respectively. Total depreciation and amortization expense recorded was $40.5 million and $34.5 million for the nine-months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roll-forward of goodwill for the nine-months ended September 30, 2022 and 2021 by reportable segment: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Monster</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Energy®</w:t>
            </w:r>
          </w:p>
        </w:tc>
        <w:tc>
          <w:tcPr>
            <w:tcW w:w="12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Strategic</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Alcohol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Drinks</w:t>
            </w:r>
          </w:p>
        </w:tc>
        <w:tc>
          <w:tcPr>
            <w:tcW w:w="12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Brands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Brands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$ 1,331,643</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81,298</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$ 1,412,941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Monster</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Energy®</w:t>
            </w:r>
          </w:p>
        </w:tc>
        <w:tc>
          <w:tcPr>
            <w:tcW w:w="12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Strategic</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Alcohol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Drinks</w:t>
            </w: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Brands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rPr>
              <w:t>Brands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$ 1,331,643</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$ 1,331,643</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 at:</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Amortizing intangibles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66,872</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(66,781)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(61,227)</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5,645</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Non-amortizing intangibles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1,171,235</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1,066,741</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1,225,826</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1,072,386</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fifteen years. Total amortization expense recorded was $2.0 million and $1.1 million for the three-months ended September 30, 2022 and 2021, respectively. Total amortization expense recorded was $5.6 million and $3.3 million for the nine-months ended September 30, 2022 and 2021, respectively.</w:t>
      </w:r>
    </w:p>
    <w:p>
      <w:pPr>
        <w:spacing w:after="0" w:line="1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is the future estimated amortization expense related to amortizing intangibles as of September 30,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(from October 1, 2022 to December 31, 2022)</w:t>
            </w:r>
          </w:p>
        </w:tc>
        <w:tc>
          <w:tcPr>
            <w:tcW w:w="186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15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36,896</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54,591</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0"/>
              </w:rPr>
              <w:t>11</w:t>
            </w:r>
            <w:r>
              <w:rPr>
                <w:rFonts w:ascii="Times New Roman" w:cs="Times New Roman" w:eastAsia="Times New Roman" w:hAnsi="Times New Roman"/>
                <w:sz w:val="17"/>
                <w:szCs w:val="17"/>
                <w:color w:val="auto"/>
                <w:w w:val="90"/>
              </w:rPr>
              <w:t>.</w:t>
            </w:r>
          </w:p>
        </w:tc>
        <w:tc>
          <w:tcPr>
            <w:tcW w:w="58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color w:val="auto"/>
              </w:rPr>
              <w:t>DISTRIBUTION AGREEMENTS</w:t>
            </w:r>
          </w:p>
        </w:tc>
        <w:tc>
          <w:tcPr>
            <w:tcW w:w="1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440" w:type="dxa"/>
            <w:vAlign w:val="bottom"/>
            <w:vMerge w:val="continue"/>
          </w:tcPr>
          <w:p>
            <w:pPr>
              <w:spacing w:after="0"/>
              <w:rPr>
                <w:sz w:val="24"/>
                <w:szCs w:val="24"/>
                <w:color w:val="auto"/>
              </w:rPr>
            </w:pPr>
          </w:p>
        </w:tc>
        <w:tc>
          <w:tcPr>
            <w:tcW w:w="5840" w:type="dxa"/>
            <w:vAlign w:val="bottom"/>
            <w:gridSpan w:val="2"/>
            <w:vMerge w:val="continue"/>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amounts received pursuant to new and/or amended distribution agreements entered into with certain bottlers/distributors, relating to the costs associated with terminating agreements with the Company’s prior distributors, or at the inception of certain sales/marketing programs are accounted for as deferred revenue and are recognized as revenue ratably over the anticipated life of the respective agreement, generally 20 years or program duration, as the case may be. Revenue recognized was $10.0</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million and $10.4 million for the three-months ended September 30, 2022 and 2021, respectively. Revenue recognized was $30.0 million and $31.3 million for the nine-months ended September 30, 2022 and 2021, respectively.</w:t>
      </w:r>
    </w:p>
    <w:p>
      <w:pPr>
        <w:spacing w:after="0" w:line="162"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CONTINGENCIES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purchase commitments aggregating approximately $275.5 million at September 30, 2022, which represented commitments made by the Company and its subsidiaries to various suppliers of raw materials for the production of its products. These obligations vary in terms, but are generally satisfied within one year.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contractual obligations aggregating approximately $338.9 million at September 30, 2022, which related primarily to sponsorships and other marketing activities.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 credit facility with HSBC Bank (China) Company Limited, Shanghai Branch, of $15.0 million. At September 30, 2022, the interest rate on borrowings under the line of credit was 5.5%. As of September 30, 2022, $6.3 million was outstanding on this line of credit.</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From time to time in the normal course of business, the Company is named in litigation, including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evaluates, on a quarterly basis, developments in legal proceedings and other matters that could cause an increase or decrease in the amount of the liability that is accrued, if any, and any related insurance reimbursements. As of September 30, 2022, no loss contingencies were included in the Company’s condensed consolidated balance sheet.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29, 2022, a jury in the U.S. District Court for the Central District of California awarded Monster Energy Company (“MEC”) approximately $293 million in damages in its false advertising and trade secrets case against Vital Pharmaceuticals, Inc. (“VPX”), the maker of Bang Energy. The jury found VPX and its chief executive officer to have falsely advertised the “super creatine” ingredient of Bang Energy and to have acted willfully and deliberately in violating the federal Lanham Act. The jury also found that VPX stole trade secrets and interfered with the Company’s contracts over shelf space with certain key vendors. VPX may also be liable for enhanced and punitive damages as will be determined by the judge presiding over the case at a later date.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April 2022, MEC and Orange Bang, Inc. (“Orange Bang”) filed a joint motion in the United States District Court for the Central District of California to confirm a final arbitration award against VPX that awarded MEC and Orange Bang $175.0 million and a 5% royalty on all future sales of VPX’s Bang Energy drink and other Bang-branded products as well as certain fees and costs. Pursuant to the terms of the agreement between MEC and Orange Bang, the award and future royalties will be shared equally between MEC and Orange Bang. The arbitration arose from a settlement agreement that VPX entered into in 2010 with Orange Bang, a family-owned beverage business. Pursuant to the terms of that agreement, VPX is only permitted to use the Bang mark on “creatine-based” products or on Bang products that are marketed and sold only in the vitamin and dietary supplement sections of stores. On September 29, 2022, the United States District Court for the Central District of California entered final judgment confirming the award. On October 28, 2022, VPX filed a notice of appeal of the District Court’s final judgement confirming the award.</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10, 2022, VPX, along with certain of its domestic subsidiaries and affiliates, filed for protection under Chapter 11 of the Bankruptcy Code in the Southern District of Florida. Per ASC 450 “Contingencies”, the Company will not recognize the September 2022 jury award or April 2022 arbitration award until the awards are realized or realizable. As of November 4, 2022, the proceedings have yet to progress to a stage where there is sufficient information for an accurate timeline of when the awards will be realized or realizable, if at all.</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after tax, for the nine-months ended September 30, 2022 and 2021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Currency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Losses on</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Translation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7"/>
              </w:rPr>
              <w:t>Available-for-</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Sale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(69,165)</w:t>
            </w:r>
          </w:p>
        </w:tc>
        <w:tc>
          <w:tcPr>
            <w:tcW w:w="0" w:type="dxa"/>
            <w:vAlign w:val="bottom"/>
          </w:tcPr>
          <w:p>
            <w:pPr>
              <w:spacing w:after="0"/>
              <w:rPr>
                <w:sz w:val="1"/>
                <w:szCs w:val="1"/>
                <w:color w:val="auto"/>
              </w:rPr>
            </w:pPr>
          </w:p>
        </w:tc>
      </w:tr>
      <w:tr>
        <w:trPr>
          <w:trHeight w:val="216"/>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(147,450)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(7,840)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(155,290)</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income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(147,450)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(155,290)</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(215,659)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(8,796)</w:t>
            </w:r>
          </w:p>
        </w:tc>
        <w:tc>
          <w:tcPr>
            <w:tcW w:w="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(224,455)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Currency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8"/>
              </w:rPr>
              <w:t>Gains (Losses)</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Translation</w:t>
            </w:r>
          </w:p>
        </w:tc>
        <w:tc>
          <w:tcPr>
            <w:tcW w:w="100" w:type="dxa"/>
            <w:vAlign w:val="bottom"/>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on Available-for-</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Sale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5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(46,412)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(46,529)</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income</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(46,529)</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(43,495)</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14.</w:t>
            </w:r>
          </w:p>
        </w:tc>
        <w:tc>
          <w:tcPr>
            <w:tcW w:w="54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TREASURY STOCK</w:t>
            </w: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vMerge w:val="continue"/>
          </w:tcPr>
          <w:p>
            <w:pPr>
              <w:spacing w:after="0"/>
              <w:rPr>
                <w:sz w:val="24"/>
                <w:szCs w:val="24"/>
                <w:color w:val="auto"/>
              </w:rPr>
            </w:pPr>
          </w:p>
        </w:tc>
        <w:tc>
          <w:tcPr>
            <w:tcW w:w="5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13, 2020, the Company’s Board of Directors authorized a share repurchase program for the purchase of up to $500.0 million of the Company’s outstanding common stock (the “March 2020 Repurchase Plan”). During the three-months ended September 30, 2022, the Company purchased approximately 1.8 million shares of common stock at an average purchase price of $87.55 per share, for a total amount of approximately $157.4 million (excluding broker commissions), which exhausted the availability under the March 2020 Repurchase Plan. Such shares are included in the common stock in treasury in the accompanying condensed balance sheet at September 30, 2022.</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14, 2022, the Company’s Board of Directors authorized a share repurchase program for the purchase of up to an additional $500.0 million of the Company’s outstanding common stock (the “June 2022 Repurchase Plan”). During the three-months ended September 30, 2022, the Company purchased approximately 1.3 million shares of common stock at an average purchase price of $88.11 per share, for a total amount of approximately $115.5 million (excluding broker commissions), under the June 2022 Repurchase Plan. As of November 4, 2022, $182.8 million remained available for repurchase under the June 2022 Repurchase Plan.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three-months ended September 30, 2022, no shares of common stock were purchased from employees in lieu of cash payments for options exercised or withholding taxes due.</w:t>
      </w:r>
    </w:p>
    <w:p>
      <w:pPr>
        <w:spacing w:after="0" w:line="162"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two stock-based compensation plans under which shares were available for grant at September 30, 2022: (i) the Monster Beverage Corporation 2020 Omnibus Incentive Plan, including the Monster Beverage Corporation Deferred Compensation Plan as a sub-plan thereunder, and (ii) the Monster Beverage Corporation 2017 Compensation Plan for Non-Employee Directors as Amended and Restated on February 23, 2022, including the Monster Beverage Corporation Deferred Compensation Plan for Non-Employee Directors as a sub-plan thereunder.</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$16.6 million and $16.7 million of compensation expense relating to outstanding options, restricted stock units, performance share units and other share-based awards during the three-months ended September 30, 2022 and 2021, respectively. The Company recorded $49.2 million and $52.4 million of compensation expense relating to outstanding options, restricted stock units, performance share units and other share-based awards during the nine-months ended September 30, 2022 and 2021, respectively.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tax benefit for tax deductions from non-qualified stock option exercises, disqualifying dispositions of incentive stock options and vesting of restricted stock units and performance share units for the three-months ended September 30, 2022 and 2021 was $2.0 million and $2.0 million, respectively. The tax benefit for tax deductions from non-qualified stock option exercises, disqualifying dispositions of incentive stock options and vesting of restricted stock units and performance share units for the nine-months ended September 30, 2022 and 2021 was $4.6 million and $6.1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Company’s stock-based compensation plans, all stock options granted as of September 30, 2022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options granted during: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88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w w:val="99"/>
              </w:rPr>
              <w:t>Three-Months Ended September 30,</w:t>
            </w:r>
          </w:p>
        </w:tc>
        <w:tc>
          <w:tcPr>
            <w:tcW w:w="27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w w:val="99"/>
              </w:rPr>
              <w:t>Nine-Months Ended September 30,</w:t>
            </w:r>
          </w:p>
        </w:tc>
      </w:tr>
      <w:tr>
        <w:trPr>
          <w:trHeight w:val="210"/>
        </w:trPr>
        <w:tc>
          <w:tcPr>
            <w:tcW w:w="428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tcPr>
          <w:p>
            <w:pPr>
              <w:spacing w:after="0"/>
              <w:rPr>
                <w:sz w:val="18"/>
                <w:szCs w:val="18"/>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27.6 %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3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2.8 %</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4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6.2 years</w:t>
            </w:r>
          </w:p>
        </w:tc>
        <w:tc>
          <w:tcPr>
            <w:tcW w:w="14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5.8 years</w:t>
            </w:r>
          </w:p>
        </w:tc>
        <w:tc>
          <w:tcPr>
            <w:tcW w:w="14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6.1 years</w:t>
            </w: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5.8 years</w:t>
            </w:r>
          </w:p>
        </w:tc>
      </w:tr>
    </w:tbl>
    <w:p>
      <w:pPr>
        <w:spacing w:after="0" w:line="17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Company uses historical volatility as it provides a reasonable estimate of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volatility is based on the most recent volatility of the stock price over a period of time equivalent to the expected term of the option.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U.S. treasury zero-coupon yield curve in effect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for the expected term of the option.</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Company’s expected term represents the weighted-average period that the Company’s stock options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activities with respect to its stock option plans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Weighted-</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Average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Average</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Remaining</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Exercise</w:t>
            </w: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Contractual</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Price Per</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Term</w:t>
            </w:r>
          </w:p>
        </w:tc>
        <w:tc>
          <w:tcPr>
            <w:tcW w:w="14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Aggregate</w:t>
            </w:r>
          </w:p>
        </w:tc>
      </w:tr>
      <w:tr>
        <w:trPr>
          <w:trHeight w:val="234"/>
        </w:trPr>
        <w:tc>
          <w:tcPr>
            <w:tcW w:w="52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Options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Share</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(in years)</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Intrinsic Value</w:t>
            </w:r>
          </w:p>
        </w:tc>
      </w:tr>
      <w:tr>
        <w:trPr>
          <w:trHeight w:val="209"/>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663,148</w:t>
            </w:r>
          </w:p>
        </w:tc>
      </w:tr>
      <w:tr>
        <w:trPr>
          <w:trHeight w:val="216"/>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 01/01/22 - 03/31/22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 04/01/22 - 06/30/22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 07/01/22 - 09/30/22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Cancelled or forfeited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09"/>
        </w:trPr>
        <w:tc>
          <w:tcPr>
            <w:tcW w:w="5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533,680</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Vested and expected to vest in the future at September 30,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15,043</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528,586</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September 30,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10,287</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451,963</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three-months ended September 30, 2022 and 2021 was $31.94 per share and $26.90 per share, respectively. The weighted-average grant-date fair value of options granted during the nine-months ended September 30, 2022 and 2021 was $23.35 per share and $25.81 per share,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three-months ended September 30, 2022 and 2021 was $15.3 million and $14.0 million, respectively. The total intrinsic value of options exercised during the nine-months ended September 30, 2022 and 2021 was $38.2 million and $42.2 million,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received from option exercises under all plans for the three-months ended September 30, 2022 and 2021 was $12.1 million and $12.7 million, respectively. Cash received from option exercises under all plans for the nine-months ended September 30, 2022 and 2021 was $34.8 million and $37.2 million,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2022, there was $77.5 million of total unrecognized compensation expense related to non-vested options granted to employees under the Company’s stock-based compensation plans. That cost is expected to be recognized over a weighted-average period of 2.9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 and Performance Share Units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activities with respect to non-vested restricted stock units and performance share units as follows: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59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59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(in</w:t>
            </w:r>
          </w:p>
        </w:tc>
        <w:tc>
          <w:tcPr>
            <w:tcW w:w="18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Grant-Date</w:t>
            </w:r>
          </w:p>
        </w:tc>
      </w:tr>
      <w:tr>
        <w:trPr>
          <w:trHeight w:val="234"/>
        </w:trPr>
        <w:tc>
          <w:tcPr>
            <w:tcW w:w="59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w:t>
            </w:r>
          </w:p>
        </w:tc>
      </w:tr>
      <w:tr>
        <w:trPr>
          <w:trHeight w:val="216"/>
        </w:trPr>
        <w:tc>
          <w:tcPr>
            <w:tcW w:w="594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Granted 01/01/22 - 03/31/22</w:t>
            </w:r>
            <w:r>
              <w:rPr>
                <w:rFonts w:ascii="Times New Roman" w:cs="Times New Roman" w:eastAsia="Times New Roman" w:hAnsi="Times New Roman"/>
                <w:sz w:val="25"/>
                <w:szCs w:val="25"/>
                <w:color w:val="auto"/>
                <w:vertAlign w:val="superscript"/>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w:t>
            </w:r>
          </w:p>
        </w:tc>
      </w:tr>
      <w:tr>
        <w:trPr>
          <w:trHeight w:val="216"/>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 04/01/22 - 06/30/22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w:t>
            </w: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 07/01/22 - 09/30/22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95.17</w:t>
            </w:r>
          </w:p>
        </w:tc>
      </w:tr>
      <w:tr>
        <w:trPr>
          <w:trHeight w:val="216"/>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w:t>
            </w:r>
          </w:p>
        </w:tc>
      </w:tr>
      <w:tr>
        <w:trPr>
          <w:trHeight w:val="216"/>
        </w:trPr>
        <w:tc>
          <w:tcPr>
            <w:tcW w:w="5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Forfeited/cancelled</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68.77</w:t>
            </w:r>
          </w:p>
        </w:tc>
      </w:tr>
      <w:tr>
        <w:trPr>
          <w:trHeight w:val="209"/>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September 30, 2022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72.52</w:t>
            </w:r>
          </w:p>
        </w:tc>
      </w:tr>
      <w:tr>
        <w:trPr>
          <w:trHeight w:val="20"/>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The grant activity for performance share units is recorded based on the target performance level earning 100% of target performance share units. The actual number of performance share units earned could range from 0% to 200% of target depending on the achievement of pre-established performance goals.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restricted stock units and/or performance share units granted during the three-months ended September 30, 2022 and 2021 was $95.17 and $89.84 per share, respectively. The weighted-average grant-date fair value of restricted stock units and/or performance share units granted during the nine-months ended September 30, 2022 and 2021 was $74.23 and $89.12 per share, respectively.</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1.0 million of restricted stock units and performance share units are expected to vest over their respective terms.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2022, total unrecognized compensation expense relating to non-vested restricted stock units and performance share units was $43.8 million, which is expected to be recognized over a weighted-average period of 1.9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Share-Based Awards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September 30, 2022, other share-based awards outstanding included grants that vest over three years payable in the first quarters of 2023, 2024 and 2025.</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September 30, 2022, there was $0.2 million of total unrecognized compensation expense related to nonvested other share-based awards granted to employees under the Company’s stock-based compensation plans. That cost is expected to be recognized over a weighted-average period of 0.3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roll-forward of the Company’s total gross unrecognized tax benefits, not including interest and penalties, for the nine-months ended September 30, 2022:</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Unrecognized</w:t>
            </w:r>
          </w:p>
        </w:tc>
      </w:tr>
      <w:tr>
        <w:trPr>
          <w:trHeight w:val="234"/>
        </w:trPr>
        <w:tc>
          <w:tcPr>
            <w:tcW w:w="64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Tax Benefits</w:t>
            </w:r>
          </w:p>
        </w:tc>
      </w:tr>
      <w:tr>
        <w:trPr>
          <w:trHeight w:val="20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prior years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16"/>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Increases for tax positions related to the prior years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in the provision for income taxes in the Company’s condensed consolidated financial statements. As of September 30, 2022, the Company had approximately $0.4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U.S. federal income tax as well as to income tax in multiple state and foreign jurisdictions.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in various stages of examination with certain states and certain foreign jurisdictions. The Company’s 2018 through 2021 U.S. federal income tax returns are subject to examination by the IRS. The Company’s state income tax returns are subject to examination for the 2017 through 2021 tax years.</w:t>
      </w:r>
    </w:p>
    <w:p>
      <w:pPr>
        <w:spacing w:after="0" w:line="176"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weighted-average shares used in the basic and diluted earnings per common share computations is presented below (in thousands):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Three-Months Ended</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Nine-Months Ended</w:t>
            </w:r>
          </w:p>
        </w:tc>
      </w:tr>
      <w:tr>
        <w:trPr>
          <w:trHeight w:val="234"/>
        </w:trPr>
        <w:tc>
          <w:tcPr>
            <w:tcW w:w="4600" w:type="dxa"/>
            <w:vAlign w:val="bottom"/>
          </w:tcPr>
          <w:p>
            <w:pPr>
              <w:spacing w:after="0"/>
              <w:rPr>
                <w:sz w:val="20"/>
                <w:szCs w:val="20"/>
                <w:color w:val="auto"/>
              </w:rPr>
            </w:pPr>
          </w:p>
        </w:tc>
        <w:tc>
          <w:tcPr>
            <w:tcW w:w="17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September 30,</w:t>
            </w:r>
          </w:p>
        </w:tc>
        <w:tc>
          <w:tcPr>
            <w:tcW w:w="15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09"/>
        </w:trPr>
        <w:tc>
          <w:tcPr>
            <w:tcW w:w="46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526,797</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528,997</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528,263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528,618</w:t>
            </w:r>
          </w:p>
        </w:tc>
      </w:tr>
      <w:tr>
        <w:trPr>
          <w:trHeight w:val="216"/>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w:t>
            </w:r>
          </w:p>
        </w:tc>
      </w:tr>
      <w:tr>
        <w:trPr>
          <w:trHeight w:val="210"/>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533,300</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535,915</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534,599</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535,554</w:t>
            </w:r>
          </w:p>
        </w:tc>
      </w:tr>
      <w:tr>
        <w:trPr>
          <w:trHeight w:val="20"/>
        </w:trPr>
        <w:tc>
          <w:tcPr>
            <w:tcW w:w="4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three-months ended September 30, 2022 and 2021, options and awards outstanding totaling 3.5 million shares and 1.0 million shares, respectively, were excluded from the calculations as their effect would have been antidilutive. For the nine-months ended September 30, 2022 and 2021, options and awards outstanding totaling 2.9 million shares and 0.8 million shares, respectively, were excluded from the calculations as their effect would have been antidilutive.</w:t>
      </w:r>
    </w:p>
    <w:p>
      <w:pPr>
        <w:spacing w:after="0" w:line="180"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four operating and reportable segments: (i) Monster Energy® Drinks segment, which is primarily comprised of the Company’s Monster Energy® drinks, Reign Total Body Fuel® high performance energy drinks and True North® Pure Energy Seltzers, (ii) Strategic Brands segment, which is primarily comprised of the various energy drink brands acquired from TCCC in 2015 as well as the Company’s affordable energy brands, (iii) Alcohol Brands segment, which is primarily comprised of the various craft beers and hard seltzers purchased as part of the CANarchy Transaction on February 17, 2022 and (iv) Other segment, which is comprised of the AFF Third-Party Products.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chains, drug stores, foodservice customers, value stores, e-commerce retailers and the military.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Generally, the Monster Energy® Drinks segment generates higher per case net operating revenues, but lower per case gross profit margin percentages than the Strategic Brands segment.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Alcohol Brands segment primarily generates operating revenues by selling kegged and canned beer as well as hard seltzers primarily to distributors in the United States.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Generally, the Alcohol Brands segment will have lower gross profit margin percentages than the Monster Energy® Drinks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net revenues derived from the Company’s reportable segments and other financial information related thereto for the three-and nine-months ended September 30, 2022 and 2021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Three-Months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color w:val="auto"/>
                <w:w w:val="99"/>
              </w:rPr>
              <w:t>Nine-Months Ended</w:t>
            </w:r>
          </w:p>
        </w:tc>
      </w:tr>
      <w:tr>
        <w:trPr>
          <w:trHeight w:val="234"/>
        </w:trPr>
        <w:tc>
          <w:tcPr>
            <w:tcW w:w="3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10"/>
        </w:trPr>
        <w:tc>
          <w:tcPr>
            <w:tcW w:w="34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1,502,219</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1,329,793</w:t>
            </w:r>
          </w:p>
        </w:tc>
        <w:tc>
          <w:tcPr>
            <w:tcW w:w="10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4,444,755</w:t>
            </w:r>
          </w:p>
        </w:tc>
        <w:tc>
          <w:tcPr>
            <w:tcW w:w="100" w:type="dxa"/>
            <w:vAlign w:val="bottom"/>
          </w:tcPr>
          <w:p>
            <w:pPr>
              <w:spacing w:after="0"/>
              <w:rPr>
                <w:sz w:val="18"/>
                <w:szCs w:val="18"/>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3,867,162</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229,193</w:t>
            </w:r>
          </w:p>
        </w:tc>
      </w:tr>
      <w:tr>
        <w:trPr>
          <w:trHeight w:val="216"/>
        </w:trPr>
        <w:tc>
          <w:tcPr>
            <w:tcW w:w="3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w:t>
            </w:r>
          </w:p>
        </w:tc>
      </w:t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1,624,286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1,410,557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4,798,119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4,116,308</w:t>
            </w:r>
          </w:p>
        </w:tc>
      </w:tr>
      <w:tr>
        <w:trPr>
          <w:trHeight w:val="20"/>
        </w:trPr>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r>
      <w:tr>
        <w:trPr>
          <w:trHeight w:val="408"/>
        </w:trPr>
        <w:tc>
          <w:tcPr>
            <w:tcW w:w="3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Three-Months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color w:val="auto"/>
                <w:w w:val="99"/>
              </w:rPr>
              <w:t>Nine-Months Ended</w:t>
            </w:r>
          </w:p>
        </w:tc>
      </w:tr>
      <w:tr>
        <w:trPr>
          <w:trHeight w:val="234"/>
        </w:trPr>
        <w:tc>
          <w:tcPr>
            <w:tcW w:w="3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09"/>
        </w:trPr>
        <w:tc>
          <w:tcPr>
            <w:tcW w:w="34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492,534</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500,641</w:t>
            </w:r>
          </w:p>
        </w:tc>
        <w:tc>
          <w:tcPr>
            <w:tcW w:w="10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1,388,815</w:t>
            </w:r>
          </w:p>
        </w:tc>
        <w:tc>
          <w:tcPr>
            <w:tcW w:w="100" w:type="dxa"/>
            <w:vAlign w:val="bottom"/>
          </w:tcPr>
          <w:p>
            <w:pPr>
              <w:spacing w:after="0"/>
              <w:rPr>
                <w:sz w:val="18"/>
                <w:szCs w:val="18"/>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1,512,633</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139,398</w:t>
            </w:r>
          </w:p>
        </w:tc>
      </w:tr>
      <w:tr>
        <w:trPr>
          <w:trHeight w:val="216"/>
        </w:trPr>
        <w:tc>
          <w:tcPr>
            <w:tcW w:w="3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(10,262)</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w:t>
            </w:r>
          </w:p>
        </w:tc>
      </w:t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(112,601)</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(97,507)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(327,688)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(272,710)</w:t>
            </w:r>
          </w:p>
        </w:tc>
      </w:tr>
      <w:tr>
        <w:trPr>
          <w:trHeight w:val="210"/>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417,930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444,464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1,190,369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1,384,587</w:t>
            </w:r>
          </w:p>
        </w:tc>
      </w:tr>
      <w:tr>
        <w:trPr>
          <w:trHeight w:val="20"/>
        </w:trPr>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r>
      <w:tr>
        <w:trPr>
          <w:trHeight w:val="408"/>
        </w:trPr>
        <w:tc>
          <w:tcPr>
            <w:tcW w:w="3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color w:val="auto"/>
              </w:rPr>
              <w:t>Three-Months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jc w:val="center"/>
              <w:ind w:right="150"/>
              <w:spacing w:after="0"/>
              <w:rPr>
                <w:sz w:val="20"/>
                <w:szCs w:val="20"/>
                <w:color w:val="auto"/>
              </w:rPr>
            </w:pPr>
            <w:r>
              <w:rPr>
                <w:rFonts w:ascii="Times New Roman" w:cs="Times New Roman" w:eastAsia="Times New Roman" w:hAnsi="Times New Roman"/>
                <w:sz w:val="18"/>
                <w:szCs w:val="18"/>
                <w:color w:val="auto"/>
                <w:w w:val="99"/>
              </w:rPr>
              <w:t>Nine-Months Ended</w:t>
            </w:r>
          </w:p>
        </w:tc>
      </w:tr>
      <w:tr>
        <w:trPr>
          <w:trHeight w:val="234"/>
        </w:trPr>
        <w:tc>
          <w:tcPr>
            <w:tcW w:w="3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color w:val="auto"/>
              </w:rPr>
              <w:t>September 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center"/>
              <w:ind w:right="170"/>
              <w:spacing w:after="0"/>
              <w:rPr>
                <w:sz w:val="20"/>
                <w:szCs w:val="20"/>
                <w:color w:val="auto"/>
              </w:rPr>
            </w:pPr>
            <w:r>
              <w:rPr>
                <w:rFonts w:ascii="Times New Roman" w:cs="Times New Roman" w:eastAsia="Times New Roman" w:hAnsi="Times New Roman"/>
                <w:sz w:val="18"/>
                <w:szCs w:val="18"/>
                <w:color w:val="auto"/>
                <w:w w:val="99"/>
              </w:rPr>
              <w:t>September 30,</w:t>
            </w:r>
          </w:p>
        </w:tc>
      </w:tr>
      <w:tr>
        <w:trPr>
          <w:trHeight w:val="210"/>
        </w:trPr>
        <w:tc>
          <w:tcPr>
            <w:tcW w:w="34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493,486</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500,929</w:t>
            </w:r>
          </w:p>
        </w:tc>
        <w:tc>
          <w:tcPr>
            <w:tcW w:w="10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1,391,026</w:t>
            </w:r>
          </w:p>
        </w:tc>
        <w:tc>
          <w:tcPr>
            <w:tcW w:w="100" w:type="dxa"/>
            <w:vAlign w:val="bottom"/>
          </w:tcPr>
          <w:p>
            <w:pPr>
              <w:spacing w:after="0"/>
              <w:rPr>
                <w:sz w:val="18"/>
                <w:szCs w:val="18"/>
                <w:color w:val="auto"/>
              </w:rPr>
            </w:pP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1,513,421</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139,419</w:t>
            </w:r>
          </w:p>
        </w:tc>
      </w:tr>
      <w:tr>
        <w:trPr>
          <w:trHeight w:val="216"/>
        </w:trPr>
        <w:tc>
          <w:tcPr>
            <w:tcW w:w="3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(10,124)</w:t>
            </w: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w:t>
            </w:r>
          </w:p>
        </w:tc>
      </w:t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(111,579)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(342,190)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(275,696)</w:t>
            </w:r>
          </w:p>
        </w:tc>
      </w:tr>
      <w:tr>
        <w:trPr>
          <w:trHeight w:val="209"/>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420,079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1,178,437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1,382,408</w:t>
            </w:r>
          </w:p>
        </w:tc>
      </w:tr>
      <w:tr>
        <w:trPr>
          <w:trHeight w:val="20"/>
        </w:trPr>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40" w:hanging="332"/>
        <w:spacing w:after="0" w:line="234" w:lineRule="auto"/>
        <w:tabs>
          <w:tab w:leader="none" w:pos="3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$10.0 million and $10.4 million for the three-months ended September 30, 2022 and 2021, respectively, related to the recognition of deferred revenue. Includes $30.0 million and $31.3 million for the nine-months ended September 30, 2022 and 2021, respectively, related to the recognition of deferred revenue.</w:t>
      </w:r>
    </w:p>
    <w:p>
      <w:pPr>
        <w:spacing w:after="0" w:line="1" w:lineRule="exact"/>
        <w:rPr>
          <w:rFonts w:ascii="Times New Roman" w:cs="Times New Roman" w:eastAsia="Times New Roman" w:hAnsi="Times New Roman"/>
          <w:sz w:val="14"/>
          <w:szCs w:val="14"/>
          <w:i w:val="1"/>
          <w:iCs w:val="1"/>
          <w:color w:val="auto"/>
        </w:rPr>
      </w:pPr>
    </w:p>
    <w:p>
      <w:pPr>
        <w:ind w:left="340" w:hanging="332"/>
        <w:spacing w:after="0"/>
        <w:tabs>
          <w:tab w:leader="none" w:pos="3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Nine-Months ended September 30, 2022 - effectively from February 17, 2022 to September 30,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Three-Months Ended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color w:val="auto"/>
              </w:rPr>
              <w:t>Nine-Months Ended</w:t>
            </w:r>
          </w:p>
        </w:tc>
      </w:tr>
      <w:tr>
        <w:trPr>
          <w:trHeight w:val="234"/>
        </w:trPr>
        <w:tc>
          <w:tcPr>
            <w:tcW w:w="3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35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Monster Energy® Drinks</w:t>
            </w:r>
          </w:p>
        </w:tc>
        <w:tc>
          <w:tcPr>
            <w:tcW w:w="1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24,035</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26,315</w:t>
            </w:r>
          </w:p>
        </w:tc>
      </w:tr>
      <w:tr>
        <w:trPr>
          <w:trHeight w:val="216"/>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Alcohol Brands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3,373</w:t>
            </w:r>
          </w:p>
        </w:tc>
      </w:tr>
      <w:tr>
        <w:trPr>
          <w:trHeight w:val="216"/>
        </w:trPr>
        <w:tc>
          <w:tcPr>
            <w:tcW w:w="3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7,334</w:t>
            </w:r>
          </w:p>
        </w:tc>
      </w:tr>
      <w:tr>
        <w:trPr>
          <w:trHeight w:val="209"/>
        </w:trPr>
        <w:tc>
          <w:tcPr>
            <w:tcW w:w="35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12,356</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46,040</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37,854</w:t>
            </w:r>
          </w:p>
        </w:tc>
      </w:tr>
      <w:tr>
        <w:trPr>
          <w:trHeight w:val="20"/>
        </w:trPr>
        <w:tc>
          <w:tcPr>
            <w:tcW w:w="3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Corporate and unallocated expenses for the three-months ended September 30, 2022 include $69.4 million of payroll costs, of which $16.2 million was attributable to stock-based compensation expenses (see Note 15 “Stock-Based Compensation”), as well as $26.0 million attributable to professional service expenses, including accounting and legal costs, and $17.2 million of other operating expenses.</w:t>
      </w:r>
    </w:p>
    <w:p>
      <w:pPr>
        <w:spacing w:after="0" w:line="4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Corporate and unallocated expenses for the three-months ended September 30, 2021 include $63.4 million of payroll costs, of which $16.7 million was attributable to stock-based compensation expenses (see Note 15 “Stock-Based Compensation”), as well as $19.3 million attributable to professional service expenses, including accounting and legal costs, and $14.8 million of other operating expenses.</w:t>
      </w:r>
    </w:p>
    <w:p>
      <w:pPr>
        <w:spacing w:after="0" w:line="40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Corporate and unallocated expenses for the nine-months ended September 30, 2022 include $207.6 million of payroll costs, of which $48.5 million was attributable to stock-based compensation expenses (see Note 15 “Stock-Based Compensation”), as well as $69.3 million attributable to professional service expenses, including accounting and legal costs, and $50.8 million of other operating expenses.</w:t>
      </w:r>
    </w:p>
    <w:p>
      <w:pPr>
        <w:spacing w:after="0" w:line="40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Corporate and unallocated expenses for the nine-months ended September 30, 2021 include $189.7 million of payroll costs, of which $52.2 million was attributable to stock-based compensation expenses (see Note 15 “Stock-Based Compensation”), as well as $60.6 million attributable to professional service expenses, including accounting and legal costs, and $22.4 million of other operating expenses. Corporate and unallocated expenses for the nine-months ended September 30, 2021, were partially offset by $16.9 million due to the reversal of amounts previously accrued in connection with an intellectual property claim.</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Europacific Partners (formerly Coca-Cola European Partners) accounted for approximately 12% of the Company’s net sales for both the three-months ended September 30, 2022 and 2021. Coca-Cola Europacific Partners accounted for approximately 13% and 12% of the Company’s net sales for the nine-months ended September 30, 2022 and 2021,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Consolidated, Inc. accounted for approximately 11% of the Company’s net sales for both the three-months ended September 30, 2022 and 2021. Coca-Cola Consolidated, Inc. accounted for approximately 10% and 11% of the Company’s net sales for the nine-months ended September 30, 2022 and 2021,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Reyes Coca-Cola Bottling, LLC accounted for approximately 10% of the Company’s net sales for both the three-months ended September 30, 2022 and 2021. Reyes Coca-Cola Bottling, LLC accounted for approximately 10% of the Company’s net sales for both the nine-months ended September 30, 2022 and 2021.</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sales to customers outside the United States amounted to $610.6 million and $527.4 million for the three-months ended September 30, 2022 and 2021, respectively. Such sales were approximately 38% and 37% of net sales for the three-months ended September 30, 2022 and 2021, respectively. Net sales to customers outside the United States amounted to $1.81 billion and $1.53 billion for the nine-months ended September 30, 2022 and 2021, respectively. Such sales were approximately 38% and 37% of net sales for the nine-months ended September 30, 2022 and 2021, respectively.</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Goodwill and other intangible assets for the Company’s reportable segments as of September 30, 2022 and December 31, 2021 are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December 31,</w:t>
            </w:r>
          </w:p>
        </w:tc>
      </w:tr>
      <w:tr>
        <w:trPr>
          <w:trHeight w:val="234"/>
        </w:trPr>
        <w:tc>
          <w:tcPr>
            <w:tcW w:w="4120" w:type="dxa"/>
            <w:vAlign w:val="bottom"/>
            <w:tcBorders>
              <w:bottom w:val="single" w:sz="8" w:color="CCEEFF"/>
            </w:tcBorders>
          </w:tcPr>
          <w:p>
            <w:pPr>
              <w:spacing w:after="0"/>
              <w:rPr>
                <w:sz w:val="20"/>
                <w:szCs w:val="20"/>
                <w:color w:val="auto"/>
              </w:rPr>
            </w:pPr>
          </w:p>
        </w:tc>
        <w:tc>
          <w:tcPr>
            <w:tcW w:w="1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16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1,424,667</w:t>
            </w:r>
          </w:p>
        </w:tc>
        <w:tc>
          <w:tcPr>
            <w:tcW w:w="3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1,420,503</w:t>
            </w:r>
          </w:p>
        </w:tc>
      </w:tr>
      <w:tr>
        <w:trPr>
          <w:trHeight w:val="216"/>
        </w:trPr>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977,851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978,032</w:t>
            </w:r>
          </w:p>
        </w:tc>
      </w:tr>
      <w:tr>
        <w:trPr>
          <w:trHeight w:val="216"/>
        </w:trPr>
        <w:tc>
          <w:tcPr>
            <w:tcW w:w="4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Alcohol Brands</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16"/>
        </w:trPr>
        <w:tc>
          <w:tcPr>
            <w:tcW w:w="4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4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2,638,767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2,404,029</w:t>
            </w:r>
          </w:p>
        </w:tc>
      </w:tr>
      <w:tr>
        <w:trPr>
          <w:trHeight w:val="20"/>
        </w:trPr>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TCCC controls approximately 19.6% of the voting interests of the Company. The TCCC Subsidiaries, the TCCC Related Parties and certain TCCC independent bottlers/distributors purchase and distribute the Company’s products in domestic and certain international markets. The Company also pays TCCC a commission based on certain sales within the TCCC distribution network.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TCCC commissions, based on sales to the TCCC Subsidiaries and the TCCC Related Parties, were $12.8 million and $23.6 million for the three-months ended September 30, 2022 and 2021, respectively, and are included as a reduction to net sales. TCCC commissions, based on sales to the TCCC Subsidiaries and the TCCC Related Parties, were $41.3 million and $59.9 million for the nine-months ended September 30, 2022 and 2021, respectively, and are included as a reduction to net sales.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TCCC commissions, based on sales to TCCC independent bottlers/distributors, were $5.5 million and $9.1 million for the three-months ended September 30, 2022 and 2021, respectively, and are included in operating expenses. TCCC commissions, based on sales to TCCC independent bottlers/distributors, were $24.4 million and $22.6 million for the nine-months ended September 30, 2022 and 2021, respectively, and are included in operating expenses.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to the TCCC Subsidiaries for the three-months ended September 30, 2022 and 2021 were $36.6 million and $30.3 million, respectively. Net sales to the TCCC Subsidiaries for the nine-months ended September 30, 2022 and 2021 were $95.0 million and $84.4 million, respectively.</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also purchases concentrates from TCCC which are then sold to certain of the Company’s bottlers/distributors. Concentrate purchases from TCCC were $6.5 million and $7.1 million for the three-months ended September 30, 2022 and 2021, respectively. Concentrate purchases from TCCC were $21.5 million and $21.3 million for the nine-months ended September 30, 2022 and 2021, respectively.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TCCC Subsidiaries also contract manufacture certain of the Company’s energy drinks. Such contract manufacturing expenses were $9.1 million and $6.8 million for the three-months ended September 30, 2022 and 2021, respectively. Such contract manufacturing expenses were $23.1 million and $20.8 million for the nine-months ended September 30, 2022 and 2021, respectively.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accounts payable, accrued promotional allowances and accrued liabilities related to the TCCC Subsidiaries are as follows at:</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2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2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398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94,647</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8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(37,613)</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(35,248)</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promotional allowances</w:t>
            </w:r>
          </w:p>
        </w:tc>
        <w:tc>
          <w:tcPr>
            <w:tcW w:w="184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8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(40,117)</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(26,616)</w:t>
            </w:r>
          </w:p>
        </w:tc>
      </w:tr>
    </w:tbl>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2021, TCCC exercised its contract rights for a third-party public accounting firm to conduct an examination relating to commissions and fees payable to TCCC and marketing contributions payable to the Company, for the years ended December 31, 2015 through December 31, 2020. During the three-months ended September 30, 2022, the Company was informed by TCCC that there would be no material adjustments as a result of this examination.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One director of the Company through certain trusts, and a family member of one director are the principal owners of a company that provides promotional materials to the Company. Expenses incurred with such company in connection with promotional materials purchased during the three-months ended September 30, 2022 and 2021 were $1.3 million and $1.0 million, respectively. Expenses incurred with such company in connection with promotional materials purchased during the nine-months ended September 30, 2022 and 2021 were $4.7 million and $2.7 million,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nine-months ended September 30, 2022, the Company occasionally chartered a private aircraft that is indirectly owned by Mr. Rodney C. Sacks, Co-Chief Executive Officer and Chairman of the Board of Directors. On certain occasions, Mr. Sacks was accompanied by guests and other Company personnel when using such aircraft for business travel. During the nine-months ended September 30, 2022, the Company incurred costs of $0.08 million, amounts the Company believes are commensurate with market rates for comparable travel. No amounts were incurred by the Company during the three-months ended September 30, 2022.</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2018, the Company and a director of the Company entered into a 50-50 partnership that purchased land, and real property thereon, in Kona, Hawaii for the purpose of producing coffee products. This partnership meets the definition of a Variable Interest Entity (“VIE”) for which the Company has determined that it is the primary beneficiary. Therefore, the Company consolidates the VIE in the accompanying condensed consolidated financial statements. The aggregate carrying values of the VIE’s assets and liabilities, after elimination of any intercompany transactions and balances, as well as the results of operations for all periods presented, are not material to the Company’s condensed consolidated financial statements.</w:t>
      </w:r>
    </w:p>
    <w:p>
      <w:pPr>
        <w:spacing w:after="0" w:line="187" w:lineRule="exact"/>
        <w:rPr>
          <w:sz w:val="20"/>
          <w:szCs w:val="20"/>
          <w:color w:val="auto"/>
        </w:rPr>
      </w:pPr>
    </w:p>
    <w:p>
      <w:pPr>
        <w:ind w:left="660" w:hanging="652"/>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EVENTS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 2022, the Company’s Board of Directors authorized a new share repurchase program for the purchase of up to an additional $500.0 million of the Company’s outstanding common stock. As a result, the aggregate amount available to repurchase the Company’s common stock as of November 4, 2022 is $682.8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and to a lesser extent, craft beers and hard seltzers.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CANarchy Acquisition</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On February 17, 2022, we completed our acquisition of CANarchy Craft Brewery Collective LLC (“CANarchy”), a craft beer and hard seltzer company, for $330.4 million in cash, subject to adjustments. The transaction facilitates our entry into the alcohol beverage sector and brings the Cigar City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family of brands including Jai Alai® IPA and Florida Man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IPA, the Oskar Blues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family of brands including Dale’s Pale Ale® and Wild Basin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Hard Seltzers, the Deep Ellum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family of brands including Dallas Blonde® and Deep Ellum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IPA, the Perrin Brewing</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family of brands including Black Ale, the Squatters® family of brands including Hop Rising® Double IPA and Juicy IPA, the Wasatch® family of brands including Apricot Hefeweizen to our beverage portfolio. The transaction did not include CANarchy’s stand-alone restaurants. Our organizational structure for our existing energy beverage business remains unchanged. CANarchy is functioning independently, retaining its own organizational structure and team.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Russia-Ukraine Conflict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third quarter of fiscal 2022, the Russia-Ukraine conflict did not have a material impact on our financial position, results of operations and liquidity. Net sales in Russia and Ukraine combined were approximately 1.1% of our total net sales for the twelve months ended December 31, 2021. We will continue to monitor future developments relative to this conflict and its potential impacts.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 – 19 Pandemic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COVID-19 pandemic has directly and indirectly impacted our business. The duration and severity of this impact will depend on future developments that are highly uncertain and cannot be accurately predicted, including new information regarding the COVID-19 pandemic, as well as the emergence of new variants, the actions taken to limit its spread and the economic impact on local, regional, national and international markets. See “Part I, Item 1A – Risk Factors” in our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Pricing 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third quarter of 2022, we continued to implement measures to mitigate our increased product and distribution costs through pricing increases and reductions in promotions (“Pricing Actions”). We implemented a price increase effective September 1, 2022 in the United States and continued to implement price increases in certain international markets where feasible, all of which positively impacted gross profit margins in the third quarter of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Supply Chain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the beginning of the COVID-19 pandemic and the subsequent increased demand for our energy drinks, we prioritized ensuring product availability for our customers and consumers. This strategic direction has remained in place throughout the global supply chain challenges and disruptions, despite adversely impacting our profitability. We continue to stand by our strategy to ensure product availability and solidify the continued long-term growth of our brands.</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the third quarter of 2022, we experienced a significant increase in cost of sales, resulting in a material decrease in both gross profit and gross profit as a percentage of net sales, relative to the comparative 2021 third quarter. The increase in cost of sales was primarily due to (i) increased ingredient and other input costs, including secondary packaging materials and increased co-packing fees,</w:t>
      </w:r>
    </w:p>
    <w:p>
      <w:pPr>
        <w:spacing w:after="0" w:line="1" w:lineRule="exact"/>
        <w:rPr>
          <w:sz w:val="20"/>
          <w:szCs w:val="20"/>
          <w:color w:val="auto"/>
        </w:rPr>
      </w:pPr>
    </w:p>
    <w:p>
      <w:pPr>
        <w:jc w:val="both"/>
        <w:ind w:right="20" w:firstLine="8"/>
        <w:spacing w:after="0" w:line="255" w:lineRule="auto"/>
        <w:tabs>
          <w:tab w:leader="none" w:pos="31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logistical costs, (iii) increased aluminum can costs and (iv) geographical and product sales mix. Furthermore, we experienced significant increases in distribution expenses, primarily the result of increased warehousing expenses, as well as increases in other logistical expenses, which adversely impacted operating costs.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in the third quarter of 2022 we began to see an improvement in our gross profit margins as compared to the second quarter of 2022. This improvement was primarily attributable to (i) Pricing Actions, (ii) our decreased reliance on imported cans and (iii) improved finished product inventory levels in closer proximity to our customers, resulting in a reduction of long-distance freight costs.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continue to address the controllable challenges in our supply chain.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filing, we expect to maintain sufficient liquidity as we manage through the current environment as described in the “Liquidity and Capital Resources” section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develop, market, sell and distribute energy drink beverages and concentrates for energy drink beverages, primarily under the following brand names: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Energy®</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NOS®</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Energy Ultra®</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Full Throttle®</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Rehab®</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Burn®</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Energy® Nitro</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Mother®</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Java Monster®</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Nalu®</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Muscle Monster®</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Ultra Energy®</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Espresso Monster®</w:t>
            </w:r>
          </w:p>
        </w:tc>
        <w:tc>
          <w:tcPr>
            <w:tcW w:w="3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Play® and Power Play® (stylized)</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Punch Monster®</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Relentless®</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Juice Monster®</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BPM®</w:t>
            </w: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Monster Hydro® Energy Water</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w:t>
            </w: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Monster Hydro® Super Sport</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Gladiator®</w:t>
            </w: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Monster HydroSport Super Fuel®</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Samurai®</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Super Fuel®</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Live+®</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Dragon Tea®</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Predator®</w:t>
            </w:r>
          </w:p>
        </w:tc>
      </w:tr>
      <w:tr>
        <w:trPr>
          <w:trHeight w:val="21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Reign Total Body Fuel®</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Fury®</w:t>
            </w:r>
          </w:p>
        </w:tc>
      </w:tr>
      <w:tr>
        <w:trPr>
          <w:trHeight w:val="234"/>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Reign Inferno® Thermogenic Fuel</w:t>
            </w:r>
          </w:p>
        </w:tc>
        <w:tc>
          <w:tcPr>
            <w:tcW w:w="8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True North®</w:t>
            </w:r>
          </w:p>
        </w:tc>
      </w:tr>
    </w:tbl>
    <w:p>
      <w:pPr>
        <w:spacing w:after="0" w:line="19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We also develop, market, sell and distribute craft beers and hard seltzers under a number of brands, including Jai Alai® IPA, Florida Man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IPA, Dale’s Pale Ale®, Wild Basin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Hard Seltzers, Dallas Blonde®, Deep Ellum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IPA, Perrin Brewing</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Black Ale, Hop Rising® Double IPA, Juicy IPA, Wasatch® Apricot Hefeweizen and a host of other brands.</w:t>
      </w:r>
    </w:p>
    <w:p>
      <w:pPr>
        <w:spacing w:after="0" w:line="1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four operating and reportable segments: (i) Monster Energy® Drinks segment (“Monster Energy® Drinks”), which is primarily comprised of the Company’s Monster Energy® drinks, Reign Total Body Fuel® high performance energy drinks and True North® Pure Energy Seltzers, (ii) Strategic Brands segment (“Strategic Brands”), which is primarily comprised of the various energy drink brands acquired from The Coca-Cola Company (“TCCC”) in 2015 as well as the Company’s affordable energy brands, (iii) Alcohol Brands segment (“Alcohol Brands”), which is primarily comprised of the various craft beers and hard seltzers purchased as part of the CANarchy Transaction on February 17, 2022 and (iv) Other segment (“Other”), which is comprised of the AFF Third-Party Products.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three-months ended September 30, 2022, we continued to expand our existing energy drink portfolio by adding additional products to our portfolio in a number of countries and further developed our distribution markets. During the three-months ended September 30, 2022, we sold the following new product to our customers: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Monster® (stylized) Reserve Orange Dreamsicle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discontinue certain products and/or product lines. Those products or product lines discontinued in the three-months ended September 30, 2022, either individually or in aggregate, did not have a material adverse impact on our financial position, results of operations or liquidity.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net sales of $1.62 billion for the three-months ended September 30, 2022 represented record sales for our third fiscal quarter. Net changes in foreign currency exchange rates had an unfavorable impact on net sales of approximately $71.3 million for the three-months ended September 30, 2022.</w:t>
      </w:r>
    </w:p>
    <w:p>
      <w:pPr>
        <w:spacing w:after="0" w:line="176"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17"/>
          <w:szCs w:val="17"/>
          <w:color w:val="auto"/>
        </w:rPr>
        <w:t>The vast majority of our net sales are derived from our Monster Energy® Drinks segment. Net sales of our Monster Energy® Drinks segment were $1.50 billion for the three-months ended September 30, 2022. Net sales of our Strategic Brands segment were $88.8 million for the three-months ended September 30, 2022. Net sales of our Alcohol Brands segment were $26.8 million for the three-months ended September 30, 2022. Net sales of our Other segment were $6.4 million for the three-months ended September 30, 2022. Our Monster Energy® Drinks segment represented 92.5% and 94.3% of our net sales for the three-months ended September 30, 2022 and 2021, respectively. Our Strategic Brands segment represented 5.5% and 5.3% of our net sales for the three-months ended September 30, 2022 and 2021, respectively. Our Alcohol Segment represented 1.7% of our net sales for the three-months ended September 30, 2022. Our Other segment represented 0.3% and 0.4% of our net sales for the three-months ended September 30, 2022 and 2021, respectively.</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growth strategy includes further developing our domestic markets, expanding our international business and growing our business into new sectors, such as the alcohol beverage sector. Net sales to customers outside the United States were $610.6 million for the three-months ended September 30, 2022, an increase of approximately $83.2 million, or 15.8% higher than net sales to customers outside of the United States of $527.4 million for the three-months ended September 30, 2021. Such sales were approximately 38% and 37% of net sales for the three-months ended September 30, 2022 and 2021, respectively. Net changes in foreign currency exchange rates had an unfavorable impact on net sales to customers outside of the United States of approximately $71.3 million for the three-months ended September 30, 2022. Net sales to customers outside the United States, on a foreign currency adjusted basis, increased 29.3% for the three-months ended September 30, 2022. On February 17, 2022, the Company completed the CANarchy Transaction which facilitates the Company’s entry into the alcohol beverage sector.</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customers are primarily full service beverage bottlers/distributors, retail grocery and specialty chains, wholesalers, club stores, mass merchandisers, convenience chains, foodservice customers, value stores, e-commerce retailers and the military. Percentages of our gross billings to our various customer types for the three- and nine-months ended September 30, 2022 and 2021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80" w:type="dxa"/>
            <w:vAlign w:val="bottom"/>
          </w:tcPr>
          <w:p>
            <w:pPr>
              <w:spacing w:after="0"/>
              <w:rPr>
                <w:sz w:val="18"/>
                <w:szCs w:val="18"/>
                <w:color w:val="auto"/>
              </w:rPr>
            </w:pPr>
          </w:p>
        </w:tc>
        <w:tc>
          <w:tcPr>
            <w:tcW w:w="202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color w:val="auto"/>
              </w:rPr>
              <w:t>Three-Months Ended</w:t>
            </w:r>
          </w:p>
        </w:tc>
        <w:tc>
          <w:tcPr>
            <w:tcW w:w="202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Nine-Months Ended</w:t>
            </w:r>
          </w:p>
        </w:tc>
      </w:tr>
      <w:tr>
        <w:trPr>
          <w:trHeight w:val="234"/>
        </w:trPr>
        <w:tc>
          <w:tcPr>
            <w:tcW w:w="5880" w:type="dxa"/>
            <w:vAlign w:val="bottom"/>
          </w:tcPr>
          <w:p>
            <w:pPr>
              <w:spacing w:after="0"/>
              <w:rPr>
                <w:sz w:val="20"/>
                <w:szCs w:val="20"/>
                <w:color w:val="auto"/>
              </w:rPr>
            </w:pPr>
          </w:p>
        </w:tc>
        <w:tc>
          <w:tcPr>
            <w:tcW w:w="202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20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r>
      <w:tr>
        <w:trPr>
          <w:trHeight w:val="210"/>
        </w:trPr>
        <w:tc>
          <w:tcPr>
            <w:tcW w:w="588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full service bottlers/distributors</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full service bottlers/distributors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39 %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Club stores and e-commerce retailers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grocery, direct convenience, specialty chains and wholesalers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value stores and other</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0 %</w:t>
            </w: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customers include Coca-Cola Canada Bottling Limited, Coca-Cola Consolidated, Inc., Coca-Cola Bottling Company United, Inc., Reyes Coca-Cola Bottling, LLC, Coca-Cola Southwest Beverages LLC, The Coca-Cola Bottling Company of Northern New England, Inc., Swire Pacific Holdings, Inc. (USA), Liberty Coca-Cola Beverages, LLC, Coca-Cola Europacific Partners (formerly Coca-Cola European Partners and Coca-Cola Amatil), Coca-Cola Hellenic, Coca-Cola FEMSA, Swire Coca-Cola (China), COFCO Coca-Cola, Coca-Cola Beverages Africa, Coca-Cola İçecek and certain other TCCC network bottlers, Asahi Soft Drinks, Co., Ltd., Wal-Mart, Inc. (including Sam’s Club), Costco Wholesale Corporation and Amazon.com, Inc. A decision by any large customer to decrease amounts purchased from us or to cease carrying our products could have a material adverse effect on our financial condition and results of operations.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Europacific Partners (formerly Coca-Cola European Partners) accounted for approximately 12% of our net sales for both the three-months ended September 30, 2022 and 2021. Coca-Cola Europacific Partners accounted for approximately 13% and 12% of our net sales for the nine-months ended September 30, 2022 and 2021,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Consolidated, Inc. accounted for approximately 11% of our net sales for both the three-months ended September 30, 2022 and 2021. Coca-Cola Consolidated, Inc. accounted for approximately 10% and 11% of our net sales for the nine-months ended September 30, 2022 and 2021,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Reyes Coca-Cola Bottling, LLC accounted for approximately 10% of our net sales for both the three-months ended September 30, 2022 and 2021. Reyes Coca-Cola Bottling, LLC accounted for approximately 10% of our net sales for both the nine-months ended September 30, 2022 and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key statistics for the three- and nine-months ended September 30, 2022 and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6"/>
          </w:tcPr>
          <w:p>
            <w:pPr>
              <w:jc w:val="center"/>
              <w:ind w:right="210"/>
              <w:spacing w:after="0"/>
              <w:rPr>
                <w:sz w:val="20"/>
                <w:szCs w:val="20"/>
                <w:color w:val="auto"/>
              </w:rPr>
            </w:pPr>
            <w:r>
              <w:rPr>
                <w:rFonts w:ascii="Times New Roman" w:cs="Times New Roman" w:eastAsia="Times New Roman" w:hAnsi="Times New Roman"/>
                <w:sz w:val="18"/>
                <w:szCs w:val="18"/>
                <w:color w:val="auto"/>
                <w:w w:val="99"/>
              </w:rPr>
              <w:t>Three-Months Ended</w:t>
            </w:r>
          </w:p>
        </w:tc>
        <w:tc>
          <w:tcPr>
            <w:tcW w:w="10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Percentage</w:t>
            </w:r>
          </w:p>
        </w:tc>
        <w:tc>
          <w:tcPr>
            <w:tcW w:w="120" w:type="dxa"/>
            <w:vAlign w:val="bottom"/>
          </w:tcPr>
          <w:p>
            <w:pPr>
              <w:spacing w:after="0"/>
              <w:rPr>
                <w:sz w:val="18"/>
                <w:szCs w:val="18"/>
                <w:color w:val="auto"/>
              </w:rPr>
            </w:pPr>
          </w:p>
        </w:tc>
        <w:tc>
          <w:tcPr>
            <w:tcW w:w="2100" w:type="dxa"/>
            <w:vAlign w:val="bottom"/>
            <w:gridSpan w:val="5"/>
          </w:tcPr>
          <w:p>
            <w:pPr>
              <w:jc w:val="center"/>
              <w:ind w:right="230"/>
              <w:spacing w:after="0"/>
              <w:rPr>
                <w:sz w:val="20"/>
                <w:szCs w:val="20"/>
                <w:color w:val="auto"/>
              </w:rPr>
            </w:pPr>
            <w:r>
              <w:rPr>
                <w:rFonts w:ascii="Times New Roman" w:cs="Times New Roman" w:eastAsia="Times New Roman" w:hAnsi="Times New Roman"/>
                <w:sz w:val="18"/>
                <w:szCs w:val="18"/>
                <w:color w:val="auto"/>
                <w:w w:val="99"/>
              </w:rPr>
              <w:t>Nine-Months Ended</w:t>
            </w:r>
          </w:p>
        </w:tc>
        <w:tc>
          <w:tcPr>
            <w:tcW w:w="9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6"/>
          </w:tcPr>
          <w:p>
            <w:pPr>
              <w:jc w:val="center"/>
              <w:ind w:right="250"/>
              <w:spacing w:after="0"/>
              <w:rPr>
                <w:sz w:val="20"/>
                <w:szCs w:val="20"/>
                <w:color w:val="auto"/>
              </w:rPr>
            </w:pPr>
            <w:r>
              <w:rPr>
                <w:rFonts w:ascii="Times New Roman" w:cs="Times New Roman" w:eastAsia="Times New Roman" w:hAnsi="Times New Roman"/>
                <w:sz w:val="18"/>
                <w:szCs w:val="18"/>
                <w:color w:val="auto"/>
                <w:w w:val="99"/>
              </w:rPr>
              <w:t>September 30,</w:t>
            </w:r>
          </w:p>
        </w:tc>
        <w:tc>
          <w:tcPr>
            <w:tcW w:w="10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20"/>
                <w:szCs w:val="20"/>
                <w:color w:val="auto"/>
              </w:rPr>
            </w:pPr>
          </w:p>
        </w:tc>
        <w:tc>
          <w:tcPr>
            <w:tcW w:w="210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color w:val="auto"/>
                <w:w w:val="99"/>
              </w:rPr>
              <w:t>September 30,</w:t>
            </w:r>
          </w:p>
        </w:tc>
        <w:tc>
          <w:tcPr>
            <w:tcW w:w="9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 vs. 21</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 vs. 21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1,624,286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1,410,557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4,798,119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4,116,308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790,561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621,399</w:t>
            </w: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27.2 %</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2,407,867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1,775,375</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Gross profit*</w:t>
            </w:r>
            <w:r>
              <w:rPr>
                <w:rFonts w:ascii="Times New Roman" w:cs="Times New Roman" w:eastAsia="Times New Roman" w:hAnsi="Times New Roman"/>
                <w:sz w:val="24"/>
                <w:szCs w:val="24"/>
                <w:color w:val="auto"/>
                <w:vertAlign w:val="superscript"/>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833,725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789,158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2,390,252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2,340,933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percentage of net sales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55.9 %</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49.8 %</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56.9 %</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344,694</w:t>
            </w:r>
          </w:p>
        </w:tc>
        <w:tc>
          <w:tcPr>
            <w:tcW w:w="18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20.6 %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1,199,883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956,346</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expenses as a percentage of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417,930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444,464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1,190,369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1,384,587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income as a percentage of net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income (expense), net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(2,290)</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(193.8)%</w:t>
            </w:r>
          </w:p>
        </w:tc>
        <w:tc>
          <w:tcPr>
            <w:tcW w:w="12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(11,932)</w:t>
            </w:r>
          </w:p>
        </w:tc>
        <w:tc>
          <w:tcPr>
            <w:tcW w:w="120" w:type="dxa"/>
            <w:vAlign w:val="bottom"/>
          </w:tcPr>
          <w:p>
            <w:pPr>
              <w:spacing w:after="0"/>
              <w:rPr>
                <w:sz w:val="18"/>
                <w:szCs w:val="18"/>
                <w:color w:val="auto"/>
              </w:rPr>
            </w:pPr>
          </w:p>
        </w:tc>
        <w:tc>
          <w:tcPr>
            <w:tcW w:w="10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(2,179)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447.6 %</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Income before provision for income taxes</w:t>
            </w:r>
            <w:r>
              <w:rPr>
                <w:rFonts w:ascii="Times New Roman" w:cs="Times New Roman" w:eastAsia="Times New Roman" w:hAnsi="Times New Roman"/>
                <w:sz w:val="25"/>
                <w:szCs w:val="25"/>
                <w:color w:val="auto"/>
                <w:vertAlign w:val="superscript"/>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442,174</w:t>
            </w:r>
          </w:p>
        </w:tc>
        <w:tc>
          <w:tcPr>
            <w:tcW w:w="18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1,178,437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1,382,408</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97,692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104,969</w:t>
            </w: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288,487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326,247</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taxes as a percentage of income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before taxes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322,387</w:t>
            </w:r>
          </w:p>
        </w:tc>
        <w:tc>
          <w:tcPr>
            <w:tcW w:w="18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337,205</w:t>
            </w:r>
          </w:p>
        </w:tc>
        <w:tc>
          <w:tcPr>
            <w:tcW w:w="180" w:type="dxa"/>
            <w:vAlign w:val="bottom"/>
          </w:tcPr>
          <w:p>
            <w:pPr>
              <w:spacing w:after="0"/>
              <w:rPr>
                <w:sz w:val="22"/>
                <w:szCs w:val="22"/>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889,950</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1,056,161</w:t>
            </w:r>
          </w:p>
        </w:tc>
        <w:tc>
          <w:tcPr>
            <w:tcW w:w="2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as a percentage of net sales</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19.8</w:t>
            </w:r>
          </w:p>
        </w:tc>
        <w:tc>
          <w:tcPr>
            <w:tcW w:w="1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23.9</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18.5</w:t>
            </w:r>
          </w:p>
        </w:tc>
        <w:tc>
          <w:tcPr>
            <w:tcW w:w="1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25.7</w:t>
            </w: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8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Case sales (in thousands) (in 192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ounce case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equivalents)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159,975</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14.1 %</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535,451</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459,991</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¹Includes $10.0 million and $10.4 million for the three-months ended September 30, 2022 and 2021, respectively, related to the recognition of deferred revenue. Includes $30.0 million and $31.3 million for the nine-months ended September 30, 2022 and 2021, respectively, related to the recognition of deferred revenue.</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Three-Months Ended September 30, 2022 Compared to the Three-Months Ended September 30, 2021</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were $1.62 billion for the three-months ended September 30, 2022, an increase of approximately $213.7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15.2% higher than net sales of $1.41 billion for the three-months ended September 30, 2021. Net changes in foreign currency exchange rates had an unfavorable impact on net sales of approximately $71.3 million for the three-months ended September 30, 2022. Net sales on a foreign currency adjusted basis increased 20.2% for the three-months ended September 30, 2022.</w:t>
      </w:r>
    </w:p>
    <w:p>
      <w:pPr>
        <w:spacing w:after="0" w:line="18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sales were $564.0 million and $488.8 million for the three-months ended September 30, 2022 and 2021, respectively, in EMEA, Asia Pacific, Latin America and the Caribbean.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sales for the Monster Energy® Drinks segment were $1.50 billion for the three-months ended September 30, 2022, an increase of approximately $172.4 million, or 13.0% higher than net sales of $1.33 billion for the three-months ended September 30, 2021. Net sales for the Monster Energy® Drinks segment increased primarily due to increased worldwide sales by volume of our Monster Energy® brand energy drinks as a result of increased consumer demand as well as due to pricing actions and reductions in promotions in certain markets. Net changes in foreign currency exchange rates had an unfavorable impact on net sales for the Monster Energy® Drinks segment of approximately $66.3 million for the three-months ended September 30, 2022. Net sales for the Monster Energy® Drinks segment on a foreign currency adjusted basis increased 18.0% for the three-months ended September 30, 2022.</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sales for the Strategic Brands segment were $88.8 million for the three-months ended September 30, 2022, an increase of approximately $14.4 million, or 19.3% higher than net sales of $74.4 million for the three-months ended September 30, 2021. Net sales for the Strategic Brands segment increased primarily due to increased sales by volume of our Predator® and NOS® brands energy drinks. Net changes in foreign currency exchange rates had an unfavorable impact on net sales of approximately $5.0 million for the Strategic Brands segment for the three-months ended September 30, 2022. Net sales for the Strategic Brands segment on a foreign currency adjusted basis increased 25.9% for the three-months ended September 30, 2022.</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for the Alcohol Brands segment were $26.8 million for the three-months ended September 30, 2022. There were no comparative 2021 net sales for the Alcohol Brands segment as the Company completed its acquisition of CANarchy in February 2022.</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for the Other segment were $6.4 million for the three-months ended September 30, 2022, an increase of approximately $0.1 million, or 2.1% higher than net sales of $6.3 million for the three-months ended September 30, 2021.</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Case sales for our energy drink products, in 192-ounce case equivalents, were 182.5 million cases for the three-months ended September 30, 2022, an increase of approximately 22.5 million cases or 14.1% higher than case sales of 160.0 million cases for the three-months ended September 30, 2021. The overall average net sales per case decreased to $8.72 for the three-months ended September 30, 2022, which was 0.7% lower than the average net sales per case of $8.78 for the three-months ended September 30, 2021. Net changes in foreign currency exchange rates had an unfavorable impact on the overall average net sales per case for the three-months ended September 30, 2022.</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Barrel sales for our craft beers and hard seltzers, in 31 U.S. gallon equivalents, were 0.1 million barrels for the three-months ended September 30, 2022.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Profit</w:t>
      </w:r>
    </w:p>
    <w:p>
      <w:pPr>
        <w:spacing w:after="0" w:line="22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Gross profit was $833.7 million for the three-months ended September 30, 2022, an increase of approximately $44.6 million, or 5.6% higher than the gross profit of $789.2 million for the three-months ended September 30, 2021. The increase in gross profit dollars was primarily the result of the $213.7 million increase in net sales for the three-months ended September 30, 2022.</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as a percentage of net sales decreased to 51.3% for the three-months ended September 30, 2022 from 55.9% for the three-months ended September 30, 2021. The decrease for the three-months ended September 30, 2022 was primarily the result of</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increased ingredient and other input costs, including secondary packaging materials and increased co-packing fees, increased logistical costs, increased aluminum can costs and geographical and product sales mix.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operating expenses were $415.8 million for the three-months ended September 30, 2022, an increase of approximately $71.1 million, or 20.6% higher than total operating expenses of $344.7 million for the three-months ended September 30, 2021.</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increase in operating expenses was primarily due to increased general and administrative expenses of $22.2 million, including travel and entertainment and professional service fees (including legal and accounting), increased selling and marketing expenses of $20.5 million, including sponsorships and endorsements, social media and digital marketing, commissions, point of sale, premiums and allocated trade development, increased warehouse, out-bound fuel and freight costs of $17.7 million, as well as increased payroll expenses of $15.9 million (of which $6.6 million was related to CANarchy). CANarchy related depreciation and amortization was $2.4 million for the three-months ended September 30, 2022. The increase in operating expenses was partially offset by a decrease in distributor termination expenses of $5.3 million for the three-months ended September 30, 2022. Operating expenses as a percentage of net sales for the three-months ended September 30, 2022 were 25.6% as compared to 24.4% for the three-months ended September 30, 2021. Operating expenses as a percentage of net sales for the three-months ended September 30, 2019 (pre COVID-19) were 24.5%.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income was $417.9 million for the three-months ended September 30, 2022, a decrease of approximately $26.5 million, or 6.0% lower than operating income of $444.5 million for the three-months ended September 30, 2021. Operating income as a percentage of net sales decreased to 25.7% for the three-months ended September 30, 2022 from 31.5% for the three-months ended September 30, 2021. Operating income for the three-months ended September 30, 2022 decreased primarily as a result of the increase in operating expenses as well as the decrease in the gross profit as a percentage of net sales.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income was $89.9 million and $105.9 million for the three-months ended September 30, 2022 and 2021, respectively, for our operations in EMEA, Asia Pacific, Latin America and the Caribbean.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Monster Energy® Drinks segment, exclusive of corporate and unallocated expenses, was $492.5 million for the three-months ended September 30, 2022, a decrease of approximately $8.1 million, or 1.6% lower than operating income of $500.6 million for the three-months ended September 30, 2021. The decrease in operating income for the Monster Energy® Drinks segment was primarily the result of an increase in operating expenses as well as a decrease in gross profit as a percentage of net sales.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Strategic Brands segment, exclusive of corporate and unallocated expenses, was $47.3 million for the three-months ended September 30, 2022, an increase of approximately $7.1 million, or 17.7% higher than operating income of $40.2 million for the three-months ended September 30, 2021. The increase in operating income for the Strategic Brands segment was primarily the result of an increase in gross profit.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loss for the Alcohol Brands segment, exclusive of corporate and unallocated expenses, was $10.3 million for the three-months ended September 30, 2022.</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Operating income for the Other segment, exclusive of corporate and unallocated expenses, was $1.0 million for the three-months ended September 30, 2022, a decrease of approximately $0.2 million, or 14.7% lower than operating income of $1.1 million for the three-months ended September 30,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(Expense),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and other non-operating income (expense), net, was $2.1 million for the three-months ended September 30, 2022, as compared to interest and other non-operating income (expense), net, of ($2.3) million for the three-months ended September 30, 2021. Foreign currency transaction losses were $6.2 million and $2.9 million for the three-months ended September 30, 2022 and 2021, respectively. Interest income was $9.6 million and $0.8 million for the three-months ended September 30, 2022 and 2021,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Provision for income taxes was $97.7 million for the three-months ended September 30, 2022, a decrease of $7.3 million, or 6.9% lower than the provision for income taxes of $105.0 million for the three-months ended September 30, 2021. The effective combined federal, state and foreign tax rate decreased to 23.3% from 23.7% for the three-months ended September 30,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income was $322.4 million for the three-months ended September 30, 2022, a decrease of $14.8 million, or 4.4% lower than net income of $337.2 million for the three-months ended September 30, 2021. The decrease in net income for the three-months ended September 30, 2022 was primarily due to the decrease in the gross profit percentage of net sales as well as the increase in operating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Nine-Months Ended September 30, 2022 Compared to the Nine-Months Ended September 30, 2021</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were $4.80 billion for the nine-months ended September 30, 2022, an increase of approximately $681.8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16.6% higher than net sales of $4.12 billion for the nine-months ended September 30, 2021. Net changes in foreign currency exchange rates had an unfavorable impact on net sales of approximately $157.6 million for the nine-months ended September 30, 2022. Net sales on a foreign currency adjusted basis increased 20.4% for the nine-months ended September 30, 2022.</w:t>
      </w:r>
    </w:p>
    <w:p>
      <w:pPr>
        <w:spacing w:after="0" w:line="18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sales were $1.69 billion and $1.42 billion for the nine-months ended September 30, 2022 and 2021, respectively, in EMEA, Asia Pacific, Latin America and the Caribbean.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sales for the Monster Energy® Drinks segment were $4.44 billion for the nine-months ended September 30, 2022, an increase of approximately $577.6 million, or 14.9% higher than net sales of $3.87 billion for the nine-months ended September 30, 2021. Net sales for the Monster Energy® Drinks segment increased primarily due to increased worldwide sales by volume of our Monster Energy® brand energy drinks as a result of increased consumer demand as well as due to pricing actions and reductions in promotions in certain markets. Net changes in foreign currency exchange rates had an unfavorable impact on net sales for the Monster Energy® Drinks segment of approximately $145.4 million for the nine-months ended September 30, 2022. Net sales for the Monster Energy® Drinks segment on a foreign currency adjusted basis increased 18.7% for the nine-months ended September 30, 2022.</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sales for the Strategic Brands segment were $260.5 million for the nine-months ended September 30, 2022, an increase of approximately $31.3 million, or 13.7% higher than net sales of $229.2 million for the nine-months ended September 30, 2021. Net sales for the Strategic Brands segment increased primarily due to increased worldwide sales by volume of our Predator® and NOS® brand energy drinks as a result of increased consumer demand. Net changes in foreign currency exchange rates had an unfavorable impact on net sales of approximately $12.2 million for the Strategic Brands segment for the nine-months ended September 30, 2022. Net sales for the Strategic Brands segment on a foreign currency adjusted basis increased 19.0% for the nine-months ended September 30, 2022.</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for the Alcohol Brands segment were $74.5 million for the nine-months ended September 30, 2022 (effectively from February 17 to September 30, 2022).</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sales for the Other segment were $18.4 million for the nine-months ended September 30, 2022, a decrease of approximately $1.6 million, or 8.0% lower than net sales of $20.0 million for the nine-months ended September 30, 2021.</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Case sales for our energy drink products, in 192-ounce case equivalents, were 535.5 million cases for the nine-months ended September 30, 2022, an increase of approximately 75.5 million cases or 16.4% higher than case sales of 460.0 million cases for the nine-months ended September 30, 2021. The overall average net sales per case decreased to $8.79 for the nine-months ended September 30, 2022, which was 1.3% lower than the average net sales per case of $8.91 for the nine-months ended September 30, 2021. Net changes in foreign currency exchange rates had an unfavorable impact on the overall average net sales per case for the nine-months ended September 30, 2022.</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Barrel sales for our craft beers and hard seltzers, in 31 US gallon equivalents, were 0.2 million barrels for the nine-months ended September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Gross profit was $2.39 billion for the nine-months ended September 30, 2022, an increase of approximately $49.3 million, or 2.1% higher than gross profit of $2.34 billion for the nine-months ended September 30, 2021.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as a percentage of net sales decreased to 49.8% for the nine-months ended September 30, 2022 from 56.9% for the nine-months ended September 30, 2021. The decrease for the nine-months ended September 30, 2022 was primarily the result of increased freight rates and fuel costs, including costs relating to the importation of aluminum cans, increased ingredient and other input costs, including secondary packaging materials, increased aluminum can costs attributable to higher aluminum commodity pricing, increased co-packing fees, production inefficiencies and geographical sales mix.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operating expenses were $1.20 billion for the nine-months ended September 30, 2022, an increase of approximately $243.5 million, or 25.5% higher than total operating expenses of $956.3 million for the nine-months ended September 30, 2021.</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comparative operating expenses for the nine-months ended September 30, 2021 included a $16.9 million reversal of amounts previously accrued in connection with an intellectual property claim. The increase in operating expenses was primarily due to increased general and administrative expenses of $80.9 million, including travel and entertainment and professional service fees (including legal and accounting), increased out-bound fuel, freight and warehouse costs of $68.0 million, increased selling and marketing expenses of $55.5 million, including sponsorships and endorsements, social media and digital marketing, point of sale, premiums and allocated trade development, and increased payroll expenses of $44.5 million (of which $15.8 million was related to CANarchy). In addition, CANarchy related depreciation and amortization was $6.3 million for the nine-months ended September 30, 2022. The increase in operating expenses was partially offset by a decrease in distributor termination expenses of $5.3 million for the nine-months ended September 30, 2022. Operating expenses as a percentage of net sales for the nine-months ended September 30, 2022 were 25.0% as compared to 23.2% for the nine-months ended September 30, 2021. Operating expenses as a percentage of net sales for the nine-months ended September 30, 2019 (pre COVID-19) were 25.8%.</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income was $1.19 billion for the nine-months ended September 30, 2022, a decrease of approximately $194.2 million, or 14.0% lower than operating income of $1.38 billion for the nine-months ended September 30, 2021. Operating income as a percentage of net sales decreased to 24.8% for the nine-months ended September 30, 2022 from 33.6% for the nine-months ended September 30, 2021. Operating income for the nine-months ended September 30, 2022 decreased primarily as a result of the increase in operating expenses as well as the decrease in the gross profit as a percentage of net sales.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income was $244.3 million and $325.8 million for the nine-months ended September 30, 2022 and 2021, respectively, for our operations in EMEA, Asia Pacific, Latin America and the Caribbean.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Monster Energy® Drinks segment, exclusive of corporate and unallocated expenses, was $1.39 billion for the nine-months ended September 30, 2022, a decrease of approximately $123.8 million, or 8.2% lower than operating income of $1.51 billion for the nine-months ended September 30, 2021. The decrease in operating income for the Monster Energy® Drinks segment was primarily the result of an increase in operating expenses as well as a decrease in gross profit as a percentage of net sales.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Strategic Brands segment, exclusive of corporate and unallocated expenses, was $146.0 million for the nine-months ended September 30, 2022, an increase of approximately $6.6 million, or 4.7% higher than operating income of $139.4 million for the nine-months ended September 30, 2021. The increase in operating income for the Strategic Brands segment was primarily the result of an increase in gross profit.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loss for the Alcohol Brands segment, exclusive of corporate and unallocated expenses, was $19.9 million for the nine-months ended September 30, 2022. Inventory purchased as part of the CANarchy Transaction was recorded at fair value. The inventory acquired was subsequently sold in the nine-months ended September 30, 2022 and was recognized through cost of goods sold</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fair value (purchased cost), resulting in no recognized profits on the associated sales. Operating income was negatively impacted by approximately $4.0 million during the nine-months ended September 30, 2022 as a result. As of September 30, 2022, all purchased inventory recorded at fair value had been sold.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income for the Other segment, exclusive of corporate and unallocated expenses, was $3.1 million for the nine-months ended September 30, 2022, a decrease of approximately $2.1 million, or 40.4% lower than operating income of $5.3 million for the nine-months ended September 30,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Income (Expense),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and other non-operating income (expense), net, was ($11.9) million for the nine-months ended September 30, 2022, as compared to interest and other non-operating income (expense), net, of ($2.2) million for the nine-months ended September 30, 2021. Foreign currency transaction losses were $22.9 million and $5.5 million for the nine-months ended September 30, 2022 and 2021, respectively. Interest income was $14.8 million and $3.1 million for the nine-months ended September 30,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Provision for income taxes was $288.5 million for the nine-months ended September 30, 2022, a decrease of $37.8 million, or 11.6% lower than the provision for income taxes of $326.2 million for the nine-months ended September 30, 2021. The effective combined federal, state and foreign tax rate increased to 24.5% from 23.6% for the nine-months ended September 30, 2022 and 2021, respectively. The increase in the effective tax rate was primarily attributable to an increase in the effective state income tax rate as well as a decrease in the net income in certain foreign jurisdictions which have lower tax rates compared to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income was $890.0 million for the nine-months ended September 30, 2022, a decrease of $166.2 million, or 15.7% lower than net income of $1.06 billion for the nine-months ended September 30, 2021. The decrease in net income for the nine-months ended September 30, 2022 was primarily due to the decrease in the gross profit percentage of net sales as well as the increase in operating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Other Key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Billings**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billings were $1.87 billion for the three-months ended September 30, 2022, an increase of approximately $218.8 million, or 13.3% higher than gross billings of $1.65 billion for the three-months ended September 30, 2021. Net changes in foreign currency exchange rates had an unfavorable impact on gross billings of approximately $85.6 million for the three-months ended September 30, 2022.</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billings for the Monster Energy® Drinks segment were $1.73 billion for the three-months ended September 30, 2022, an increase of approximately $180.3 million, or 11.6% higher than gross billings of $1.55 billion for the three-months ended September 30, 2021. Gross billings for the Monster Energy® Drinks segment increased primarily due to increased worldwide sales by volume of our Monster Energy® brand energy drinks as a result of increased consumer demand as well as due to price increases in certain markets. Net changes in foreign currency exchange rates had an unfavorable impact on gross billings for the Monster Energy® Drinks segment of approximately $80.6 million for the three-months ended September 30, 2022.</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billings for the Strategic Brands segment were $99.6 million for the three-months ended September 30, 2022, an increase of $11.1 million, or 12.6% higher than gross billings of $88.5 million for the three-months ended September 30, 2021. Net changes in</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foreign currency exchange rates had an unfavorable impact on gross billings in the Strategic Brands segment of approximately $5.0 million for the three-months ended September 30,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billings for the Alcohol Brands segment were $27.3 million for the three-months ended September 30, 2022.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billings for the Other segment were $6.4 million for the three-months ended September 30, 2022, an increase of $0.1 million, or 2.1% higher than gross billings of $6.3 million for the three-months ended September 30, 2021.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Promotional allowances, commissions and other expenses, as described in the footnote below, were $252.6 million for the three-months ended September 30, 2022, an increase of $4.7 million, or 1.9% higher than promotional allowances, commissions and other expenses of $247.9 million for the three-months ended September 30, 2021. Promotional allowances, commissions and other expenses as a percentage of gross billings decreased to 13.5% from 15.0% for the three-months ended September 30, 2022 and 2021, respectively.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billings were $5.52 billion for the nine-months ended September 30, 2022, an increase of approximately $723.2 million, or 15.1% higher than gross billings of $4.79 billion for the nine-months ended September 30, 2021. Net changes in foreign currency exchange rates had an unfavorable impact on gross billings of approximately $187.8 million for the nine-months ended September 30, 2022.</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billings for the Monster Energy® Drinks segment were $5.13 billion for the nine-months ended September 30, 2022, an increase of approximately $621.0 million, or 13.8% higher than gross billings of $4.51 billion for the nine-months ended September 30, 2021. Gross billings for the Monster Energy® Drinks segment increased primarily due to increased worldwide sales by volume of our Monster Energy® brand energy drinks as a result of increased consumer demand, as well as due to price increases in certain markets. Net changes in foreign currency exchange rates had an unfavorable impact on gross billings for the Monster Energy® Drinks segment of approximately $175.6 million for the nine-months ended September 30, 2022.</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billings for the Strategic Brands segment were $293.7 million for the nine-months ended September 30, 2022, an increase of $28.2 million, or 10.6% higher than gross billings of $265.5 million for the nine-months ended September 30, 2021. Net changes in foreign currency exchange rates had an unfavorable impact on gross billings in the Strategic Brands segment of approximately $12.2 million for the nine-months ended September 30, 2022.</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billings for the Alcohol Brands segment were $75.6 million for the nine-months ended September 30, 2022.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billings for the Other segment were $18.4 million for the nine-months ended September 30, 2022, a decrease of $1.6 million, or 8.0% lower than gross billings of $20.0 million for the nine-months ended September 30, 2021.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Promotional allowances, commissions and other expenses, as described in the footnote below, were $747.9 million for the nine-months ended September 30, 2022, an increase of $40.2 million, or 5.7% higher than promotional allowances, commissions and other expenses of $707.7 million for the nine-months ended September 30, 2021. Promotional allowances, commissions and other expenses as a percentage of gross billings decreased to 13.6% from 14.8% for the nine-months ended September 30, 2022 and 2021, respectively.</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i w:val="1"/>
          <w:iCs w:val="1"/>
          <w:color w:val="auto"/>
        </w:rPr>
        <w:t>**Gross Billings represent amounts invoiced to customers net of cash discounts and returns.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r>
        <w:rPr>
          <w:rFonts w:ascii="Times New Roman" w:cs="Times New Roman" w:eastAsia="Times New Roman" w:hAnsi="Times New Roman"/>
          <w:sz w:val="17"/>
          <w:szCs w:val="17"/>
          <w:i w:val="1"/>
          <w:iCs w:val="1"/>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non-GAAP financial measure of gross billings with the most directly comparable GAAP financial measure of net sales: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Three-Months Ended</w:t>
            </w:r>
          </w:p>
        </w:tc>
        <w:tc>
          <w:tcPr>
            <w:tcW w:w="180" w:type="dxa"/>
            <w:vAlign w:val="bottom"/>
          </w:tcPr>
          <w:p>
            <w:pPr>
              <w:spacing w:after="0"/>
              <w:rPr>
                <w:sz w:val="18"/>
                <w:szCs w:val="18"/>
                <w:color w:val="auto"/>
              </w:rPr>
            </w:pPr>
          </w:p>
        </w:tc>
        <w:tc>
          <w:tcPr>
            <w:tcW w:w="10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Percentage</w:t>
            </w:r>
          </w:p>
        </w:tc>
        <w:tc>
          <w:tcPr>
            <w:tcW w:w="20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Nine-Months Ended</w:t>
            </w:r>
          </w:p>
        </w:tc>
        <w:tc>
          <w:tcPr>
            <w:tcW w:w="200" w:type="dxa"/>
            <w:vAlign w:val="bottom"/>
          </w:tcPr>
          <w:p>
            <w:pPr>
              <w:spacing w:after="0"/>
              <w:rPr>
                <w:sz w:val="18"/>
                <w:szCs w:val="18"/>
                <w:color w:val="auto"/>
              </w:rPr>
            </w:pPr>
          </w:p>
        </w:tc>
        <w:tc>
          <w:tcPr>
            <w:tcW w:w="9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Percentage</w:t>
            </w:r>
          </w:p>
        </w:tc>
      </w:t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0"/>
                <w:szCs w:val="20"/>
                <w:color w:val="auto"/>
              </w:rPr>
            </w:pPr>
          </w:p>
        </w:tc>
        <w:tc>
          <w:tcPr>
            <w:tcW w:w="20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c>
          <w:tcPr>
            <w:tcW w:w="180" w:type="dxa"/>
            <w:vAlign w:val="bottom"/>
          </w:tcPr>
          <w:p>
            <w:pPr>
              <w:spacing w:after="0"/>
              <w:rPr>
                <w:sz w:val="20"/>
                <w:szCs w:val="20"/>
                <w:color w:val="auto"/>
              </w:rPr>
            </w:pPr>
          </w:p>
        </w:tc>
        <w:tc>
          <w:tcPr>
            <w:tcW w:w="10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Change</w:t>
            </w:r>
          </w:p>
        </w:tc>
        <w:tc>
          <w:tcPr>
            <w:tcW w:w="20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c>
          <w:tcPr>
            <w:tcW w:w="200" w:type="dxa"/>
            <w:vAlign w:val="bottom"/>
          </w:tcPr>
          <w:p>
            <w:pPr>
              <w:spacing w:after="0"/>
              <w:rPr>
                <w:sz w:val="20"/>
                <w:szCs w:val="20"/>
                <w:color w:val="auto"/>
              </w:rPr>
            </w:pPr>
          </w:p>
        </w:tc>
        <w:tc>
          <w:tcPr>
            <w:tcW w:w="9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Change</w:t>
            </w:r>
          </w:p>
        </w:tc>
      </w:tr>
      <w:tr>
        <w:trPr>
          <w:trHeight w:val="209"/>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 vs. 21</w:t>
            </w:r>
          </w:p>
        </w:tc>
        <w:tc>
          <w:tcPr>
            <w:tcW w:w="24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 vs. 21</w:t>
            </w:r>
          </w:p>
        </w:tc>
        <w:tc>
          <w:tcPr>
            <w:tcW w:w="180" w:type="dxa"/>
            <w:vAlign w:val="bottom"/>
          </w:tcPr>
          <w:p>
            <w:pPr>
              <w:spacing w:after="0"/>
              <w:rPr>
                <w:sz w:val="18"/>
                <w:szCs w:val="18"/>
                <w:color w:val="auto"/>
              </w:rPr>
            </w:pP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Billings</w:t>
            </w: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$ 1,866,888</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$ 1,648,048</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$ 5,515,964</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$ 4,792,728</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9,955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30,026</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31,265</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98"/>
        </w:trPr>
        <w:tc>
          <w:tcPr>
            <w:tcW w:w="3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Promotional allowances, commissions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other expenses***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252,557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247,877</w:t>
            </w:r>
          </w:p>
        </w:tc>
        <w:tc>
          <w:tcPr>
            <w:tcW w:w="12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747,871</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707,685</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0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$ 1,624,286</w:t>
            </w: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$ 1,410,557</w:t>
            </w: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15.2 %</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$ 4,798,119</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$ 4,116,308</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16.6 %</w:t>
            </w:r>
          </w:p>
        </w:tc>
      </w:tr>
      <w:tr>
        <w:trPr>
          <w:trHeight w:val="20"/>
        </w:trPr>
        <w:tc>
          <w:tcPr>
            <w:tcW w:w="3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8"/>
        <w:spacing w:after="0" w:line="266" w:lineRule="auto"/>
        <w:tabs>
          <w:tab w:leader="none" w:pos="301" w:val="left"/>
        </w:tabs>
        <w:numPr>
          <w:ilvl w:val="0"/>
          <w:numId w:val="2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our energy drink products for the three- and nine-months ended September 30, 2022 and 2021 were (i) to increase sales volume and trial, (ii) to address market conditions, and (iii) to secure shelf and display space at retail. Promotional and other allowances for our Alcohol Brands segment primarily include price promotions where permitted.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discloses selected quarterly data regarding sales for the three- and nine-months ended September 30, 2022 and 2021, respectively. Data from any one or more quarters or periods is not necessarily indicative of annual results or continuing trends.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of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advertising and promotional expenses. The COVID-19 pandemic, including new variants, may also have an impact on consumer behavior and change the seasonal fluctuation of our business.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Three-Months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Nine-Months Ended</w:t>
            </w:r>
          </w:p>
        </w:tc>
        <w:tc>
          <w:tcPr>
            <w:tcW w:w="0" w:type="dxa"/>
            <w:vAlign w:val="bottom"/>
          </w:tcPr>
          <w:p>
            <w:pPr>
              <w:spacing w:after="0"/>
              <w:rPr>
                <w:sz w:val="1"/>
                <w:szCs w:val="1"/>
                <w:color w:val="auto"/>
              </w:rPr>
            </w:pPr>
          </w:p>
        </w:tc>
      </w:tr>
      <w:tr>
        <w:trPr>
          <w:trHeight w:val="234"/>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 except average net sales per case)</w:t>
            </w:r>
          </w:p>
        </w:tc>
        <w:tc>
          <w:tcPr>
            <w:tcW w:w="240" w:type="dxa"/>
            <w:vAlign w:val="bottom"/>
          </w:tcPr>
          <w:p>
            <w:pPr>
              <w:spacing w:after="0"/>
              <w:rPr>
                <w:sz w:val="20"/>
                <w:szCs w:val="20"/>
                <w:color w:val="auto"/>
              </w:rPr>
            </w:pP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auto"/>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9"/>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1,624,286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1,410,557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4,798,119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4,116,308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Alcohol Brands segment sales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(26,818)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(74,472)</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segment sales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w:t>
            </w:r>
          </w:p>
        </w:tc>
        <w:tc>
          <w:tcPr>
            <w:tcW w:w="0" w:type="dxa"/>
            <w:vAlign w:val="bottom"/>
          </w:tcPr>
          <w:p>
            <w:pPr>
              <w:spacing w:after="0"/>
              <w:rPr>
                <w:sz w:val="1"/>
                <w:szCs w:val="1"/>
                <w:color w:val="auto"/>
              </w:rPr>
            </w:pPr>
          </w:p>
        </w:tc>
      </w:tr>
      <w:tr>
        <w:trPr>
          <w:trHeight w:val="249"/>
        </w:trPr>
        <w:tc>
          <w:tcPr>
            <w:tcW w:w="4540" w:type="dxa"/>
            <w:vAlign w:val="bottom"/>
            <w:gridSpan w:val="3"/>
          </w:tcPr>
          <w:p>
            <w:pPr>
              <w:spacing w:after="0" w:line="210" w:lineRule="exact"/>
              <w:rPr>
                <w:sz w:val="20"/>
                <w:szCs w:val="20"/>
                <w:color w:val="auto"/>
              </w:rPr>
            </w:pPr>
            <w:r>
              <w:rPr>
                <w:rFonts w:ascii="Times New Roman" w:cs="Times New Roman" w:eastAsia="Times New Roman" w:hAnsi="Times New Roman"/>
                <w:sz w:val="17"/>
                <w:szCs w:val="17"/>
                <w:color w:val="auto"/>
              </w:rPr>
              <w:t>Adjusted net sales</w:t>
            </w:r>
            <w:r>
              <w:rPr>
                <w:rFonts w:ascii="Times New Roman" w:cs="Times New Roman" w:eastAsia="Times New Roman" w:hAnsi="Times New Roman"/>
                <w:sz w:val="24"/>
                <w:szCs w:val="24"/>
                <w:color w:val="auto"/>
                <w:vertAlign w:val="superscript"/>
              </w:rPr>
              <w:t>1</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1,591,021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1,404,241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4,705,292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4,096,355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Case sales by segment:</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447,233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88,218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case sales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535,451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459,991</w:t>
            </w:r>
          </w:p>
        </w:tc>
        <w:tc>
          <w:tcPr>
            <w:tcW w:w="0" w:type="dxa"/>
            <w:vAlign w:val="bottom"/>
          </w:tcPr>
          <w:p>
            <w:pPr>
              <w:spacing w:after="0"/>
              <w:rPr>
                <w:sz w:val="1"/>
                <w:szCs w:val="1"/>
                <w:color w:val="auto"/>
              </w:rPr>
            </w:pPr>
          </w:p>
        </w:tc>
      </w:tr>
      <w:tr>
        <w:trPr>
          <w:trHeight w:val="209"/>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net sales per case - Energy Drinks</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6"/>
          <w:szCs w:val="16"/>
          <w:i w:val="1"/>
          <w:iCs w:val="1"/>
          <w:color w:val="auto"/>
        </w:rPr>
        <w:t>Excludes Alcohol Brands segment (effectively from February 17, 2022 to September 30, 2022) and Other segment net sales, as these sales do not have unit case equivalents.</w:t>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changes in foreign currency exchange rates had an unfavorable impact on the overall average net sales per case for the three- and nine-months ended September 30,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of our Alcohol products are expressed in barrel volume. A “Barrel” means a unit of measurement equal to 31 U.S. gallons.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Barrel sales were 0.1 million and 0.2 million for the three- and nine-months ended September 30, 2022, respectively.</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2, “Management’s Discussion and Analysis of Financial Condition and Results of Operations – Results of Operations” for additional information related to the increase in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short-term and long-term investments. </w:t>
      </w:r>
      <w:r>
        <w:rPr>
          <w:rFonts w:ascii="Times New Roman" w:cs="Times New Roman" w:eastAsia="Times New Roman" w:hAnsi="Times New Roman"/>
          <w:sz w:val="18"/>
          <w:szCs w:val="18"/>
          <w:color w:val="auto"/>
        </w:rPr>
        <w:t>At September 30, 2022, we had $1.30 billion in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equivalents, $1.35 billion in short-term investments and $72.4 million in long-term investments, including certificates of deposit, commercial paper, U.S. government agency securities, municipal securities and U.S. treasuries.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Of our $1.30 billion of cash and cash equivalents held at September 30, 2022, $584.6 million was held by our foreign subsidiaries. No short-term or long-term investments were held by our foreign subsidiaries at September 30, 2022.</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and purchases of shares of our common stock, through at least the next 12 months. Based on our current plans, at this time we estimate that capital expenditures (exclusive of common stock repurchases) are likely to be less than $200.0 million through September 30, 2023. However, future business opportunities may cause a change in this estimate.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cash flows for the nine-months ended September 30, 2022 and 2021 (in thousands):</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589,186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927,982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(57,743)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(381,700)</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(459,275)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21,528</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provided by operating activities. </w:t>
      </w:r>
      <w:r>
        <w:rPr>
          <w:rFonts w:ascii="Times New Roman" w:cs="Times New Roman" w:eastAsia="Times New Roman" w:hAnsi="Times New Roman"/>
          <w:sz w:val="18"/>
          <w:szCs w:val="18"/>
          <w:color w:val="auto"/>
        </w:rPr>
        <w:t>Cash provided by operating activities was $589.2 million for the nine-months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2022, as compared with cash provided by operating activities of $928.0 million for the nine-months ended September 30, 2021.</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nine-months ended September 30, 2022, cash provided by operating activities was primarily attributable to net income earned of $890.0 million and adjustments for certain non-cash expenses, consisting of $49.2 million of stock-based compensation and $51.2 million of depreciation and amortization and non-cash lease expense. For the nine-months ended September 30, 2022, cash provided by operating activities also increased due to a $52.7 million increase in accounts payable, an $89.2 million increase in accrued promotional allowances, a $29.7 million decrease in deferred income taxes and a $7.9 million decrease in prepaid income taxes. For the nine-months ended September 30, 2022, cash used in operating activities was primarily attributable to a $297.1 million increase in inventories, a $202.4 million increase in accounts receivable, a $39.2 million increase in prepaid expenses and other assets, a $16.1 million decrease in deferred revenue, a $12.8 million decrease in income taxes payable, a $2.6 million decrease in accrued liabilities, a $6.6 million decrease in accrued compensation and a $3.5 million decrease in other liabilities.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nine-months ended September 30, 2021, cash provided by operating activities was primarily attributable to net income earned of $1.06 billion and adjustments for certain non-cash expenses, consisting of $52.4 million of stock-based compensation and $40.7 million of depreciation and amortization and non-cash lease expense. For the nine-months ended September 30, 2021, cash provided by operating activities also increased due to a $106.6 million increase in accounts payable, a $51.0 million increase in accrued promotional allowances and a $39.4 million increase in accrued liabilities. For the nine-months ended September 30, 2021, cash used in operating activities was primarily attributable to a $199.5 million increase in accounts receivable, a $149.4 million increase in inventories, a $41.2 million increase in prepaid expenses and other assets, a $17.8 million decrease in deferred revenue, a $7.4 million increase in prepaid income taxes and a $2.9 million decrease in accrued compensation.</w:t>
      </w:r>
    </w:p>
    <w:p>
      <w:pPr>
        <w:spacing w:after="0" w:line="19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Cash used in investing activities was $57.7 million for the nine-months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2022 as compared to cash used in investing activities of $381.7 million for the nine-months ended September 30, 2021.</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both the nine-months ended September 30, 2022 and 2021, cash provided by investing activities was primarily attributable to sales of available-for-sale investments. For the nine-months ended September 30, 2022, cash used in investing activities included $329.5 million net of cash acquired, related to the CANarchy Transaction. For both the nine-months ended September 30, 2022 and 2021, cash used in investing activities was primarily attributable to purchases of available-for-sale investments. To a lesser extent, for both the nine-months ended September 30, 2022 and 2021,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 (used in) provided by financing activities. </w:t>
      </w:r>
      <w:r>
        <w:rPr>
          <w:rFonts w:ascii="Times New Roman" w:cs="Times New Roman" w:eastAsia="Times New Roman" w:hAnsi="Times New Roman"/>
          <w:sz w:val="18"/>
          <w:szCs w:val="18"/>
          <w:color w:val="auto"/>
        </w:rPr>
        <w:t>Cash used in financing activities was $459.3 million for the nine-months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2022 as compared to cash provided by financing activities of $21.5 million for the nine-months ended September 30, 2021. The cash used in financing activities for both the nine-months ended September 30, 2022 and 2021 was primarily the result of the repurchases of our common stock. The cash provided by financing activities for both the nine-months ended September 30, 2022, and 2021 was primarily attributable to the issuance of our common stock under our stock-based compensation plans and borrowings on debt.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a summary of the Company’s contractual commitments and related scheduled maturities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8"/>
                <w:szCs w:val="18"/>
                <w:color w:val="auto"/>
              </w:rPr>
              <w:t>Payments due by period (in thousands)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191"/>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Less than</w:t>
            </w:r>
          </w:p>
        </w:tc>
        <w:tc>
          <w:tcPr>
            <w:tcW w:w="200" w:type="dxa"/>
            <w:vAlign w:val="bottom"/>
          </w:tcPr>
          <w:p>
            <w:pPr>
              <w:spacing w:after="0"/>
              <w:rPr>
                <w:sz w:val="16"/>
                <w:szCs w:val="16"/>
                <w:color w:val="auto"/>
              </w:rPr>
            </w:pPr>
          </w:p>
        </w:tc>
        <w:tc>
          <w:tcPr>
            <w:tcW w:w="104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w:t>
            </w:r>
          </w:p>
        </w:tc>
        <w:tc>
          <w:tcPr>
            <w:tcW w:w="220" w:type="dxa"/>
            <w:vAlign w:val="bottom"/>
          </w:tcPr>
          <w:p>
            <w:pPr>
              <w:spacing w:after="0"/>
              <w:rPr>
                <w:sz w:val="16"/>
                <w:szCs w:val="16"/>
                <w:color w:val="auto"/>
              </w:rPr>
            </w:pPr>
          </w:p>
        </w:tc>
        <w:tc>
          <w:tcPr>
            <w:tcW w:w="102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rPr>
              <w:t>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w:t>
            </w:r>
          </w:p>
        </w:tc>
        <w:tc>
          <w:tcPr>
            <w:tcW w:w="120" w:type="dxa"/>
            <w:vAlign w:val="bottom"/>
          </w:tcPr>
          <w:p>
            <w:pPr>
              <w:spacing w:after="0"/>
              <w:rPr>
                <w:sz w:val="16"/>
                <w:szCs w:val="16"/>
                <w:color w:val="auto"/>
              </w:rPr>
            </w:pPr>
          </w:p>
        </w:tc>
        <w:tc>
          <w:tcPr>
            <w:tcW w:w="9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More than</w:t>
            </w:r>
          </w:p>
        </w:tc>
      </w:tr>
      <w:tr>
        <w:trPr>
          <w:trHeight w:val="234"/>
        </w:trPr>
        <w:tc>
          <w:tcPr>
            <w:tcW w:w="394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1 year</w:t>
            </w:r>
          </w:p>
        </w:tc>
        <w:tc>
          <w:tcPr>
            <w:tcW w:w="20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years</w:t>
            </w:r>
          </w:p>
        </w:tc>
        <w:tc>
          <w:tcPr>
            <w:tcW w:w="12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 years</w:t>
            </w:r>
          </w:p>
        </w:tc>
      </w:tr>
      <w:tr>
        <w:trPr>
          <w:trHeight w:val="210"/>
        </w:trPr>
        <w:tc>
          <w:tcPr>
            <w:tcW w:w="374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Contractual Obligations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338,929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276,696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61,370</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13,124</w:t>
            </w:r>
          </w:p>
        </w:tc>
      </w:tr>
      <w:tr>
        <w:trPr>
          <w:trHeight w:val="216"/>
        </w:trPr>
        <w:tc>
          <w:tcPr>
            <w:tcW w:w="394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Purchase Commitments</w:t>
            </w:r>
            <w:r>
              <w:rPr>
                <w:rFonts w:ascii="Times New Roman" w:cs="Times New Roman" w:eastAsia="Times New Roman" w:hAnsi="Times New Roman"/>
                <w:sz w:val="25"/>
                <w:szCs w:val="25"/>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275,511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264,235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656,434</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549,905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13,124</w:t>
            </w: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Contractual obligations include our obligations related to sponsorships and other commitments.</w:t>
      </w:r>
    </w:p>
    <w:p>
      <w:pPr>
        <w:jc w:val="both"/>
        <w:spacing w:after="0" w:line="196" w:lineRule="auto"/>
        <w:rPr>
          <w:sz w:val="20"/>
          <w:szCs w:val="20"/>
          <w:color w:val="auto"/>
        </w:rPr>
      </w:pPr>
      <w:r>
        <w:rPr>
          <w:rFonts w:ascii="Times New Roman" w:cs="Times New Roman" w:eastAsia="Times New Roman" w:hAnsi="Times New Roman"/>
          <w:sz w:val="21"/>
          <w:szCs w:val="21"/>
          <w:i w:val="1"/>
          <w:iCs w:val="1"/>
          <w:color w:val="auto"/>
          <w:vertAlign w:val="superscript"/>
        </w:rPr>
        <w:t>2</w:t>
      </w:r>
      <w:r>
        <w:rPr>
          <w:rFonts w:ascii="Times New Roman" w:cs="Times New Roman" w:eastAsia="Times New Roman" w:hAnsi="Times New Roman"/>
          <w:sz w:val="14"/>
          <w:szCs w:val="14"/>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approximately $2.0 million of unrecognized tax benefits have been recorded as liabilities as of September 30, 2022. It is expected that the amount of unrecognized tax benefits will not significantly change within the next 12 months. As of September 30, 2022, we had $0.4 million of accrued interest and penalties related to unrecognized tax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There have been no material changes to our critical accounting policies or estimates from the information provided in “Part II, Item 7, Management’s Discussion and Analysis of Financial Condition and Results of Operations” and “Part II, Item 8 – Financial Statements and Supplementary Data – Note 1 – Organization and Summary of Significant Accounting Policies”, included in our Annual Report on Form 10-K for the fiscal year ended December 31, 2021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recently issued or adopted accounting pronouncements that would materially impact the Company from those disclosed in our Annual Report on Form 10-K for the fiscal year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Inflation had a negative impact on our results of operations for the three- and nine-months ended September 30, 2022, leading to increased cost of sales and operating expenses. To mitigate the impact of inflation, we implemented a price increase effective September 1, 2022 in the United States and continue to implement price increases in certain international markets where feasible.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and similar expressions are intended to identify forward-looking statements.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76" w:lineRule="exact"/>
        <w:rPr>
          <w:sz w:val="20"/>
          <w:szCs w:val="20"/>
          <w:color w:val="auto"/>
        </w:rPr>
      </w:pPr>
    </w:p>
    <w:p>
      <w:pPr>
        <w:ind w:left="680" w:hanging="321"/>
        <w:spacing w:after="0" w:line="261"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absorb, mitigate or pass on to our bottlers/distributors and/or consumers increases in commodity, fuel, freight and other costs;</w:t>
      </w: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rising costs and inflation on the discretionary income of our consumers, particularly the rising cost of gasoline;</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military conflict in Ukraine, including supply chain disruptions, volatility in commodity prices, increased economic uncertainty and escalating geopolitical tensions;</w:t>
      </w:r>
    </w:p>
    <w:p>
      <w:pPr>
        <w:jc w:val="both"/>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human and economic consequences of the COVID-19 pandemic, including new variants, as well as the measures taken or that may be taken in the future by governments, and consequently, businesses (including the Company and its suppliers, bottlers/distributors, co-packers and other service providers) and the public at large to limit the COVID-19 pandemic;</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growth and/or growth rates and/or declining sales in the domestic and international energy drink and alcohol beverage categories generally, including in the convenience and gas channel (which is our largest channel) and the impact on demand for our products resulting from deteriorating economic conditions and/or financial uncertainties due to the COVID-19 pandemic;</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temporary plant closures, production slowdowns and disruptions in operations experienced by our suppliers, bottlers/distributors and/or co-packers as a result of the COVID-19 pandemic, including any material disruptions on the production and distribution of our products;</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future reductions of our sponsorship and endorsement activities as well as our sampling activities as a result of COVID-19 or other pandemics on our future sales and market share;</w:t>
      </w: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countries being in lockdown due to the COVID-19 pandemic at various times;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vaccine mandates on our business and supply chain, including our ability to recruit and/or retain employees, and disruptions in the business of our co-packers, bottlers/distributors and/or suppliers;</w:t>
      </w:r>
    </w:p>
    <w:p>
      <w:pPr>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Closures of, and continued restrictions on, on-premise retailers and other establishments which sell our products as the result of the COVID-19 pandemic;</w:t>
      </w:r>
    </w:p>
    <w:p>
      <w:pPr>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or reduction by our suppliers, bottlers/distributors and/or co-packers of their activities and/or operations during the COVID-19 pandemic;</w:t>
      </w: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product sampling programs;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and the impact of the COVID-19 pandemic on our innovation activities;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adapt to the changing landscape of advertising, marketing, promotional, sponsorship and endorsement opportunities created by the COVID-19 pandemic;</w:t>
      </w: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effects of the COVID-19 pandemic on our employees, such as mental health challenges that employees may face;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logistical issues, including shortages of shipping containers, port of entry congestion and increased freight costs;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extensive commercial arrangements with TCCC and, as a result, our future performance is substantially dependent on the success of our relationship with TCCC;</w:t>
      </w:r>
    </w:p>
    <w:p>
      <w:pPr>
        <w:jc w:val="both"/>
        <w:ind w:left="680" w:right="2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TCCC’s bottlers/distributors distributing Coca-Cola brand energy drinks and possible reductions in the number of our SKUs carried by such bottlers/distributors and/or such bottlers/distributors imposing limitations on distributing new product SKUs;</w:t>
      </w:r>
    </w:p>
    <w:p>
      <w:pPr>
        <w:spacing w:after="0" w:line="1" w:lineRule="exact"/>
        <w:rPr>
          <w:rFonts w:ascii="Times New Roman" w:cs="Times New Roman" w:eastAsia="Times New Roman" w:hAnsi="Times New Roman"/>
          <w:sz w:val="18"/>
          <w:szCs w:val="18"/>
          <w:color w:val="auto"/>
        </w:rPr>
      </w:pPr>
    </w:p>
    <w:p>
      <w:pPr>
        <w:ind w:left="680" w:right="20" w:hanging="321"/>
        <w:spacing w:after="0" w:line="26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TCCC being one of our significant stockholders and the potential divergence of TCCC’s interests from those of our other stockholders;</w:t>
      </w:r>
    </w:p>
    <w:p>
      <w:pPr>
        <w:sectPr>
          <w:pgSz w:w="11900" w:h="16838" w:orient="portrait"/>
          <w:cols w:equalWidth="0" w:num="1">
            <w:col w:w="9920"/>
          </w:cols>
          <w:pgMar w:left="980" w:top="661"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61"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TCCC system bottlers/distributors and manage their ongoing commitment to focus on our products;</w:t>
      </w:r>
    </w:p>
    <w:p>
      <w:pPr>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distribution channels and/or decline in sales due to the termination and/or insolvency of existing and/or new domestic and/or international bottlers/distributors;</w:t>
      </w: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anticipated demand for our products in domestic and/or international markets;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inventory levels of our bottlers/distributors, planned or otherwise, and the resultant impact on our revenues;</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inquiries from, and/or actions by, state attorneys general, the Federal Trade Commission (the “FTC”), the Food and Drug Administration (the “FDA”),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p>
      <w:pPr>
        <w:spacing w:after="0" w:line="2"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regulations and evolving industry standards regarding consumer privacy and data use and security, including with respect to the General Data Protection Regulation and the California Consumer Privacy Act of 2018;</w:t>
      </w: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profitability and/or repatriate cash from certain of our operations outside the United States;</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tax laws as a result of any legislation proposed by the new U.S. Presidential Administration or U.S. Congress, which may include efforts to change or repeal the 2017 Tax Cuts and Jobs Act and the federal corporate income tax rate reduction;</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in international markets in which they are sold, thereby reducing freight costs and/or product damages;</w:t>
      </w: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inventories and/or our accounts receivables;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currency exchange rate risk with respect to our sales, expenses, profits, assets and liabilities denominated in currencies other than the U.S. dollar, which will continue to increase as foreign sales increase;</w:t>
      </w: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impact of the United Kingdom’s departure from the European Union (or “Brexit”);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may affect our reported profitability;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Implications of the Organization for Economic Cooperation and Development’s base erosion and profit shifting project;</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proceedings which may be brought against us by the Securities and Exchange Commission (the “SEC”), the FDA, the FTC or other governmental agencies or bodies;</w:t>
      </w:r>
    </w:p>
    <w:p>
      <w:pPr>
        <w:ind w:left="680" w:right="2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significant liabilities due to litigation, legal or regulatory proceedings;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injunctions;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resolution of tax matters;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volatility in the domestic and global economies, including risk of counterparty default or failure;</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an economic slowdown or recession that could negatively impact the financial condition of our customers and could result in a reduced demand for our products;</w:t>
      </w: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rising interest rates;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any significant deficiencies or material weakness in our internal controls over financial reporting;</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sufficient cash flows to support our expansion plans and general operating activities;</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3"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resulting from changes in consumer preferences, including changes in demand for different packages, sizes and configurations, obesity and other perceived health concerns, including concerns relating to certain ingredients in our products or packaging, product safety concerns and/or from decreased consumer discretionary spending power;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right="20" w:hanging="321"/>
        <w:spacing w:after="0" w:line="261"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surrounding obesity and health concerns related to our products, product safety and quality, water usage, environmental impact and sustainability, human rights, our culture, workforce and labor and workplace laws;</w:t>
      </w:r>
    </w:p>
    <w:p>
      <w:pPr>
        <w:jc w:val="both"/>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that are weather related and/or for other reasons, including changes in product category and/or package consumption and changes in cost and availability of certain key ingredients including aluminum cans, as well as disruptions to the supply chain, as a result of climate change and extreme weather conditions;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unstable political conditions, civil unrest, large scale terrorist acts, the outbreak or escalation of armed hostilities, major natural disasters and extreme weather conditions, or widespread outbreaks of infectious diseases (such as the COVID-19 pandemic);</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trademark and trade dress infringement proceedings brought against us relating to our brands, which could result in an injunction barring us from selling certain of our products and/or require changes to be made to our current trade dress;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and/or maintain price increases, including through reductions in promotional allowances;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achieve volume growth through product and packaging initiatives;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the current level of sales and/or achieve growth for our Monster Energy® brand energy drinks and/or our other products, including our Strategic Brands and Alcohol Brands;</w:t>
      </w:r>
    </w:p>
    <w:p>
      <w:pPr>
        <w:ind w:left="680" w:right="2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growth strategy, including expanding our business in existing and new sectors, such as the alcoholic beverage sector;</w:t>
      </w:r>
    </w:p>
    <w:p>
      <w:pPr>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operational risks presented by the alcoholic beverage industry that may not be adequately covered by insurance or lead to litigation relating to the abuse or misuse of our products;</w:t>
      </w: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CANarchy and other acquired businesses or assets;</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 caffeine content in beverages, requires certain product labeling disclosures and/or warnings, imposes excise and/or sales taxes, limits product sizes and/or imposes age restrictions for the sale of energy drinks;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and/or resulting lower consumer demand and/or lower profit margins for energy drinks and/or alcohol beverages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and/or alcohol drinks (including prohibiting the sale of energy drinks at certain establishments or pursuant to certain governmental programs), limit caffeine or alcohol content in beverages, require certain product labeling disclosures and/or warnings, impose excise taxes, impose sugar taxes, limit product sizes, or impose age restrictions for the sale of energy and/or alcohol drinks, as well as laws and regulations or rules made or enforced by the Bureau of Alcohol, Tobacco, Firearms and Explosives and/or the FTC or their foreign counterparts;</w:t>
      </w:r>
    </w:p>
    <w:p>
      <w:pPr>
        <w:spacing w:after="0" w:line="4"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timely import or export of our products and/or ingredients including flavors, flavor ingredients and supplement ingredients due to port congestion, strikes and related labor issues or otherwise;</w:t>
      </w:r>
    </w:p>
    <w:p>
      <w:pPr>
        <w:jc w:val="both"/>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all criteria set forth in any model energy drink guidelines, including, without limitation, those adopted by the American Beverage Association, of which we are a member, and/or any international beverage associations and the impact of our failure to satisfy such guidelines may have on our business;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or adverse public relations, press, articles, comments and/or media attention;</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quality and availability of containers, packaging materials, aluminum cans, the Midwest and other premiums, raw materials, including flavors and flavor ingredients, and other ingredients and juice concentrates, and our ability to obtain and/or maintain favorable supply arrangements and relationships and procure timely and/or sufficient production of all or any of our products to meet customer demand;</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5" w:lineRule="auto"/>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shortages that may be experienced in the procurement of containers and/or other raw materials including, without limitation, flavors, flavor ingredients, supplement ingredients, aluminum cans generally, PET containers used for our Monster Hydro® energy drinks, 24-ounce aluminum cap cans and 550ml BRE aluminum cans with resealable ends;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7"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securing the supply of sufficient quantities of aluminum cans may cause us to focus on producing higher volume products. As a result, certain of our lower volume products may be temporarily discontinued by our bottlers/distributors and/or their retail customers, and we may not be able to reinstate all, or any, of such lower volume products in the future;</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cost of sales of corporate activity among the limited number of suppliers from whom we purchase certain raw materials;</w:t>
      </w:r>
    </w:p>
    <w:p>
      <w:pPr>
        <w:ind w:left="680" w:hanging="321"/>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on to our customers all or a portion of any increases in the costs of raw materials, ingredients, commodities and/or other cost inputs affecting our business;</w:t>
      </w:r>
    </w:p>
    <w:p>
      <w:pPr>
        <w:jc w:val="both"/>
        <w:ind w:left="680" w:hanging="321"/>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domestic and/or international markets and/or gain approval or mitigate the delay in securing approval for the sale of our products in various countries;</w:t>
      </w:r>
    </w:p>
    <w:p>
      <w:pPr>
        <w:ind w:left="680" w:right="20" w:hanging="321"/>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and/or marketing efforts by us and/or by the bottlers/distributors of our products, most of whom distribute products that may be regarded as competitive with our products;</w:t>
      </w:r>
    </w:p>
    <w:p>
      <w:pPr>
        <w:jc w:val="both"/>
        <w:ind w:left="680" w:hanging="321"/>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Unilateral decisions by bottlers/distributors, buying groups, convenience chains, grocery chains, mass merchandisers, specialty chain stores, e-commerce retailers, e-commerce websites, club stores and other customers, including retailer disagreements with our bottlers/distributors,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certain activities by competitors and others to persuade regulators and/or retailers and/or customers in certain countries to reduce the permitted or maximum container sizes for our products from those currently being sold and marketed by us;</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possible trading disputes between our bottler/distributors and their customers and/or one or more buying groups which may result in the delisting of certain of the Company products, temporarily or otherwise;</w:t>
      </w:r>
    </w:p>
    <w:p>
      <w:pPr>
        <w:ind w:left="680" w:hanging="321"/>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retailer consolidation on our business and our ability to successfully adapt to the rapidly changing retail landscape;</w:t>
      </w: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the changing retail landscape with the rapid growth in e-commerce retailers;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bottler/distributor consolidation on our business;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and/or effectiveness, now or in the future, of our advertising, marketing and promotional strategies;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sports marketing, social media and other general marketing endeavors both domestically and internationally;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economic and political changes and local or international catastrophic events;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product recalls and/or reformulations of certain of our products and/or market withdrawals of certain of our products due to defective and/or non-compliant formulas or production in one or more jurisdictions;</w:t>
      </w:r>
    </w:p>
    <w:p>
      <w:pPr>
        <w:jc w:val="both"/>
        <w:ind w:left="680" w:hanging="321"/>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suitable arrangements for the timely procurement of non-defective raw materials;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and/or the loss of our intellectual property rights and/or our inability to use our trademarks, trade names or designs and/or trade dress in certain countries;</w:t>
      </w:r>
    </w:p>
    <w:p>
      <w:pPr>
        <w:ind w:left="680" w:right="20" w:hanging="321"/>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stock prices which may restrict stock sales, stock purchases or other opportunities as well as negatively impact the motivation of equity award grantees;</w:t>
      </w:r>
    </w:p>
    <w:p>
      <w:pPr>
        <w:ind w:left="680" w:hanging="321"/>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organizational documents and/or control by insiders which may prevent changes in control even if such changes would be beneficial to other stockholders;</w:t>
      </w: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bottlers and/or co-packers to manufacture our products on a timely basis or at all;</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and/or lack of effectiveness of our information technology systems, including a breach of cyber security, that disrupts our business or negatively impacts customer relationships, as well as cybersecurity incidents involving data shared with third parties; and</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senior management, other key employees and our employee base in general.</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foregoing list of important factors and other risks detailed from time to time in our reports filed with the SEC is not exhaustive. See the section entitled “Risk Factors” in our Form 10-K and in Item 1A of this Quarterly Report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risks during the three-months ended September 30, 2022 compared with the disclosures in Part II, Item 7A of our Form 10-K.</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 Under the supervision and with the participation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 There were no changes in the Company’s internal controls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Notes to Condensed Consolidated Financial Statements - Note 12. Commitments and Contingencies: Litigation in Part I, Item 1, of this Quarterly Report on Form 10-Q.</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as updated and supplemented in “Part II, Item 1A – Risk Factors” in our Quarterly Report on Form 10-Q for the quarter ended March 31, 2022. If any of these risks occur or continue to occur, our business, reputation, financial condition and/or operating results could be materially adversely affected. We also note that the risk factors described in our Form 10-K and in our Quarterly Report on Form 10-Q for the quarter ended March 31, 2022 are not the only risks facing our Company, and such additional risks or uncertainties that we currently deem to be immaterial or are unknown to us could negatively impact our business, operations, or financial results.</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13, 2020, the Company’s Board of Directors authorized a share repurchase program for the purchase of up to $500.0 million of the Company’s outstanding common stock (the “March 2020 Repurchase Plan”). During the three-months ended September 30, 2022, the Company purchased approximately 1.8 million shares of common stock at an average purchase price of $87.55 per share, for a total amount of approximately $157.4 million (excluding broker commissions), which exhausted the availability under the March 2020 Repurchase Plan. Such shares are included in the common stock in treasury in the accompanying condensed consolidated balance sheet at September 30, 2022.</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June 14, 2022, the Company’s Board of Directors authorized a share repurchase program for the purchase of up to an additional $500.0 million of the Company’s outstanding common stock (the “June 2022 Repurchase Plan”). During the three-months ended September 30, 2022, the Company purchased approximately 1.3 million shares of common stock at an average purchase price of $88.11 per share, for a total amount of approximately $115.5 million (excluding broker commissions), under the June 2022 Repurchase Plan. As of November 4, 2022, $182.8 million remained available for repurchase under the June 2022 Repurchase Plan.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 2022, the Company’s Board of Directors authorized a new share repurchase program for the purchase of up to an additional $500.0 million of the Company’s outstanding common stock. As a result, the aggregate amount available to repurchase the Company’s common stock as of November 4, 2022 is $682.8 million.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tabular summary reflects the Company’s repurchase activity during the quarter ended September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Maximum Number (or</w:t>
            </w: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Approximate Dollar</w:t>
            </w: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Value) of Shares that</w:t>
            </w: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Number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Part of Publicly</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May Yet Be Purchased</w:t>
            </w:r>
          </w:p>
        </w:tc>
      </w:tr>
      <w:tr>
        <w:trPr>
          <w:trHeight w:val="216"/>
        </w:trPr>
        <w:tc>
          <w:tcPr>
            <w:tcW w:w="3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Shares</w:t>
            </w:r>
          </w:p>
        </w:tc>
        <w:tc>
          <w:tcPr>
            <w:tcW w:w="18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7"/>
              </w:rPr>
              <w:t>Average Price</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Announced Plans</w:t>
            </w:r>
          </w:p>
        </w:tc>
        <w:tc>
          <w:tcPr>
            <w:tcW w:w="180" w:type="dxa"/>
            <w:vAlign w:val="bottom"/>
          </w:tcPr>
          <w:p>
            <w:pPr>
              <w:spacing w:after="0"/>
              <w:rPr>
                <w:sz w:val="18"/>
                <w:szCs w:val="18"/>
                <w:color w:val="auto"/>
              </w:rPr>
            </w:pPr>
          </w:p>
        </w:tc>
        <w:tc>
          <w:tcPr>
            <w:tcW w:w="2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Under the Plans or Programs (In</w:t>
            </w: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per Share¹</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or Programs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thousands)²</w:t>
            </w: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 1 – Jul 31, 2022</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657,426</w:t>
            </w:r>
          </w:p>
        </w:tc>
      </w:tr>
      <w:tr>
        <w:trPr>
          <w:trHeight w:val="216"/>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 1 – Aug 31,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657,426</w:t>
            </w:r>
          </w:p>
        </w:tc>
      </w:tr>
      <w:tr>
        <w:trPr>
          <w:trHeight w:val="216"/>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 1 – Sept 30,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3,108,500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87.78</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3,108,500</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¹Excluding broker commissions paid.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²Net of broker commissions paid.</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three-months ended September 30, 2022, no shares of common stock were purchased from employees in lieu of cash payments for options exercised or withholding taxes due.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EE"/>
        </w:rPr>
        <w:t>Certification of Co-Chief Executive Officer Pursuant to Section 302 of the Sarbanes-Oxley Act of 2002</w:t>
      </w:r>
    </w:p>
    <w:p>
      <w:pPr>
        <w:spacing w:after="0" w:line="2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Co-Chief Executive Officer Pursuant to Section 302 of the Sarbanes-Oxley Act of 2002</w:t>
      </w:r>
    </w:p>
    <w:p>
      <w:pPr>
        <w:spacing w:after="0" w:line="225"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u w:val="single" w:color="auto"/>
          <w:color w:val="0000EE"/>
        </w:rPr>
        <w:t>Certification of Chief Financial Officer Pursuant to Section 302 of the Sarbanes-Oxley Act of 2002</w:t>
      </w:r>
    </w:p>
    <w:p>
      <w:pPr>
        <w:spacing w:after="0" w:line="225" w:lineRule="exact"/>
        <w:rPr>
          <w:sz w:val="20"/>
          <w:szCs w:val="20"/>
          <w:color w:val="auto"/>
        </w:rPr>
      </w:pPr>
    </w:p>
    <w:p>
      <w:pPr>
        <w:jc w:val="both"/>
        <w:ind w:left="740" w:right="20" w:hanging="728"/>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Certification of Co-Chief Executive Officer Pursuant to 18 U.S.C. Section 1350, as Adopted Pursuant to Section 906 of the Sarbanes-Oxley Act of 2002</w:t>
      </w:r>
    </w:p>
    <w:p>
      <w:pPr>
        <w:spacing w:after="0" w:line="162" w:lineRule="exact"/>
        <w:rPr>
          <w:sz w:val="20"/>
          <w:szCs w:val="20"/>
          <w:color w:val="auto"/>
        </w:rPr>
      </w:pPr>
    </w:p>
    <w:p>
      <w:pPr>
        <w:jc w:val="both"/>
        <w:ind w:left="740" w:right="20" w:hanging="728"/>
        <w:spacing w:after="0" w:line="282" w:lineRule="auto"/>
        <w:tabs>
          <w:tab w:leader="none" w:pos="72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Certification of Co-Chief Executive Officer Pursuant to 18 U.S.C. Section 1350, as Adopted Pursuant to Section 906 of the Sarbanes-Oxley Act of 2002</w:t>
      </w:r>
    </w:p>
    <w:p>
      <w:pPr>
        <w:spacing w:after="0" w:line="16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7"/>
          <w:szCs w:val="17"/>
          <w:u w:val="single" w:color="auto"/>
          <w:color w:val="0000EE"/>
        </w:rPr>
        <w:t>Certification by Chief Financial Officer Pursuant to 18 U.S.C. Section 1350, as Adopted</w:t>
      </w:r>
    </w:p>
    <w:p>
      <w:pPr>
        <w:spacing w:after="0" w:line="225" w:lineRule="exact"/>
        <w:rPr>
          <w:sz w:val="20"/>
          <w:szCs w:val="20"/>
          <w:color w:val="auto"/>
        </w:rPr>
      </w:pPr>
    </w:p>
    <w:p>
      <w:pPr>
        <w:jc w:val="both"/>
        <w:ind w:left="740" w:hanging="739"/>
        <w:spacing w:after="0" w:line="254" w:lineRule="auto"/>
        <w:tabs>
          <w:tab w:leader="none" w:pos="7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financial information from Monster Beverage Corporation’s Quarterly Report on Form 10-Q for the quarter ended September 30, 2022, formatted in iXBRL (Inline eXtensible Business Reporting Language): (i) Condensed Consolidated Balance Sheets as of September 30, 2022 and December 31, 2021, (ii) Condensed Consolidated Statements of Income for the three-and nine-months ended September 30, 2022 and 2021, (iii) Condensed Consolidated Statements of Comprehensive Income for the three- and nine-months ended September 30, 2022 and 2021, (iv) Condensed Consolidated Statements of Stockholders’ Equity for the three- and nine-months ended September 30, 2022 and 2021, (v) Condensed Consolidated Statements of Cash Flows for the nine-months ended September 30, 2022 and 2021, and (vi) the Notes to Condensed Consolidated Financial Statements.</w:t>
      </w:r>
    </w:p>
    <w:p>
      <w:pPr>
        <w:spacing w:after="0" w:line="19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Monster Beverage Corporation’s Quarterly Report on Form 10-Q for the quarter ended September 30,</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2022, formatted in iXBRL (Inline eXtensible Business Reporting Language) and contained in Exhibit 101.</w:t>
      </w:r>
    </w:p>
    <w:p>
      <w:pPr>
        <w:spacing w:after="0" w:line="207" w:lineRule="exact"/>
        <w:rPr>
          <w:sz w:val="20"/>
          <w:szCs w:val="20"/>
          <w:color w:val="auto"/>
        </w:rPr>
      </w:pPr>
    </w:p>
    <w:p>
      <w:pPr>
        <w:ind w:left="280" w:hanging="272"/>
        <w:spacing w:after="0"/>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MONSTER BEVERAGE CORPORATION</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RODNEY C. SACKS</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Rodney C. Sacks</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and Co-Chief Executive Officer</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HILTON H. SCHLOSBERG</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Hilton H. Schlosberg</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ind w:left="1000" w:right="1580"/>
        <w:spacing w:after="0" w:line="266" w:lineRule="auto"/>
        <w:rPr>
          <w:sz w:val="20"/>
          <w:szCs w:val="20"/>
          <w:color w:val="auto"/>
        </w:rPr>
      </w:pPr>
      <w:r>
        <w:rPr>
          <w:rFonts w:ascii="Times New Roman" w:cs="Times New Roman" w:eastAsia="Times New Roman" w:hAnsi="Times New Roman"/>
          <w:sz w:val="18"/>
          <w:szCs w:val="18"/>
          <w:color w:val="auto"/>
        </w:rPr>
        <w:t>CERTIFICATION PURSUANT TO RULE 13A-14(a) OR 15D-14(a) OF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Rodney Sacks,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Monster Beverage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Rodney C. Sacks</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Rodney C. Sacks</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and Co-Chief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ind w:left="1000" w:right="1580"/>
        <w:spacing w:after="0" w:line="266" w:lineRule="auto"/>
        <w:rPr>
          <w:sz w:val="20"/>
          <w:szCs w:val="20"/>
          <w:color w:val="auto"/>
        </w:rPr>
      </w:pPr>
      <w:r>
        <w:rPr>
          <w:rFonts w:ascii="Times New Roman" w:cs="Times New Roman" w:eastAsia="Times New Roman" w:hAnsi="Times New Roman"/>
          <w:sz w:val="18"/>
          <w:szCs w:val="18"/>
          <w:color w:val="auto"/>
        </w:rPr>
        <w:t>CERTIFICATION PURSUANT TO RULE 13A-14(a) OR 15D-14(a) OF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Hilton Schlosberg, certify that:</w:t>
      </w:r>
    </w:p>
    <w:p>
      <w:pPr>
        <w:spacing w:after="0" w:line="225"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Monster Beverage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Hilton H. Schlosberg</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Hilton H. Schlosberg</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 and</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9" w:lineRule="exact"/>
        <w:rPr>
          <w:sz w:val="20"/>
          <w:szCs w:val="20"/>
          <w:color w:val="auto"/>
        </w:rPr>
      </w:pPr>
    </w:p>
    <w:p>
      <w:pPr>
        <w:jc w:val="center"/>
        <w:ind w:left="1000" w:right="1580"/>
        <w:spacing w:after="0" w:line="266" w:lineRule="auto"/>
        <w:rPr>
          <w:sz w:val="20"/>
          <w:szCs w:val="20"/>
          <w:color w:val="auto"/>
        </w:rPr>
      </w:pPr>
      <w:r>
        <w:rPr>
          <w:rFonts w:ascii="Times New Roman" w:cs="Times New Roman" w:eastAsia="Times New Roman" w:hAnsi="Times New Roman"/>
          <w:sz w:val="18"/>
          <w:szCs w:val="18"/>
          <w:color w:val="auto"/>
        </w:rPr>
        <w:t>CERTIFICATION PURSUANT TO RULE 13A-14(a) OR 15D-14(a) OF THE SECURITIES EXCHANGE ACT OF 1934, AS ADOPTED 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Kelly, certify that:</w:t>
      </w:r>
    </w:p>
    <w:p>
      <w:pPr>
        <w:spacing w:after="0" w:line="225"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Monster Beverage Corporation;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75"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J. Kelly</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J. Kelly</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Monster Beverage Corporation (the “Company”) on Form 10-Q for the quarter ended September 30, 2022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Rodney C. Sacks</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Rodney C. Sacks</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and Co-Chief Executive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Monster Beverage Corporation (the “Company”) on Form 10-Q for the quarter ended September 30, 2022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Hilton H. Schlosberg</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Hilton H. Schlosberg</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 and</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Monster Beverage Corporation (the “Company”) on Form 10-Q for the quarter ended September 30, 2022 as filed with the Securities and Exchange Commission (the “Report”), the undersigned, Thomas J. Kelly, Chief Financial Officer of the Company, certifies, pursuant to 18 U.S.C. 1350, as adopted pursuant to Section 906 of the Sarbanes-Oxley Act of 2002, that:</w:t>
      </w:r>
    </w:p>
    <w:p>
      <w:pPr>
        <w:spacing w:after="0" w:line="180"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J. Kelly</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Thomas J. Kelly</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1."/>
      <w:numFmt w:val="decimal"/>
      <w:start w:val="2"/>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3"/>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decimal"/>
      <w:start w:val="4"/>
    </w:lvl>
  </w:abstractNum>
  <w:abstractNum w:abstractNumId="7">
    <w:nsid w:val="721DA317"/>
    <w:multiLevelType w:val="hybridMultilevel"/>
    <w:lvl w:ilvl="0">
      <w:lvlJc w:val="left"/>
      <w:lvlText w:val="%1."/>
      <w:numFmt w:val="decimal"/>
      <w:start w:val="5"/>
    </w:lvl>
  </w:abstractNum>
  <w:abstractNum w:abstractNumId="8">
    <w:nsid w:val="2443A858"/>
    <w:multiLevelType w:val="hybridMultilevel"/>
    <w:lvl w:ilvl="0">
      <w:lvlJc w:val="left"/>
      <w:lvlText w:val="%1."/>
      <w:numFmt w:val="decimal"/>
      <w:start w:val="6"/>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1."/>
      <w:numFmt w:val="decimal"/>
      <w:start w:val="7"/>
    </w:lvl>
  </w:abstractNum>
  <w:abstractNum w:abstractNumId="11">
    <w:nsid w:val="75A2A8D4"/>
    <w:multiLevelType w:val="hybridMultilevel"/>
    <w:lvl w:ilvl="0">
      <w:lvlJc w:val="left"/>
      <w:lvlText w:val="%1."/>
      <w:numFmt w:val="decimal"/>
      <w:start w:val="8"/>
    </w:lvl>
  </w:abstractNum>
  <w:abstractNum w:abstractNumId="12">
    <w:nsid w:val="8EDBDAB"/>
    <w:multiLevelType w:val="hybridMultilevel"/>
    <w:lvl w:ilvl="0">
      <w:lvlJc w:val="left"/>
      <w:lvlText w:val="%1."/>
      <w:numFmt w:val="decimal"/>
      <w:start w:val="10"/>
    </w:lvl>
  </w:abstractNum>
  <w:abstractNum w:abstractNumId="13">
    <w:nsid w:val="79838CB2"/>
    <w:multiLevelType w:val="hybridMultilevel"/>
    <w:lvl w:ilvl="0">
      <w:lvlJc w:val="left"/>
      <w:lvlText w:val="%1."/>
      <w:numFmt w:val="decimal"/>
      <w:start w:val="12"/>
    </w:lvl>
  </w:abstractNum>
  <w:abstractNum w:abstractNumId="14">
    <w:nsid w:val="4353D0CD"/>
    <w:multiLevelType w:val="hybridMultilevel"/>
    <w:lvl w:ilvl="0">
      <w:lvlJc w:val="left"/>
      <w:lvlText w:val="%1."/>
      <w:numFmt w:val="decimal"/>
      <w:start w:val="13"/>
    </w:lvl>
  </w:abstractNum>
  <w:abstractNum w:abstractNumId="15">
    <w:nsid w:val="B03E0C6"/>
    <w:multiLevelType w:val="hybridMultilevel"/>
    <w:lvl w:ilvl="0">
      <w:lvlJc w:val="left"/>
      <w:lvlText w:val="%1."/>
      <w:numFmt w:val="decimal"/>
      <w:start w:val="15"/>
    </w:lvl>
  </w:abstractNum>
  <w:abstractNum w:abstractNumId="16">
    <w:nsid w:val="189A769B"/>
    <w:multiLevelType w:val="hybridMultilevel"/>
    <w:lvl w:ilvl="0">
      <w:lvlJc w:val="left"/>
      <w:lvlText w:val="%1."/>
      <w:numFmt w:val="decimal"/>
      <w:start w:val="16"/>
    </w:lvl>
  </w:abstractNum>
  <w:abstractNum w:abstractNumId="17">
    <w:nsid w:val="54E49EB4"/>
    <w:multiLevelType w:val="hybridMultilevel"/>
    <w:lvl w:ilvl="0">
      <w:lvlJc w:val="left"/>
      <w:lvlText w:val="%1."/>
      <w:numFmt w:val="decimal"/>
      <w:start w:val="17"/>
    </w:lvl>
  </w:abstractNum>
  <w:abstractNum w:abstractNumId="18">
    <w:nsid w:val="71F32454"/>
    <w:multiLevelType w:val="hybridMultilevel"/>
    <w:lvl w:ilvl="0">
      <w:lvlJc w:val="left"/>
      <w:lvlText w:val="%1."/>
      <w:numFmt w:val="decimal"/>
      <w:start w:val="18"/>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9"/>
    </w:lvl>
  </w:abstractNum>
  <w:abstractNum w:abstractNumId="21">
    <w:nsid w:val="2901D82"/>
    <w:multiLevelType w:val="hybridMultilevel"/>
    <w:lvl w:ilvl="0">
      <w:lvlJc w:val="left"/>
      <w:lvlText w:val="%1."/>
      <w:numFmt w:val="decimal"/>
      <w:start w:val="20"/>
    </w:lvl>
  </w:abstractNum>
  <w:abstractNum w:abstractNumId="22">
    <w:nsid w:val="3A95F874"/>
    <w:multiLevelType w:val="hybridMultilevel"/>
    <w:lvl w:ilvl="0">
      <w:lvlJc w:val="left"/>
      <w:lvlText w:val="(%1)"/>
      <w:numFmt w:val="lowerRoman"/>
      <w:start w:val="2"/>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lvl w:ilvl="1">
      <w:lvlJc w:val="left"/>
      <w:lvlText w:val="%2."/>
      <w:numFmt w:val="lowerLetter"/>
      <w:start w:val="1"/>
    </w:lvl>
  </w:abstractNum>
  <w:abstractNum w:abstractNumId="31">
    <w:nsid w:val="614FD4A1"/>
    <w:multiLevelType w:val="hybridMultilevel"/>
    <w:lvl w:ilvl="0">
      <w:lvlJc w:val="left"/>
      <w:lvlText w:val="%1."/>
      <w:numFmt w:val="decimal"/>
      <w:start w:val="1"/>
    </w:lvl>
    <w:lvl w:ilvl="1">
      <w:lvlJc w:val="left"/>
      <w:lvlText w:val="%2."/>
      <w:numFmt w:val="low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2022-11-04T14:09:08Z</dcterms:created>
  <dcterms:modified xsi:type="dcterms:W3CDTF">2022-11-04T14:09:08Z</dcterms:modified>
</cp:coreProperties>
</file>