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7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-617220</wp:posOffset>
            </wp:positionV>
            <wp:extent cx="57785" cy="6305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055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-617220</wp:posOffset>
            </wp:positionV>
            <wp:extent cx="57785" cy="630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055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731520</wp:posOffset>
            </wp:positionV>
            <wp:extent cx="7047230" cy="4986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986655"/>
                    </a:xfrm>
                    <a:prstGeom prst="rect">
                      <a:avLst/>
                    </a:prstGeom>
                    <a:noFill/>
                  </pic:spPr>
                </pic:pic>
              </a:graphicData>
            </a:graphic>
          </wp:anchor>
        </w:drawing>
      </w:r>
    </w:p>
    <w:p>
      <w:pPr>
        <w:spacing w:after="0" w:line="1203"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JACKSON JEANNE P</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MONSTER WAY</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Monster Beverage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MNST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05/13/2026</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6" w:right="680" w:firstLine="6"/>
        <w:spacing w:after="0" w:line="252"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14"/>
        <w:spacing w:after="0"/>
        <w:tabs>
          <w:tab w:leader="none" w:pos="207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4"/>
        <w:spacing w:after="0"/>
        <w:tabs>
          <w:tab w:leader="none" w:pos="207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7"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CORONA</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92879</w:t>
            </w:r>
          </w:p>
        </w:tc>
      </w:tr>
      <w:tr>
        <w:trPr>
          <w:trHeight w:val="146"/>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4"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4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40" w:type="dxa"/>
            <w:vAlign w:val="bottom"/>
          </w:tcPr>
          <w:p>
            <w:pPr>
              <w:ind w:left="84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3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3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2,748</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05/13/2026</w:t>
            </w:r>
          </w:p>
        </w:tc>
        <w:tc>
          <w:tcPr>
            <w:tcW w:w="1080" w:type="dxa"/>
            <w:vAlign w:val="bottom"/>
          </w:tcPr>
          <w:p>
            <w:pPr>
              <w:spacing w:after="0"/>
              <w:rPr>
                <w:sz w:val="5"/>
                <w:szCs w:val="5"/>
                <w:color w:val="auto"/>
              </w:rPr>
            </w:pPr>
          </w:p>
        </w:tc>
        <w:tc>
          <w:tcPr>
            <w:tcW w:w="78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620" w:type="dxa"/>
            <w:vAlign w:val="bottom"/>
          </w:tcPr>
          <w:p>
            <w:pPr>
              <w:spacing w:after="0"/>
              <w:rPr>
                <w:sz w:val="5"/>
                <w:szCs w:val="5"/>
                <w:color w:val="auto"/>
              </w:rPr>
            </w:pPr>
          </w:p>
        </w:tc>
        <w:tc>
          <w:tcPr>
            <w:tcW w:w="360" w:type="dxa"/>
            <w:vAlign w:val="bottom"/>
            <w:vMerge w:val="restart"/>
          </w:tcPr>
          <w:p>
            <w:pPr>
              <w:ind w:left="20"/>
              <w:spacing w:after="0" w:line="140" w:lineRule="exact"/>
              <w:rPr>
                <w:sz w:val="20"/>
                <w:szCs w:val="20"/>
                <w:color w:val="auto"/>
              </w:rPr>
            </w:pPr>
            <w:r>
              <w:rPr>
                <w:rFonts w:ascii="Times New Roman" w:cs="Times New Roman" w:eastAsia="Times New Roman" w:hAnsi="Times New Roman"/>
                <w:sz w:val="13"/>
                <w:szCs w:val="13"/>
                <w:color w:val="0000FF"/>
              </w:rPr>
              <w:t>2,748</w:t>
            </w:r>
          </w:p>
        </w:tc>
        <w:tc>
          <w:tcPr>
            <w:tcW w:w="78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05/13/2026</w:t>
            </w: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7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2,039</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05/14/2026</w:t>
            </w:r>
          </w:p>
        </w:tc>
        <w:tc>
          <w:tcPr>
            <w:tcW w:w="1080" w:type="dxa"/>
            <w:vAlign w:val="bottom"/>
          </w:tcPr>
          <w:p>
            <w:pPr>
              <w:spacing w:after="0"/>
              <w:rPr>
                <w:sz w:val="5"/>
                <w:szCs w:val="5"/>
                <w:color w:val="auto"/>
              </w:rPr>
            </w:pPr>
          </w:p>
        </w:tc>
        <w:tc>
          <w:tcPr>
            <w:tcW w:w="78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vMerge w:val="restart"/>
          </w:tcPr>
          <w:p>
            <w:pPr>
              <w:jc w:val="right"/>
              <w:ind w:right="122"/>
              <w:spacing w:after="0" w:line="140" w:lineRule="exact"/>
              <w:rPr>
                <w:sz w:val="20"/>
                <w:szCs w:val="20"/>
                <w:color w:val="auto"/>
              </w:rPr>
            </w:pPr>
            <w:r>
              <w:rPr>
                <w:rFonts w:ascii="Times New Roman" w:cs="Times New Roman" w:eastAsia="Times New Roman" w:hAnsi="Times New Roman"/>
                <w:sz w:val="13"/>
                <w:szCs w:val="13"/>
                <w:color w:val="0000FF"/>
              </w:rPr>
              <w:t>2,039</w:t>
            </w:r>
          </w:p>
        </w:tc>
        <w:tc>
          <w:tcPr>
            <w:tcW w:w="3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2,039</w:t>
            </w:r>
          </w:p>
        </w:tc>
        <w:tc>
          <w:tcPr>
            <w:tcW w:w="7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vMerge w:val="restart"/>
          </w:tcPr>
          <w:p>
            <w:pPr>
              <w:jc w:val="center"/>
              <w:ind w:right="42"/>
              <w:spacing w:after="0"/>
              <w:rPr>
                <w:sz w:val="20"/>
                <w:szCs w:val="20"/>
                <w:color w:val="auto"/>
              </w:rPr>
            </w:pPr>
            <w:r>
              <w:rPr>
                <w:rFonts w:ascii="Times New Roman" w:cs="Times New Roman" w:eastAsia="Times New Roman" w:hAnsi="Times New Roman"/>
                <w:sz w:val="13"/>
                <w:szCs w:val="13"/>
                <w:color w:val="0000FF"/>
              </w:rPr>
              <w:t>2,748</w:t>
            </w:r>
            <w:r>
              <w:rPr>
                <w:rFonts w:ascii="Times New Roman" w:cs="Times New Roman" w:eastAsia="Times New Roman" w:hAnsi="Times New Roman"/>
                <w:sz w:val="21"/>
                <w:szCs w:val="21"/>
                <w:color w:val="008000"/>
                <w:vertAlign w:val="superscript"/>
              </w:rPr>
              <w:t>(6)</w:t>
            </w:r>
          </w:p>
        </w:tc>
        <w:tc>
          <w:tcPr>
            <w:tcW w:w="36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2,748</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(1)(6)</w:t>
            </w: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05/13/2026</w:t>
            </w:r>
          </w:p>
        </w:tc>
        <w:tc>
          <w:tcPr>
            <w:tcW w:w="1080" w:type="dxa"/>
            <w:vAlign w:val="bottom"/>
          </w:tcPr>
          <w:p>
            <w:pPr>
              <w:spacing w:after="0"/>
              <w:rPr>
                <w:sz w:val="5"/>
                <w:szCs w:val="5"/>
                <w:color w:val="auto"/>
              </w:rPr>
            </w:pPr>
          </w:p>
        </w:tc>
        <w:tc>
          <w:tcPr>
            <w:tcW w:w="78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rPr>
              <w:t>37,972</w:t>
            </w:r>
          </w:p>
        </w:tc>
        <w:tc>
          <w:tcPr>
            <w:tcW w:w="7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8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either (i) a contingent right to receive one share of the Company's common stock or (ii) a cash amount equal to the number of shares received as of the vesting date. These restricted stock units were settled as shares of common stock and the reporting person has elected to defer the same. See footnote 6 below.</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either (i) a contingent right to receive one share of the Company's common stock or (ii) a cash amount equal to the number of shares received as of the vesting date.</w:t>
      </w:r>
    </w:p>
    <w:p>
      <w:pPr>
        <w:spacing w:after="0" w:line="41" w:lineRule="exact"/>
        <w:rPr>
          <w:rFonts w:ascii="Times New Roman" w:cs="Times New Roman" w:eastAsia="Times New Roman" w:hAnsi="Times New Roman"/>
          <w:sz w:val="13"/>
          <w:szCs w:val="13"/>
          <w:color w:val="008000"/>
        </w:rPr>
      </w:pPr>
    </w:p>
    <w:p>
      <w:pPr>
        <w:ind w:left="40" w:right="20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with respect to 100% of such restricted stock units on the last business day prior to the Company's 2027 annual stockholder meeting, provided that the reporting person continues as a director of the Company through such date.</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deferred stock unit is economically equivalent to one share of the Company's common stock.</w:t>
      </w:r>
    </w:p>
    <w:p>
      <w:pPr>
        <w:spacing w:after="0" w:line="41" w:lineRule="exact"/>
        <w:rPr>
          <w:rFonts w:ascii="Times New Roman" w:cs="Times New Roman" w:eastAsia="Times New Roman" w:hAnsi="Times New Roman"/>
          <w:sz w:val="13"/>
          <w:szCs w:val="13"/>
          <w:color w:val="008000"/>
        </w:rPr>
      </w:pPr>
    </w:p>
    <w:p>
      <w:pPr>
        <w:ind w:left="40" w:right="16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Deferred stock units credited to the reporting person under the Monster Beverage Corporation Deferred Compensation Plan for Non-Employee Directors (the "Deferral Plan"), a sub-plan of the Monster Beverage Corporation 2017 Compensation Plan for Non-Employee Directors as Amended and Restated on February 23, 2022, which may include voluntary deferred compensation.</w:t>
      </w:r>
    </w:p>
    <w:p>
      <w:pPr>
        <w:spacing w:after="0" w:line="20" w:lineRule="exact"/>
        <w:rPr>
          <w:rFonts w:ascii="Times New Roman" w:cs="Times New Roman" w:eastAsia="Times New Roman" w:hAnsi="Times New Roman"/>
          <w:sz w:val="13"/>
          <w:szCs w:val="13"/>
          <w:color w:val="008000"/>
        </w:rPr>
      </w:pPr>
    </w:p>
    <w:p>
      <w:pPr>
        <w:ind w:left="40" w:right="300"/>
        <w:spacing w:after="0" w:line="237"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deferred stock units credited under the Deferral Plan are settled (other than fractional units) in stock and are generally payable in the form elected or provided under the Deferral Plan on the earliest of: (i) a specified date or event designated by the reporting person, (ii) in the calendar year following the year in which the reporting person's service with the Board of Directors of the Company separates, or (iii) upon death, disability or change in control as defined under the Deferral Plan.</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/s/ Paul J. Dechary, Attorney-in- </w:t>
      </w:r>
      <w:r>
        <w:rPr>
          <w:rFonts w:ascii="Times New Roman" w:cs="Times New Roman" w:eastAsia="Times New Roman" w:hAnsi="Times New Roman"/>
          <w:sz w:val="31"/>
          <w:szCs w:val="31"/>
          <w:color w:val="0000FF"/>
          <w:vertAlign w:val="subscript"/>
        </w:rPr>
        <w:t>05/15/2026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-22225</wp:posOffset>
            </wp:positionV>
            <wp:extent cx="180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775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752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179801" TargetMode="External"/><Relationship Id="rId14" Type="http://schemas.openxmlformats.org/officeDocument/2006/relationships/hyperlink" Target="http://www.sec.gov/cgi-bin/browse-edgar?action=getcompany&amp;CIK=00008657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2026-05-15T17:02:44Z</dcterms:created>
  <dcterms:modified xsi:type="dcterms:W3CDTF">2026-05-15T17:02:44Z</dcterms:modified>
</cp:coreProperties>
</file>