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4" w:lineRule="exact"/>
        <w:rPr>
          <w:sz w:val="24"/>
          <w:szCs w:val="24"/>
          <w:color w:val="auto"/>
        </w:rPr>
      </w:pPr>
    </w:p>
    <w:p>
      <w:pPr>
        <w:spacing w:after="0"/>
        <w:tabs>
          <w:tab w:leader="none" w:pos="6660" w:val="left"/>
        </w:tabs>
        <w:rPr>
          <w:sz w:val="20"/>
          <w:szCs w:val="20"/>
          <w:color w:val="auto"/>
        </w:rPr>
      </w:pPr>
      <w:r>
        <w:rPr>
          <w:rFonts w:ascii="Arial" w:cs="Arial" w:eastAsia="Arial" w:hAnsi="Arial"/>
          <w:sz w:val="18"/>
          <w:szCs w:val="18"/>
          <w:color w:val="auto"/>
        </w:rPr>
        <w:t>For the quarterly period ended March 31, 2020</w:t>
      </w:r>
      <w:r>
        <w:rPr>
          <w:sz w:val="20"/>
          <w:szCs w:val="20"/>
          <w:color w:val="auto"/>
        </w:rPr>
        <w:tab/>
      </w:r>
      <w:r>
        <w:rPr>
          <w:rFonts w:ascii="Arial" w:cs="Arial" w:eastAsia="Arial" w:hAnsi="Arial"/>
          <w:sz w:val="16"/>
          <w:szCs w:val="16"/>
          <w:color w:val="auto"/>
        </w:rPr>
        <w:t>Commission File Number 001-18761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Delaware</w:t>
            </w:r>
          </w:p>
        </w:tc>
        <w:tc>
          <w:tcPr>
            <w:tcW w:w="3940" w:type="dxa"/>
            <w:vAlign w:val="bottom"/>
            <w:gridSpan w:val="3"/>
          </w:tcPr>
          <w:p>
            <w:pPr>
              <w:ind w:left="100"/>
              <w:spacing w:after="0"/>
              <w:rPr>
                <w:sz w:val="20"/>
                <w:szCs w:val="20"/>
                <w:color w:val="auto"/>
              </w:rPr>
            </w:pPr>
            <w:r>
              <w:rPr>
                <w:rFonts w:ascii="Arial" w:cs="Arial" w:eastAsia="Arial" w:hAnsi="Arial"/>
                <w:sz w:val="18"/>
                <w:szCs w:val="18"/>
                <w:color w:val="auto"/>
              </w:rPr>
              <w:t>47-1809393</w:t>
            </w:r>
          </w:p>
        </w:tc>
      </w:tr>
      <w:tr>
        <w:trPr>
          <w:trHeight w:val="190"/>
        </w:trPr>
        <w:tc>
          <w:tcPr>
            <w:tcW w:w="2340" w:type="dxa"/>
            <w:vAlign w:val="bottom"/>
          </w:tcPr>
          <w:p>
            <w:pPr>
              <w:spacing w:after="0"/>
              <w:rPr>
                <w:sz w:val="16"/>
                <w:szCs w:val="16"/>
                <w:color w:val="auto"/>
              </w:rPr>
            </w:pPr>
          </w:p>
        </w:tc>
        <w:tc>
          <w:tcPr>
            <w:tcW w:w="3640" w:type="dxa"/>
            <w:vAlign w:val="bottom"/>
            <w:gridSpan w:val="3"/>
          </w:tcPr>
          <w:p>
            <w:pPr>
              <w:ind w:left="200"/>
              <w:spacing w:after="0"/>
              <w:rPr>
                <w:sz w:val="20"/>
                <w:szCs w:val="20"/>
                <w:color w:val="auto"/>
              </w:rPr>
            </w:pPr>
            <w:r>
              <w:rPr>
                <w:rFonts w:ascii="Arial" w:cs="Arial" w:eastAsia="Arial" w:hAnsi="Arial"/>
                <w:sz w:val="14"/>
                <w:szCs w:val="14"/>
                <w:color w:val="auto"/>
              </w:rPr>
              <w:t>(State or other jurisdiction of</w:t>
            </w:r>
          </w:p>
        </w:tc>
        <w:tc>
          <w:tcPr>
            <w:tcW w:w="3940" w:type="dxa"/>
            <w:vAlign w:val="bottom"/>
            <w:gridSpan w:val="3"/>
          </w:tcPr>
          <w:p>
            <w:pPr>
              <w:ind w:left="100"/>
              <w:spacing w:after="0"/>
              <w:rPr>
                <w:sz w:val="20"/>
                <w:szCs w:val="20"/>
                <w:color w:val="auto"/>
              </w:rPr>
            </w:pPr>
            <w:r>
              <w:rPr>
                <w:rFonts w:ascii="Arial" w:cs="Arial" w:eastAsia="Arial" w:hAnsi="Arial"/>
                <w:sz w:val="14"/>
                <w:szCs w:val="14"/>
                <w:color w:val="auto"/>
              </w:rPr>
              <w:t>(I.R.S. Employer</w:t>
            </w:r>
          </w:p>
        </w:tc>
      </w:tr>
      <w:tr>
        <w:trPr>
          <w:trHeight w:val="189"/>
        </w:trPr>
        <w:tc>
          <w:tcPr>
            <w:tcW w:w="2340" w:type="dxa"/>
            <w:vAlign w:val="bottom"/>
          </w:tcPr>
          <w:p>
            <w:pPr>
              <w:spacing w:after="0"/>
              <w:rPr>
                <w:sz w:val="16"/>
                <w:szCs w:val="16"/>
                <w:color w:val="auto"/>
              </w:rPr>
            </w:pPr>
          </w:p>
        </w:tc>
        <w:tc>
          <w:tcPr>
            <w:tcW w:w="3640" w:type="dxa"/>
            <w:vAlign w:val="bottom"/>
            <w:gridSpan w:val="3"/>
          </w:tcPr>
          <w:p>
            <w:pPr>
              <w:ind w:left="200"/>
              <w:spacing w:after="0"/>
              <w:rPr>
                <w:sz w:val="20"/>
                <w:szCs w:val="20"/>
                <w:color w:val="auto"/>
              </w:rPr>
            </w:pPr>
            <w:r>
              <w:rPr>
                <w:rFonts w:ascii="Arial" w:cs="Arial" w:eastAsia="Arial" w:hAnsi="Arial"/>
                <w:sz w:val="14"/>
                <w:szCs w:val="14"/>
                <w:color w:val="auto"/>
              </w:rPr>
              <w:t>incorporation or organization)</w:t>
            </w:r>
          </w:p>
        </w:tc>
        <w:tc>
          <w:tcPr>
            <w:tcW w:w="3940" w:type="dxa"/>
            <w:vAlign w:val="bottom"/>
            <w:gridSpan w:val="3"/>
          </w:tcPr>
          <w:p>
            <w:pPr>
              <w:ind w:left="100"/>
              <w:spacing w:after="0"/>
              <w:rPr>
                <w:sz w:val="20"/>
                <w:szCs w:val="20"/>
                <w:color w:val="auto"/>
              </w:rPr>
            </w:pPr>
            <w:r>
              <w:rPr>
                <w:rFonts w:ascii="Arial" w:cs="Arial" w:eastAsia="Arial" w:hAnsi="Arial"/>
                <w:sz w:val="14"/>
                <w:szCs w:val="14"/>
                <w:color w:val="auto"/>
              </w:rPr>
              <w:t>Identification No.)</w:t>
            </w:r>
          </w:p>
        </w:tc>
      </w:tr>
      <w:tr>
        <w:trPr>
          <w:trHeight w:val="362"/>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Pr>
          <w:p>
            <w:pPr>
              <w:jc w:val="center"/>
              <w:ind w:left="696"/>
              <w:spacing w:after="0"/>
              <w:rPr>
                <w:sz w:val="20"/>
                <w:szCs w:val="20"/>
                <w:color w:val="auto"/>
              </w:rPr>
            </w:pPr>
            <w:r>
              <w:rPr>
                <w:rFonts w:ascii="Arial" w:cs="Arial" w:eastAsia="Arial" w:hAnsi="Arial"/>
                <w:sz w:val="18"/>
                <w:szCs w:val="18"/>
                <w:color w:val="auto"/>
                <w:w w:val="90"/>
              </w:rPr>
              <w:t>1 Monster Way</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tcPr>
          <w:p>
            <w:pPr>
              <w:jc w:val="center"/>
              <w:ind w:left="676"/>
              <w:spacing w:after="0"/>
              <w:rPr>
                <w:sz w:val="20"/>
                <w:szCs w:val="20"/>
                <w:color w:val="auto"/>
              </w:rPr>
            </w:pPr>
            <w:r>
              <w:rPr>
                <w:rFonts w:ascii="Arial" w:cs="Arial" w:eastAsia="Arial" w:hAnsi="Arial"/>
                <w:sz w:val="18"/>
                <w:szCs w:val="18"/>
                <w:color w:val="auto"/>
                <w:w w:val="91"/>
              </w:rPr>
              <w:t>Corona, California 92879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40" w:type="dxa"/>
            <w:vAlign w:val="bottom"/>
            <w:gridSpan w:val="4"/>
          </w:tcPr>
          <w:p>
            <w:pPr>
              <w:jc w:val="center"/>
              <w:ind w:right="3090"/>
              <w:spacing w:after="0"/>
              <w:rPr>
                <w:sz w:val="20"/>
                <w:szCs w:val="20"/>
                <w:color w:val="auto"/>
              </w:rPr>
            </w:pPr>
            <w:r>
              <w:rPr>
                <w:rFonts w:ascii="Arial" w:cs="Arial" w:eastAsia="Arial" w:hAnsi="Arial"/>
                <w:sz w:val="14"/>
                <w:szCs w:val="14"/>
                <w:color w:val="auto"/>
                <w:w w:val="95"/>
              </w:rPr>
              <w:t>(Address of principal executive offices) (Zip code)</w:t>
            </w:r>
          </w:p>
        </w:tc>
      </w:tr>
      <w:tr>
        <w:trPr>
          <w:trHeight w:val="317"/>
        </w:trPr>
        <w:tc>
          <w:tcPr>
            <w:tcW w:w="2340" w:type="dxa"/>
            <w:vAlign w:val="bottom"/>
          </w:tcPr>
          <w:p>
            <w:pPr>
              <w:spacing w:after="0"/>
              <w:rPr>
                <w:sz w:val="24"/>
                <w:szCs w:val="24"/>
                <w:color w:val="auto"/>
              </w:rPr>
            </w:pPr>
          </w:p>
        </w:tc>
        <w:tc>
          <w:tcPr>
            <w:tcW w:w="3640" w:type="dxa"/>
            <w:vAlign w:val="bottom"/>
            <w:gridSpan w:val="3"/>
          </w:tcPr>
          <w:p>
            <w:pPr>
              <w:jc w:val="center"/>
              <w:ind w:left="1539"/>
              <w:spacing w:after="0"/>
              <w:rPr>
                <w:sz w:val="20"/>
                <w:szCs w:val="20"/>
                <w:color w:val="auto"/>
              </w:rPr>
            </w:pPr>
            <w:r>
              <w:rPr>
                <w:rFonts w:ascii="Arial" w:cs="Arial" w:eastAsia="Arial" w:hAnsi="Arial"/>
                <w:sz w:val="18"/>
                <w:szCs w:val="18"/>
                <w:color w:val="auto"/>
                <w:w w:val="91"/>
              </w:rPr>
              <w:t>(951) 739 - 6200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82"/>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740" w:type="dxa"/>
            <w:vAlign w:val="bottom"/>
            <w:gridSpan w:val="4"/>
          </w:tcPr>
          <w:p>
            <w:pPr>
              <w:jc w:val="center"/>
              <w:ind w:right="3090"/>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336"/>
        </w:trPr>
        <w:tc>
          <w:tcPr>
            <w:tcW w:w="5980" w:type="dxa"/>
            <w:vAlign w:val="bottom"/>
            <w:gridSpan w:val="4"/>
          </w:tcPr>
          <w:p>
            <w:pPr>
              <w:ind w:left="660"/>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351"/>
        </w:trPr>
        <w:tc>
          <w:tcPr>
            <w:tcW w:w="234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90"/>
              </w:rPr>
              <w:t>Title of each class</w:t>
            </w: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2"/>
              </w:rPr>
              <w:t>Trading Symbol(s)</w:t>
            </w: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340" w:type="dxa"/>
            <w:vAlign w:val="bottom"/>
          </w:tcPr>
          <w:p>
            <w:pPr>
              <w:jc w:val="center"/>
              <w:ind w:left="570"/>
              <w:spacing w:after="0"/>
              <w:rPr>
                <w:sz w:val="20"/>
                <w:szCs w:val="20"/>
                <w:color w:val="auto"/>
              </w:rPr>
            </w:pPr>
            <w:r>
              <w:rPr>
                <w:rFonts w:ascii="Arial" w:cs="Arial" w:eastAsia="Arial" w:hAnsi="Arial"/>
                <w:sz w:val="18"/>
                <w:szCs w:val="18"/>
                <w:color w:val="auto"/>
                <w:w w:val="90"/>
              </w:rPr>
              <w:t>Common Stock</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tcPr>
          <w:p>
            <w:pPr>
              <w:jc w:val="center"/>
              <w:ind w:left="96"/>
              <w:spacing w:after="0"/>
              <w:rPr>
                <w:sz w:val="20"/>
                <w:szCs w:val="20"/>
                <w:color w:val="auto"/>
              </w:rPr>
            </w:pPr>
            <w:r>
              <w:rPr>
                <w:rFonts w:ascii="Arial" w:cs="Arial" w:eastAsia="Arial" w:hAnsi="Arial"/>
                <w:sz w:val="18"/>
                <w:szCs w:val="18"/>
                <w:color w:val="auto"/>
                <w:w w:val="97"/>
              </w:rPr>
              <w:t>MNST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0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3"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No ___</w:t>
      </w:r>
    </w:p>
    <w:p>
      <w:pPr>
        <w:spacing w:after="0" w:line="14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5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101" w:lineRule="exact"/>
        <w:rPr>
          <w:sz w:val="24"/>
          <w:szCs w:val="24"/>
          <w:color w:val="auto"/>
        </w:r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-10160</wp:posOffset>
            </wp:positionV>
            <wp:extent cx="168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275" cy="8890"/>
                    </a:xfrm>
                    <a:prstGeom prst="rect">
                      <a:avLst/>
                    </a:prstGeom>
                    <a:noFill/>
                  </pic:spPr>
                </pic:pic>
              </a:graphicData>
            </a:graphic>
          </wp:anchor>
        </w:drawing>
      </w:r>
    </w:p>
    <w:p>
      <w:pPr>
        <w:spacing w:after="0" w:line="138"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The registrant had 526,563,592 shares of common stock, par value $0.005 per share, outstanding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640715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126365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109220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160" w:type="dxa"/>
            <w:vAlign w:val="bottom"/>
            <w:gridSpan w:val="1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715"/>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760" w:type="dxa"/>
            <w:vAlign w:val="bottom"/>
            <w:gridSpan w:val="8"/>
          </w:tcPr>
          <w:p>
            <w:pPr>
              <w:jc w:val="center"/>
              <w:ind w:right="1640"/>
              <w:spacing w:after="0"/>
              <w:rPr>
                <w:sz w:val="20"/>
                <w:szCs w:val="20"/>
                <w:color w:val="auto"/>
              </w:rPr>
            </w:pPr>
            <w:r>
              <w:rPr>
                <w:rFonts w:ascii="Arial" w:cs="Arial" w:eastAsia="Arial" w:hAnsi="Arial"/>
                <w:sz w:val="18"/>
                <w:szCs w:val="18"/>
                <w:b w:val="1"/>
                <w:bCs w:val="1"/>
                <w:color w:val="auto"/>
                <w:w w:val="99"/>
              </w:rPr>
              <w:t>MONSTER BEVERAGE CORPORATION AND SUBSIDIARIES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7"/>
              </w:rPr>
              <w:t>MARCH 31, 2020</w:t>
            </w:r>
          </w:p>
        </w:tc>
        <w:tc>
          <w:tcPr>
            <w:tcW w:w="1860" w:type="dxa"/>
            <w:vAlign w:val="bottom"/>
            <w:tcBorders>
              <w:top w:val="single" w:sz="8" w:color="auto"/>
            </w:tcBorders>
          </w:tcPr>
          <w:p>
            <w:pPr>
              <w:spacing w:after="0"/>
              <w:rPr>
                <w:sz w:val="17"/>
                <w:szCs w:val="17"/>
                <w:color w:val="auto"/>
              </w:rPr>
            </w:pPr>
          </w:p>
        </w:tc>
        <w:tc>
          <w:tcPr>
            <w:tcW w:w="16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12"/>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9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08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8080" w:type="dxa"/>
            <w:vAlign w:val="bottom"/>
            <w:gridSpan w:val="11"/>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Page No.</w:t>
            </w:r>
          </w:p>
        </w:tc>
      </w:tr>
      <w:tr>
        <w:trPr>
          <w:trHeight w:val="453"/>
        </w:trPr>
        <w:tc>
          <w:tcPr>
            <w:tcW w:w="10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08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u w:val="single" w:color="auto"/>
                <w:color w:val="0000EE"/>
                <w:w w:val="97"/>
              </w:rPr>
            </w:pPr>
            <w:hyperlink w:anchor="page4">
              <w:r>
                <w:rPr>
                  <w:rFonts w:ascii="Arial" w:cs="Arial" w:eastAsia="Arial" w:hAnsi="Arial"/>
                  <w:sz w:val="18"/>
                  <w:szCs w:val="18"/>
                  <w:u w:val="single" w:color="auto"/>
                  <w:color w:val="0000EE"/>
                  <w:w w:val="97"/>
                </w:rPr>
                <w:t>Condensed Consolidated Statements of Income for the Three-Months Ended March 31, 2020 and 2019</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91"/>
        </w:trPr>
        <w:tc>
          <w:tcPr>
            <w:tcW w:w="1080" w:type="dxa"/>
            <w:vAlign w:val="bottom"/>
          </w:tcPr>
          <w:p>
            <w:pPr>
              <w:spacing w:after="0"/>
              <w:rPr>
                <w:sz w:val="24"/>
                <w:szCs w:val="24"/>
                <w:color w:val="auto"/>
              </w:rPr>
            </w:pPr>
          </w:p>
        </w:tc>
        <w:tc>
          <w:tcPr>
            <w:tcW w:w="80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Three-Months Ended March 31, 2020</w:t>
              </w:r>
            </w:hyperlink>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8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2019</w:t>
              </w:r>
            </w:hyperlink>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Stockholders’ Equity for the Three-Months Ended March 31, 2020 and</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3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453"/>
        </w:trPr>
        <w:tc>
          <w:tcPr>
            <w:tcW w:w="108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u w:val="single" w:color="auto"/>
                <w:color w:val="0000EE"/>
                <w:w w:val="93"/>
              </w:rPr>
            </w:pPr>
            <w:hyperlink w:anchor="page7">
              <w:r>
                <w:rPr>
                  <w:rFonts w:ascii="Arial" w:cs="Arial" w:eastAsia="Arial" w:hAnsi="Arial"/>
                  <w:sz w:val="18"/>
                  <w:szCs w:val="18"/>
                  <w:u w:val="single" w:color="auto"/>
                  <w:color w:val="0000EE"/>
                  <w:w w:val="93"/>
                </w:rPr>
                <w:t>Condensed Consolidated Statements of Cash Flows for the Three-Months Ended March 31, 2020 and 2019</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08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3.</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Quantitative and Qualitative Disclosures About Market Risk</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Controls and Procedures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080" w:type="dxa"/>
            <w:vAlign w:val="bottom"/>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w:t>
              </w:r>
            </w:hyperlink>
          </w:p>
        </w:tc>
        <w:tc>
          <w:tcPr>
            <w:tcW w:w="8080" w:type="dxa"/>
            <w:vAlign w:val="bottom"/>
            <w:gridSpan w:val="11"/>
          </w:tcPr>
          <w:p>
            <w:pPr>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OTHER INFORMATION</w:t>
              </w:r>
            </w:hyperlink>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Proceedings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080" w:type="dxa"/>
            <w:vAlign w:val="bottom"/>
          </w:tcPr>
          <w:p>
            <w:pPr>
              <w:spacing w:after="0"/>
              <w:rPr>
                <w:rFonts w:ascii="Arial" w:cs="Arial" w:eastAsia="Arial" w:hAnsi="Arial"/>
                <w:sz w:val="18"/>
                <w:szCs w:val="18"/>
                <w:color w:val="0000EE"/>
              </w:rPr>
            </w:pPr>
            <w:hyperlink w:anchor="page43">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Risk Factors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Unregistered Sales of Equity Securities and Use of Proceeds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3.</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Defaults Upon Senior Securities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4.</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Mine Safety Disclosures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Item 5.</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Other Information</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0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6.</w:t>
              </w:r>
            </w:hyperlink>
          </w:p>
        </w:tc>
        <w:tc>
          <w:tcPr>
            <w:tcW w:w="8080" w:type="dxa"/>
            <w:vAlign w:val="bottom"/>
            <w:gridSpan w:val="11"/>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080" w:type="dxa"/>
            <w:vAlign w:val="bottom"/>
          </w:tcPr>
          <w:p>
            <w:pPr>
              <w:spacing w:after="0"/>
              <w:rPr>
                <w:sz w:val="24"/>
                <w:szCs w:val="24"/>
                <w:color w:val="auto"/>
              </w:rPr>
            </w:pPr>
          </w:p>
        </w:tc>
        <w:tc>
          <w:tcPr>
            <w:tcW w:w="8080" w:type="dxa"/>
            <w:vAlign w:val="bottom"/>
            <w:gridSpan w:val="11"/>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7" w:lineRule="auto"/>
        <w:rPr>
          <w:sz w:val="20"/>
          <w:szCs w:val="20"/>
          <w:color w:val="auto"/>
        </w:rPr>
      </w:pPr>
      <w:r>
        <w:rPr>
          <w:rFonts w:ascii="Arial" w:cs="Arial" w:eastAsia="Arial" w:hAnsi="Arial"/>
          <w:sz w:val="18"/>
          <w:szCs w:val="18"/>
          <w:b w:val="1"/>
          <w:bCs w:val="1"/>
          <w:color w:val="auto"/>
        </w:rPr>
        <w:t>MONSTER BEVERAGE CORPORATION AND SUBSIDIARIES CONDENSED CONSOLIDATED BALANCE SHEETS AS OF MARCH 31, 2020 AND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78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jc w:val="center"/>
              <w:ind w:right="3280"/>
              <w:spacing w:after="0" w:line="158" w:lineRule="exact"/>
              <w:rPr>
                <w:sz w:val="20"/>
                <w:szCs w:val="20"/>
                <w:color w:val="auto"/>
              </w:rPr>
            </w:pPr>
            <w:r>
              <w:rPr>
                <w:rFonts w:ascii="Arial" w:cs="Arial" w:eastAsia="Arial" w:hAnsi="Arial"/>
                <w:sz w:val="16"/>
                <w:szCs w:val="16"/>
                <w:b w:val="1"/>
                <w:bCs w:val="1"/>
                <w:color w:val="auto"/>
                <w:w w:val="93"/>
              </w:rPr>
              <w:t>ASSETS</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CURRENT ASSETS:</w:t>
            </w:r>
          </w:p>
        </w:tc>
        <w:tc>
          <w:tcPr>
            <w:tcW w:w="600" w:type="dxa"/>
            <w:vAlign w:val="bottom"/>
            <w:tcBorders>
              <w:top w:val="single" w:sz="8" w:color="auto"/>
            </w:tcBorders>
          </w:tcPr>
          <w:p>
            <w:pPr>
              <w:spacing w:after="0"/>
              <w:rPr>
                <w:sz w:val="17"/>
                <w:szCs w:val="17"/>
                <w:color w:val="auto"/>
              </w:rPr>
            </w:pPr>
          </w:p>
        </w:tc>
        <w:tc>
          <w:tcPr>
            <w:tcW w:w="3280" w:type="dxa"/>
            <w:vAlign w:val="bottom"/>
            <w:tcBorders>
              <w:top w:val="single" w:sz="8" w:color="CCEEFF"/>
            </w:tcBorders>
            <w:gridSpan w:val="2"/>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701,836</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233,513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533,063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670,570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352,305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360,731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71,865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Prepaid income taxes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2,048,722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2,316,309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13,922</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295,570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INCOME TAXES,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1,331,643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1,053,107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5340" w:type="dxa"/>
            <w:vAlign w:val="bottom"/>
            <w:tcBorders>
              <w:bottom w:val="single" w:sz="8" w:color="CCEEFF"/>
            </w:tcBorders>
            <w:gridSpan w:val="4"/>
            <w:shd w:val="clear" w:color="auto" w:fill="CCEEFF"/>
          </w:tcPr>
          <w:p>
            <w:pPr>
              <w:jc w:val="center"/>
              <w:ind w:right="1820"/>
              <w:spacing w:after="0"/>
              <w:rPr>
                <w:sz w:val="20"/>
                <w:szCs w:val="20"/>
                <w:color w:val="auto"/>
              </w:rPr>
            </w:pPr>
            <w:r>
              <w:rPr>
                <w:rFonts w:ascii="Arial" w:cs="Arial" w:eastAsia="Arial" w:hAnsi="Arial"/>
                <w:sz w:val="16"/>
                <w:szCs w:val="16"/>
                <w:b w:val="1"/>
                <w:bCs w:val="1"/>
                <w:color w:val="auto"/>
                <w:w w:val="88"/>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4,881,497</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auto"/>
            </w:tcBorders>
            <w:gridSpan w:val="3"/>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18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305,529</w:t>
            </w:r>
          </w:p>
        </w:tc>
        <w:tc>
          <w:tcPr>
            <w:tcW w:w="220" w:type="dxa"/>
            <w:vAlign w:val="bottom"/>
            <w:shd w:val="clear" w:color="auto" w:fill="CCEEFF"/>
          </w:tcPr>
          <w:p>
            <w:pPr>
              <w:spacing w:after="0"/>
              <w:rPr>
                <w:sz w:val="17"/>
                <w:szCs w:val="17"/>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145,224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Accrued promotional allowances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171,406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44,844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Income taxes payable</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12,711</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701,541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661,097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278,393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287,469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w w:val="92"/>
              </w:rPr>
              <w:t>Common stock - $0.005 par value; 1,250,000 shares authorized; 637,104 shares issued and 526,839 shares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ind w:left="120"/>
              <w:spacing w:after="0"/>
              <w:rPr>
                <w:sz w:val="20"/>
                <w:szCs w:val="20"/>
                <w:color w:val="auto"/>
              </w:rPr>
            </w:pPr>
            <w:r>
              <w:rPr>
                <w:rFonts w:ascii="Arial" w:cs="Arial" w:eastAsia="Arial" w:hAnsi="Arial"/>
                <w:sz w:val="16"/>
                <w:szCs w:val="16"/>
                <w:color w:val="auto"/>
                <w:w w:val="92"/>
              </w:rPr>
              <w:t>outstanding as of March 31, 2020; 636,460 shares issued and 536,698 shares outstanding as of December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0" w:type="dxa"/>
            <w:vAlign w:val="bottom"/>
            <w:gridSpan w:val="2"/>
          </w:tcPr>
          <w:p>
            <w:pPr>
              <w:ind w:left="140"/>
              <w:spacing w:after="0"/>
              <w:rPr>
                <w:sz w:val="20"/>
                <w:szCs w:val="20"/>
                <w:color w:val="auto"/>
              </w:rPr>
            </w:pPr>
            <w:r>
              <w:rPr>
                <w:rFonts w:ascii="Arial" w:cs="Arial" w:eastAsia="Arial" w:hAnsi="Arial"/>
                <w:sz w:val="16"/>
                <w:szCs w:val="16"/>
                <w:color w:val="auto"/>
              </w:rPr>
              <w:t>31, 2019</w:t>
            </w:r>
          </w:p>
        </w:tc>
        <w:tc>
          <w:tcPr>
            <w:tcW w:w="1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4,428,580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5,301,315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5,022,480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(62,682)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gridSpan w:val="5"/>
          </w:tcPr>
          <w:p>
            <w:pPr>
              <w:spacing w:after="0"/>
              <w:rPr>
                <w:sz w:val="20"/>
                <w:szCs w:val="20"/>
                <w:color w:val="auto"/>
              </w:rPr>
            </w:pPr>
            <w:r>
              <w:rPr>
                <w:rFonts w:ascii="Arial" w:cs="Arial" w:eastAsia="Arial" w:hAnsi="Arial"/>
                <w:sz w:val="16"/>
                <w:szCs w:val="16"/>
                <w:color w:val="auto"/>
                <w:w w:val="93"/>
              </w:rPr>
              <w:t>Common stock in treasury, at cost; 110,265 shares and 99,762 shares as of March 31, 2020 and December</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gridSpan w:val="5"/>
          </w:tcPr>
          <w:p>
            <w:pPr>
              <w:ind w:left="120"/>
              <w:spacing w:after="0"/>
              <w:rPr>
                <w:sz w:val="20"/>
                <w:szCs w:val="20"/>
                <w:color w:val="auto"/>
              </w:rPr>
            </w:pPr>
            <w:r>
              <w:rPr>
                <w:rFonts w:ascii="Arial" w:cs="Arial" w:eastAsia="Arial" w:hAnsi="Arial"/>
                <w:sz w:val="16"/>
                <w:szCs w:val="16"/>
                <w:color w:val="auto"/>
              </w:rPr>
              <w:t>31, 2019, respectively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(5,799,453)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(5,219,505)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20" w:type="dxa"/>
            <w:vAlign w:val="bottom"/>
            <w:tcBorders>
              <w:top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3,870,946</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4,171,281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340" w:type="dxa"/>
            <w:vAlign w:val="bottom"/>
            <w:gridSpan w:val="4"/>
          </w:tcPr>
          <w:p>
            <w:pPr>
              <w:jc w:val="center"/>
              <w:ind w:right="182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4,881,497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64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INCOME FOR THE THREE-MONTHS ENDED MARCH 31, 2020 AND 2019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1,062,097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424,901</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372,459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637,196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272,208</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364,988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87,025</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278,835</w:t>
            </w: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0.52</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WEIGHTED AVERAGE NUMBER OF SHARES OF COMMON STOCK AND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-273050</wp:posOffset>
            </wp:positionV>
            <wp:extent cx="6292215"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62560"/>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536,061</w:t>
      </w:r>
      <w:r>
        <w:rPr>
          <w:sz w:val="20"/>
          <w:szCs w:val="20"/>
          <w:color w:val="auto"/>
        </w:rPr>
        <w:tab/>
      </w:r>
      <w:r>
        <w:rPr>
          <w:rFonts w:ascii="Arial" w:cs="Arial" w:eastAsia="Arial" w:hAnsi="Arial"/>
          <w:sz w:val="16"/>
          <w:szCs w:val="16"/>
          <w:color w:val="auto"/>
        </w:rPr>
        <w:t>542,768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29210</wp:posOffset>
            </wp:positionV>
            <wp:extent cx="1499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53" w:lineRule="exact"/>
        <w:rPr>
          <w:sz w:val="20"/>
          <w:szCs w:val="20"/>
          <w:color w:val="auto"/>
        </w:rPr>
      </w:pPr>
    </w:p>
    <w:p>
      <w:pPr>
        <w:spacing w:after="0"/>
        <w:tabs>
          <w:tab w:leader="none" w:pos="1300" w:val="left"/>
        </w:tabs>
        <w:rPr>
          <w:sz w:val="20"/>
          <w:szCs w:val="20"/>
          <w:color w:val="auto"/>
        </w:rPr>
      </w:pPr>
      <w:r>
        <w:rPr>
          <w:rFonts w:ascii="Arial" w:cs="Arial" w:eastAsia="Arial" w:hAnsi="Arial"/>
          <w:sz w:val="16"/>
          <w:szCs w:val="16"/>
          <w:color w:val="auto"/>
        </w:rPr>
        <w:t>540,518</w:t>
      </w:r>
      <w:r>
        <w:rPr>
          <w:sz w:val="20"/>
          <w:szCs w:val="20"/>
          <w:color w:val="auto"/>
        </w:rPr>
        <w:tab/>
      </w:r>
      <w:r>
        <w:rPr>
          <w:rFonts w:ascii="Arial" w:cs="Arial" w:eastAsia="Arial" w:hAnsi="Arial"/>
          <w:sz w:val="16"/>
          <w:szCs w:val="16"/>
          <w:color w:val="auto"/>
        </w:rPr>
        <w:t>548,273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46355</wp:posOffset>
            </wp:positionV>
            <wp:extent cx="1499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7240" w:space="720"/>
            <w:col w:w="1960"/>
          </w:cols>
          <w:pgMar w:left="980" w:top="665" w:right="99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7" w:lineRule="exact"/>
        <w:rPr>
          <w:sz w:val="20"/>
          <w:szCs w:val="20"/>
          <w:color w:val="auto"/>
        </w:rPr>
      </w:pPr>
    </w:p>
    <w:p>
      <w:pPr>
        <w:ind w:right="3280"/>
        <w:spacing w:after="0" w:line="255" w:lineRule="auto"/>
        <w:rPr>
          <w:sz w:val="20"/>
          <w:szCs w:val="20"/>
          <w:color w:val="auto"/>
        </w:rPr>
      </w:pPr>
      <w:r>
        <w:rPr>
          <w:rFonts w:ascii="Arial" w:cs="Arial" w:eastAsia="Arial" w:hAnsi="Arial"/>
          <w:sz w:val="18"/>
          <w:szCs w:val="18"/>
          <w:b w:val="1"/>
          <w:bCs w:val="1"/>
          <w:color w:val="auto"/>
        </w:rPr>
        <w:t>CONDENSED CONSOLIDATED STATEMENTS OF COMPREHENSIVE INCOME FOR THE THREE-MONTHS ENDED MARCH 31,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4"/>
              </w:rPr>
              <w:t>Three-Months Ended</w:t>
            </w:r>
          </w:p>
        </w:tc>
      </w:tr>
      <w:tr>
        <w:trPr>
          <w:trHeight w:val="234"/>
        </w:trPr>
        <w:tc>
          <w:tcPr>
            <w:tcW w:w="7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660" w:type="dxa"/>
            <w:vAlign w:val="bottom"/>
            <w:tcBorders>
              <w:bottom w:val="single" w:sz="8" w:color="auto"/>
            </w:tcBorders>
          </w:tcPr>
          <w:p>
            <w:pPr>
              <w:spacing w:after="0"/>
              <w:rPr>
                <w:sz w:val="20"/>
                <w:szCs w:val="20"/>
                <w:color w:val="auto"/>
              </w:rPr>
            </w:pPr>
          </w:p>
        </w:tc>
      </w:tr>
      <w:tr>
        <w:trPr>
          <w:trHeight w:val="209"/>
        </w:trPr>
        <w:tc>
          <w:tcPr>
            <w:tcW w:w="7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261,485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r>
      <w:tr>
        <w:trPr>
          <w:trHeight w:val="216"/>
        </w:trPr>
        <w:tc>
          <w:tcPr>
            <w:tcW w:w="786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gains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9"/>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r>
      <w:tr>
        <w:trPr>
          <w:trHeight w:val="209"/>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260,224</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MONSTER BEVERAGE CORPORATION AND SUBSIDIARIES</w:t>
      </w:r>
    </w:p>
    <w:p>
      <w:pPr>
        <w:spacing w:after="0" w:line="2" w:lineRule="exact"/>
        <w:rPr>
          <w:sz w:val="20"/>
          <w:szCs w:val="20"/>
          <w:color w:val="auto"/>
        </w:rPr>
      </w:pPr>
    </w:p>
    <w:p>
      <w:pPr>
        <w:ind w:right="3380"/>
        <w:spacing w:after="0" w:line="228" w:lineRule="auto"/>
        <w:rPr>
          <w:sz w:val="20"/>
          <w:szCs w:val="20"/>
          <w:color w:val="auto"/>
        </w:rPr>
      </w:pPr>
      <w:r>
        <w:rPr>
          <w:rFonts w:ascii="Arial" w:cs="Arial" w:eastAsia="Arial" w:hAnsi="Arial"/>
          <w:sz w:val="18"/>
          <w:szCs w:val="18"/>
          <w:b w:val="1"/>
          <w:bCs w:val="1"/>
          <w:color w:val="auto"/>
        </w:rPr>
        <w:t>CONDENSED CONSOLIDATED STATEMENTS OF STOCKHOLDERS’ EQUITY FOR THE THREE-MONTHS ENDED MARCH 31,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7"/>
          </w:tcPr>
          <w:p>
            <w:pPr>
              <w:ind w:left="140"/>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8"/>
                <w:szCs w:val="18"/>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Paid-in</w:t>
            </w:r>
          </w:p>
        </w:tc>
        <w:tc>
          <w:tcPr>
            <w:tcW w:w="20" w:type="dxa"/>
            <w:vAlign w:val="bottom"/>
          </w:tcPr>
          <w:p>
            <w:pPr>
              <w:spacing w:after="0"/>
              <w:rPr>
                <w:sz w:val="18"/>
                <w:szCs w:val="18"/>
                <w:color w:val="auto"/>
              </w:rPr>
            </w:pPr>
          </w:p>
        </w:tc>
        <w:tc>
          <w:tcPr>
            <w:tcW w:w="980" w:type="dxa"/>
            <w:vAlign w:val="bottom"/>
            <w:gridSpan w:val="3"/>
          </w:tcPr>
          <w:p>
            <w:pPr>
              <w:ind w:left="100"/>
              <w:spacing w:after="0"/>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Arial" w:cs="Arial" w:eastAsia="Arial" w:hAnsi="Arial"/>
                <w:sz w:val="16"/>
                <w:szCs w:val="16"/>
                <w:b w:val="1"/>
                <w:bCs w:val="1"/>
                <w:color w:val="auto"/>
              </w:rPr>
              <w:t>Comprehensive</w:t>
            </w:r>
          </w:p>
        </w:tc>
        <w:tc>
          <w:tcPr>
            <w:tcW w:w="20" w:type="dxa"/>
            <w:vAlign w:val="bottom"/>
          </w:tcPr>
          <w:p>
            <w:pPr>
              <w:spacing w:after="0"/>
              <w:rPr>
                <w:sz w:val="18"/>
                <w:szCs w:val="18"/>
                <w:color w:val="auto"/>
              </w:rPr>
            </w:pPr>
          </w:p>
        </w:tc>
        <w:tc>
          <w:tcPr>
            <w:tcW w:w="1800" w:type="dxa"/>
            <w:vAlign w:val="bottom"/>
            <w:gridSpan w:val="7"/>
          </w:tcPr>
          <w:p>
            <w:pPr>
              <w:ind w:left="34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Shares</w:t>
            </w: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Amount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Capital</w:t>
            </w:r>
          </w:p>
        </w:tc>
        <w:tc>
          <w:tcPr>
            <w:tcW w:w="20" w:type="dxa"/>
            <w:vAlign w:val="bottom"/>
          </w:tcPr>
          <w:p>
            <w:pPr>
              <w:spacing w:after="0"/>
              <w:rPr>
                <w:sz w:val="17"/>
                <w:szCs w:val="17"/>
                <w:color w:val="auto"/>
              </w:rPr>
            </w:pPr>
          </w:p>
        </w:tc>
        <w:tc>
          <w:tcPr>
            <w:tcW w:w="98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Shares</w:t>
            </w: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636,460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$ 3,182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$ 4,397,511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$ 5,022,480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(32,387)</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(99,762)</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(5,219,505)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13,971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net on</w:t>
            </w: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(10,503)</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(579,948)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(30,599)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278,835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637,104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3"/>
              </w:rPr>
              <w:t>$ 3,186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$ 4,428,580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$ 5,301,315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(62,682)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6"/>
              </w:rPr>
              <w:t>(110,265)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(5,799,453)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3,870,946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7"/>
          </w:tcPr>
          <w:p>
            <w:pPr>
              <w:ind w:left="140"/>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8"/>
                <w:szCs w:val="18"/>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Paid-in</w:t>
            </w:r>
          </w:p>
        </w:tc>
        <w:tc>
          <w:tcPr>
            <w:tcW w:w="20" w:type="dxa"/>
            <w:vAlign w:val="bottom"/>
          </w:tcPr>
          <w:p>
            <w:pPr>
              <w:spacing w:after="0"/>
              <w:rPr>
                <w:sz w:val="18"/>
                <w:szCs w:val="18"/>
                <w:color w:val="auto"/>
              </w:rPr>
            </w:pPr>
          </w:p>
        </w:tc>
        <w:tc>
          <w:tcPr>
            <w:tcW w:w="980" w:type="dxa"/>
            <w:vAlign w:val="bottom"/>
            <w:gridSpan w:val="3"/>
          </w:tcPr>
          <w:p>
            <w:pPr>
              <w:ind w:left="100"/>
              <w:spacing w:after="0"/>
              <w:rPr>
                <w:sz w:val="20"/>
                <w:szCs w:val="20"/>
                <w:color w:val="auto"/>
              </w:rPr>
            </w:pPr>
            <w:r>
              <w:rPr>
                <w:rFonts w:ascii="Arial" w:cs="Arial" w:eastAsia="Arial" w:hAnsi="Arial"/>
                <w:sz w:val="16"/>
                <w:szCs w:val="16"/>
                <w:b w:val="1"/>
                <w:bCs w:val="1"/>
                <w:color w:val="auto"/>
              </w:rPr>
              <w:t>Retained</w:t>
            </w:r>
          </w:p>
        </w:tc>
        <w:tc>
          <w:tcPr>
            <w:tcW w:w="20" w:type="dxa"/>
            <w:vAlign w:val="bottom"/>
          </w:tcPr>
          <w:p>
            <w:pPr>
              <w:spacing w:after="0"/>
              <w:rPr>
                <w:sz w:val="18"/>
                <w:szCs w:val="18"/>
                <w:color w:val="auto"/>
              </w:rPr>
            </w:pPr>
          </w:p>
        </w:tc>
        <w:tc>
          <w:tcPr>
            <w:tcW w:w="12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20" w:type="dxa"/>
            <w:vAlign w:val="bottom"/>
          </w:tcPr>
          <w:p>
            <w:pPr>
              <w:spacing w:after="0"/>
              <w:rPr>
                <w:sz w:val="18"/>
                <w:szCs w:val="18"/>
                <w:color w:val="auto"/>
              </w:rPr>
            </w:pPr>
          </w:p>
        </w:tc>
        <w:tc>
          <w:tcPr>
            <w:tcW w:w="1800" w:type="dxa"/>
            <w:vAlign w:val="bottom"/>
            <w:gridSpan w:val="7"/>
          </w:tcPr>
          <w:p>
            <w:pPr>
              <w:ind w:left="34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Shares</w:t>
            </w:r>
          </w:p>
        </w:tc>
        <w:tc>
          <w:tcPr>
            <w:tcW w:w="58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9"/>
              </w:rPr>
              <w:t>Amount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7"/>
              </w:rPr>
              <w:t>Capital</w:t>
            </w:r>
          </w:p>
        </w:tc>
        <w:tc>
          <w:tcPr>
            <w:tcW w:w="20" w:type="dxa"/>
            <w:vAlign w:val="bottom"/>
          </w:tcPr>
          <w:p>
            <w:pPr>
              <w:spacing w:after="0"/>
              <w:rPr>
                <w:sz w:val="17"/>
                <w:szCs w:val="17"/>
                <w:color w:val="auto"/>
              </w:rPr>
            </w:pPr>
          </w:p>
        </w:tc>
        <w:tc>
          <w:tcPr>
            <w:tcW w:w="98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20" w:type="dxa"/>
            <w:vAlign w:val="bottom"/>
          </w:tcPr>
          <w:p>
            <w:pPr>
              <w:spacing w:after="0"/>
              <w:rPr>
                <w:sz w:val="17"/>
                <w:szCs w:val="17"/>
                <w:color w:val="auto"/>
              </w:rPr>
            </w:pPr>
          </w:p>
        </w:tc>
        <w:tc>
          <w:tcPr>
            <w:tcW w:w="82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Shares</w:t>
            </w: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Amount</w:t>
            </w: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630,970</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$ 3,155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$ 4,238,170</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$ 3,914,645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(32,864)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(87,294)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(4,512,205)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3,610,901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15,324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35,144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net on</w:t>
            </w: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available-for-sale securities</w:t>
            </w:r>
          </w:p>
        </w:tc>
        <w:tc>
          <w:tcPr>
            <w:tcW w:w="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(222,792)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(222,792)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(1,381)</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261,485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2019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634,841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$ 3,174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$ 4,288,638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$ 4,176,130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(34,125)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(91,294)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2"/>
              </w:rPr>
              <w:t>$ (4,734,997)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3,698,820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36"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THREE-MONTHS ENDED MARCH 31, 2020 AND 2019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4"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Three-Months Ended</w:t>
      </w:r>
    </w:p>
    <w:p>
      <w:pPr>
        <w:jc w:val="center"/>
        <w:ind w:left="7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278,835</w:t>
            </w:r>
          </w:p>
        </w:tc>
        <w:tc>
          <w:tcPr>
            <w:tcW w:w="100" w:type="dxa"/>
            <w:vAlign w:val="bottom"/>
          </w:tcPr>
          <w:p>
            <w:pPr>
              <w:spacing w:after="0"/>
              <w:rPr>
                <w:sz w:val="12"/>
                <w:szCs w:val="12"/>
                <w:color w:val="auto"/>
              </w:rPr>
            </w:pPr>
          </w:p>
        </w:tc>
        <w:tc>
          <w:tcPr>
            <w:tcW w:w="3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261,485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16,546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14,870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Impairment of intangibles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(147,660)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(116,426)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Distributor receivables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(18,081)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Prepaid income taxes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19,328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promotional allowances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Accrued distributor terminations</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(24,807)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(4,273)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top w:val="single" w:sz="8" w:color="CCEEFF"/>
            </w:tcBorders>
            <w:shd w:val="clear" w:color="auto" w:fill="CCEEFF"/>
          </w:tcPr>
          <w:p>
            <w:pPr>
              <w:ind w:left="5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191,132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123,396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513,534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232,387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(214,697)</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(11,119)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(Increase) decrease in intangibles</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other assets</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ind w:left="520"/>
              <w:spacing w:after="0" w:line="142" w:lineRule="exact"/>
              <w:rPr>
                <w:sz w:val="20"/>
                <w:szCs w:val="20"/>
                <w:color w:val="auto"/>
              </w:rPr>
            </w:pPr>
            <w:r>
              <w:rPr>
                <w:rFonts w:ascii="Arial" w:cs="Arial" w:eastAsia="Arial" w:hAnsi="Arial"/>
                <w:sz w:val="14"/>
                <w:szCs w:val="14"/>
                <w:color w:val="auto"/>
              </w:rPr>
              <w:t>Net cash provided by investing activities</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279,976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46,779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on debt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13,975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(559,210)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ind w:left="520"/>
              <w:spacing w:after="0" w:line="142" w:lineRule="exact"/>
              <w:rPr>
                <w:sz w:val="20"/>
                <w:szCs w:val="20"/>
                <w:color w:val="auto"/>
              </w:rPr>
            </w:pPr>
            <w:r>
              <w:rPr>
                <w:rFonts w:ascii="Arial" w:cs="Arial" w:eastAsia="Arial" w:hAnsi="Arial"/>
                <w:sz w:val="14"/>
                <w:szCs w:val="14"/>
                <w:color w:val="auto"/>
              </w:rPr>
              <w:t>Net cash used in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(545,968)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(21,261)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NET DECREASE IN CASH AND CASH EQUIVALENTS</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(96,121)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797,957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637,513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86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701,836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618,344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78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during the period for:</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840" w:type="dxa"/>
            <w:vAlign w:val="bottom"/>
          </w:tcPr>
          <w:p>
            <w:pPr>
              <w:ind w:left="20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40" w:type="dxa"/>
            <w:vAlign w:val="bottom"/>
            <w:tcBorders>
              <w:top w:val="single" w:sz="8" w:color="CCEEFF"/>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4"/>
                <w:szCs w:val="14"/>
                <w:color w:val="auto"/>
              </w:rPr>
              <w:t>Income taxes</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79,993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82,002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MONSTER BEVERAGE CORPORATION AND SUBSIDIARIES CONDENSED CONSOLIDATED STATEMENTS OF CASH FLOWS FOR THE THREE-MONTHS ENDED MARCH 31, 2020 AND 2019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NON-CASH ITEMS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Included in accrued liabilities as of March 31, 2020 and 2019 were $12.9 million and $12.3 million, respectively, related to additions to other intangible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accounts payable as of March 31, 2020 were $20.7 million of treasury stock repurchases.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Reference is made to the Notes to Consolidated Financial Statements, in Monster Beverage Corporation and Subsidiaries (the “Company”) Annual Report on Form 10-K for the year ended December 31, 2019 for a summary of significant accounting policies utilized by the Company and its consolidated subsidiaries and other disclosures, which should be read in conjunction with this Quarterly Report on Form 10-Q (“Form 10-Q”).</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2020 and 2019,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The guidance is effective for interim and annual periods beginning after December 15, 2020, with early adoption permitted. The Company is currently evaluating the impact of ASU No. 2019-12 on its financial position, results of operations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was effective for the Company on a prospective or retrospective basis beginning on January 1, 2020. The adoption of ASU No. 2018-15 did not have a material impact on the Company’s financial position, results of operations and liquidity.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FASB issued ASU No. 2018-14, “Compensation–Retirement Benefits–Defined Benefit Plans–General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is effective for the Company on a retrospective basis beginning in the year ending December 31, 2020. The adoption of ASU No. 2018-14 did not have a material impact on the Company’s financial position, results of operations and liquidity.</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was effective for the Company beginning on January 1, 2020. Certain disclosures in the new guidance will need to be applied on a retrospective basis and others on a prospective basis. The adoption of ASU No. 2018-13 did not have a material impact on the Company’s financial position, results of operations and liquidity.</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The adoption of ASU No. 2017-04 did not have a material impact on the Company’s financial position, results of operations and liquidity.</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was effective for fiscal years, and interim periods within those years, beginning after December 15, 2019. The adoption of ASU No. 2016-13 did not have a material impact on the Company’s disclosures, financial position, results of operations and liquidity.</w:t>
      </w:r>
    </w:p>
    <w:p>
      <w:pPr>
        <w:spacing w:after="0" w:line="1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three operating and reportable segments: (i) Monster Energy® Drinks segment (“Monster Energy® Drinks”), which is primarily comprised of the Company’s Monster Energy® drinks and Reign Total Body Fuel® high performance energy drinks</w:t>
      </w:r>
    </w:p>
    <w:p>
      <w:pPr>
        <w:jc w:val="both"/>
        <w:ind w:firstLine="8"/>
        <w:spacing w:after="0" w:line="253"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Brands segment (“Strategic Brands”), which is primarily comprised of the various energy drink brands acquired from The Coca-Cola Company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2020 and December 31, 2019.</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Distribution expenses to transport the Company’s products, where applicable, and warehousing expense after manufacture are accounted for within operating expenses.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70" w:lineRule="exact"/>
        <w:rPr>
          <w:sz w:val="20"/>
          <w:szCs w:val="20"/>
          <w:color w:val="auto"/>
        </w:rPr>
      </w:pPr>
    </w:p>
    <w:p>
      <w:pPr>
        <w:ind w:left="1340" w:hanging="333"/>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discounts granted off list prices to support price promotions to end-consumers by retailers;</w:t>
      </w:r>
    </w:p>
    <w:p>
      <w:pPr>
        <w:spacing w:after="0" w:line="23" w:lineRule="exact"/>
        <w:rPr>
          <w:rFonts w:ascii="Arial" w:cs="Arial" w:eastAsia="Arial" w:hAnsi="Arial"/>
          <w:sz w:val="18"/>
          <w:szCs w:val="18"/>
          <w:color w:val="auto"/>
        </w:rPr>
      </w:pPr>
    </w:p>
    <w:p>
      <w:pPr>
        <w:ind w:left="1340" w:right="20" w:hanging="333"/>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fees given to bottlers/distributors and/or directly to retailers for advertising, in-store marketing and promotional activities;</w:t>
      </w:r>
    </w:p>
    <w:p>
      <w:pPr>
        <w:ind w:left="1340" w:hanging="333"/>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agreed share of slotting, shelf space allowances and other fees given directly to retailers, club stores and/or wholesalers;</w:t>
      </w:r>
    </w:p>
    <w:p>
      <w:pPr>
        <w:ind w:left="1340" w:right="20" w:hanging="333"/>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discounted or free products;</w:t>
      </w:r>
    </w:p>
    <w:p>
      <w:pPr>
        <w:spacing w:after="0" w:line="9" w:lineRule="exact"/>
        <w:rPr>
          <w:rFonts w:ascii="Arial" w:cs="Arial" w:eastAsia="Arial" w:hAnsi="Arial"/>
          <w:sz w:val="18"/>
          <w:szCs w:val="18"/>
          <w:color w:val="auto"/>
        </w:rPr>
      </w:pPr>
    </w:p>
    <w:p>
      <w:pPr>
        <w:ind w:left="1340" w:hanging="333"/>
        <w:spacing w:after="0" w:line="250"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55" w:lineRule="auto"/>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commissions paid to TCCC based on the Company’s sales to certain wholly-owned subsidiaries of TCCC (the “TCCC Subsidiaries”) and/or to certain companies accounted for under the equity method by TCCC (the “TCCC Related Parties”).</w:t>
      </w:r>
    </w:p>
    <w:p>
      <w:pPr>
        <w:spacing w:after="0" w:line="19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Amounts received pursuant to new and/or amended distribution agreements entered into with certain bottlers/distributors relating to the costs associated with terminating the Company’s prior distributors, are accounted for as revenue ratably over the anticipated life of the respective distribution agreements, generally over 20 years.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believes that adequate provision has been made for cash discounts, returns and spoilage based on the Company’s historical experience.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disaggregate the Company’s revenue by geographical markets and reportable segments: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90"/>
              </w:rPr>
              <w:t>Three-Months Ended March 31, 2020</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Asia Pacific</w:t>
            </w: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690,018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164,771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992,454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20,346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64,538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732,993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185,117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1,062,097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90"/>
              </w:rPr>
              <w:t>Three-Months Ended March 31, 2019</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Asia Pacific</w:t>
            </w: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642,826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124,637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40,465</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870,384</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70,286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689,897</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146,545</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68,681</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40,868</w:t>
            </w:r>
          </w:p>
        </w:tc>
        <w:tc>
          <w:tcPr>
            <w:tcW w:w="24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945,991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Europe, Middle East and Africa (“EMEA”)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Amounts received from certain bottlers/distributors at inception of their distribution contracts or at the inception of certain sales/marketing programs are accounted for as deferred revenue. As of March 31, 2020, the Company had $323.2 million of deferred revenue, which is included in current and long-term deferred revenue in the Company’s condensed consolidated balance sheet. As of December 31, 2019, the Company had $331.7 million of deferred revenue, which is included in current and long-term deferred revenue in the Company’s condensed consolidated balance sheet. During the three-months ended March 31, 2020 and 2019, $10.6 million and $14.2 million, respectively, of deferred revenue was recognized in net sales. See Note 11.</w:t>
      </w:r>
    </w:p>
    <w:p>
      <w:pPr>
        <w:spacing w:after="0" w:line="17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Leases are classified as either finance leases or operating leases based on criteria in Accounting Standards Codification (“ASC”)</w:t>
      </w:r>
    </w:p>
    <w:p>
      <w:pPr>
        <w:spacing w:after="0" w:line="46" w:lineRule="exact"/>
        <w:rPr>
          <w:sz w:val="20"/>
          <w:szCs w:val="20"/>
          <w:color w:val="auto"/>
        </w:rPr>
      </w:pPr>
    </w:p>
    <w:p>
      <w:pPr>
        <w:ind w:firstLine="8"/>
        <w:spacing w:after="0" w:line="260"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operating leases are comprised of real estate and warehouse equipment, and the Company’s finance leases are comprised of vehicles.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commencement date. ROU assets also include any lease payments made and exclude lease incentives. Lease terms include options to extend or terminate the lease when it is reasonably certain that the Company will exercise that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other income, net in the condensed consolidated statement of income.</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leases have remaining lease terms of less than one year to 14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The components of lease cost were comprised of the following:</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Three-Months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92"/>
              </w:rPr>
              <w:t>Three-Months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Ended March 31,</w:t>
            </w:r>
          </w:p>
        </w:tc>
        <w:tc>
          <w:tcPr>
            <w:tcW w:w="14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Ended March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Amortization of ROU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Total lease cost</w:t>
            </w: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 for the following periods:</w:t>
            </w: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1"/>
              </w:rPr>
              <w:t>Three-Months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color w:val="auto"/>
                <w:w w:val="92"/>
              </w:rPr>
              <w:t>Three-Months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0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Ended March 31,</w:t>
            </w:r>
          </w:p>
        </w:tc>
        <w:tc>
          <w:tcPr>
            <w:tcW w:w="146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Ended March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Cash paid for amounts included in the measurement of lease</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 assets for operating and finance leases were comprised of the following at:</w:t>
      </w:r>
    </w:p>
    <w:p>
      <w:pPr>
        <w:spacing w:after="0" w:line="25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w w:val="92"/>
              </w:rPr>
              <w:t>March 31, 2020</w:t>
            </w: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83"/>
              </w:rPr>
              <w:t>Real Estate</w:t>
            </w:r>
          </w:p>
        </w:tc>
        <w:tc>
          <w:tcPr>
            <w:tcW w:w="1140" w:type="dxa"/>
            <w:vAlign w:val="bottom"/>
            <w:gridSpan w:val="4"/>
          </w:tcPr>
          <w:p>
            <w:pPr>
              <w:ind w:left="200"/>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$ 30,675</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3,569</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3,569</w:t>
            </w: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w w:val="92"/>
              </w:rPr>
              <w:t>Property and Equipment, net</w:t>
            </w:r>
          </w:p>
        </w:tc>
        <w:tc>
          <w:tcPr>
            <w:tcW w:w="0" w:type="dxa"/>
            <w:vAlign w:val="bottom"/>
          </w:tcPr>
          <w:p>
            <w:pPr>
              <w:spacing w:after="0"/>
              <w:rPr>
                <w:sz w:val="1"/>
                <w:szCs w:val="1"/>
                <w:color w:val="auto"/>
              </w:rPr>
            </w:pPr>
          </w:p>
        </w:tc>
      </w:tr>
      <w:tr>
        <w:trPr>
          <w:trHeight w:val="431"/>
        </w:trPr>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December 31, 2019</w:t>
            </w:r>
          </w:p>
        </w:tc>
        <w:tc>
          <w:tcPr>
            <w:tcW w:w="180" w:type="dxa"/>
            <w:vAlign w:val="bottom"/>
          </w:tcPr>
          <w:p>
            <w:pPr>
              <w:spacing w:after="0"/>
              <w:rPr>
                <w:sz w:val="24"/>
                <w:szCs w:val="24"/>
                <w:color w:val="auto"/>
              </w:rPr>
            </w:pPr>
          </w:p>
        </w:tc>
        <w:tc>
          <w:tcPr>
            <w:tcW w:w="2140" w:type="dxa"/>
            <w:vAlign w:val="bottom"/>
            <w:vMerge w:val="restart"/>
          </w:tcPr>
          <w:p>
            <w:pPr>
              <w:ind w:left="20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209"/>
        </w:trPr>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w w:val="83"/>
              </w:rPr>
              <w:t>Real Estate</w:t>
            </w:r>
          </w:p>
        </w:tc>
        <w:tc>
          <w:tcPr>
            <w:tcW w:w="1140" w:type="dxa"/>
            <w:vAlign w:val="bottom"/>
            <w:gridSpan w:val="4"/>
          </w:tcPr>
          <w:p>
            <w:pPr>
              <w:ind w:left="200"/>
              <w:spacing w:after="0"/>
              <w:rPr>
                <w:sz w:val="20"/>
                <w:szCs w:val="20"/>
                <w:color w:val="auto"/>
              </w:rPr>
            </w:pPr>
            <w:r>
              <w:rPr>
                <w:rFonts w:ascii="Arial" w:cs="Arial" w:eastAsia="Arial" w:hAnsi="Arial"/>
                <w:sz w:val="18"/>
                <w:szCs w:val="18"/>
                <w:color w:val="auto"/>
              </w:rPr>
              <w:t>Equipment</w:t>
            </w:r>
          </w:p>
        </w:tc>
        <w:tc>
          <w:tcPr>
            <w:tcW w:w="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$ 31,342</w:t>
            </w:r>
          </w:p>
        </w:tc>
        <w:tc>
          <w:tcPr>
            <w:tcW w:w="1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2,632</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320" w:type="dxa"/>
            <w:vAlign w:val="bottom"/>
            <w:gridSpan w:val="2"/>
          </w:tcPr>
          <w:p>
            <w:pPr>
              <w:ind w:left="180"/>
              <w:spacing w:after="0"/>
              <w:rPr>
                <w:sz w:val="20"/>
                <w:szCs w:val="20"/>
                <w:color w:val="auto"/>
              </w:rPr>
            </w:pPr>
            <w:r>
              <w:rPr>
                <w:rFonts w:ascii="Arial" w:cs="Arial" w:eastAsia="Arial" w:hAnsi="Arial"/>
                <w:sz w:val="18"/>
                <w:szCs w:val="18"/>
                <w:color w:val="auto"/>
                <w:w w:val="92"/>
              </w:rPr>
              <w:t>Property and Equipment, net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and finance lease liabilities recognized in the condensed consolidated balance sheets were as follows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91"/>
              </w:rPr>
              <w:t>March 31, 2020</w:t>
            </w:r>
          </w:p>
        </w:tc>
        <w:tc>
          <w:tcPr>
            <w:tcW w:w="540" w:type="dxa"/>
            <w:vAlign w:val="bottom"/>
            <w:tcBorders>
              <w:bottom w:val="single" w:sz="8" w:color="auto"/>
            </w:tcBorders>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w w:val="88"/>
              </w:rPr>
              <w:t>Operating Leases</w:t>
            </w:r>
          </w:p>
        </w:tc>
        <w:tc>
          <w:tcPr>
            <w:tcW w:w="1300" w:type="dxa"/>
            <w:vAlign w:val="bottom"/>
            <w:gridSpan w:val="3"/>
          </w:tcPr>
          <w:p>
            <w:pPr>
              <w:ind w:left="180"/>
              <w:spacing w:after="0"/>
              <w:rPr>
                <w:sz w:val="20"/>
                <w:szCs w:val="20"/>
                <w:color w:val="auto"/>
              </w:rPr>
            </w:pPr>
            <w:r>
              <w:rPr>
                <w:rFonts w:ascii="Arial" w:cs="Arial" w:eastAsia="Arial" w:hAnsi="Arial"/>
                <w:sz w:val="18"/>
                <w:szCs w:val="18"/>
                <w:color w:val="auto"/>
                <w:w w:val="86"/>
              </w:rPr>
              <w:t>Finance Leases</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25,284</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8"/>
                <w:szCs w:val="18"/>
                <w:color w:val="auto"/>
                <w:w w:val="89"/>
              </w:rPr>
              <w:t>December 31, 2019</w:t>
            </w:r>
          </w:p>
        </w:tc>
        <w:tc>
          <w:tcPr>
            <w:tcW w:w="540" w:type="dxa"/>
            <w:vAlign w:val="bottom"/>
            <w:tcBorders>
              <w:bottom w:val="single" w:sz="8" w:color="auto"/>
            </w:tcBorders>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w w:val="88"/>
              </w:rPr>
              <w:t>Operating Leases</w:t>
            </w:r>
          </w:p>
        </w:tc>
        <w:tc>
          <w:tcPr>
            <w:tcW w:w="1300" w:type="dxa"/>
            <w:vAlign w:val="bottom"/>
            <w:gridSpan w:val="3"/>
          </w:tcPr>
          <w:p>
            <w:pPr>
              <w:ind w:left="180"/>
              <w:spacing w:after="0"/>
              <w:rPr>
                <w:sz w:val="20"/>
                <w:szCs w:val="20"/>
                <w:color w:val="auto"/>
              </w:rPr>
            </w:pPr>
            <w:r>
              <w:rPr>
                <w:rFonts w:ascii="Arial" w:cs="Arial" w:eastAsia="Arial" w:hAnsi="Arial"/>
                <w:sz w:val="18"/>
                <w:szCs w:val="18"/>
                <w:color w:val="auto"/>
                <w:w w:val="86"/>
              </w:rPr>
              <w:t>Finance Leases</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25,651</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28,463</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at March 31, 2020 and December 31, 2019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0" w:type="dxa"/>
            <w:vAlign w:val="bottom"/>
            <w:gridSpan w:val="5"/>
          </w:tcPr>
          <w:p>
            <w:pPr>
              <w:jc w:val="center"/>
              <w:ind w:right="1180"/>
              <w:spacing w:after="0"/>
              <w:rPr>
                <w:sz w:val="20"/>
                <w:szCs w:val="20"/>
                <w:color w:val="auto"/>
              </w:rPr>
            </w:pPr>
            <w:r>
              <w:rPr>
                <w:rFonts w:ascii="Arial" w:cs="Arial" w:eastAsia="Arial" w:hAnsi="Arial"/>
                <w:sz w:val="18"/>
                <w:szCs w:val="18"/>
                <w:color w:val="auto"/>
                <w:w w:val="91"/>
              </w:rPr>
              <w:t>March 31, 2020</w:t>
            </w:r>
          </w:p>
        </w:tc>
      </w:tr>
      <w:tr>
        <w:trPr>
          <w:trHeight w:val="210"/>
        </w:trPr>
        <w:tc>
          <w:tcPr>
            <w:tcW w:w="1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7"/>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160" w:type="dxa"/>
            <w:vAlign w:val="bottom"/>
            <w:gridSpan w:val="2"/>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Weighted-average remaining lease term (years)</w:t>
            </w:r>
          </w:p>
        </w:tc>
        <w:tc>
          <w:tcPr>
            <w:tcW w:w="14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3.2 %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2.7 %</w:t>
            </w:r>
          </w:p>
        </w:tc>
        <w:tc>
          <w:tcPr>
            <w:tcW w:w="980" w:type="dxa"/>
            <w:vAlign w:val="bottom"/>
          </w:tcPr>
          <w:p>
            <w:pPr>
              <w:spacing w:after="0"/>
              <w:rPr>
                <w:sz w:val="20"/>
                <w:szCs w:val="20"/>
                <w:color w:val="auto"/>
              </w:rPr>
            </w:pPr>
          </w:p>
        </w:tc>
      </w:tr>
      <w:tr>
        <w:trPr>
          <w:trHeight w:val="431"/>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gridSpan w:val="5"/>
          </w:tcPr>
          <w:p>
            <w:pPr>
              <w:jc w:val="center"/>
              <w:ind w:right="1180"/>
              <w:spacing w:after="0"/>
              <w:rPr>
                <w:sz w:val="20"/>
                <w:szCs w:val="20"/>
                <w:color w:val="auto"/>
              </w:rPr>
            </w:pPr>
            <w:r>
              <w:rPr>
                <w:rFonts w:ascii="Arial" w:cs="Arial" w:eastAsia="Arial" w:hAnsi="Arial"/>
                <w:sz w:val="18"/>
                <w:szCs w:val="18"/>
                <w:color w:val="auto"/>
                <w:w w:val="89"/>
              </w:rPr>
              <w:t>December 31, 2019</w:t>
            </w:r>
          </w:p>
        </w:tc>
      </w:tr>
      <w:tr>
        <w:trPr>
          <w:trHeight w:val="210"/>
        </w:trPr>
        <w:tc>
          <w:tcPr>
            <w:tcW w:w="1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7"/>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160" w:type="dxa"/>
            <w:vAlign w:val="bottom"/>
            <w:gridSpan w:val="2"/>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Weighted-average remaining lease term (years)</w:t>
            </w:r>
          </w:p>
        </w:tc>
        <w:tc>
          <w:tcPr>
            <w:tcW w:w="14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0.6</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000" w:type="dxa"/>
            <w:vAlign w:val="bottom"/>
            <w:gridSpan w:val="3"/>
          </w:tcPr>
          <w:p>
            <w:pPr>
              <w:jc w:val="right"/>
              <w:ind w:right="100"/>
              <w:spacing w:after="0"/>
              <w:rPr>
                <w:sz w:val="20"/>
                <w:szCs w:val="20"/>
                <w:color w:val="auto"/>
              </w:rPr>
            </w:pPr>
            <w:r>
              <w:rPr>
                <w:rFonts w:ascii="Arial" w:cs="Arial" w:eastAsia="Arial" w:hAnsi="Arial"/>
                <w:sz w:val="18"/>
                <w:szCs w:val="18"/>
                <w:color w:val="auto"/>
              </w:rPr>
              <w:t>3.1 %</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w w:val="95"/>
              </w:rPr>
              <w:t>2.9 %</w:t>
            </w:r>
          </w:p>
        </w:tc>
        <w:tc>
          <w:tcPr>
            <w:tcW w:w="980" w:type="dxa"/>
            <w:vAlign w:val="bottom"/>
          </w:tcPr>
          <w:p>
            <w:pPr>
              <w:spacing w:after="0"/>
              <w:rPr>
                <w:sz w:val="20"/>
                <w:szCs w:val="20"/>
                <w:color w:val="auto"/>
              </w:rPr>
            </w:pPr>
          </w:p>
        </w:tc>
      </w:tr>
      <w:tr>
        <w:trPr>
          <w:trHeight w:val="850"/>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jc w:val="right"/>
              <w:ind w:right="970"/>
              <w:spacing w:after="0"/>
              <w:rPr>
                <w:sz w:val="20"/>
                <w:szCs w:val="20"/>
                <w:color w:val="auto"/>
              </w:rPr>
            </w:pPr>
            <w:r>
              <w:rPr>
                <w:rFonts w:ascii="Arial" w:cs="Arial" w:eastAsia="Arial" w:hAnsi="Arial"/>
                <w:sz w:val="18"/>
                <w:szCs w:val="18"/>
                <w:color w:val="auto"/>
              </w:rPr>
              <w:t>14</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reconciles the undiscounted future lease payments for operating and finance leases to the operating and finance leases recorded in the condensed consolidated balance sheet at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p>
        </w:tc>
        <w:tc>
          <w:tcPr>
            <w:tcW w:w="2780" w:type="dxa"/>
            <w:vAlign w:val="bottom"/>
            <w:gridSpan w:val="7"/>
          </w:tcPr>
          <w:p>
            <w:pPr>
              <w:ind w:left="20"/>
              <w:spacing w:after="0"/>
              <w:rPr>
                <w:sz w:val="20"/>
                <w:szCs w:val="20"/>
                <w:color w:val="auto"/>
              </w:rPr>
            </w:pPr>
            <w:r>
              <w:rPr>
                <w:rFonts w:ascii="Arial" w:cs="Arial" w:eastAsia="Arial" w:hAnsi="Arial"/>
                <w:sz w:val="18"/>
                <w:szCs w:val="18"/>
                <w:color w:val="auto"/>
                <w:w w:val="89"/>
              </w:rPr>
              <w:t>Undiscounted Future Lease Payments</w:t>
            </w:r>
          </w:p>
        </w:tc>
      </w:tr>
      <w:tr>
        <w:trPr>
          <w:trHeight w:val="209"/>
        </w:trPr>
        <w:tc>
          <w:tcPr>
            <w:tcW w:w="7160" w:type="dxa"/>
            <w:vAlign w:val="bottom"/>
          </w:tcPr>
          <w:p>
            <w:pPr>
              <w:spacing w:after="0"/>
              <w:rPr>
                <w:sz w:val="18"/>
                <w:szCs w:val="18"/>
                <w:color w:val="auto"/>
              </w:rPr>
            </w:pPr>
          </w:p>
        </w:tc>
        <w:tc>
          <w:tcPr>
            <w:tcW w:w="1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5"/>
              </w:rPr>
              <w:t>Operating Leases</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Finance Leases</w:t>
            </w:r>
          </w:p>
        </w:tc>
        <w:tc>
          <w:tcPr>
            <w:tcW w:w="20" w:type="dxa"/>
            <w:vAlign w:val="bottom"/>
          </w:tcPr>
          <w:p>
            <w:pPr>
              <w:spacing w:after="0"/>
              <w:rPr>
                <w:sz w:val="18"/>
                <w:szCs w:val="18"/>
                <w:color w:val="auto"/>
              </w:rPr>
            </w:pP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(excluding the three-months ended March 31, 2020)</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20" w:type="dxa"/>
            <w:vAlign w:val="bottom"/>
          </w:tcPr>
          <w:p>
            <w:pPr>
              <w:spacing w:after="0"/>
              <w:rPr>
                <w:sz w:val="18"/>
                <w:szCs w:val="18"/>
                <w:color w:val="auto"/>
              </w:rPr>
            </w:pPr>
          </w:p>
        </w:tc>
      </w:tr>
      <w:tr>
        <w:trPr>
          <w:trHeight w:val="216"/>
        </w:trPr>
        <w:tc>
          <w:tcPr>
            <w:tcW w:w="7160" w:type="dxa"/>
            <w:vAlign w:val="bottom"/>
          </w:tcPr>
          <w:p>
            <w:pPr>
              <w:ind w:left="120"/>
              <w:spacing w:after="0"/>
              <w:rPr>
                <w:sz w:val="20"/>
                <w:szCs w:val="20"/>
                <w:color w:val="auto"/>
              </w:rPr>
            </w:pPr>
            <w:r>
              <w:rPr>
                <w:rFonts w:ascii="Arial" w:cs="Arial" w:eastAsia="Arial" w:hAnsi="Arial"/>
                <w:sz w:val="18"/>
                <w:szCs w:val="18"/>
                <w:color w:val="auto"/>
              </w:rPr>
              <w:t>Less imputed interest</w:t>
            </w:r>
          </w:p>
        </w:tc>
        <w:tc>
          <w:tcPr>
            <w:tcW w:w="4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09"/>
        </w:trPr>
        <w:tc>
          <w:tcPr>
            <w:tcW w:w="7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2020, the Company did not have any significant additional operating or finance leases that have not yet commenced.</w:t>
      </w:r>
    </w:p>
    <w:p>
      <w:pPr>
        <w:spacing w:after="0" w:line="18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investments at: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Continuous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Loss Position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Holding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Holding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Fair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less than 12</w:t>
            </w:r>
          </w:p>
        </w:tc>
        <w:tc>
          <w:tcPr>
            <w:tcW w:w="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greater than 12</w:t>
            </w:r>
          </w:p>
        </w:tc>
      </w:tr>
      <w:tr>
        <w:trPr>
          <w:trHeight w:val="167"/>
        </w:trPr>
        <w:tc>
          <w:tcPr>
            <w:tcW w:w="3100" w:type="dxa"/>
            <w:vAlign w:val="bottom"/>
          </w:tcPr>
          <w:p>
            <w:pPr>
              <w:spacing w:after="0"/>
              <w:rPr>
                <w:sz w:val="20"/>
                <w:szCs w:val="20"/>
                <w:color w:val="auto"/>
              </w:rPr>
            </w:pPr>
            <w:r>
              <w:rPr>
                <w:rFonts w:ascii="Arial" w:cs="Arial" w:eastAsia="Arial" w:hAnsi="Arial"/>
                <w:sz w:val="14"/>
                <w:szCs w:val="14"/>
                <w:color w:val="auto"/>
              </w:rPr>
              <w:t>March 31, 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2"/>
              </w:rPr>
              <w:t>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color w:val="auto"/>
                <w:w w:val="90"/>
              </w:rPr>
              <w:t>Losses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color w:val="auto"/>
              </w:rPr>
              <w:t>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color w:val="auto"/>
                <w:w w:val="95"/>
              </w:rPr>
              <w:t>Months</w:t>
            </w:r>
          </w:p>
        </w:tc>
      </w:tr>
      <w:tr>
        <w:trPr>
          <w:trHeight w:val="142"/>
        </w:trPr>
        <w:tc>
          <w:tcPr>
            <w:tcW w:w="3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Available-for-sale</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Commercial paper</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95,819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95,820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46,055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46,454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Variable rate demand notes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6,292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6,264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3100" w:type="dxa"/>
            <w:vAlign w:val="bottom"/>
          </w:tcPr>
          <w:p>
            <w:pPr>
              <w:ind w:left="340"/>
              <w:spacing w:after="0" w:line="142"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246,937</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643</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247,435</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8"/>
              <w:spacing w:after="0"/>
              <w:rPr>
                <w:sz w:val="20"/>
                <w:szCs w:val="20"/>
                <w:color w:val="auto"/>
              </w:rPr>
            </w:pPr>
            <w:r>
              <w:rPr>
                <w:rFonts w:ascii="Arial" w:cs="Arial" w:eastAsia="Arial" w:hAnsi="Arial"/>
                <w:sz w:val="14"/>
                <w:szCs w:val="14"/>
                <w:color w:val="auto"/>
                <w:w w:val="93"/>
              </w:rPr>
              <w:t>Continuous</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2"/>
              </w:rPr>
              <w:t>Unrealized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5"/>
              </w:rPr>
              <w:t>Unrealized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Loss Position</w:t>
            </w:r>
          </w:p>
        </w:tc>
      </w:tr>
      <w:tr>
        <w:trPr>
          <w:trHeight w:val="149"/>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Amortized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Holding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Holding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Fair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less than 12</w:t>
            </w:r>
          </w:p>
        </w:tc>
        <w:tc>
          <w:tcPr>
            <w:tcW w:w="16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4"/>
              </w:rPr>
              <w:t>greater than 12</w:t>
            </w:r>
          </w:p>
        </w:tc>
      </w:tr>
      <w:tr>
        <w:trPr>
          <w:trHeight w:val="167"/>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Cost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2"/>
              </w:rPr>
              <w:t>Gains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0"/>
              </w:rPr>
              <w:t>Losses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Value</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95"/>
              </w:rPr>
              <w:t>Months</w:t>
            </w: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8"/>
        </w:trPr>
        <w:tc>
          <w:tcPr>
            <w:tcW w:w="310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9"/>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Commercial paper</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83,478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28,049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28,049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147,983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148,108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40,620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40,590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211,055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Variable rate demand notes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21,680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21,680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Municipal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1,561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U.S. government agency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31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6,077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6,078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3100" w:type="dxa"/>
            <w:vAlign w:val="bottom"/>
            <w:tcBorders>
              <w:bottom w:val="single" w:sz="8" w:color="CCEEFF"/>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545,771</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545,968</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three-months ended March 31, 2020 and 2019, realized gains or losses recognized on the sale of investments were not significant.</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investments at March 31, 2020 and December 31, 2019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5"/>
          </w:tcPr>
          <w:p>
            <w:pPr>
              <w:ind w:left="560"/>
              <w:spacing w:after="0"/>
              <w:rPr>
                <w:sz w:val="20"/>
                <w:szCs w:val="20"/>
                <w:color w:val="auto"/>
              </w:rPr>
            </w:pPr>
            <w:r>
              <w:rPr>
                <w:rFonts w:ascii="Arial" w:cs="Arial" w:eastAsia="Arial" w:hAnsi="Arial"/>
                <w:sz w:val="18"/>
                <w:szCs w:val="18"/>
                <w:color w:val="auto"/>
              </w:rPr>
              <w:t>March 31, 2020</w:t>
            </w:r>
          </w:p>
        </w:tc>
        <w:tc>
          <w:tcPr>
            <w:tcW w:w="320" w:type="dxa"/>
            <w:vAlign w:val="bottom"/>
          </w:tcPr>
          <w:p>
            <w:pPr>
              <w:spacing w:after="0"/>
              <w:rPr>
                <w:sz w:val="20"/>
                <w:szCs w:val="20"/>
                <w:color w:val="auto"/>
              </w:rPr>
            </w:pPr>
          </w:p>
        </w:tc>
        <w:tc>
          <w:tcPr>
            <w:tcW w:w="2180" w:type="dxa"/>
            <w:vAlign w:val="bottom"/>
            <w:gridSpan w:val="4"/>
          </w:tcPr>
          <w:p>
            <w:pPr>
              <w:jc w:val="right"/>
              <w:ind w:right="450"/>
              <w:spacing w:after="0"/>
              <w:rPr>
                <w:sz w:val="20"/>
                <w:szCs w:val="20"/>
                <w:color w:val="auto"/>
              </w:rPr>
            </w:pPr>
            <w:r>
              <w:rPr>
                <w:rFonts w:ascii="Arial" w:cs="Arial" w:eastAsia="Arial" w:hAnsi="Arial"/>
                <w:sz w:val="18"/>
                <w:szCs w:val="18"/>
                <w:color w:val="auto"/>
              </w:rPr>
              <w:t>December 31, 2019</w:t>
            </w:r>
          </w:p>
        </w:tc>
      </w:tr>
      <w:tr>
        <w:trPr>
          <w:trHeight w:val="210"/>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Amortized Cost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2"/>
              </w:rPr>
              <w:t>Fair Value</w:t>
            </w:r>
          </w:p>
        </w:tc>
        <w:tc>
          <w:tcPr>
            <w:tcW w:w="200" w:type="dxa"/>
            <w:vAlign w:val="bottom"/>
          </w:tcPr>
          <w:p>
            <w:pPr>
              <w:spacing w:after="0"/>
              <w:rPr>
                <w:sz w:val="18"/>
                <w:szCs w:val="18"/>
                <w:color w:val="auto"/>
              </w:rPr>
            </w:pPr>
          </w:p>
        </w:tc>
        <w:tc>
          <w:tcPr>
            <w:tcW w:w="13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Amortized Cost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Fair Value</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1 year:</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57,107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57,107</w:t>
            </w:r>
          </w:p>
        </w:tc>
        <w:tc>
          <w:tcPr>
            <w:tcW w:w="2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83,478</w:t>
            </w:r>
          </w:p>
        </w:tc>
        <w:tc>
          <w:tcPr>
            <w:tcW w:w="2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83,478</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securities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148,108</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40,590</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Certificates of deposit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46,454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211,055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211,158</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Due 1 - 10 years: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1,561</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Due 11 - 20 years: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Due 21 - 30 years: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Due 31 - 40 years: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rate demand notes</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10"/>
        </w:trPr>
        <w:tc>
          <w:tcPr>
            <w:tcW w:w="3740" w:type="dxa"/>
            <w:vAlign w:val="bottom"/>
          </w:tcPr>
          <w:p>
            <w:pPr>
              <w:ind w:left="12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246,937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247,435</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545,771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545,968</w:t>
            </w:r>
          </w:p>
        </w:tc>
      </w:tr>
      <w:tr>
        <w:trPr>
          <w:trHeight w:val="20"/>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58"/>
        </w:trPr>
        <w:tc>
          <w:tcPr>
            <w:tcW w:w="3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750"/>
              <w:spacing w:after="0"/>
              <w:rPr>
                <w:sz w:val="20"/>
                <w:szCs w:val="20"/>
                <w:color w:val="auto"/>
              </w:rPr>
            </w:pPr>
            <w:r>
              <w:rPr>
                <w:rFonts w:ascii="Arial" w:cs="Arial" w:eastAsia="Arial" w:hAnsi="Arial"/>
                <w:sz w:val="18"/>
                <w:szCs w:val="18"/>
                <w:color w:val="auto"/>
                <w:w w:val="99"/>
              </w:rPr>
              <w:t>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0"/>
        </w:trPr>
        <w:tc>
          <w:tcPr>
            <w:tcW w:w="3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4"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225" w:lineRule="exact"/>
        <w:rPr>
          <w:rFonts w:ascii="Arial" w:cs="Arial" w:eastAsia="Arial" w:hAnsi="Arial"/>
          <w:sz w:val="18"/>
          <w:szCs w:val="18"/>
          <w:color w:val="auto"/>
        </w:rPr>
      </w:pPr>
    </w:p>
    <w:p>
      <w:pPr>
        <w:jc w:val="both"/>
        <w:ind w:left="680" w:right="20" w:hanging="321"/>
        <w:spacing w:after="0" w:line="26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for substantially the full term of the related assets or liabilities.</w:t>
      </w:r>
    </w:p>
    <w:p>
      <w:pPr>
        <w:spacing w:after="0" w:line="175" w:lineRule="exact"/>
        <w:rPr>
          <w:rFonts w:ascii="Arial" w:cs="Arial" w:eastAsia="Arial" w:hAnsi="Arial"/>
          <w:sz w:val="18"/>
          <w:szCs w:val="18"/>
          <w:color w:val="auto"/>
        </w:rPr>
      </w:pPr>
    </w:p>
    <w:p>
      <w:pPr>
        <w:ind w:left="680" w:right="20" w:hanging="321"/>
        <w:spacing w:after="0" w:line="282"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liabilities.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ASC 820 requires the use of observable market inputs (quoted market prices) when measuring fair value and requires a Level 1 quoted price to be used to measure fair value whenever possible.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497,556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demand notes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106,292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692,116</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256,854</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948,970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Amounts included 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233,513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692,116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256,854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17</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color w:val="auto"/>
              </w:rPr>
              <w:t>Level 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518,178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191,131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96,867</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demand notes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167,224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247,162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709,309</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633,929</w:t>
            </w:r>
          </w:p>
        </w:tc>
        <w:tc>
          <w:tcPr>
            <w:tcW w:w="2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1,343,238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Amounts included 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533,063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12,905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709,309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633,929</w:t>
            </w:r>
          </w:p>
        </w:tc>
        <w:tc>
          <w:tcPr>
            <w:tcW w:w="2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1,343,238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the Company’s short-term and long-term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U.S. treasuries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2020 or during the year-ended December 31, 2019, and there were no changes in the Company’s valuation techniques.</w:t>
      </w:r>
    </w:p>
    <w:p>
      <w:pPr>
        <w:spacing w:after="0" w:line="19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exposed to foreign currency exchange rate risks related primarily to its foreign business operations. During the three-months ended March 31, 2020 and the year-ended December 31, 2019,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2020 have terms of one month or less. The Company does not enter into forward currency exchange contracts for speculation or trading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income, net, in the condensed consolidated statements of income, and are largely offset by the changes in the fair value of the underlying economically hedged item.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notional amount and fair value of all outstanding foreign currency derivative instruments in the condensed consolidated balance sheets consist of the following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40" w:type="dxa"/>
            <w:vAlign w:val="bottom"/>
            <w:tcBorders>
              <w:top w:val="single" w:sz="8" w:color="auto"/>
            </w:tcBorders>
          </w:tcPr>
          <w:p>
            <w:pPr>
              <w:jc w:val="center"/>
              <w:ind w:left="870"/>
              <w:spacing w:after="0" w:line="195" w:lineRule="exact"/>
              <w:rPr>
                <w:sz w:val="20"/>
                <w:szCs w:val="20"/>
                <w:color w:val="auto"/>
              </w:rPr>
            </w:pPr>
            <w:r>
              <w:rPr>
                <w:rFonts w:ascii="Arial" w:cs="Arial" w:eastAsia="Arial" w:hAnsi="Arial"/>
                <w:sz w:val="18"/>
                <w:szCs w:val="18"/>
                <w:color w:val="auto"/>
                <w:w w:val="89"/>
              </w:rPr>
              <w:t>Derivatives not designated as</w:t>
            </w: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jc w:val="center"/>
              <w:ind w:left="870"/>
              <w:spacing w:after="0"/>
              <w:rPr>
                <w:sz w:val="20"/>
                <w:szCs w:val="20"/>
                <w:color w:val="auto"/>
              </w:rPr>
            </w:pPr>
            <w:r>
              <w:rPr>
                <w:rFonts w:ascii="Arial" w:cs="Arial" w:eastAsia="Arial" w:hAnsi="Arial"/>
                <w:sz w:val="18"/>
                <w:szCs w:val="18"/>
                <w:color w:val="auto"/>
                <w:w w:val="90"/>
              </w:rPr>
              <w:t>hedging instruments under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Fair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jc w:val="center"/>
              <w:ind w:left="890"/>
              <w:spacing w:after="0"/>
              <w:rPr>
                <w:sz w:val="20"/>
                <w:szCs w:val="20"/>
                <w:color w:val="auto"/>
              </w:rPr>
            </w:pPr>
            <w:r>
              <w:rPr>
                <w:rFonts w:ascii="Arial" w:cs="Arial" w:eastAsia="Arial" w:hAnsi="Arial"/>
                <w:sz w:val="18"/>
                <w:szCs w:val="18"/>
                <w:color w:val="auto"/>
                <w:w w:val="91"/>
              </w:rPr>
              <w:t>ASC 815-20</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Value</w:t>
            </w:r>
          </w:p>
        </w:tc>
        <w:tc>
          <w:tcPr>
            <w:tcW w:w="1960" w:type="dxa"/>
            <w:vAlign w:val="bottom"/>
          </w:tcPr>
          <w:p>
            <w:pPr>
              <w:ind w:left="120"/>
              <w:spacing w:after="0"/>
              <w:rPr>
                <w:sz w:val="20"/>
                <w:szCs w:val="20"/>
                <w:color w:val="auto"/>
              </w:rPr>
            </w:pPr>
            <w:r>
              <w:rPr>
                <w:rFonts w:ascii="Arial" w:cs="Arial" w:eastAsia="Arial" w:hAnsi="Arial"/>
                <w:sz w:val="18"/>
                <w:szCs w:val="18"/>
                <w:color w:val="auto"/>
                <w:w w:val="95"/>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GBP</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AUD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NZD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COP</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SEK</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ZAR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NOK</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DKK</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SGD/pay USD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EUR/pay USD</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RUB</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RSD/pay USD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9"/>
              </w:rPr>
              <w:t>December 31, 2019</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Pr>
          <w:p>
            <w:pPr>
              <w:jc w:val="center"/>
              <w:ind w:left="870"/>
              <w:spacing w:after="0" w:line="195" w:lineRule="exact"/>
              <w:rPr>
                <w:sz w:val="20"/>
                <w:szCs w:val="20"/>
                <w:color w:val="auto"/>
              </w:rPr>
            </w:pPr>
            <w:r>
              <w:rPr>
                <w:rFonts w:ascii="Arial" w:cs="Arial" w:eastAsia="Arial" w:hAnsi="Arial"/>
                <w:sz w:val="18"/>
                <w:szCs w:val="18"/>
                <w:color w:val="auto"/>
                <w:w w:val="89"/>
              </w:rPr>
              <w:t>Derivatives not designated as</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500"/>
              <w:spacing w:after="0"/>
              <w:rPr>
                <w:sz w:val="20"/>
                <w:szCs w:val="20"/>
                <w:color w:val="auto"/>
              </w:rPr>
            </w:pPr>
            <w:r>
              <w:rPr>
                <w:rFonts w:ascii="Arial" w:cs="Arial" w:eastAsia="Arial" w:hAnsi="Arial"/>
                <w:sz w:val="18"/>
                <w:szCs w:val="18"/>
                <w:color w:val="auto"/>
              </w:rPr>
              <w:t>hedging instruments under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Fair</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jc w:val="center"/>
              <w:ind w:left="890"/>
              <w:spacing w:after="0"/>
              <w:rPr>
                <w:sz w:val="20"/>
                <w:szCs w:val="20"/>
                <w:color w:val="auto"/>
              </w:rPr>
            </w:pPr>
            <w:r>
              <w:rPr>
                <w:rFonts w:ascii="Arial" w:cs="Arial" w:eastAsia="Arial" w:hAnsi="Arial"/>
                <w:sz w:val="18"/>
                <w:szCs w:val="18"/>
                <w:color w:val="auto"/>
                <w:w w:val="91"/>
              </w:rPr>
              <w:t>ASC 815-20</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Value</w:t>
            </w:r>
          </w:p>
        </w:tc>
        <w:tc>
          <w:tcPr>
            <w:tcW w:w="1960" w:type="dxa"/>
            <w:vAlign w:val="bottom"/>
          </w:tcPr>
          <w:p>
            <w:pPr>
              <w:ind w:left="120"/>
              <w:spacing w:after="0"/>
              <w:rPr>
                <w:sz w:val="20"/>
                <w:szCs w:val="20"/>
                <w:color w:val="auto"/>
              </w:rPr>
            </w:pPr>
            <w:r>
              <w:rPr>
                <w:rFonts w:ascii="Arial" w:cs="Arial" w:eastAsia="Arial" w:hAnsi="Arial"/>
                <w:sz w:val="18"/>
                <w:szCs w:val="18"/>
                <w:color w:val="auto"/>
                <w:w w:val="95"/>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EUR/pay USD</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RSD/pay USD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NOK/pay USD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SGD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8"/>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exchange contracts: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GBP</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38,406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(695)</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AUD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RUB</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NZD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ZAR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Receive USD/pay COP</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Receive USD/pay DKK</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960" w:type="dxa"/>
            <w:vAlign w:val="bottom"/>
          </w:tcPr>
          <w:p>
            <w:pPr>
              <w:spacing w:after="0"/>
              <w:rPr>
                <w:sz w:val="20"/>
                <w:szCs w:val="20"/>
                <w:color w:val="auto"/>
              </w:rPr>
            </w:pPr>
            <w:r>
              <w:rPr>
                <w:rFonts w:ascii="Arial" w:cs="Arial" w:eastAsia="Arial" w:hAnsi="Arial"/>
                <w:sz w:val="18"/>
                <w:szCs w:val="18"/>
                <w:color w:val="auto"/>
              </w:rPr>
              <w:t>Accrued liabilities</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net gains (losses) on derivative instruments in the condensed consolidated statements of income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color w:val="auto"/>
                <w:w w:val="92"/>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color w:val="auto"/>
                <w:w w:val="91"/>
              </w:rPr>
              <w:t>recognized in income on</w:t>
            </w:r>
          </w:p>
        </w:tc>
        <w:tc>
          <w:tcPr>
            <w:tcW w:w="0" w:type="dxa"/>
            <w:vAlign w:val="bottom"/>
          </w:tcPr>
          <w:p>
            <w:pPr>
              <w:spacing w:after="0"/>
              <w:rPr>
                <w:sz w:val="1"/>
                <w:szCs w:val="1"/>
                <w:color w:val="auto"/>
              </w:rPr>
            </w:pPr>
          </w:p>
        </w:tc>
      </w:tr>
      <w:tr>
        <w:trPr>
          <w:trHeight w:val="230"/>
        </w:trPr>
        <w:tc>
          <w:tcPr>
            <w:tcW w:w="40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8"/>
              </w:rPr>
              <w:t>Derivatives not designated as</w:t>
            </w:r>
          </w:p>
        </w:tc>
        <w:tc>
          <w:tcPr>
            <w:tcW w:w="3080" w:type="dxa"/>
            <w:vAlign w:val="bottom"/>
            <w:vMerge w:val="restart"/>
          </w:tcPr>
          <w:p>
            <w:pPr>
              <w:jc w:val="center"/>
              <w:spacing w:after="0"/>
              <w:rPr>
                <w:sz w:val="20"/>
                <w:szCs w:val="20"/>
                <w:color w:val="auto"/>
              </w:rPr>
            </w:pPr>
            <w:r>
              <w:rPr>
                <w:rFonts w:ascii="Arial" w:cs="Arial" w:eastAsia="Arial" w:hAnsi="Arial"/>
                <w:sz w:val="18"/>
                <w:szCs w:val="18"/>
                <w:color w:val="auto"/>
                <w:w w:val="93"/>
              </w:rPr>
              <w:t>Location of gain (loss)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derivatives</w:t>
            </w:r>
          </w:p>
        </w:tc>
        <w:tc>
          <w:tcPr>
            <w:tcW w:w="0" w:type="dxa"/>
            <w:vAlign w:val="bottom"/>
          </w:tcPr>
          <w:p>
            <w:pPr>
              <w:spacing w:after="0"/>
              <w:rPr>
                <w:sz w:val="1"/>
                <w:szCs w:val="1"/>
                <w:color w:val="auto"/>
              </w:rPr>
            </w:pPr>
          </w:p>
        </w:tc>
      </w:tr>
      <w:tr>
        <w:trPr>
          <w:trHeight w:val="209"/>
        </w:trPr>
        <w:tc>
          <w:tcPr>
            <w:tcW w:w="4060" w:type="dxa"/>
            <w:vAlign w:val="bottom"/>
            <w:gridSpan w:val="2"/>
            <w:vMerge w:val="continue"/>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0" w:type="dxa"/>
            <w:vAlign w:val="bottom"/>
            <w:tcBorders>
              <w:top w:val="single" w:sz="8" w:color="auto"/>
              <w:bottom w:val="single" w:sz="8" w:color="auto"/>
            </w:tcBorders>
            <w:gridSpan w:val="4"/>
          </w:tcPr>
          <w:p>
            <w:pPr>
              <w:jc w:val="center"/>
              <w:ind w:right="50"/>
              <w:spacing w:after="0"/>
              <w:rPr>
                <w:sz w:val="20"/>
                <w:szCs w:val="20"/>
                <w:color w:val="auto"/>
              </w:rPr>
            </w:pPr>
            <w:r>
              <w:rPr>
                <w:rFonts w:ascii="Arial" w:cs="Arial" w:eastAsia="Arial" w:hAnsi="Arial"/>
                <w:sz w:val="18"/>
                <w:szCs w:val="18"/>
                <w:color w:val="auto"/>
                <w:w w:val="89"/>
              </w:rPr>
              <w:t>Three-months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6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3080" w:type="dxa"/>
            <w:vAlign w:val="bottom"/>
          </w:tcPr>
          <w:p>
            <w:pPr>
              <w:jc w:val="center"/>
              <w:spacing w:after="0" w:line="195" w:lineRule="exact"/>
              <w:rPr>
                <w:sz w:val="20"/>
                <w:szCs w:val="20"/>
                <w:color w:val="auto"/>
              </w:rPr>
            </w:pPr>
            <w:r>
              <w:rPr>
                <w:rFonts w:ascii="Arial" w:cs="Arial" w:eastAsia="Arial" w:hAnsi="Arial"/>
                <w:sz w:val="18"/>
                <w:szCs w:val="18"/>
                <w:color w:val="auto"/>
                <w:w w:val="90"/>
              </w:rPr>
              <w:t>recognized in income 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2"/>
              </w:rPr>
              <w:t>March 31,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2"/>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ASC 815-20</w:t>
            </w:r>
          </w:p>
        </w:tc>
        <w:tc>
          <w:tcPr>
            <w:tcW w:w="3080" w:type="dxa"/>
            <w:vAlign w:val="bottom"/>
          </w:tcPr>
          <w:p>
            <w:pPr>
              <w:jc w:val="center"/>
              <w:spacing w:after="0"/>
              <w:rPr>
                <w:sz w:val="20"/>
                <w:szCs w:val="20"/>
                <w:color w:val="auto"/>
              </w:rPr>
            </w:pPr>
            <w:r>
              <w:rPr>
                <w:rFonts w:ascii="Arial" w:cs="Arial" w:eastAsia="Arial" w:hAnsi="Arial"/>
                <w:sz w:val="18"/>
                <w:szCs w:val="18"/>
                <w:color w:val="auto"/>
                <w:w w:val="92"/>
              </w:rPr>
              <w:t>derivatives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Interest and other income, net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Inventories consist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140,990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5"/>
              </w:rPr>
              <w:t>211,315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225,846</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5"/>
              </w:rPr>
              <w:t>352,305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360,731</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9.</w:t>
            </w:r>
          </w:p>
        </w:tc>
        <w:tc>
          <w:tcPr>
            <w:tcW w:w="4980" w:type="dxa"/>
            <w:vAlign w:val="bottom"/>
            <w:gridSpan w:val="2"/>
            <w:vMerge w:val="restart"/>
          </w:tcPr>
          <w:p>
            <w:pPr>
              <w:ind w:left="260"/>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vMerge w:val="continue"/>
          </w:tcPr>
          <w:p>
            <w:pPr>
              <w:spacing w:after="0"/>
              <w:rPr>
                <w:sz w:val="24"/>
                <w:szCs w:val="24"/>
                <w:color w:val="auto"/>
              </w:rPr>
            </w:pPr>
          </w:p>
        </w:tc>
        <w:tc>
          <w:tcPr>
            <w:tcW w:w="49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4980" w:type="dxa"/>
            <w:vAlign w:val="bottom"/>
            <w:gridSpan w:val="2"/>
          </w:tcPr>
          <w:p>
            <w:pPr>
              <w:ind w:left="260"/>
              <w:spacing w:after="0"/>
              <w:rPr>
                <w:sz w:val="20"/>
                <w:szCs w:val="20"/>
                <w:color w:val="auto"/>
              </w:rPr>
            </w:pPr>
            <w:r>
              <w:rPr>
                <w:rFonts w:ascii="Arial" w:cs="Arial" w:eastAsia="Arial" w:hAnsi="Arial"/>
                <w:sz w:val="18"/>
                <w:szCs w:val="18"/>
                <w:color w:val="auto"/>
              </w:rPr>
              <w:t>Property and equipment consist of the following at:</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March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78,275</w:t>
            </w:r>
          </w:p>
        </w:tc>
        <w:tc>
          <w:tcPr>
            <w:tcW w:w="2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11,517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22,766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Equipment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216,125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214,293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126,338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Vehicles</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40,964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506,074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(213,704)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(207,434)</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295,570</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298,640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depreciation and amortization expense recorded was $12.4 million and $12.0 million for the three-months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roll-forward of goodwill for the three-months ended March 31, 2020 and March 31, 2019 by reportable segment:</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Monster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Energy®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Strategic</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4"/>
              </w:rPr>
              <w:t>Drinks</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Brands</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7"/>
              </w:rPr>
              <w:t>Other</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Acquisitions</w:t>
            </w: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4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$ 693,644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Monster</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Energy®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2"/>
              </w:rPr>
              <w:t>Strategic</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Drinks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right"/>
              <w:ind w:right="33"/>
              <w:spacing w:after="0"/>
              <w:rPr>
                <w:sz w:val="20"/>
                <w:szCs w:val="20"/>
                <w:color w:val="auto"/>
              </w:rPr>
            </w:pPr>
            <w:r>
              <w:rPr>
                <w:rFonts w:ascii="Arial" w:cs="Arial" w:eastAsia="Arial" w:hAnsi="Arial"/>
                <w:sz w:val="18"/>
                <w:szCs w:val="18"/>
                <w:color w:val="auto"/>
              </w:rPr>
              <w:t>Brands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$ 693,644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Acquisitions</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$ 693,644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$ 637,999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$ 1,331,643</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consist of the following at:</w:t>
            </w: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6"/>
          </w:tcPr>
          <w:p>
            <w:pPr>
              <w:jc w:val="center"/>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9"/>
          </w:tcPr>
          <w:p>
            <w:pPr>
              <w:jc w:val="right"/>
              <w:ind w:right="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Amortizing intangibles</w:t>
            </w: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3"/>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66,954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66,949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4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(52,021)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(49,128)</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10"/>
          </w:tcPr>
          <w:p>
            <w:pPr>
              <w:jc w:val="right"/>
              <w:spacing w:after="0"/>
              <w:rPr>
                <w:sz w:val="20"/>
                <w:szCs w:val="20"/>
                <w:color w:val="auto"/>
              </w:rPr>
            </w:pPr>
            <w:r>
              <w:rPr>
                <w:rFonts w:ascii="Arial" w:cs="Arial" w:eastAsia="Arial" w:hAnsi="Arial"/>
                <w:sz w:val="18"/>
                <w:szCs w:val="18"/>
                <w:color w:val="auto"/>
              </w:rPr>
              <w:t>1,038,174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1,034,284</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7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7"/>
            <w:shd w:val="clear" w:color="auto" w:fill="CCEEFF"/>
          </w:tcPr>
          <w:p>
            <w:pPr>
              <w:jc w:val="right"/>
              <w:spacing w:after="0"/>
              <w:rPr>
                <w:sz w:val="20"/>
                <w:szCs w:val="20"/>
                <w:color w:val="auto"/>
              </w:rPr>
            </w:pPr>
            <w:r>
              <w:rPr>
                <w:rFonts w:ascii="Arial" w:cs="Arial" w:eastAsia="Arial" w:hAnsi="Arial"/>
                <w:sz w:val="18"/>
                <w:szCs w:val="18"/>
                <w:color w:val="auto"/>
                <w:w w:val="88"/>
              </w:rPr>
              <w:t>$ 1,053,107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1,052,105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$2.9 million for both the three-months ended March 31, 2020 and 2019. The Company recorded an impairment charge of $3.0 million on a Strategic Brand trademark in the three-months ended March 31,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March 31,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2020 (excluding the three-months ended March 31, 2020)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2021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14,933</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Arial" w:cs="Arial" w:eastAsia="Arial" w:hAnsi="Arial"/>
                <w:sz w:val="20"/>
                <w:szCs w:val="20"/>
                <w:color w:val="auto"/>
                <w:w w:val="81"/>
              </w:rPr>
              <w:t>11</w:t>
            </w:r>
            <w:r>
              <w:rPr>
                <w:rFonts w:ascii="Arial" w:cs="Arial" w:eastAsia="Arial" w:hAnsi="Arial"/>
                <w:sz w:val="17"/>
                <w:szCs w:val="17"/>
                <w:color w:val="auto"/>
                <w:w w:val="81"/>
              </w:rPr>
              <w:t>.</w:t>
            </w:r>
          </w:p>
        </w:tc>
        <w:tc>
          <w:tcPr>
            <w:tcW w:w="6180" w:type="dxa"/>
            <w:vAlign w:val="bottom"/>
            <w:gridSpan w:val="2"/>
            <w:vMerge w:val="restart"/>
          </w:tcPr>
          <w:p>
            <w:pPr>
              <w:ind w:left="200"/>
              <w:spacing w:after="0"/>
              <w:rPr>
                <w:sz w:val="20"/>
                <w:szCs w:val="20"/>
                <w:color w:val="auto"/>
              </w:rPr>
            </w:pPr>
            <w:r>
              <w:rPr>
                <w:rFonts w:ascii="Arial" w:cs="Arial" w:eastAsia="Arial" w:hAnsi="Arial"/>
                <w:sz w:val="18"/>
                <w:szCs w:val="18"/>
                <w:color w:val="auto"/>
              </w:rPr>
              <w:t>DISTRIBUTION AGREEMENTS</w:t>
            </w: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40" w:type="dxa"/>
            <w:vAlign w:val="bottom"/>
            <w:vMerge w:val="continue"/>
          </w:tcPr>
          <w:p>
            <w:pPr>
              <w:spacing w:after="0"/>
              <w:rPr>
                <w:sz w:val="24"/>
                <w:szCs w:val="24"/>
                <w:color w:val="auto"/>
              </w:rPr>
            </w:pPr>
          </w:p>
        </w:tc>
        <w:tc>
          <w:tcPr>
            <w:tcW w:w="61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ASC 420, the Company expenses distributor termination costs in the period in which the written notification of termination occurs. The Company incurred termination costs of $0.04 million and $10.7 million for the three-months ended March 31, 2020 and 2019,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$10.6 million and $14.2 million for the three-months ended March 31, 2020 and 2019, respectively.</w:t>
      </w:r>
    </w:p>
    <w:p>
      <w:pPr>
        <w:spacing w:after="0" w:line="188"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had purchase commitments aggregating approximately $70.5 million at March 31, 2020, which represented commitments made by the Company and its subsidiaries to various suppliers of raw materials for the production of its products. These obligations vary in terms, but are generally satisfied within one year.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contractual obligations aggregating approximately $200.5 million at March 31, 2020, which related primarily to sponsorships and other marketing activities.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2018, the working capital line limit for the Company’s credit facility with HSBC Bank (China) Company Limited, Shanghai Branch, was increased from $9.0 million to $15.0 million. At March 31, 2020, the interest rate on borrowings under the line of credit was 5.5%. As of March 31, 2020, the Company had no amounts outstanding on this line of credit.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currently a defendant in a number of personal injury lawsuits, claiming that the death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March 31, 2020, the Company’s consolidated balance sheet included accrued loss contingencies of approximately $15.6 million.</w:t>
      </w:r>
    </w:p>
    <w:p>
      <w:pPr>
        <w:spacing w:after="0" w:line="162"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ACCUMULATED OTHER COMPREHENSIVE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Changes in accumulated other comprehensive loss (income) by component, after tax, for the three-months ended March 31, 2020 and 2019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Currency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(Gains) Losses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Translation</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on Available-for-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Sale Securities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32,387</w:t>
            </w: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30,295</w:t>
            </w:r>
          </w:p>
        </w:tc>
      </w:tr>
      <w:tr>
        <w:trPr>
          <w:trHeight w:val="202"/>
        </w:trPr>
        <w:tc>
          <w:tcPr>
            <w:tcW w:w="52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Amounts reclassified from accumulated other comprehensive loss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30,599</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30,295</w:t>
            </w: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62,682</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Currency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(Gains) Losses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Translation</w:t>
            </w: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on Available-for-</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Sale Securities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02"/>
        </w:trPr>
        <w:tc>
          <w:tcPr>
            <w:tcW w:w="528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Amounts reclassified from accumulated other comprehensive loss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current-period other comprehensive loss (income)</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14.</w:t>
            </w:r>
          </w:p>
        </w:tc>
        <w:tc>
          <w:tcPr>
            <w:tcW w:w="4840" w:type="dxa"/>
            <w:vAlign w:val="bottom"/>
            <w:vMerge w:val="restart"/>
          </w:tcPr>
          <w:p>
            <w:pPr>
              <w:ind w:left="200"/>
              <w:spacing w:after="0"/>
              <w:rPr>
                <w:sz w:val="20"/>
                <w:szCs w:val="20"/>
                <w:color w:val="auto"/>
              </w:rPr>
            </w:pPr>
            <w:r>
              <w:rPr>
                <w:rFonts w:ascii="Arial" w:cs="Arial" w:eastAsia="Arial" w:hAnsi="Arial"/>
                <w:sz w:val="18"/>
                <w:szCs w:val="18"/>
                <w:color w:val="auto"/>
              </w:rPr>
              <w:t>TREASURY STOCK</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February 26, 2019, the Company’s Board of Directors authorized a share repurchase program for the purchase of up to $500.0 million of the Company’s outstanding common stock (the “February 2019 Repurchase Plan”). During the three-months ended March 31, 2020, the Company purchased 0.6 million shares of common stock at an average purchase price of $58.16 per share, for a total amount of $36.6 million (excluding broker commissions), which exhausted the availability under the February 2019 Repurchase Plan. Such shares are included in common stock in treasury in the accompanying condensed consolidated balance sheet at March 31, 2020.</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November 6, 2019, the Company’s Board of Directors authorized a new share repurchase program for the purchase of up to $500.0 million of the Company’s outstanding common stock (the “November 2019 Repurchase Plan”). During the three-months ended March 31, 2020, the Company purchased 9.1 million shares of common stock at an average purchase price of $54.86 per share, for a total amount of $499.9 million (excluding broker commissions), which exhausted the availability under the November 2019 Repurchase Plan. Such shares are included in common stock in treasury in the accompanying condensed consolidated balance sheet at March 31, 2020.</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13, 2020, the Company’s Board of Directors authorized a new share repurchase program for the purchase of up to $500.0 million of the Company’s outstanding common stock (the “March 2020 Repurchase Plan”). During the three-months ended March 31, 2020, the Company purchased 0.8 million shares of common stock at an average purchase price of $57.01 per share, for a total amount of $42.9 million (excluding broker commissions), under the March 2020 Repurchase Plan. Such shares are included in common stock in treasury in the accompanying condensed consolidated balance sheet at March 31, 2020. As of May 8, 2020, $441.5 million remained available for repurchase under the March 2020 Repurchase Plan.</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March 31, 2020, 11,007 shares of common stock were purchased from employees in lieu of cash payments for options exercised or withholding taxes due for a total amount of $0.6 million. While such purchases are considered common stock repurchases, they are not counted as purchases against our authorized share repurchase programs. Such shares are included in common stock in treasury in the accompanying condensed consolidated balance sheet at March 31, 2020.</w:t>
      </w:r>
    </w:p>
    <w:p>
      <w:pPr>
        <w:spacing w:after="0" w:line="15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Company has two stock-based compensation plans under which shares were available for grant at March 31, 2020: the Monster Beverage Corporation 2011 Omnibus Incentive Plan, including the Monster Beverage Corporation Deferred Compensation Plan as a sub plan thereunder, and the Monster Beverage Corporation 2017 Compensation Plan for Non-Employee Directors, including the Monster Beverage Corporation Deferred Compensation Plan for Non-Employee Directors as a sub plan thereunder.</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$17.1 million and $15.3 million of compensation expense relating to outstanding options, restricted stock units and performance share units during the three-months ended March 31, 2020 and 2019,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tax benefit for tax deductions from non-qualified stock option exercises, disqualifying dispositions of incentive stock options and vesting of restricted stock units and performance share units for the three-months ended March 31, 2020 and 2019 was $1.7 million and $22.4 million, respectively.</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Company’s stock-based compensation plans, all stock options granted as of March 31, 2020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2760" w:type="dxa"/>
            <w:vAlign w:val="bottom"/>
            <w:gridSpan w:val="4"/>
          </w:tcPr>
          <w:p>
            <w:pPr>
              <w:jc w:val="right"/>
              <w:ind w:right="330"/>
              <w:spacing w:after="0"/>
              <w:rPr>
                <w:sz w:val="20"/>
                <w:szCs w:val="20"/>
                <w:color w:val="auto"/>
              </w:rPr>
            </w:pPr>
            <w:r>
              <w:rPr>
                <w:rFonts w:ascii="Arial" w:cs="Arial" w:eastAsia="Arial" w:hAnsi="Arial"/>
                <w:sz w:val="18"/>
                <w:szCs w:val="18"/>
                <w:color w:val="auto"/>
                <w:w w:val="91"/>
              </w:rPr>
              <w:t>Three-Months Ended March 31,</w:t>
            </w:r>
          </w:p>
        </w:tc>
      </w:tr>
      <w:tr>
        <w:trPr>
          <w:trHeight w:val="210"/>
        </w:trPr>
        <w:tc>
          <w:tcPr>
            <w:tcW w:w="41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4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400" w:type="dxa"/>
            <w:vAlign w:val="bottom"/>
            <w:tcBorders>
              <w:bottom w:val="single" w:sz="8" w:color="CCEEFF"/>
            </w:tcBorders>
          </w:tcPr>
          <w:p>
            <w:pPr>
              <w:spacing w:after="0"/>
              <w:rPr>
                <w:sz w:val="18"/>
                <w:szCs w:val="18"/>
                <w:color w:val="auto"/>
              </w:rPr>
            </w:pPr>
          </w:p>
        </w:tc>
      </w:tr>
      <w:tr>
        <w:trPr>
          <w:trHeight w:val="20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30.5 %</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30.2 %</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0.7 %</w:t>
            </w:r>
          </w:p>
        </w:tc>
        <w:tc>
          <w:tcPr>
            <w:tcW w:w="1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2.4 %</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Expected term</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5.8 years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 years</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volatility is based on the most recent volatility of the stock price over a period of time equivalent to the expected term of the option.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zero-coupon yield curve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the expected term of the option.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Company’s expected term represents the weighted-average period that the Company’s stock options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Weighted-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Shares (in</w:t>
            </w: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Price Per</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Term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3"/>
              </w:rPr>
              <w:t>Aggregate</w:t>
            </w:r>
          </w:p>
        </w:tc>
      </w:tr>
      <w:tr>
        <w:trPr>
          <w:trHeight w:val="230"/>
        </w:trPr>
        <w:tc>
          <w:tcPr>
            <w:tcW w:w="5340" w:type="dxa"/>
            <w:vAlign w:val="bottom"/>
            <w:gridSpan w:val="2"/>
          </w:tcPr>
          <w:p>
            <w:pPr>
              <w:ind w:left="228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thousands)</w:t>
            </w:r>
          </w:p>
        </w:tc>
        <w:tc>
          <w:tcPr>
            <w:tcW w:w="1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Share</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years)</w:t>
            </w: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3"/>
              </w:rPr>
              <w:t>Intrinsic Value</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308,884</w:t>
            </w: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Granted 01/01/20 - 03/31/20</w:t>
            </w:r>
          </w:p>
        </w:tc>
        <w:tc>
          <w:tcPr>
            <w:tcW w:w="900" w:type="dxa"/>
            <w:vAlign w:val="bottom"/>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62.45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Cancelled or forfeited</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52.50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204,418</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Vested and expected to vest in the future at March 31, 2020</w:t>
            </w:r>
          </w:p>
        </w:tc>
        <w:tc>
          <w:tcPr>
            <w:tcW w:w="900" w:type="dxa"/>
            <w:vAlign w:val="bottom"/>
          </w:tcPr>
          <w:p>
            <w:pPr>
              <w:jc w:val="right"/>
              <w:spacing w:after="0"/>
              <w:rPr>
                <w:sz w:val="20"/>
                <w:szCs w:val="20"/>
                <w:color w:val="auto"/>
              </w:rPr>
            </w:pPr>
            <w:r>
              <w:rPr>
                <w:rFonts w:ascii="Arial" w:cs="Arial" w:eastAsia="Arial" w:hAnsi="Arial"/>
                <w:sz w:val="18"/>
                <w:szCs w:val="18"/>
                <w:color w:val="auto"/>
              </w:rPr>
              <w:t>14,755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202,679</w:t>
            </w: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182,359</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weighted-average grant-date fair value of options granted during the three-months ended March 31, 2020 and 2019 was $18.78 per share and $20.30 per share,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intrinsic value of options exercised during the three-months ended March 31, 2020 and 2019 was $10.9 million and $178.5 million,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received from option exercises under all plans for the three-months ended March 31, 2020 and 2019 was $14.0 million and $35.2 million,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2020, there was $86.8 million of total unrecognized compensation expense related to non-vested options granted to employees under the Company’s stock-based payment plans. That cost is expected to be recognized over a weighted-average period of 2.7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 and Performance Share Units</w:t>
      </w:r>
    </w:p>
    <w:p>
      <w:pPr>
        <w:spacing w:after="0" w:line="22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activities with respect to non-vested restricted stock units and performance share units as follows: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r>
      <w:tr>
        <w:trPr>
          <w:trHeight w:val="216"/>
        </w:trPr>
        <w:tc>
          <w:tcPr>
            <w:tcW w:w="4280" w:type="dxa"/>
            <w:vAlign w:val="bottom"/>
          </w:tcPr>
          <w:p>
            <w:pPr>
              <w:spacing w:after="0"/>
              <w:rPr>
                <w:sz w:val="18"/>
                <w:szCs w:val="18"/>
                <w:color w:val="auto"/>
              </w:rPr>
            </w:pPr>
          </w:p>
        </w:tc>
        <w:tc>
          <w:tcPr>
            <w:tcW w:w="2640" w:type="dxa"/>
            <w:vAlign w:val="bottom"/>
            <w:gridSpan w:val="2"/>
          </w:tcPr>
          <w:p>
            <w:pPr>
              <w:jc w:val="center"/>
              <w:ind w:left="173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r>
      <w:tr>
        <w:trPr>
          <w:trHeight w:val="216"/>
        </w:trPr>
        <w:tc>
          <w:tcPr>
            <w:tcW w:w="4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9"/>
              </w:rPr>
              <w:t>Grant-Date</w:t>
            </w:r>
          </w:p>
        </w:tc>
      </w:tr>
      <w:tr>
        <w:trPr>
          <w:trHeight w:val="230"/>
        </w:trPr>
        <w:tc>
          <w:tcPr>
            <w:tcW w:w="428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Fair Value</w:t>
            </w:r>
          </w:p>
        </w:tc>
      </w:tr>
      <w:tr>
        <w:trPr>
          <w:trHeight w:val="20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2020</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16"/>
        </w:trPr>
        <w:tc>
          <w:tcPr>
            <w:tcW w:w="4280" w:type="dxa"/>
            <w:vAlign w:val="bottom"/>
          </w:tcPr>
          <w:p>
            <w:pPr>
              <w:ind w:left="320"/>
              <w:spacing w:after="0" w:line="216" w:lineRule="exact"/>
              <w:rPr>
                <w:sz w:val="20"/>
                <w:szCs w:val="20"/>
                <w:color w:val="auto"/>
              </w:rPr>
            </w:pPr>
            <w:r>
              <w:rPr>
                <w:rFonts w:ascii="Arial" w:cs="Arial" w:eastAsia="Arial" w:hAnsi="Arial"/>
                <w:sz w:val="17"/>
                <w:szCs w:val="17"/>
                <w:color w:val="auto"/>
              </w:rPr>
              <w:t>Granted 01/01/20 - 03/31/20</w:t>
            </w:r>
            <w:r>
              <w:rPr>
                <w:rFonts w:ascii="Arial" w:cs="Arial" w:eastAsia="Arial" w:hAnsi="Arial"/>
                <w:sz w:val="25"/>
                <w:szCs w:val="25"/>
                <w:color w:val="auto"/>
                <w:vertAlign w:val="superscript"/>
              </w:rPr>
              <w:t>1</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16"/>
        </w:trPr>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r>
      <w:tr>
        <w:trPr>
          <w:trHeight w:val="216"/>
        </w:trPr>
        <w:tc>
          <w:tcPr>
            <w:tcW w:w="4280" w:type="dxa"/>
            <w:vAlign w:val="bottom"/>
          </w:tcPr>
          <w:p>
            <w:pPr>
              <w:ind w:left="320"/>
              <w:spacing w:after="0"/>
              <w:rPr>
                <w:sz w:val="20"/>
                <w:szCs w:val="20"/>
                <w:color w:val="auto"/>
              </w:rPr>
            </w:pPr>
            <w:r>
              <w:rPr>
                <w:rFonts w:ascii="Arial" w:cs="Arial" w:eastAsia="Arial" w:hAnsi="Arial"/>
                <w:sz w:val="18"/>
                <w:szCs w:val="18"/>
                <w:color w:val="auto"/>
              </w:rPr>
              <w:t>Forfeited/cancelled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59.67</w:t>
            </w:r>
          </w:p>
        </w:tc>
      </w:tr>
      <w:tr>
        <w:trPr>
          <w:trHeight w:val="20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31, 2020</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60.21</w:t>
            </w:r>
          </w:p>
        </w:tc>
      </w:tr>
      <w:tr>
        <w:trPr>
          <w:trHeight w:val="20"/>
        </w:trPr>
        <w:tc>
          <w:tcPr>
            <w:tcW w:w="4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dependent on the pre-established performance goals.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weighted-average grant-date fair value of restricted stock units and performance share units granted during the three-months ended March 31, 2020 was $62.39 per share. The weighted-average grant-date fair value of restricted stock units granted during the three-months ended March 31, 2019 was $59.66 per share. No performance share units were granted during the three-months ended March 31, 2019. As of March 31, 2020, 0.8 million of restricted stock units and performance share units are expected to vest over their respective terms.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2020, total unrecognized compensation expense relating to non-vested restricted stock units and performance share units was $47.2 million, which is expected to be recognized over a weighted-average period of 2.9 years.</w:t>
      </w:r>
    </w:p>
    <w:p>
      <w:pPr>
        <w:spacing w:after="0" w:line="17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roll-forward of the Company’s total gross unrecognized tax benefits, not including interest and penalties, for the three-months ended March 31,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w w:val="90"/>
              </w:rPr>
              <w:t>Gross Unrecognized Tax</w:t>
            </w:r>
          </w:p>
        </w:tc>
      </w:tr>
      <w:tr>
        <w:trPr>
          <w:trHeight w:val="230"/>
        </w:trPr>
        <w:tc>
          <w:tcPr>
            <w:tcW w:w="6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Benefits</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related to the prior years</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Decreases related to settlement with taxing authority</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recognizes accrued interest and penalties related to unrecognized tax benefits in the provision for income taxes in the Company’s condensed consolidated financial statements. As of March 31, 2020, the Company had approximately $0.4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subject to U.S. federal income tax as well as to income tax in multiple state and foreign jurisdictions.</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2016 through 2019 U.S. federal income tax returns are subject to examination by the IRS. The Company’s state income tax returns are subject to examination for the 2015 through 2019 tax years.</w:t>
      </w:r>
    </w:p>
    <w:p>
      <w:pPr>
        <w:spacing w:after="0" w:line="184"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 below (in thousands):</w:t>
      </w:r>
    </w:p>
    <w:p>
      <w:pPr>
        <w:spacing w:after="0" w:line="18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Three-Months Ended</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5715</wp:posOffset>
            </wp:positionV>
            <wp:extent cx="10026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ind w:left="7520"/>
        <w:spacing w:after="0"/>
        <w:tabs>
          <w:tab w:leader="none" w:pos="838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3"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6360" w:type="dxa"/>
            <w:vAlign w:val="bottom"/>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536,061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542,768</w:t>
            </w:r>
          </w:p>
        </w:tc>
      </w:tr>
      <w:tr>
        <w:trPr>
          <w:trHeight w:val="216"/>
        </w:trPr>
        <w:tc>
          <w:tcPr>
            <w:tcW w:w="6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w:t>
            </w:r>
          </w:p>
        </w:tc>
      </w:tr>
      <w:tr>
        <w:trPr>
          <w:trHeight w:val="209"/>
        </w:trPr>
        <w:tc>
          <w:tcPr>
            <w:tcW w:w="6360" w:type="dxa"/>
            <w:vAlign w:val="bottom"/>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540,518</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548,273</w:t>
            </w:r>
          </w:p>
        </w:tc>
      </w:tr>
      <w:tr>
        <w:trPr>
          <w:trHeight w:val="20"/>
        </w:trPr>
        <w:tc>
          <w:tcPr>
            <w:tcW w:w="6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three-months ended March 31, 2020 and 2019, options and awards outstanding totaling 4.8 million shares and 4.3 million shares, respectively, were excluded from the calculations as their effect would have been antidilutive.</w:t>
      </w:r>
    </w:p>
    <w:p>
      <w:pPr>
        <w:spacing w:after="0" w:line="170"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three operating and reportable segments: (i) Monster Energy® Drinks segment, which is primarily comprised of the Company’s Monster Energy® drinks and Reign Total Body Fuel® high performance energy drinks, (ii) Strategic Brands segment, which is primarily comprised of the various energy drink brands acquired from TCCC in 2015 as well as the Company’s affordable energy brands, and (iii) Other segment, which is comprised of the AFF Third-Party Products.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Monster Energy® Drinks segment primarily generates net operating revenues by selling ready-to-drink packaged drinks primarily to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the Monster Energy® Drinks segment generates higher per case net operating revenues, but lower per case gross profit margin percentages than the Strategic Brands segment.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revenues derived from the Company’s reportable segments and other financial information related thereto for the three-months ended March 31, 2020 and 2019 are as follows: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Net sales:</w:t>
      </w:r>
    </w:p>
    <w:p>
      <w:pPr>
        <w:ind w:left="1100"/>
        <w:spacing w:after="0" w:line="193" w:lineRule="auto"/>
        <w:rPr>
          <w:sz w:val="20"/>
          <w:szCs w:val="20"/>
          <w:color w:val="auto"/>
        </w:rPr>
      </w:pPr>
      <w:r>
        <w:rPr>
          <w:rFonts w:ascii="Arial" w:cs="Arial" w:eastAsia="Arial" w:hAnsi="Arial"/>
          <w:sz w:val="18"/>
          <w:szCs w:val="18"/>
          <w:color w:val="auto"/>
        </w:rPr>
        <w:t>Monster Energy® Drinks</w:t>
      </w:r>
      <w:r>
        <w:rPr>
          <w:rFonts w:ascii="Arial" w:cs="Arial" w:eastAsia="Arial" w:hAnsi="Arial"/>
          <w:sz w:val="26"/>
          <w:szCs w:val="26"/>
          <w:color w:val="auto"/>
          <w:vertAlign w:val="superscript"/>
        </w:rPr>
        <w:t>(1)</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Strategic Brands</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 and unallocated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Operating Income:</w:t>
      </w:r>
    </w:p>
    <w:p>
      <w:pPr>
        <w:ind w:left="1100"/>
        <w:spacing w:after="0" w:line="218" w:lineRule="auto"/>
        <w:rPr>
          <w:sz w:val="20"/>
          <w:szCs w:val="20"/>
          <w:color w:val="auto"/>
        </w:rPr>
      </w:pPr>
      <w:r>
        <w:rPr>
          <w:rFonts w:ascii="Arial" w:cs="Arial" w:eastAsia="Arial" w:hAnsi="Arial"/>
          <w:sz w:val="16"/>
          <w:szCs w:val="16"/>
          <w:color w:val="auto"/>
        </w:rPr>
        <w:t>Monster Energy® Drinks</w:t>
      </w:r>
      <w:r>
        <w:rPr>
          <w:rFonts w:ascii="Arial" w:cs="Arial" w:eastAsia="Arial" w:hAnsi="Arial"/>
          <w:sz w:val="23"/>
          <w:szCs w:val="23"/>
          <w:color w:val="auto"/>
          <w:vertAlign w:val="superscript"/>
        </w:rPr>
        <w:t>(1) (2)</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Strategic Brands</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 and unallocated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before tax:</w:t>
      </w:r>
    </w:p>
    <w:p>
      <w:pPr>
        <w:ind w:left="1100"/>
        <w:spacing w:after="0" w:line="218" w:lineRule="auto"/>
        <w:rPr>
          <w:sz w:val="20"/>
          <w:szCs w:val="20"/>
          <w:color w:val="auto"/>
        </w:rPr>
      </w:pPr>
      <w:r>
        <w:rPr>
          <w:rFonts w:ascii="Arial" w:cs="Arial" w:eastAsia="Arial" w:hAnsi="Arial"/>
          <w:sz w:val="16"/>
          <w:szCs w:val="16"/>
          <w:color w:val="auto"/>
        </w:rPr>
        <w:t>Monster Energy® Drinks</w:t>
      </w:r>
      <w:r>
        <w:rPr>
          <w:rFonts w:ascii="Arial" w:cs="Arial" w:eastAsia="Arial" w:hAnsi="Arial"/>
          <w:sz w:val="23"/>
          <w:szCs w:val="23"/>
          <w:color w:val="auto"/>
          <w:vertAlign w:val="superscript"/>
        </w:rPr>
        <w:t>(1) (2)</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Strategic Brands</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 and unallocated</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Three-Months Ended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411"/>
        </w:trPr>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992,454</w:t>
            </w:r>
          </w:p>
        </w:tc>
        <w:tc>
          <w:tcPr>
            <w:tcW w:w="24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870,384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70,286</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1,062,097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945,991</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411"/>
        </w:trPr>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411,141</w:t>
            </w:r>
          </w:p>
        </w:tc>
        <w:tc>
          <w:tcPr>
            <w:tcW w:w="24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342,999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36,719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45,581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(78,021)</w:t>
            </w:r>
          </w:p>
        </w:tc>
      </w:tr>
      <w:tr>
        <w:trPr>
          <w:trHeight w:val="210"/>
        </w:trPr>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364,988</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311,461</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13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color w:val="auto"/>
                <w:w w:val="92"/>
              </w:rPr>
              <w:t>March 31,</w:t>
            </w:r>
          </w:p>
        </w:tc>
        <w:tc>
          <w:tcPr>
            <w:tcW w:w="84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r>
      <w:tr>
        <w:trPr>
          <w:trHeight w:val="411"/>
        </w:trPr>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411,178</w:t>
            </w:r>
          </w:p>
        </w:tc>
        <w:tc>
          <w:tcPr>
            <w:tcW w:w="24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343,016</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36,719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-3282315</wp:posOffset>
            </wp:positionV>
            <wp:extent cx="503174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3174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-2999740</wp:posOffset>
            </wp:positionV>
            <wp:extent cx="50317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-2725420</wp:posOffset>
            </wp:positionV>
            <wp:extent cx="503174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-1851025</wp:posOffset>
            </wp:positionV>
            <wp:extent cx="503174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3174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-1567815</wp:posOffset>
            </wp:positionV>
            <wp:extent cx="503174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-1293495</wp:posOffset>
            </wp:positionV>
            <wp:extent cx="503174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31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-419735</wp:posOffset>
            </wp:positionV>
            <wp:extent cx="503174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31740" cy="14605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-136525</wp:posOffset>
            </wp:positionV>
            <wp:extent cx="503174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31740" cy="137160"/>
                    </a:xfrm>
                    <a:prstGeom prst="rect">
                      <a:avLst/>
                    </a:prstGeom>
                    <a:noFill/>
                  </pic:spPr>
                </pic:pic>
              </a:graphicData>
            </a:graphic>
          </wp:anchor>
        </w:drawing>
      </w:r>
    </w:p>
    <w:p>
      <w:pPr>
        <w:ind w:left="2200" w:hanging="1388"/>
        <w:spacing w:after="0"/>
        <w:tabs>
          <w:tab w:leader="none" w:pos="2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902</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(82,824)</w:t>
      </w:r>
      <w:r>
        <w:rPr>
          <w:rFonts w:ascii="Arial" w:cs="Arial" w:eastAsia="Arial" w:hAnsi="Arial"/>
          <w:sz w:val="16"/>
          <w:szCs w:val="16"/>
          <w:color w:val="auto"/>
        </w:rPr>
        <w:t>(75,292)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-130810</wp:posOffset>
            </wp:positionV>
            <wp:extent cx="503174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31740" cy="146050"/>
                    </a:xfrm>
                    <a:prstGeom prst="rect">
                      <a:avLst/>
                    </a:prstGeom>
                    <a:noFill/>
                  </pic:spPr>
                </pic:pic>
              </a:graphicData>
            </a:graphic>
          </wp:anchor>
        </w:drawing>
      </w:r>
    </w:p>
    <w:p>
      <w:pPr>
        <w:spacing w:after="0"/>
        <w:tabs>
          <w:tab w:leader="none" w:pos="480" w:val="left"/>
          <w:tab w:leader="none" w:pos="1360" w:val="left"/>
          <w:tab w:leader="none" w:pos="1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365,860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314,203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0274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0274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3520"/>
          </w:cols>
          <w:pgMar w:left="980" w:top="665" w:right="999" w:bottom="1440" w:gutter="0" w:footer="0" w:header="0"/>
          <w:type w:val="continuous"/>
        </w:sectPr>
      </w:pPr>
    </w:p>
    <w:p>
      <w:pPr>
        <w:spacing w:after="0" w:line="60" w:lineRule="exact"/>
        <w:rPr>
          <w:sz w:val="20"/>
          <w:szCs w:val="20"/>
          <w:color w:val="auto"/>
        </w:rPr>
      </w:pPr>
    </w:p>
    <w:p>
      <w:pPr>
        <w:ind w:left="680" w:hanging="321"/>
        <w:spacing w:after="0"/>
        <w:tabs>
          <w:tab w:leader="none" w:pos="6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$10.6 million and $14.2 million for the three-months ended March 31, 2020 and 2019, respectively, related to the recognition of deferred revenue.</w:t>
      </w:r>
    </w:p>
    <w:p>
      <w:pPr>
        <w:spacing w:after="0" w:line="188" w:lineRule="exact"/>
        <w:rPr>
          <w:rFonts w:ascii="Arial" w:cs="Arial" w:eastAsia="Arial" w:hAnsi="Arial"/>
          <w:sz w:val="13"/>
          <w:szCs w:val="13"/>
          <w:i w:val="1"/>
          <w:iCs w:val="1"/>
          <w:color w:val="auto"/>
        </w:rPr>
      </w:pPr>
    </w:p>
    <w:p>
      <w:pPr>
        <w:ind w:left="680" w:hanging="321"/>
        <w:spacing w:after="0"/>
        <w:tabs>
          <w:tab w:leader="none" w:pos="6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Includes $0.04 million and $10.7 million for the three-months ended March 31, 2020 and 2019, respectively, related to distributor termination costs.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430"/>
              <w:spacing w:after="0"/>
              <w:rPr>
                <w:sz w:val="20"/>
                <w:szCs w:val="20"/>
                <w:color w:val="auto"/>
              </w:rPr>
            </w:pPr>
            <w:r>
              <w:rPr>
                <w:rFonts w:ascii="Arial" w:cs="Arial" w:eastAsia="Arial" w:hAnsi="Arial"/>
                <w:sz w:val="18"/>
                <w:szCs w:val="18"/>
                <w:color w:val="auto"/>
              </w:rPr>
              <w:t>Three-Months Ended</w:t>
            </w:r>
          </w:p>
        </w:tc>
      </w:tr>
      <w:tr>
        <w:trPr>
          <w:trHeight w:val="230"/>
        </w:trPr>
        <w:tc>
          <w:tcPr>
            <w:tcW w:w="38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r>
      <w:tr>
        <w:trPr>
          <w:trHeight w:val="209"/>
        </w:trPr>
        <w:tc>
          <w:tcPr>
            <w:tcW w:w="382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9,651</w:t>
            </w:r>
          </w:p>
        </w:tc>
        <w:tc>
          <w:tcPr>
            <w:tcW w:w="240" w:type="dxa"/>
            <w:vAlign w:val="bottom"/>
          </w:tcPr>
          <w:p>
            <w:pPr>
              <w:spacing w:after="0"/>
              <w:rPr>
                <w:sz w:val="18"/>
                <w:szCs w:val="18"/>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9,798</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1,155</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10"/>
        </w:trPr>
        <w:tc>
          <w:tcPr>
            <w:tcW w:w="3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14,870</w:t>
            </w:r>
          </w:p>
        </w:tc>
      </w:tr>
      <w:tr>
        <w:trPr>
          <w:trHeight w:val="20"/>
        </w:trPr>
        <w:tc>
          <w:tcPr>
            <w:tcW w:w="3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Corporate and unallocated expenses for the three-months ended March 31, 2020 include $55.3 million of payroll costs, of which $17.1 million was attributable to stock-based compensation expenses (see Note 15 “Stock-Based Compensation”), as well as $16.3 million attributable to professional service expenses, including accounting and legal costs, and $12.1 million of other operating expenses. Corporate and unallocated expenses for the three-months ended March 31, 2019 include $50.4 million of payroll costs, of which $15.3 million was attributable to stock-based compensation expenses (see Note 15 “Stock-Based Compensation”), as well as $17.5 million attributable to professional service expenses, including accounting and legal costs, and $10.1 million of other operating expenses.</w:t>
      </w:r>
    </w:p>
    <w:p>
      <w:pPr>
        <w:spacing w:after="0" w:line="16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Coca-Cola Consolidated, Inc. accounted for approximately 12% and 13% of the Company’s net sales for the three-months ended March 31, 2020 and 2019,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Reyes Coca-Cola Bottling, LLC accounted for approximately 11% and 12% of the Company’s net sales for the three-months ended March 31, 2020 and 2019,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Coca-Cola European Partners accounted for approximately 10% and 9% of the Company’s net sales for the three-months ended March 31, 2020 and 2019,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to customers outside the United States amounted to $356.8 million and $284.1 million for the three-months ended March 31, 2020 and 2019, respectively. Such sales were approximately 34% and 30% of net sales for the three-months ended March 31, 2020 and 2019, respectively.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and other intangible assets for the Company’s reportable segments as of March 31, 2020 and December 31, 2019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March 31,</w:t>
            </w:r>
          </w:p>
        </w:tc>
        <w:tc>
          <w:tcPr>
            <w:tcW w:w="24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1,391,507</w:t>
            </w:r>
          </w:p>
        </w:tc>
        <w:tc>
          <w:tcPr>
            <w:tcW w:w="4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1,384,940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Strategic Brands</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and unallocated</w:t>
            </w:r>
          </w:p>
        </w:tc>
        <w:tc>
          <w:tcPr>
            <w:tcW w:w="1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2,384,750</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2,383,748</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87"/>
              </w:rPr>
              <w:t>19.</w:t>
            </w:r>
          </w:p>
        </w:tc>
        <w:tc>
          <w:tcPr>
            <w:tcW w:w="4600" w:type="dxa"/>
            <w:vAlign w:val="bottom"/>
            <w:gridSpan w:val="2"/>
            <w:vMerge w:val="restart"/>
          </w:tcPr>
          <w:p>
            <w:pPr>
              <w:ind w:left="200"/>
              <w:spacing w:after="0"/>
              <w:rPr>
                <w:sz w:val="20"/>
                <w:szCs w:val="20"/>
                <w:color w:val="auto"/>
              </w:rPr>
            </w:pPr>
            <w:r>
              <w:rPr>
                <w:rFonts w:ascii="Arial" w:cs="Arial" w:eastAsia="Arial" w:hAnsi="Arial"/>
                <w:sz w:val="18"/>
                <w:szCs w:val="18"/>
                <w:color w:val="auto"/>
              </w:rPr>
              <w:t>RELATED PARTY TRANSACTIONS</w:t>
            </w: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46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TCCC controls approximately 19.4%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TCCC commissions, based on sales to the TCCC Subsidiaries and the TCCC Related Parties, were $10.9 million and $12.1 million for the three-months ended March 31, 2020 and 2019, respectively, and are included as a reduction to net sales.</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TCCC commissions, based on sales to certain TCCC independent bottlers/distributors, were $4.4 million and $3.8 million for the three-months ended March 31, 2020 and 2019, respectively, and are included in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to the TCCC Subsidiaries for the three-months ended March 31, 2020 and 2019 were $19.5 million and $17.3 million,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purchases concentrates from TCCC which are then sold to certain of the Company’s bottlers/distributors. Concentrate purchases from TCCC were $4.2 million and $6.6 million for the three-months ended March 31, 2020 and 2019, respectively.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34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TCCC Subsidiaries also contract manufacture certain of the Company’s energy drinks. Such contract manufacturing expenses were $4.0 million and $4.5 million for the three-months ended March 31, 2020 and 2019, respectively.</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accounts payable, accrued promotional allowances and accrued liabilities related to the TCCC Subsidiaries are as follows at:</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93"/>
              </w:rPr>
              <w:t>December 31,</w:t>
            </w:r>
          </w:p>
        </w:tc>
      </w:tr>
      <w:tr>
        <w:trPr>
          <w:trHeight w:val="230"/>
        </w:trPr>
        <w:tc>
          <w:tcPr>
            <w:tcW w:w="35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(18,356)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(18,217)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Accrued promotional allowances</w:t>
            </w:r>
          </w:p>
        </w:tc>
        <w:tc>
          <w:tcPr>
            <w:tcW w:w="1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Accrued liabilities</w:t>
            </w:r>
          </w:p>
        </w:tc>
        <w:tc>
          <w:tcPr>
            <w:tcW w:w="1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(14,451)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three-months ended March 31, 2020 and 2019 were $0.7 million and $0.3 million, respectively.</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and is included in other assets (non-current) in the accompanying condensed consolidated balance sheet at March 31, 2020. During the three-months ended March 31, 2020, the Company made no additional capital contributions and recorded an equity loss of $0.03 million. As of March 31, 2020, the Company’s equity investment is $1.8 million and is included in other assets (non-current) in the accompanying condensed consolidated balance sheet.</w:t>
      </w:r>
    </w:p>
    <w:p>
      <w:pPr>
        <w:spacing w:after="0" w:line="178"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In April 2020, the Company entered into an agreement to acquire a three-story office building located in Uxbridge, United Kingdom for approximately $10.0 million. The acquisition of the building is expected to close in mid-May 2020. The building is currently being leased by the Company.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 – 19 Pandemic</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communities and business operations, as well as the global economy and financial markets. The human and economic consequences of the COVID-19 pandemic as well as the measures being taken by governments, and as a result businesses (including the Company and its suppliers, full service beverage bottlers/distributors (“bottlers/distributors”), co-packers and other service providers) and the public at large to limit the COVID-19 pandemic’s spread, has directly and indirectly impacted our business and results of operations. The duration and severity of this impact will depend on future developments that are highly uncertain and cannot be accurately predicted, including new information that may emerge concerning the COVID-19 pandemic, the actions taken to limit its spread and the economic impact on local, regional, national and international markets. See the section entitled “Risk Factors” in Item 1A of this Quarterly Report.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Over the past few months, we have been actively addressing the COVID-19 pandemic with a global task force team working to mitigate the potential impacts to our people and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and Safety of our Employees and Business Partners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From the beginning of the COVID-19 pandemic, our top priority has been the health, safety and well-being of our employees. Early in March 2020, we implemented global travel restrictions and work-from-home policies for employees who are able to work remotely. For those employees who are unable to work remotely, safety precautions have been instituted, which were developed and adopted in line with guidance from public health authorities and professional consultants. We are incredibly proud of the teamwork exhibited by our employees, co-packers and bottlers/distributors around the world who are ensuring the integrity of our supply chain.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Demand</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COVID-19 pandemic did not have a material adverse impact on our net and gross sales for the three-months ended March 31, 2020. Our April sales were materially adversely impacted by the COVID-19 pandemic, however bottler/distributor sales of the Company’s products to retail in the United States were markedly less adversely impacted. Since mid-March 2020, we have seen a shift in consumer channel preferences and package configurations, including an increase in at-home consumption and a decrease in immediate consumption. To date, our sales in the second quarter of 2020 have been adversely affected as a result of a decrease in foot traffic in the convenience and gas channel (which is our largest channel) and food service on-premise, while our e-commerce, club store, mass merchandiser and grocery and related business remain stable. The duration of these trends and the magnitude of such impacts cannot be precisely estimated at this time, as they are affected by a number of factors (many of which are outside our control).</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reduced demand for our products or change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Distribution and Supply Chain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the date of this filing, we do not foresee a material impact on the ability of our co-packers to manufacture and our bottlers/distributors to distribute our products as a result of the COVID-19 pandemic. In addition, we are not experiencing raw material or finished product shortages in our supply chain. However, depending on the duration of any COVID-19 pandemic related issues, we may experience material disruptions in our supply chain as the pandemic continues.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 and Capital Resources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we expect to maintain substantial liquidity as we manage through the current environment as described in the “Liquidity and Capital Resources”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develop, market, sell and distribute energy drink beverages and concentrates for energy drink beverages, primarily under the following brand names: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Energy®</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NOS®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Energy Ultra®</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Full Throttle®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Rehab®</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Burn®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MAXX®</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Mother®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Java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Nalu®</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Muscle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Ultra Energy®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Espresso Monster®</w:t>
            </w:r>
          </w:p>
        </w:tc>
        <w:tc>
          <w:tcPr>
            <w:tcW w:w="3460" w:type="dxa"/>
            <w:vAlign w:val="bottom"/>
            <w:gridSpan w:val="2"/>
          </w:tcPr>
          <w:p>
            <w:pPr>
              <w:ind w:left="680"/>
              <w:spacing w:after="0"/>
              <w:rPr>
                <w:sz w:val="20"/>
                <w:szCs w:val="20"/>
                <w:color w:val="auto"/>
              </w:rPr>
            </w:pPr>
            <w:r>
              <w:rPr>
                <w:rFonts w:ascii="Arial" w:cs="Arial" w:eastAsia="Arial" w:hAnsi="Arial"/>
                <w:sz w:val="18"/>
                <w:szCs w:val="18"/>
                <w:color w:val="auto"/>
                <w:w w:val="94"/>
              </w:rPr>
              <w:t>●  Play® and Power Play® (stylized)</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Punch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Relentless®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Juice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BPM®</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Hydro®</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BU®</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  Monster HydroSport Super Fuel®</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Gladiator®</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Monster Dragon Tea®</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Samurai®</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280" w:type="dxa"/>
            <w:vAlign w:val="bottom"/>
          </w:tcPr>
          <w:p>
            <w:pPr>
              <w:ind w:left="80"/>
              <w:spacing w:after="0"/>
              <w:rPr>
                <w:sz w:val="20"/>
                <w:szCs w:val="20"/>
                <w:color w:val="auto"/>
              </w:rPr>
            </w:pPr>
            <w:r>
              <w:rPr>
                <w:rFonts w:ascii="Arial" w:cs="Arial" w:eastAsia="Arial" w:hAnsi="Arial"/>
                <w:sz w:val="18"/>
                <w:szCs w:val="18"/>
                <w:color w:val="auto"/>
              </w:rPr>
              <w:t>Caffé Monster®</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Live+®</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  Reign Total Body Fuel®</w:t>
            </w:r>
          </w:p>
        </w:tc>
        <w:tc>
          <w:tcPr>
            <w:tcW w:w="880" w:type="dxa"/>
            <w:vAlign w:val="bottom"/>
          </w:tcPr>
          <w:p>
            <w:pPr>
              <w:ind w:left="680"/>
              <w:spacing w:after="0"/>
              <w:rPr>
                <w:sz w:val="20"/>
                <w:szCs w:val="20"/>
                <w:color w:val="auto"/>
              </w:rPr>
            </w:pPr>
            <w:r>
              <w:rPr>
                <w:rFonts w:ascii="Arial" w:cs="Arial" w:eastAsia="Arial" w:hAnsi="Arial"/>
                <w:sz w:val="18"/>
                <w:szCs w:val="18"/>
                <w:color w:val="auto"/>
              </w:rPr>
              <w:t>●</w:t>
            </w:r>
          </w:p>
        </w:tc>
        <w:tc>
          <w:tcPr>
            <w:tcW w:w="2580" w:type="dxa"/>
            <w:vAlign w:val="bottom"/>
          </w:tcPr>
          <w:p>
            <w:pPr>
              <w:ind w:left="100"/>
              <w:spacing w:after="0"/>
              <w:rPr>
                <w:sz w:val="20"/>
                <w:szCs w:val="20"/>
                <w:color w:val="auto"/>
              </w:rPr>
            </w:pPr>
            <w:r>
              <w:rPr>
                <w:rFonts w:ascii="Arial" w:cs="Arial" w:eastAsia="Arial" w:hAnsi="Arial"/>
                <w:sz w:val="18"/>
                <w:szCs w:val="18"/>
                <w:color w:val="auto"/>
              </w:rPr>
              <w:t>Predator®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  Reign Inferno® Thermogenic Fuel</w:t>
            </w:r>
          </w:p>
        </w:tc>
        <w:tc>
          <w:tcPr>
            <w:tcW w:w="88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primarily comprised of our Monster Energy® drinks and Reign Total Body Fuel® high performance energy drinks, (ii) 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three-months ended March 31, 2020, we continued to expand our existing energy drink portfolio and further develop our distribution markets. During the three-months ended March 31, 2020, we introduced the following products:</w:t>
      </w:r>
    </w:p>
    <w:p>
      <w:pPr>
        <w:spacing w:after="0" w:line="146"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Monster Dragon Tea® Lemon Ice Tea</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Monster Energy Ultra Fiesta®</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Monster Energy Ultra Rosa®</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Monster Hydro® Super Sport Blue Streak</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Monster Hydro® Super Sport Red Dawg</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Java Monster® 300 French Vanilla</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Java Monster® 300 Mocha</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Reign Inferno® Thermogenic Fuel Jalapeno Strawberry</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Reign Inferno® Thermogenic Fuel Red Dragon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Reign Inferno® Thermogenic Fuel True BLU</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NOS® Turbo</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Burn® Dark Energy</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Burn® Peach</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Nalu® Black Tea &amp; Passion Fruit</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Nalu® Green Tea &amp; Ginger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normal course of business, we discontinue certain products and/or product lines. Those products or product lines discontinued in the three-months ended March 31, 2020, either individually or in aggregate, did not have a material adverse impact on our financial position, results of operations or liquidity.</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Many of the above launches were negatively impacted by the COVID-19 pandemic and we did not achieve planned distribution levels, in part due to certain retailers postponing implementation of their new planned spring schematics, which included our innovation products. We are developing plans with our bottlers/distributors to reprioritize these recent innovation launches to ensure that we are able to maximize their distribution, as soon as normalcy returns, particularly in the convenience and gas channel.</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net sales of $1.06 billion for the three-months ended March 31, 2020 represented record sales for our first fiscal quarter. The vast majority of our net sales are derived from our Monster Energy® Drinks segment. Net sales of our Monster Energy® Drinks segment were $992.5 million for the three-months ended March 31, 2020. Net sales of our Strategic Brands segment were $64.5 million for the three-months ended March 31, 2020. Our Monster Energy® Drinks segment represented 93.4% and 92.0% of our net sales for the three-months ended March 31, 2020 and 2019, respectively. Our Strategic Brands segment represented 6.1% and 7.4% of our net sales for the three-months ended March 31, 2020 and 2019, respectively. Our Other segment represented 0.5% and 0.6% of our net sales for the three-months ended March 31, 2020 and 2019, respectively.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growth strategy includes expanding our international business. Net sales to customers outside the United States were $356.8 million for the three-months ended March 31, 2020, an increase of approximately $72.7 million, or 25.6% higher than net sales to customers outside of the United States of $284.1 million for the three-months ended March 31, 2019. Such sales were approximately 34% and 30% of net sales for the three-months ended March 31, 2020 and 2019, respectively.</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customers are primarily bottlers/distributors, retail grocery and specialty chains, wholesalers, club stores, mass merchandisers, convenience chains, drug stores, foodservice customers and the military. Percentages of our gross sales to our various customer types for the three-months ended March 31, 2020 and 2019 are reflected below. Such information includes sales made by us directly to the customer types concerned, which include our bottlers/distributors in the United States. Such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76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Three-Months Ended</w:t>
            </w:r>
          </w:p>
        </w:tc>
      </w:tr>
      <w:tr>
        <w:trPr>
          <w:trHeight w:val="230"/>
        </w:trPr>
        <w:tc>
          <w:tcPr>
            <w:tcW w:w="6180" w:type="dxa"/>
            <w:vAlign w:val="bottom"/>
          </w:tcPr>
          <w:p>
            <w:pPr>
              <w:spacing w:after="0"/>
              <w:rPr>
                <w:sz w:val="20"/>
                <w:szCs w:val="20"/>
                <w:color w:val="auto"/>
              </w:rPr>
            </w:pPr>
          </w:p>
        </w:tc>
        <w:tc>
          <w:tcPr>
            <w:tcW w:w="1760" w:type="dxa"/>
            <w:vAlign w:val="bottom"/>
            <w:gridSpan w:val="4"/>
          </w:tcPr>
          <w:p>
            <w:pPr>
              <w:jc w:val="right"/>
              <w:ind w:right="530"/>
              <w:spacing w:after="0"/>
              <w:rPr>
                <w:sz w:val="20"/>
                <w:szCs w:val="20"/>
                <w:color w:val="auto"/>
              </w:rPr>
            </w:pPr>
            <w:r>
              <w:rPr>
                <w:rFonts w:ascii="Arial" w:cs="Arial" w:eastAsia="Arial" w:hAnsi="Arial"/>
                <w:sz w:val="18"/>
                <w:szCs w:val="18"/>
                <w:color w:val="auto"/>
              </w:rPr>
              <w:t>March 31,</w:t>
            </w:r>
          </w:p>
        </w:tc>
      </w:tr>
      <w:tr>
        <w:trPr>
          <w:trHeight w:val="210"/>
        </w:trPr>
        <w:tc>
          <w:tcPr>
            <w:tcW w:w="61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8"/>
                <w:szCs w:val="18"/>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U.S. full service bottlers/distributors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35 %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Club stores and mass merchandisers</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Retail grocery, specialty chains and wholesalers</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negative effect on our financial condition and consolidated results of operations.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Coca-Cola Consolidated, Inc. accounted for approximately 12% and 13% of our net sales for the three-months ended March 31, 2020 and 2019,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Reyes Coca-Cola Bottling, LLC accounted for approximately 11% and 12% of our net sales for the three-months ended March 31, 2020 and 2019,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Coca-Cola European Partners accounted for approximately 10% and 9% of our net sales for the three-months ended March 31, 2020 and 2019, respectively.</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20" w:type="dxa"/>
            <w:vAlign w:val="bottom"/>
            <w:gridSpan w:val="4"/>
          </w:tcPr>
          <w:p>
            <w:pPr>
              <w:jc w:val="right"/>
              <w:spacing w:after="0"/>
              <w:rPr>
                <w:sz w:val="20"/>
                <w:szCs w:val="20"/>
                <w:color w:val="auto"/>
              </w:rPr>
            </w:pPr>
            <w:r>
              <w:rPr>
                <w:rFonts w:ascii="Arial" w:cs="Arial" w:eastAsia="Arial" w:hAnsi="Arial"/>
                <w:sz w:val="18"/>
                <w:szCs w:val="18"/>
                <w:color w:val="auto"/>
                <w:w w:val="98"/>
              </w:rPr>
              <w:t>The following table sets forth key statistics for the three-months ended March 31, 2020 and 2019.</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5"/>
          </w:tcPr>
          <w:p>
            <w:pPr>
              <w:jc w:val="right"/>
              <w:ind w:right="470"/>
              <w:spacing w:after="0"/>
              <w:rPr>
                <w:sz w:val="20"/>
                <w:szCs w:val="20"/>
                <w:color w:val="auto"/>
              </w:rPr>
            </w:pPr>
            <w:r>
              <w:rPr>
                <w:rFonts w:ascii="Arial" w:cs="Arial" w:eastAsia="Arial" w:hAnsi="Arial"/>
                <w:sz w:val="18"/>
                <w:szCs w:val="18"/>
                <w:color w:val="auto"/>
              </w:rPr>
              <w:t>Three-Months Ended</w:t>
            </w:r>
          </w:p>
        </w:tc>
        <w:tc>
          <w:tcPr>
            <w:tcW w:w="980" w:type="dxa"/>
            <w:vAlign w:val="bottom"/>
            <w:gridSpan w:val="2"/>
          </w:tcPr>
          <w:p>
            <w:pPr>
              <w:jc w:val="center"/>
              <w:ind w:right="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1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March 31,</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2019</w:t>
            </w:r>
          </w:p>
        </w:tc>
        <w:tc>
          <w:tcPr>
            <w:tcW w:w="2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20 vs. 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Net sales</w:t>
            </w:r>
            <w:r>
              <w:rPr>
                <w:rFonts w:ascii="Arial" w:cs="Arial" w:eastAsia="Arial" w:hAnsi="Arial"/>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1,062,097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945,991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424,901</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372,459</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Gross profit*</w:t>
            </w:r>
            <w:r>
              <w:rPr>
                <w:rFonts w:ascii="Arial" w:cs="Arial" w:eastAsia="Arial" w:hAnsi="Arial"/>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573,532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60.6 %</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272,208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262,071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percentage of net sales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income</w:t>
            </w:r>
            <w:r>
              <w:rPr>
                <w:rFonts w:ascii="Arial" w:cs="Arial" w:eastAsia="Arial" w:hAnsi="Arial"/>
                <w:sz w:val="25"/>
                <w:szCs w:val="25"/>
                <w:color w:val="auto"/>
                <w:vertAlign w:val="superscript"/>
              </w:rPr>
              <w:t>1,2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311,461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32.9 %</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income, net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line="216" w:lineRule="exact"/>
              <w:rPr>
                <w:sz w:val="20"/>
                <w:szCs w:val="20"/>
                <w:color w:val="auto"/>
              </w:rPr>
            </w:pPr>
            <w:r>
              <w:rPr>
                <w:rFonts w:ascii="Arial" w:cs="Arial" w:eastAsia="Arial" w:hAnsi="Arial"/>
                <w:sz w:val="17"/>
                <w:szCs w:val="17"/>
                <w:color w:val="auto"/>
              </w:rPr>
              <w:t>Income before provision for income taxes</w:t>
            </w:r>
            <w:r>
              <w:rPr>
                <w:rFonts w:ascii="Arial" w:cs="Arial" w:eastAsia="Arial" w:hAnsi="Arial"/>
                <w:sz w:val="25"/>
                <w:szCs w:val="25"/>
                <w:color w:val="auto"/>
                <w:vertAlign w:val="superscript"/>
              </w:rPr>
              <w:t>1,2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365,860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314,203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87,025</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52,718</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65.1 %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480" w:type="dxa"/>
            <w:vAlign w:val="bottom"/>
            <w:tcBorders>
              <w:bottom w:val="single" w:sz="8" w:color="CCEEFF"/>
            </w:tcBorders>
          </w:tcPr>
          <w:p>
            <w:pPr>
              <w:spacing w:after="0" w:line="216" w:lineRule="exact"/>
              <w:rPr>
                <w:sz w:val="20"/>
                <w:szCs w:val="20"/>
                <w:color w:val="auto"/>
              </w:rPr>
            </w:pPr>
            <w:r>
              <w:rPr>
                <w:rFonts w:ascii="Arial" w:cs="Arial" w:eastAsia="Arial" w:hAnsi="Arial"/>
                <w:sz w:val="17"/>
                <w:szCs w:val="17"/>
                <w:color w:val="auto"/>
              </w:rPr>
              <w:t>Net income</w:t>
            </w:r>
            <w:r>
              <w:rPr>
                <w:rFonts w:ascii="Arial" w:cs="Arial" w:eastAsia="Arial" w:hAnsi="Arial"/>
                <w:sz w:val="25"/>
                <w:szCs w:val="25"/>
                <w:color w:val="auto"/>
                <w:vertAlign w:val="superscript"/>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278,835</w:t>
            </w: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261,485</w:t>
            </w: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as a percentage of net sales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Case sales (in thousands)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(in 192-ounce case equivalents)</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115,599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101,284</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Includes $10.6 million and $14.2 million for the three-months ended March 31, 2020 and 2019, respectively, related to the recognition of deferred revenue.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Includes $0.04 million and $10.7 million for the three-months ended March 31, 2020 and 2019, respectively, of distributor termination costs.</w:t>
      </w:r>
    </w:p>
    <w:p>
      <w:pPr>
        <w:spacing w:after="0" w:line="6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for the Three-Months Ended March 31, 2020 Compared to the Three-Months Ended March 31, 2019.</w:t>
      </w:r>
    </w:p>
    <w:p>
      <w:pPr>
        <w:spacing w:after="0" w:line="23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were $1.06 billion for the three-months ended March 31, 2020, an increase of approximately $116.1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12.3% higher than net sales of $946.0 million for the three-months ended March 31, 2019. Net changes in foreign currency exchange rates had an unfavorable impact on net sales of approximately $10.4 million for the three-months ended March 31, 2020.</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for the Monster Energy® Drinks segment were $992.5 million for the three-months ended March 31, 2020, an increase of approximately $122.1 million, or 14.0% higher than net sales of $870.4 million for the three-months ended March 31, 2019. Net sales for the Monster Energy® Drinks segment increased primarily due to increased worldwide sales by volume of our Monster Energy® brand energy drinks as a result of increased consumer demand as well as enhanced distribution and increased consumer demand for our</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Reign Total Body Fuel® high performance energy drinks. Net changes in foreign currency exchange rates had an unfavorable impact on net sales for the Monster Energy® Drinks segment of approximately $10.0 million for the three-months ended March 31, 2020.</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for the Strategic Brands segment were $64.5 million for the three-months ended March 31, 2020, a decrease of approximately $5.7 million, or 8.2% lower than net sales of $70.3 million for the three-months ended March 31, 2019. Net changes in foreign currency exchange rates had an unfavorable impact on net sales for the Strategic Brands segment of approximately $0.4 million for the three-months ended March 31, 2020.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sales for the Other segment were $5.1 million for the three-months ended March 31, 2020, a decrease of approximately $0.2 million, or 4.1% lower than net sales of $5.3 million for the three-months ended March 31, 2019.</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Case sales, in 192-ounce case equivalents, were 115.6 million cases for the three-months ended March 31, 2020, an increase of approximately 14.3 million cases or 14.1% higher than case sales of 101.3 million cases for the three-months ended March 31, 2019. The overall average net sales per case (excluding net sales of the AFF Third-Party Products of $5.1 million and $5.3 million for the three-months ended March 31, 2020 and 2019, respectively, as these sales do not have unit case equivalents) decreased to $9.14 for the three-months ended March 31, 2020, which was 1.6% lower than the average net sales per case of $9.29 for the three-months ended March 31, 2019. The decrease in the average net sales per case was primarily the result of unfavorable net changes in foreign currency exchange rates as well as increased promotional allowances as a percentage of net sales.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$637.2 million for the three-months ended March 31, 2020, an increase of approximately $63.7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11.1% higher than the gross profit of $573.5 million for the three-months ended March 31, 2019. The increase in gross profit dollars was primarily the result of the $122.1 million increase in net sales of our Monster Energy® Drinks segment for the three-months ended March 31,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as a percentage of net sales decreased to 60.0% for the three-months ended March 31, 2020 from 60.6% for the three-months ended March 31, 2019. The decrease for the three-months ended March 31, 2020 was primarily the result of geographical sales mix and increases in promotional allowances as a percentage of gross sales. Such decrease was partially offset by product sales mix as well as reduced input costs.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Total operating expenses were $272.2 million for the three-months ended March 31, 2020,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$10.1 million, or 3.9% higher than total operating expenses of $262.1 million for the three-months ended March 31, 2019. The increase in operating expenses was primarily due to increased payroll expenses of $8.2 million (of which $1.8 million was related to an increase in stock-based compensation), increased out-bound freight and warehouse costs of $3.1 million, a $3.0 million Strategic Brand trademark impairment charge and increased expenditures of $2.3 million for other marketing expenses. The increase in operating expenses was partially offset by decreased expenditures of $10.7 million related to the costs associated with distributor terminations and decreased expenditures of $4.3 million for sponsorships and endorsements.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$365.0 million for the three-months ended March 31, 2020,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$53.5 million, or 17.2% higher than operating income of $311.5 million for the three-months ended March 31, 2019. Operating income as a percentage of net sales increased to 34.4% for the three-months ended March 31, 2020 from 32.9% for the three-months ended March 31, 2019. Operating income was $71.7 million and $52.0 million for the three-months ended March 31, 2020 and 2019, respectively, in connection with our operations in Europe, Middle East and Africa (“EMEA”), Asia Pacific and South America.</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income for the Monster Energy® Drinks segment, exclusive of corporate and unallocated expenses, was $411.1 million for the three-months ended March 31, 2020, an increase of approximately $68.2 million, or 19.9% higher than operating income of $343.0 million for the three-months ended March 31, 2019. The increase in operating income for the Monster Energy® Drinks segment was primarily the result of the $122.1 million increase in net sales of our Monster Energy® Drinks segment for the three-months ended March 31, 2020.</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Strategic Brands segment, exclusive of corporate and unallocated expenses, was $36.7 million for the three-months ended March 31, 2020, a decrease of approximately $8.9 million, or 19.4% lower than operating income of $45.6 million for the three-months ended March 31, 2019.</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Operating income for the Other segment, exclusive of corporate and unallocated expenses, was $0.8 million for the three-months ended March 31, 2020, a decrease of approximately $0.1 million, or 12.8% lower than operating income of $0.9 million for the three-months ended March 31, 2019.</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Interest and Other Income, net</w:t>
      </w:r>
      <w:r>
        <w:rPr>
          <w:rFonts w:ascii="Arial" w:cs="Arial" w:eastAsia="Arial" w:hAnsi="Arial"/>
          <w:sz w:val="17"/>
          <w:szCs w:val="17"/>
          <w:color w:val="auto"/>
        </w:rPr>
        <w:t>. Interest and other non-operating income, net, was $0.9 million for the three-months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2020, as compared to interest and other non-operating income, net, of $2.7 million for the three-months ended March 31, 2019. Foreign currency transaction losses were $2.9 million and $0.2 million for the three-months ended March 31, 2020 and 2019, respectively. Interest income was $4.5 million and $3.3 million for the three-months ended March 31, 2020 and 2019, respectively.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$87.0 million for the three-months ended March 31,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$34.3 million, or 65.1% higher than the provision for income taxes of $52.7 million for the three-months ended March 31, 2019. The effective combined federal, state and foreign tax rate increased to 23.8% from 16.8% for the three-months ended March 31, 2020 and 2019, respectively. The increase in the effective tax rate was primarily attributable to a decrease in the equity compensation deduction.</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$278.8 million for the three-months ended March 31, 2020, an increase of $17.4 million, or 6.6%</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net income of $261.5 million for the three-months ended March 31, 2019. The increase in net income was primarily due to the $63.7 million increase in gross profit. The increase in net income was partially offset by an increase in the provision for income taxes of $34.3 million and an increase in operating expenses of $10.1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$1.24 billion for the three-months ended March 31, 2020, an increase of approximately $145.6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13.4% higher than gross sales of $1.09 billion for the three-months ended March 31, 2019. Net changes in foreign currency exchange rates had an unfavorable impact on gross sales of approximately $11.2 million for the three-months ended March 31, 2020.</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Gross sales for the Monster Energy® Drinks segment were $1.16 billion for the three-months ended March 31, 2020, an increase of approximately $151.9 million, or 15.1% higher than gross sales of $1.01 billion for the three-months ended March 31, 2019. Gross sales for the Monster Energy® Drinks segment increased primarily due to increased worldwide sales by volume of our Monster Energy® brand energy drinks as a result of increased consumer demand as well as enhanced distribution and increased consumer demand for our Reign Total Body Fuel® high performance energy drinks. Net changes in foreign currency exchange rates had an unfavorable impact on gross sales for the Monster Energy® Drinks segment of approximately $10.8 million for the three-months ended March 31, 2020.</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sales of our Strategic Brands segment were $73.4 million for the three-months ended March 31, 2020, a decrease of $6.1 million, or 7.6% lower than gross sales of $79.5 million for the three-months ended March 31, 2019. Net changes in foreign currency exchange rates had an unfavorable impact on gross sales in the Strategic Brands segment of approximately $0.4 million for the three-months ended March 31, 2020.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sales of our Other segment were $5.1 million for the three-months ended March 31, 2020, a decrease of $0.2 million, or 4.1% lower than gross sales of $5.3 million for the three-months ended March 31, 2019.</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Promotional allowances, commissions and other expenses, as described in the footnote below, were $174.0 million for the three-months ended March 31, 2020, an increase of $29.5 million, or 20.4% higher than promotional allowances, commissions and other expenses of $144.4 million for the three-months ended March 31, 2019. Promotional allowances, commissions and other expenses as a percentage of gross sales increased to 14.1% from 13.2% for the three-months ended March 31, 2020 and 2019, respectively.</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by our internal reporting practices. In addition, gross sales may not be realized in the form of cash receipts as promotional payments and allowances may be deducted from payments received from certain customers.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reconciles the non-GAAP financial measure of gross sales with the most directly comparable GAAP financial measure of net sales: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4"/>
          </w:tcPr>
          <w:p>
            <w:pPr>
              <w:jc w:val="right"/>
              <w:ind w:right="150"/>
              <w:spacing w:after="0"/>
              <w:rPr>
                <w:sz w:val="20"/>
                <w:szCs w:val="20"/>
                <w:color w:val="auto"/>
              </w:rPr>
            </w:pPr>
            <w:r>
              <w:rPr>
                <w:rFonts w:ascii="Arial" w:cs="Arial" w:eastAsia="Arial" w:hAnsi="Arial"/>
                <w:sz w:val="18"/>
                <w:szCs w:val="18"/>
                <w:color w:val="auto"/>
              </w:rPr>
              <w:t>Three-Months Ended</w:t>
            </w:r>
          </w:p>
        </w:tc>
        <w:tc>
          <w:tcPr>
            <w:tcW w:w="18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65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2020" w:type="dxa"/>
            <w:vAlign w:val="bottom"/>
            <w:gridSpan w:val="4"/>
          </w:tcPr>
          <w:p>
            <w:pPr>
              <w:jc w:val="right"/>
              <w:ind w:right="57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20 vs. 19</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sales, net of discounts and returns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$ 1,236,060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1,090,426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Less: Promotional allowances, commissions and other expenses***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173,963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144,435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$ 1,062,097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945,991</w:t>
            </w:r>
          </w:p>
        </w:tc>
        <w:tc>
          <w:tcPr>
            <w:tcW w:w="116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2020 and 2019 were (i) to increase sales volume and trial, (ii) to address market conditions, and (iii) to secure shelf and display space at retail.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table below discloses selected quarterly data regarding sales for the three-months ended March 31, 2020 and 2019, respectively. Data from any one or more quarters or periods is not necessarily indicative of annual results or continuing trends.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advertising and promotional expenses. The COVID-19 pandemic may also have an impact on consumer behavior and change the seasonal fluctuation of our business.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ind w:right="110"/>
              <w:spacing w:after="0"/>
              <w:rPr>
                <w:sz w:val="20"/>
                <w:szCs w:val="20"/>
                <w:color w:val="auto"/>
              </w:rPr>
            </w:pPr>
            <w:r>
              <w:rPr>
                <w:rFonts w:ascii="Arial" w:cs="Arial" w:eastAsia="Arial" w:hAnsi="Arial"/>
                <w:sz w:val="18"/>
                <w:szCs w:val="18"/>
                <w:color w:val="auto"/>
                <w:w w:val="93"/>
              </w:rPr>
              <w:t>Three-Months Ended</w:t>
            </w:r>
          </w:p>
        </w:tc>
        <w:tc>
          <w:tcPr>
            <w:tcW w:w="0" w:type="dxa"/>
            <w:vAlign w:val="bottom"/>
          </w:tcPr>
          <w:p>
            <w:pPr>
              <w:spacing w:after="0"/>
              <w:rPr>
                <w:sz w:val="1"/>
                <w:szCs w:val="1"/>
                <w:color w:val="auto"/>
              </w:rPr>
            </w:pPr>
          </w:p>
        </w:tc>
      </w:tr>
      <w:tr>
        <w:trPr>
          <w:trHeight w:val="230"/>
        </w:trPr>
        <w:tc>
          <w:tcPr>
            <w:tcW w:w="5840" w:type="dxa"/>
            <w:vAlign w:val="bottom"/>
            <w:vMerge w:val="restart"/>
          </w:tcPr>
          <w:p>
            <w:pPr>
              <w:spacing w:after="0"/>
              <w:rPr>
                <w:sz w:val="20"/>
                <w:szCs w:val="20"/>
                <w:color w:val="auto"/>
              </w:rPr>
            </w:pPr>
            <w:r>
              <w:rPr>
                <w:rFonts w:ascii="Arial" w:cs="Arial" w:eastAsia="Arial" w:hAnsi="Arial"/>
                <w:sz w:val="18"/>
                <w:szCs w:val="18"/>
                <w:color w:val="auto"/>
              </w:rPr>
              <w:t>(In thousands, except average net sales per case)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1,062,097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945,991</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AFF third-party sales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1,056,992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940,670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Case sales by segment:</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Monster Energy® Drinks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83,475</w:t>
            </w:r>
          </w:p>
        </w:tc>
        <w:tc>
          <w:tcPr>
            <w:tcW w:w="0" w:type="dxa"/>
            <w:vAlign w:val="bottom"/>
          </w:tcPr>
          <w:p>
            <w:pPr>
              <w:spacing w:after="0"/>
              <w:rPr>
                <w:sz w:val="1"/>
                <w:szCs w:val="1"/>
                <w:color w:val="auto"/>
              </w:rPr>
            </w:pPr>
          </w:p>
        </w:tc>
      </w:tr>
      <w:tr>
        <w:trPr>
          <w:trHeight w:val="216"/>
        </w:trPr>
        <w:tc>
          <w:tcPr>
            <w:tcW w:w="584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17,809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case sales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101,284</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net sales per case</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26" w:lineRule="auto"/>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18"/>
          <w:szCs w:val="18"/>
          <w:i w:val="1"/>
          <w:iCs w:val="1"/>
          <w:color w:val="auto"/>
        </w:rPr>
        <w:t>Excludes Other segment net sales of $5.1 million and $5.3 million for the three-months ended March 31, 2020 and 2019, respectively, comprised of net sales of the AFF Third-Party Products to independent third-party customers, as these sales do not have unit case equivalents.</w:t>
      </w:r>
    </w:p>
    <w:p>
      <w:pPr>
        <w:spacing w:after="0" w:line="20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Item 2, “Management’s Discussion and Analysis of Financial Condition and Results of Operations - Our Business” for additional information related to the increase in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Cash and cash equivalents, short-term and long-term investments. </w:t>
      </w:r>
      <w:r>
        <w:rPr>
          <w:rFonts w:ascii="Arial" w:cs="Arial" w:eastAsia="Arial" w:hAnsi="Arial"/>
          <w:sz w:val="18"/>
          <w:szCs w:val="18"/>
          <w:color w:val="auto"/>
        </w:rPr>
        <w:t>We believe that cash available from operations,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Our sources and uses of cash were not materially impacted by the COVID-19 pandemic in the three-months ended March 31, 2020 and, to date, we have not identified any material liquidity deficiencies as a result of the COVID-19 pandemic. Based on the information currently available to us, we do not expect the impact of the COVID-19 pandemic to have a material impact on our liquidity. We will continue to monitor and assess the impact the COVID-19 pandemic may have on our business, financial condition and/or operating results.</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March 31, 2020, we had $701.8 million in cash and cash equivalents, $233.5 million in short-term investments and $13.9 million in long-term investments. We have historically invested these amounts in U.S. treasuries, U.S. government agency securities,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current plans, at this time we estimate that capital expenditures (exclusive of common stock repurchases) are likely to be less than $150.0 million through March 31, 2021. However, future business opportunities may cause a change in this estimate.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$191.1 million for the three-months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as compared with cash provided by operating activities of $123.4 million for the three-months ended March 31, 2019.</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three-months ended March 31, 2020, cash provided by operating activities was primarily attributable to net income earned of $278.8 million and adjustments for certain non-cash expenses, consisting of $17.1 million of stock-based compensation, $16.5</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million of depreciation and amortization and $3.0 million of intangible asset impairment. For the three-months ended March 31, 2020, cash provided by operating activities also increased due to a $34.5 million increase in accrued liabilities, a $19.3 million increase in accounts payable, a $9.4 million increase in accrued promotional allowances, an $8.1 million decrease in prepaid income taxes and a $1.0 million decrease in inventories. For the three-months ended March 31, 2020, cash used in operating activities was primarily attributable to a $147.7 million increase in accounts receivable, a $24.8 million decrease in accrued compensation, an $18.1 million increase in prepaid expenses and other assets, a $4.3 million decrease in deferred revenue and a $1.6 million decrease in income tax payable.</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three-months ended March 31, 2019, cash provided by operating activities was primarily attributable to net income earned of $261.5 million and adjustments for certain non-cash expenses, consisting of $15.3 million of stock-based compensation and $14.9 million of depreciation and other amortization. For the three-months ended March 31, 2019, cash provided by operating activities also increased due to a $23.1 million increase in accrued promotional allowances, an $18.6 million increase in accounts payable, a $10.3 million increase in accrued distributor terminations, a $2.9 million decrease in distributor receivables and a $1.3 million increase in other liabilities. For the three-months ended March 31, 2019, cash used in operating activities was primarily attributable to a $116.4 million increase in accounts receivable, a $25.2 million increase in prepaid income taxes, a $24.0 million increase in inventories, a $21.8 million decrease in accrued compensation, a $21.5 million increase in prepaid expenses and other current assets, a $9.5 million decrease in deferred revenue, a $4.1 million decrease in income taxes payable and a $2.3 million decrease in accrued liabilities.</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Cash flows provided by investing activities. </w:t>
      </w:r>
      <w:r>
        <w:rPr>
          <w:rFonts w:ascii="Arial" w:cs="Arial" w:eastAsia="Arial" w:hAnsi="Arial"/>
          <w:sz w:val="16"/>
          <w:szCs w:val="16"/>
          <w:color w:val="auto"/>
        </w:rPr>
        <w:t>Cash provided by investing activities was $280.0 million for the three-months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2020 as compared to cash provided by investing activities of $46.8 million for the three-months ended March 31, 2019.</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both the three-months ended March 31, 2020 and 2019, cash provided by investing activities was primarily attributable to sales of available-for-sale investments. For both the three-months ended March 31, 2020 and 2019, cash used in investing activities was primarily attributable to purchases of available-for-sale investments. For both the three-months ended March 31, 2020 and 2019,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7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Cash flows used in financing activities. </w:t>
      </w:r>
      <w:r>
        <w:rPr>
          <w:rFonts w:ascii="Arial" w:cs="Arial" w:eastAsia="Arial" w:hAnsi="Arial"/>
          <w:sz w:val="17"/>
          <w:szCs w:val="17"/>
          <w:color w:val="auto"/>
        </w:rPr>
        <w:t>Cash used in financing activities was $546.0 million for the three-months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2020 as compared to cash used in financing activities of $188.0 million for the three-months ended March 31, 2019. The cash used in financing activities for both the three-months ended March 31, 2020 and 2019 was primarily the result of the repurchases of our common stock. The cash provided by financing activities for both the three-months ended March 31, 2020, and 2019 was primarily attributable to the issuance of our common stock under our stock-based compensation plans.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our $701.8 million of cash and cash equivalents held at March 31, 2020, $430.0 million was held by our foreign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short-term or long-term investments were held by our foreign subsidiaries at March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Payments due by period (in thousands)</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92"/>
              </w:rPr>
              <w:t>Less than</w:t>
            </w:r>
          </w:p>
        </w:tc>
        <w:tc>
          <w:tcPr>
            <w:tcW w:w="880" w:type="dxa"/>
            <w:vAlign w:val="bottom"/>
            <w:gridSpan w:val="2"/>
          </w:tcPr>
          <w:p>
            <w:pPr>
              <w:jc w:val="right"/>
              <w:ind w:right="130"/>
              <w:spacing w:after="0" w:line="195"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6"/>
                <w:szCs w:val="16"/>
                <w:color w:val="auto"/>
              </w:rPr>
            </w:pPr>
          </w:p>
        </w:tc>
        <w:tc>
          <w:tcPr>
            <w:tcW w:w="6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line="195" w:lineRule="exact"/>
              <w:rPr>
                <w:sz w:val="20"/>
                <w:szCs w:val="20"/>
                <w:color w:val="auto"/>
              </w:rPr>
            </w:pPr>
            <w:r>
              <w:rPr>
                <w:rFonts w:ascii="Arial" w:cs="Arial" w:eastAsia="Arial" w:hAnsi="Arial"/>
                <w:sz w:val="18"/>
                <w:szCs w:val="18"/>
                <w:color w:val="auto"/>
                <w:w w:val="91"/>
              </w:rPr>
              <w:t>More than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24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 year</w:t>
            </w:r>
          </w:p>
        </w:tc>
        <w:tc>
          <w:tcPr>
            <w:tcW w:w="180" w:type="dxa"/>
            <w:vAlign w:val="bottom"/>
          </w:tcPr>
          <w:p>
            <w:pPr>
              <w:spacing w:after="0"/>
              <w:rPr>
                <w:sz w:val="20"/>
                <w:szCs w:val="20"/>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years</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w:t>
            </w:r>
            <w:r>
              <w:rPr>
                <w:rFonts w:ascii="Arial" w:cs="Arial" w:eastAsia="Arial" w:hAnsi="Arial"/>
                <w:sz w:val="25"/>
                <w:szCs w:val="25"/>
                <w:color w:val="auto"/>
                <w:vertAlign w:val="superscript"/>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$ 200,516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$ 141,728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$ 56,337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$ 2,451</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Finance Leases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line="216" w:lineRule="exact"/>
              <w:rPr>
                <w:sz w:val="20"/>
                <w:szCs w:val="20"/>
                <w:color w:val="auto"/>
              </w:rPr>
            </w:pPr>
            <w:r>
              <w:rPr>
                <w:rFonts w:ascii="Arial" w:cs="Arial" w:eastAsia="Arial" w:hAnsi="Arial"/>
                <w:sz w:val="17"/>
                <w:szCs w:val="17"/>
                <w:color w:val="auto"/>
              </w:rPr>
              <w:t>Purchase Commitments</w:t>
            </w:r>
            <w:r>
              <w:rPr>
                <w:rFonts w:ascii="Arial" w:cs="Arial" w:eastAsia="Arial" w:hAnsi="Arial"/>
                <w:sz w:val="25"/>
                <w:szCs w:val="25"/>
                <w:color w:val="auto"/>
                <w:vertAlign w:val="superscript"/>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70,513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70,513</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$ 306,552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$ 218,185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$ 63,151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$ 8,191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Contractual obligations include our obligations related to sponsorships and other commitments.</w:t>
      </w:r>
    </w:p>
    <w:p>
      <w:pPr>
        <w:spacing w:after="0" w:line="8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approximately $3.0 million of unrecognized tax benefits have been recorded as liabilities as of March 31, 2020. It is expected that the amount of unrecognized tax benefits will not significantly change within the next 12 months. As of March 31, 2020, we had $0.4 million of accrued interest and penalties related to unrecognized tax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2019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 Note 2. Recent Accounting Pronouncements,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inflation did not have a significant impact on our results of operations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4" w:lineRule="exact"/>
        <w:rPr>
          <w:sz w:val="20"/>
          <w:szCs w:val="20"/>
          <w:color w:val="auto"/>
        </w:rPr>
      </w:pPr>
    </w:p>
    <w:p>
      <w:pPr>
        <w:jc w:val="both"/>
        <w:ind w:left="680" w:right="20" w:hanging="321"/>
        <w:spacing w:after="0" w:line="255"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human and economic consequences of the COVID-19 pandemic, as well as the measures being taken by governments, and as a result, businesses (including the Company and its suppliers, bottlers/ distributors, co-packers and other service providers) and the public at large to limit the COVID-19 pandemic;</w:t>
      </w:r>
    </w:p>
    <w:p>
      <w:pPr>
        <w:spacing w:after="0" w:line="2"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slowing of growth and/or decline in sales of the domestic and international energy drink categories generally, including the convenience and gas channel (which is our largest channel), and the impact on demand for our products resulting from deteriorating economic conditions and financial uncertainties due to the COVID-19 pandemic;</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Closure of on-premise retailers and other establishments which sell our products as the result of the COVID-19 pandemic;</w:t>
      </w:r>
    </w:p>
    <w:p>
      <w:pPr>
        <w:spacing w:after="0" w:line="20"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COVID-19 pandemic on our product sampling programs;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TCCC being one of our significant shareholders and the potential divergence of TCCC’s interests from those of our other shareholders;</w:t>
      </w: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anticipated demand for our products in domestic and/or international markets;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Fluctuations in the inventory levels of our bottlers/distributors, planned or otherwise, and the resultant impact on our revenues;</w:t>
      </w:r>
    </w:p>
    <w:p>
      <w:pPr>
        <w:spacing w:after="0" w:line="32"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18"/>
          <w:szCs w:val="18"/>
          <w:color w:val="auto"/>
        </w:rPr>
      </w:pPr>
    </w:p>
    <w:p>
      <w:pPr>
        <w:ind w:left="680" w:hanging="321"/>
        <w:spacing w:after="0" w:line="26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comply with laws, regulations and evolving industry standards regarding consumer privacy and data use and security, including with respect to the General Data Protection Regulation and the California Privacy Act of 2018;</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achieve profitability from certain of our operations outside the United States;</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absorb, reduce or pass on to our bottlers/distributors increases in freight costs;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manage our inventories and/or our accounts receivables;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Uncertainties surrounding the United Kingdom’s departure from the European Union (or “Brexit”);</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may affect our reported profitability;</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Implications of the Organization for Economic Cooperation and Development’s base erosion and profit shifting project;</w:t>
      </w:r>
    </w:p>
    <w:p>
      <w:pPr>
        <w:spacing w:after="0" w:line="34" w:lineRule="exact"/>
        <w:rPr>
          <w:rFonts w:ascii="Arial" w:cs="Arial" w:eastAsia="Arial" w:hAnsi="Arial"/>
          <w:sz w:val="17"/>
          <w:szCs w:val="17"/>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proceedings which may be brought against us by the Securities and Exchange Commission (the “SEC”), the FDA, the FTC or other governmental agencies or bodies;</w:t>
      </w:r>
    </w:p>
    <w:p>
      <w:pPr>
        <w:ind w:left="680" w:right="20" w:hanging="321"/>
        <w:spacing w:after="0" w:line="265"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Exposure to significant liabilities due to litigation, legal or regulatory proceedings;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Intellectual property injunctions;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resolution of tax matters;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and volatility in the domestic and global economies, including risk of counterparty default or failure;</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address any significant deficiencies or material weakness in our internal controls over financial reporting;</w:t>
      </w:r>
    </w:p>
    <w:p>
      <w:pPr>
        <w:spacing w:after="0" w:line="20" w:lineRule="exact"/>
        <w:rPr>
          <w:rFonts w:ascii="Arial" w:cs="Arial" w:eastAsia="Arial" w:hAnsi="Arial"/>
          <w:sz w:val="17"/>
          <w:szCs w:val="17"/>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continue to generate sufficient cash flows to support our expansion plans and general operating activities;</w:t>
      </w:r>
    </w:p>
    <w:p>
      <w:pPr>
        <w:spacing w:after="0" w:line="20"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water usage, environmental impact, human rights and labor and workplace laws;</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demand that are weather related and/or for other reasons, including changes in product category consumption and changes in cost and availability of certain key ingredients, as well as disruptions to the supply chain, as a result of climate change and extreme weather conditions;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on our business of trademark and trade dress infringement proceedings brought against us;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introduce new products and the impact of the COVID-19 pandemic on our innovation activities;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implement and/or maintain price increases;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achieve volume growth through product and packaging initiatives;</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sustain the current level of sales and/or achieve growth for our Monster Energy® brand energy drinks and/or our other products, including our Strategic Brands;</w:t>
      </w: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Arial" w:cs="Arial" w:eastAsia="Arial" w:hAnsi="Arial"/>
          <w:sz w:val="18"/>
          <w:szCs w:val="18"/>
          <w:color w:val="auto"/>
        </w:rPr>
      </w:pPr>
    </w:p>
    <w:p>
      <w:pPr>
        <w:jc w:val="both"/>
        <w:ind w:left="680" w:hanging="321"/>
        <w:spacing w:after="0" w:line="265"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7"/>
          <w:szCs w:val="17"/>
          <w:color w:val="auto"/>
        </w:rPr>
      </w:pPr>
    </w:p>
    <w:p>
      <w:pPr>
        <w:jc w:val="both"/>
        <w:ind w:left="680" w:hanging="321"/>
        <w:spacing w:after="0" w:line="250"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in the timely import or export of our products and/or ingredients due to port strikes and related labor issues;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unfavorable or adverse public relations, press, articles, comments and/or media attention;</w:t>
      </w:r>
    </w:p>
    <w:p>
      <w:pPr>
        <w:spacing w:after="0" w:line="23"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shortages that may be experienced in the procurement of containers and/or other raw materials including, without limitation, aluminum cans generally, PET containers used for our Monster Hydro® energy drinks and 24-ounce aluminum cap cans;</w:t>
      </w:r>
    </w:p>
    <w:p>
      <w:pPr>
        <w:spacing w:after="0" w:line="1"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65"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Unilateral decisions by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and/or effectiveness, now or in the future, of our advertising, marketing and promotional strategies;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 of our sports marketing, social media and other general marketing endeavors both domestically and internationally;</w:t>
      </w:r>
    </w:p>
    <w:p>
      <w:pPr>
        <w:spacing w:after="0" w:line="32" w:lineRule="exact"/>
        <w:rPr>
          <w:rFonts w:ascii="Arial" w:cs="Arial" w:eastAsia="Arial" w:hAnsi="Arial"/>
          <w:sz w:val="16"/>
          <w:szCs w:val="16"/>
          <w:color w:val="auto"/>
        </w:rPr>
      </w:pP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economic and political changes and local or international catastrophic events;</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recalls of our products and/or defective production;</w:t>
      </w:r>
    </w:p>
    <w:p>
      <w:pPr>
        <w:spacing w:after="0" w:line="9"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timely procurement of non-defective raw materials;</w:t>
      </w:r>
    </w:p>
    <w:p>
      <w:pPr>
        <w:spacing w:after="0" w:line="9" w:lineRule="exact"/>
        <w:rPr>
          <w:rFonts w:ascii="Arial" w:cs="Arial" w:eastAsia="Arial" w:hAnsi="Arial"/>
          <w:sz w:val="18"/>
          <w:szCs w:val="18"/>
          <w:color w:val="auto"/>
        </w:rPr>
      </w:pP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our bottlers and/or co-packers to manufacture our products on a timely basis or at all;</w:t>
      </w:r>
    </w:p>
    <w:p>
      <w:pPr>
        <w:spacing w:after="0" w:line="9" w:lineRule="exact"/>
        <w:rPr>
          <w:rFonts w:ascii="Arial" w:cs="Arial" w:eastAsia="Arial" w:hAnsi="Arial"/>
          <w:sz w:val="18"/>
          <w:szCs w:val="18"/>
          <w:color w:val="auto"/>
        </w:rPr>
      </w:pPr>
    </w:p>
    <w:p>
      <w:pPr>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any reductions in productivity and disruptions to our business routines while most office-based employees of the Company work remotely;</w:t>
      </w:r>
    </w:p>
    <w:p>
      <w:pPr>
        <w:jc w:val="both"/>
        <w:ind w:left="680" w:hanging="321"/>
        <w:spacing w:after="0" w:line="250"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and retention of senior management, other key employees and our employee base in general.</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three-months ended March 31, 2020 compared with the disclosures in Part II, Item 7A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 Under the supervision and with the participation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 There were no changes in the Company’s internal controls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during the quarter ended March 31, 2020,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Notes to Condensed Consolidated Financial Statements - Note 12. Commitments and Contingencies: Legal Proceedings in Part I, Item 1, of this Quarterly Report on Form 10-Q.</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as supplemented below. If any of these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COVID-19 pandemic has had, and we expect will continue to have, certain negative impacts on our business and operations, and such impacts may have a material adverse effect on our business and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communities and business operations, as well as the global economy and financial markets. The human and economic consequences of the COVID-19 pandemic as well as the measures being taken by governments, businesses (including the Company and our suppliers, bottlers/distributors, co-packers and other service providers) and the public at large to limit the COVID-19 pandemic, have and will, directly and indirectly impact our business and results of operations, including, without limitation, the following:</w:t>
      </w:r>
    </w:p>
    <w:p>
      <w:pPr>
        <w:spacing w:after="0" w:line="192" w:lineRule="exact"/>
        <w:rPr>
          <w:sz w:val="20"/>
          <w:szCs w:val="20"/>
          <w:color w:val="auto"/>
        </w:rPr>
      </w:pPr>
    </w:p>
    <w:p>
      <w:pPr>
        <w:jc w:val="both"/>
        <w:ind w:left="1000" w:hanging="31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experienced decreases in sales of our products in markets around the world that have been affected by the COVID-19 pandemic. If the COVID-19 pandemic and related unfavorable economic conditions continue to intensify, the negative</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spacing w:after="0" w:line="259" w:lineRule="auto"/>
        <w:rPr>
          <w:sz w:val="20"/>
          <w:szCs w:val="20"/>
          <w:color w:val="auto"/>
        </w:rPr>
      </w:pPr>
      <w:r>
        <w:rPr>
          <w:rFonts w:ascii="Arial" w:cs="Arial" w:eastAsia="Arial" w:hAnsi="Arial"/>
          <w:sz w:val="18"/>
          <w:szCs w:val="18"/>
          <w:color w:val="auto"/>
        </w:rPr>
        <w:t>impact on our sales could be prolonged and may become more severe. While we have experienced increased sales though e-commerce retailers and an increased demand for multi-packs, such increases will not offset the decreased sales we are experiencing in other channels, such as the convenience and gas channel (which is our largest channel) and food-service on-premise.</w:t>
      </w:r>
    </w:p>
    <w:p>
      <w:pPr>
        <w:spacing w:after="0" w:line="187" w:lineRule="exact"/>
        <w:rPr>
          <w:sz w:val="20"/>
          <w:szCs w:val="20"/>
          <w:color w:val="auto"/>
        </w:rPr>
      </w:pPr>
    </w:p>
    <w:p>
      <w:pPr>
        <w:jc w:val="both"/>
        <w:ind w:left="1000" w:hanging="317"/>
        <w:spacing w:after="0" w:line="296"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Deteriorating economic conditions and financial uncertainties in many of our major markets due to the COVID-19 pandemic, such as increased and prolonged unemployment, decreases in per capita income and the level of disposable income, declines in consumer confidence, or economic slowdowns or recessions, could affect consumer purchasing power and consumers’ ability to purchase our products, thereby reducing demand for our products. In addition, public concern among consumers regarding the risk of contracting COVID-19 may also reduce demand for our products.</w:t>
      </w:r>
    </w:p>
    <w:p>
      <w:pPr>
        <w:spacing w:after="0" w:line="161" w:lineRule="exact"/>
        <w:rPr>
          <w:rFonts w:ascii="Arial" w:cs="Arial" w:eastAsia="Arial" w:hAnsi="Arial"/>
          <w:sz w:val="16"/>
          <w:szCs w:val="16"/>
          <w:color w:val="auto"/>
        </w:rPr>
      </w:pPr>
    </w:p>
    <w:p>
      <w:pPr>
        <w:ind w:left="1000" w:right="2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closure of on-premise retailers and other establishments that sell our products as a result of the COVID-19 pandemic may also adversely impact our sales and results of operations.</w:t>
      </w:r>
    </w:p>
    <w:p>
      <w:pPr>
        <w:spacing w:after="0" w:line="170" w:lineRule="exact"/>
        <w:rPr>
          <w:rFonts w:ascii="Arial" w:cs="Arial" w:eastAsia="Arial" w:hAnsi="Arial"/>
          <w:sz w:val="18"/>
          <w:szCs w:val="18"/>
          <w:color w:val="auto"/>
        </w:rPr>
      </w:pPr>
    </w:p>
    <w:p>
      <w:pPr>
        <w:jc w:val="both"/>
        <w:ind w:left="1000" w:hanging="317"/>
        <w:spacing w:after="0" w:line="272"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advertising, marketing, promotional, sponsorship and endorsement activities have been, and will continue to be, disrupted by reduced opportunities for such activities due to measures taken to limit the spread of the COVID-19 pandemic and the cancellations of sporting events, concerts and other events may result in decreased demand for our products. Our product sampling programs, which are part of our strategy to develop brand awareness, have been, and will continue to be, disrupted by the COVID-19 pandemic. If we are unable to successfully adapt to the changing landscape of advertising, marketing, promotional, sponsorship and endorsement opportunities created by the COVID-19 pandemic, our sales, volume growth and overall financial results could be negatively affected.</w:t>
      </w:r>
    </w:p>
    <w:p>
      <w:pPr>
        <w:spacing w:after="0" w:line="177" w:lineRule="exact"/>
        <w:rPr>
          <w:rFonts w:ascii="Arial" w:cs="Arial" w:eastAsia="Arial" w:hAnsi="Arial"/>
          <w:sz w:val="17"/>
          <w:szCs w:val="17"/>
          <w:color w:val="auto"/>
        </w:rPr>
      </w:pPr>
    </w:p>
    <w:p>
      <w:pPr>
        <w:jc w:val="both"/>
        <w:ind w:left="1000" w:hanging="31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innovation activities, including our ability to introduce new products in certain markets, have been delayed and/or adversely impacted by the COVID-19 pandemic. If such innovation activities are disrupted and we continue to delay the launch of new products and/or we are unable to secure sufficient distribution levels for such new products, our business and results of operations could be adversely affected.</w:t>
      </w:r>
    </w:p>
    <w:p>
      <w:pPr>
        <w:spacing w:after="0" w:line="186"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Some of our suppliers, bottlers/distributors and co-packers may experience plant closures, production slowdowns and disruptions in operations as a result of the impact of the COVID-19 pandemic. This could result in a disruption to our operations.</w:t>
      </w:r>
    </w:p>
    <w:p>
      <w:pPr>
        <w:spacing w:after="0" w:line="183"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experience delays in the sourcing of certain raw materials as a result of shipping delays due to, among other things, additional safety requirements imposed by port authorities, closures of or congestion at ports, reduced availability of commercial transportation, border restrictions and capacity constraints.</w:t>
      </w:r>
    </w:p>
    <w:p>
      <w:pPr>
        <w:spacing w:after="0" w:line="183"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on relationships with third parties for cloud data storage and other information technology services for certain functions or for services in support of our operations. These third parties are subject to risks and uncertainties related to the COVID-19 pandemic, which may interfere with their ability to fulfill their respective commitments and responsibilities to us in a timely manner and in accordance with the agreed-upon terms.</w:t>
      </w:r>
    </w:p>
    <w:p>
      <w:pPr>
        <w:spacing w:after="0" w:line="186" w:lineRule="exact"/>
        <w:rPr>
          <w:rFonts w:ascii="Arial" w:cs="Arial" w:eastAsia="Arial" w:hAnsi="Arial"/>
          <w:sz w:val="18"/>
          <w:szCs w:val="18"/>
          <w:color w:val="auto"/>
        </w:rPr>
      </w:pPr>
    </w:p>
    <w:p>
      <w:pPr>
        <w:jc w:val="both"/>
        <w:ind w:left="1000" w:hanging="317"/>
        <w:spacing w:after="0" w:line="273"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a result of the COVID-19 pandemic, including related governmental measures, restrictions, directives and guidance, we have required most of our office-based employees to work remotely. We may experience reductions in productivity and disruptions to our business routines while our remote work policy remains in place. If our employees working remotely do not maintain appropriate measures to mitigate potential risks to our technology and operations from information technology-related disruptions, we may face cybersecurity threats. Employees of our third-party service providers who are working remotely, with whom we may share data, are subject to similar cybersecurity risks.</w:t>
      </w:r>
    </w:p>
    <w:p>
      <w:pPr>
        <w:spacing w:after="0" w:line="177" w:lineRule="exact"/>
        <w:rPr>
          <w:rFonts w:ascii="Arial" w:cs="Arial" w:eastAsia="Arial" w:hAnsi="Arial"/>
          <w:sz w:val="17"/>
          <w:szCs w:val="17"/>
          <w:color w:val="auto"/>
        </w:rPr>
      </w:pPr>
    </w:p>
    <w:p>
      <w:pPr>
        <w:jc w:val="both"/>
        <w:ind w:left="1000" w:hanging="317"/>
        <w:spacing w:after="0" w:line="275"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Governmental authorities at the U.S. federal, state and/or municipal level and in certain foreign jurisdictions may increase or impose new income taxes, indirect taxes or other taxes or revise interpretations of existing tax rules and regulations as a means of financing the costs of stimulus or may take other measures to protect populations and economies from the impact of the COVID-19 pandemic. Increases in direct and indirect tax rates could affect our net income, and increases in consumer taxes could affect our products’ affordability and reduce our sales.</w:t>
      </w:r>
    </w:p>
    <w:p>
      <w:pPr>
        <w:spacing w:after="0" w:line="176" w:lineRule="exact"/>
        <w:rPr>
          <w:rFonts w:ascii="Arial" w:cs="Arial" w:eastAsia="Arial" w:hAnsi="Arial"/>
          <w:sz w:val="17"/>
          <w:szCs w:val="17"/>
          <w:color w:val="auto"/>
        </w:rPr>
      </w:pPr>
    </w:p>
    <w:p>
      <w:pPr>
        <w:ind w:left="100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record significant impairment charges with respect to goodwill or intangible assets whose fair values may be negatively affected by the effects of the COVID-19 pandemic.</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000" w:hanging="31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impact of the COVID-19 pandemic may cause one or more of the financial institutions we do business with to fail or default in their obligations to us or to become insolvent or file for bankruptcy, which could cause us to incur significant losses and negatively impact our results of operations and financial condition.</w:t>
      </w:r>
    </w:p>
    <w:p>
      <w:pPr>
        <w:spacing w:after="0" w:line="183"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we have taken or may take, or decisions we have made or may make, as a consequence of the COVID-19 pandemic may result in negative publicity and the Company becoming a party to litigation claims and/or legal proceedings, which could consume significant financial and managerial resources, result in decreased demand for our products and injury to our reputation.</w:t>
      </w:r>
    </w:p>
    <w:p>
      <w:pPr>
        <w:spacing w:after="0" w:line="186"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resumption of normal business operations after the disruptions caused by the COVID-19 pandemic may be delayed or constrained by its lingering effects on our suppliers, bottlers/distributors, co-packers, contractors, business partners and other service providers.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of the negative impacts of the COVID-19 pandemic, including those described above, alone or in combination with others, may have a material adverse effect on our business, reputation, operating results and/or financial condition. Any of these negative impacts, alone or in combination with others, could exacerbate many of the risk factors discussed in “Part I, Item 1A – Risk Factors” in our Form 10-K, any of which could materially affect our business, reputation, operating results and/or financial condition. The full extent to which the COVID-19 pandemic will negatively affect our business, reputation, operating results and/or financial condition will depend on future developments that are highly uncertain and cannot be predicted, including the scope and duration of the COVID-19 pandemic and actions taken by governmental authorities and other third parties in response to the COVID-19 pandemic.</w:t>
      </w:r>
    </w:p>
    <w:p>
      <w:pPr>
        <w:spacing w:after="0" w:line="16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February 26, 2019, the Company’s Board of Directors authorized a share repurchase program for the purchase of up to $500.0 million of the Company’s outstanding common stock (the “February 2019 Repurchase Plan”). During the three-months ended March 31, 2020, the Company purchased 0.6 million shares of common stock at an average purchase price of $58.16 per share, for a total amount of $36.6 million (excluding broker commissions), which exhausted the availability under the February 2019 Repurchase Plan. Such shares are included in common stock in treasury in the accompanying condensed consolidated balance sheet at March 31, 2020.</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November 6, 2019, the Company’s Board of Directors authorized a new share repurchase program for the purchase of up to $500.0 million of the Company’s outstanding common stock (the “November 2019 Repurchase Plan”). During the three-months ended March 31, 2020, the Company purchased 9.1 million shares of common stock at an average purchase price of $54.86 per share, for a total amount of $499.9 million (excluding broker commissions), which exhausted the availability under the November 2019 Repurchase Plan. Such shares are included in common stock in treasury in the accompanying condensed consolidated balance sheet at March 31, 2020.</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13, 2020, the Company’s Board of Directors authorized a new share repurchase program for the purchase of up to $500.0 million of the Company’s outstanding common stock (the “March 2020 Repurchase Plan”). During the three-months ended March 31, 2020, the Company purchased 0.8 million shares of common stock at an average purchase price of $57.01 per share, for a total amount of $42.9 million (excluding broker commissions), under the March 2020 Repurchase Plan. Such shares are included in common stock in treasury in the accompanying condensed consolidated balance sheet at March 31, 2020. As of May 8, 2020, $441.5 million remained available for repurchase under the March 2020 Repurchase Plan.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tabular summary reflects the Company’s repurchase activity during the quarter ended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4"/>
              </w:rPr>
              <w:t>Maximum Number (or</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4"/>
              </w:rPr>
              <w:t>Approximate Dollar</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Number of</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89"/>
              </w:rPr>
              <w:t>Value) of Shares that</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Shares Purchased</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as Part of Publicly</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0"/>
              </w:rPr>
              <w:t>Under the Plans or</w:t>
            </w:r>
          </w:p>
        </w:tc>
      </w:tr>
      <w:tr>
        <w:trPr>
          <w:trHeight w:val="216"/>
        </w:trPr>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Shares</w:t>
            </w:r>
          </w:p>
        </w:tc>
        <w:tc>
          <w:tcPr>
            <w:tcW w:w="1220" w:type="dxa"/>
            <w:vAlign w:val="bottom"/>
            <w:gridSpan w:val="3"/>
          </w:tcPr>
          <w:p>
            <w:pPr>
              <w:ind w:left="20"/>
              <w:spacing w:after="0"/>
              <w:rPr>
                <w:sz w:val="20"/>
                <w:szCs w:val="20"/>
                <w:color w:val="auto"/>
              </w:rPr>
            </w:pPr>
            <w:r>
              <w:rPr>
                <w:rFonts w:ascii="Arial" w:cs="Arial" w:eastAsia="Arial" w:hAnsi="Arial"/>
                <w:sz w:val="18"/>
                <w:szCs w:val="18"/>
                <w:color w:val="auto"/>
              </w:rPr>
              <w:t>Average Price</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Announced Plans</w:t>
            </w:r>
          </w:p>
        </w:tc>
        <w:tc>
          <w:tcPr>
            <w:tcW w:w="100" w:type="dxa"/>
            <w:vAlign w:val="bottom"/>
          </w:tcPr>
          <w:p>
            <w:pPr>
              <w:spacing w:after="0"/>
              <w:rPr>
                <w:sz w:val="18"/>
                <w:szCs w:val="18"/>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92"/>
              </w:rPr>
              <w:t>Programs (In</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per Share¹</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or Programs</w:t>
            </w:r>
          </w:p>
        </w:tc>
        <w:tc>
          <w:tcPr>
            <w:tcW w:w="10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color w:val="auto"/>
                <w:w w:val="88"/>
              </w:rPr>
              <w:t>thousands)²</w:t>
            </w:r>
          </w:p>
        </w:tc>
      </w:tr>
      <w:tr>
        <w:trPr>
          <w:trHeight w:val="210"/>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 1 – Jan 31, 2020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536,606</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Feb 1 – Feb 29, 2020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536,606</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 2020 Authorization</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Mar 1 – Mar 31,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10,491,889</w:t>
            </w:r>
          </w:p>
        </w:tc>
        <w:tc>
          <w:tcPr>
            <w:tcW w:w="1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55.22</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10,491,889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457,133</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¹Excluding broker commissions paid.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²Net of broker commissions paid.</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three-months ended March 31, 2020, 11,007 shares of common stock were purchased from employees in lieu of cash payments for options exercised or withholding taxes due for a total amount of $0.6 million. While such purchases are considered common stock repurchases, they are not counted as purchases against our authorized share repurchase programs. Such shares are included in common stock in treasury in the accompanying condensed consolidated balance sheet at March 31, 2020.</w:t>
      </w:r>
    </w:p>
    <w:p>
      <w:pPr>
        <w:spacing w:after="0" w:line="3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43"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49">
        <w:r>
          <w:rPr>
            <w:rFonts w:ascii="Arial" w:cs="Arial" w:eastAsia="Arial" w:hAnsi="Arial"/>
            <w:sz w:val="18"/>
            <w:szCs w:val="18"/>
            <w:u w:val="single" w:color="auto"/>
            <w:color w:val="0000EE"/>
          </w:rPr>
          <w:t>Form of 2020 Annual Incentive Award Agreement for grants under the Monster Beverage Corporation 2011 Omnibus</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Incentive Plan</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55">
        <w:r>
          <w:rPr>
            <w:rFonts w:ascii="Arial" w:cs="Arial" w:eastAsia="Arial" w:hAnsi="Arial"/>
            <w:sz w:val="18"/>
            <w:szCs w:val="18"/>
            <w:u w:val="single" w:color="auto"/>
            <w:color w:val="0000EE"/>
          </w:rPr>
          <w:t>Form of Performance Share Unit Award Agreement for grants under the Monster Beverage Corporation 2011 Omnibus</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Incentive Plan</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2">
        <w:r>
          <w:rPr>
            <w:rFonts w:ascii="Arial" w:cs="Arial" w:eastAsia="Arial" w:hAnsi="Arial"/>
            <w:sz w:val="16"/>
            <w:szCs w:val="16"/>
            <w:u w:val="single" w:color="auto"/>
            <w:color w:val="0000EE"/>
          </w:rPr>
          <w:t>Certification of Chief Executive Officer Pursuant to Section 302 of the Sarbanes-Oxley Act of 2002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63">
        <w:r>
          <w:rPr>
            <w:rFonts w:ascii="Arial" w:cs="Arial" w:eastAsia="Arial" w:hAnsi="Arial"/>
            <w:sz w:val="16"/>
            <w:szCs w:val="16"/>
            <w:u w:val="single" w:color="auto"/>
            <w:color w:val="0000EE"/>
          </w:rPr>
          <w:t>Certification of Chief Financial Officer Pursuant to Section 302 of the Sarbanes-Oxley Act of 2002</w:t>
        </w:r>
      </w:hyperlink>
    </w:p>
    <w:p>
      <w:pPr>
        <w:spacing w:after="0" w:line="225"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64">
        <w:r>
          <w:rPr>
            <w:rFonts w:ascii="Arial" w:cs="Arial" w:eastAsia="Arial" w:hAnsi="Arial"/>
            <w:sz w:val="18"/>
            <w:szCs w:val="18"/>
            <w:u w:val="single" w:color="auto"/>
            <w:color w:val="0000EE"/>
          </w:rPr>
          <w:t>Certification of Chief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6"/>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65">
        <w:r>
          <w:rPr>
            <w:rFonts w:ascii="Arial" w:cs="Arial" w:eastAsia="Arial" w:hAnsi="Arial"/>
            <w:sz w:val="18"/>
            <w:szCs w:val="18"/>
            <w:u w:val="single" w:color="auto"/>
            <w:color w:val="0000EE"/>
          </w:rPr>
          <w:t>Certification by Chief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jc w:val="both"/>
        <w:ind w:left="840" w:hanging="839"/>
        <w:spacing w:after="0" w:line="29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information from Monster Beverage Corporation’s Quarterly Report on Form 10-Q for the quarter ended March 31, 2020, formatted in iXBRL (Inline eXtensible Business Reporting Language): (i) Condensed Consolidated Balance Sheets as of March 31, 2020 and December 31, 2019, (ii) Condensed Consolidated Statements of Income for the three-months ended March 31, 2020 and 2019, (iii) Condensed Consolidated Statements of Comprehensive Income for the three-months ended March 31, 2020 and 2019, (iv) Condensed Consolidated Statements of Stockholders’ Equity for the three-months ended March 31, 2020 and 2019, (v) Condensed Consolidated Statements of Cash Flows for the three-months ended March 31, 2020 and 2019, and (vi) the Notes to Condensed Consolidated Financial Statements.</w:t>
      </w:r>
    </w:p>
    <w:p>
      <w:pPr>
        <w:spacing w:after="0" w:line="166" w:lineRule="exact"/>
        <w:rPr>
          <w:sz w:val="20"/>
          <w:szCs w:val="20"/>
          <w:color w:val="auto"/>
        </w:rPr>
      </w:pPr>
    </w:p>
    <w:p>
      <w:pPr>
        <w:jc w:val="both"/>
        <w:ind w:left="840" w:hanging="839"/>
        <w:spacing w:after="0" w:line="308" w:lineRule="auto"/>
        <w:tabs>
          <w:tab w:leader="none" w:pos="8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The cover page from Monster Beverage Corporation’s Quarterly Report on Form 10-Q for the quarter ended March 31, 2020, formatted in iXBRL (Inline eXtensible Business Reporting Language) and contained in Exhibit 101.</w:t>
      </w:r>
    </w:p>
    <w:p>
      <w:pPr>
        <w:spacing w:after="0" w:line="146"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w w:val="94"/>
              </w:rPr>
              <w:t>MONSTER BEVERAGE CORPORATION</w:t>
            </w:r>
          </w:p>
        </w:tc>
      </w:tr>
      <w:tr>
        <w:trPr>
          <w:trHeight w:val="230"/>
        </w:trPr>
        <w:tc>
          <w:tcPr>
            <w:tcW w:w="49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608"/>
        </w:trPr>
        <w:tc>
          <w:tcPr>
            <w:tcW w:w="4960" w:type="dxa"/>
            <w:vAlign w:val="bottom"/>
          </w:tcPr>
          <w:p>
            <w:pPr>
              <w:spacing w:after="0"/>
              <w:rPr>
                <w:sz w:val="20"/>
                <w:szCs w:val="20"/>
                <w:color w:val="auto"/>
              </w:rPr>
            </w:pPr>
            <w:r>
              <w:rPr>
                <w:rFonts w:ascii="Arial" w:cs="Arial" w:eastAsia="Arial" w:hAnsi="Arial"/>
                <w:sz w:val="18"/>
                <w:szCs w:val="18"/>
                <w:color w:val="auto"/>
              </w:rPr>
              <w:t>Date: May 8, 2020</w:t>
            </w:r>
          </w:p>
        </w:tc>
        <w:tc>
          <w:tcPr>
            <w:tcW w:w="3180" w:type="dxa"/>
            <w:vAlign w:val="bottom"/>
            <w:gridSpan w:val="2"/>
          </w:tcPr>
          <w:p>
            <w:pPr>
              <w:spacing w:after="0"/>
              <w:rPr>
                <w:sz w:val="20"/>
                <w:szCs w:val="20"/>
                <w:color w:val="auto"/>
              </w:rPr>
            </w:pPr>
            <w:r>
              <w:rPr>
                <w:rFonts w:ascii="Arial" w:cs="Arial" w:eastAsia="Arial" w:hAnsi="Arial"/>
                <w:sz w:val="18"/>
                <w:szCs w:val="18"/>
                <w:color w:val="auto"/>
              </w:rPr>
              <w:t>/s/ RODNEY C. SACKS</w:t>
            </w:r>
          </w:p>
        </w:tc>
      </w:tr>
      <w:tr>
        <w:trPr>
          <w:trHeight w:val="222"/>
        </w:trPr>
        <w:tc>
          <w:tcPr>
            <w:tcW w:w="496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Rodney C. Sacks</w:t>
            </w:r>
          </w:p>
        </w:tc>
        <w:tc>
          <w:tcPr>
            <w:tcW w:w="1380" w:type="dxa"/>
            <w:vAlign w:val="bottom"/>
          </w:tcPr>
          <w:p>
            <w:pPr>
              <w:spacing w:after="0"/>
              <w:rPr>
                <w:sz w:val="19"/>
                <w:szCs w:val="19"/>
                <w:color w:val="auto"/>
              </w:rPr>
            </w:pPr>
          </w:p>
        </w:tc>
      </w:tr>
      <w:tr>
        <w:trPr>
          <w:trHeight w:val="216"/>
        </w:trPr>
        <w:tc>
          <w:tcPr>
            <w:tcW w:w="496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496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10.1</w:t>
      </w:r>
    </w:p>
    <w:p>
      <w:pPr>
        <w:spacing w:after="0" w:line="22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MONSTER BEVERAGE CORPORATION</w:t>
      </w:r>
    </w:p>
    <w:p>
      <w:pPr>
        <w:spacing w:after="0" w:line="22"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2020 ANNUAL INCENTIVE AWARD AGREEMENT</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This 2020 Annual Incentive Award Agreement (along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Monster Beverage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 is made and entered into effect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[_______], 20[___]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WITNESSETH</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Participant is a valued employee to the Company or its Affiliates; and</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determined that it would be in the best interests of the Company and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grant the Participant an annual incentive award for the Company’s 2020 fiscal year pursuant to the terms of the Monster Beverage Corporation 2011 Omnibus 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 this Agreement.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AGREEMENT</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and other good</w:t>
      </w:r>
      <w:r>
        <w:rPr>
          <w:rFonts w:ascii="Arial" w:cs="Arial" w:eastAsia="Arial" w:hAnsi="Arial"/>
          <w:sz w:val="20"/>
          <w:szCs w:val="20"/>
          <w:b w:val="1"/>
          <w:bCs w:val="1"/>
          <w:color w:val="auto"/>
        </w:rPr>
        <w:t xml:space="preserve"> </w:t>
      </w:r>
      <w:r>
        <w:rPr>
          <w:rFonts w:ascii="Arial" w:cs="Arial" w:eastAsia="Arial" w:hAnsi="Arial"/>
          <w:sz w:val="20"/>
          <w:szCs w:val="20"/>
          <w:color w:val="auto"/>
        </w:rPr>
        <w:t>and valuable consideration, the receipt and sufficiency of which is hereby acknowledged, the parties hereby agree as follows:</w:t>
      </w:r>
    </w:p>
    <w:p>
      <w:pPr>
        <w:spacing w:after="0" w:line="183" w:lineRule="exact"/>
        <w:rPr>
          <w:sz w:val="20"/>
          <w:szCs w:val="20"/>
          <w:color w:val="auto"/>
        </w:rPr>
      </w:pPr>
    </w:p>
    <w:p>
      <w:pPr>
        <w:ind w:left="340" w:right="20" w:hanging="331"/>
        <w:spacing w:after="0" w:line="260" w:lineRule="auto"/>
        <w:tabs>
          <w:tab w:leader="none" w:pos="416"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Whenever the following terms are used in this Agreement, they shall have the meanings set forth below. Capitalized terms not defined in this Agreement shall have the meaning set forth in the Plan.</w:t>
      </w:r>
    </w:p>
    <w:p>
      <w:pPr>
        <w:spacing w:after="0" w:line="176" w:lineRule="exact"/>
        <w:rPr>
          <w:rFonts w:ascii="Arial" w:cs="Arial" w:eastAsia="Arial" w:hAnsi="Arial"/>
          <w:sz w:val="20"/>
          <w:szCs w:val="20"/>
          <w:color w:val="auto"/>
        </w:rPr>
      </w:pPr>
    </w:p>
    <w:p>
      <w:pPr>
        <w:jc w:val="both"/>
        <w:ind w:left="980" w:hanging="323"/>
        <w:spacing w:after="0" w:line="242" w:lineRule="auto"/>
        <w:tabs>
          <w:tab w:leader="none" w:pos="1018" w:val="left"/>
        </w:tabs>
        <w:numPr>
          <w:ilvl w:val="1"/>
          <w:numId w:val="30"/>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term “</w:t>
      </w:r>
      <w:r>
        <w:rPr>
          <w:rFonts w:ascii="Arial" w:cs="Arial" w:eastAsia="Arial" w:hAnsi="Arial"/>
          <w:sz w:val="20"/>
          <w:szCs w:val="20"/>
          <w:u w:val="single" w:color="auto"/>
          <w:color w:val="auto"/>
        </w:rPr>
        <w:t>Cause</w:t>
      </w:r>
      <w:r>
        <w:rPr>
          <w:rFonts w:ascii="Arial" w:cs="Arial" w:eastAsia="Arial" w:hAnsi="Arial"/>
          <w:sz w:val="20"/>
          <w:szCs w:val="20"/>
          <w:color w:val="auto"/>
        </w:rPr>
        <w:t>” means (a) the Company or an Affiliate having “cause” to terminate the Participant’s employment or services, as defined in any employment or consulting agreement or similar services agreement between the Participant and the Company or an Affiliate in effect at the time of such termination, or (b) in the absence of any such employment, consulting or similar services agreement (or the absence of any definition of “Cause” contained therein), means, as determined by the Committee, the Participant’s (i) act(s) of fraud or dishonesty, (ii) knowing and material failure to comply with applicable laws or regulations or satisfactorily perform the Participant’s services with the Company or its Affiliates, (iii) insubordination or (iv) drug or alcohol abuse.</w:t>
      </w:r>
    </w:p>
    <w:p>
      <w:pPr>
        <w:spacing w:after="0" w:line="196" w:lineRule="exact"/>
        <w:rPr>
          <w:rFonts w:ascii="Arial" w:cs="Arial" w:eastAsia="Arial" w:hAnsi="Arial"/>
          <w:sz w:val="20"/>
          <w:szCs w:val="20"/>
          <w:color w:val="auto"/>
        </w:rPr>
      </w:pPr>
    </w:p>
    <w:p>
      <w:pPr>
        <w:jc w:val="both"/>
        <w:ind w:left="980" w:hanging="323"/>
        <w:spacing w:after="0" w:line="263" w:lineRule="auto"/>
        <w:tabs>
          <w:tab w:leader="none" w:pos="1016"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the complete and permanent inability of the Participant to perform the Participant’s essential duties consistent with the terms of the Participant’s employment or services with the Company and its Affiliates, as determined by the Committee upon the basis of such evidence the Committee deems appropriate or necessary, including independent medical reports and data.</w:t>
      </w:r>
    </w:p>
    <w:p>
      <w:pPr>
        <w:spacing w:after="0" w:line="176" w:lineRule="exact"/>
        <w:rPr>
          <w:rFonts w:ascii="Arial" w:cs="Arial" w:eastAsia="Arial" w:hAnsi="Arial"/>
          <w:sz w:val="19"/>
          <w:szCs w:val="19"/>
          <w:color w:val="auto"/>
        </w:rPr>
      </w:pPr>
    </w:p>
    <w:p>
      <w:pPr>
        <w:jc w:val="both"/>
        <w:ind w:left="980" w:hanging="323"/>
        <w:spacing w:after="0" w:line="270" w:lineRule="auto"/>
        <w:tabs>
          <w:tab w:leader="none" w:pos="112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The term “</w:t>
      </w:r>
      <w:r>
        <w:rPr>
          <w:rFonts w:ascii="Arial" w:cs="Arial" w:eastAsia="Arial" w:hAnsi="Arial"/>
          <w:sz w:val="18"/>
          <w:szCs w:val="18"/>
          <w:u w:val="single" w:color="auto"/>
          <w:color w:val="auto"/>
        </w:rPr>
        <w:t>Good Reason</w:t>
      </w:r>
      <w:r>
        <w:rPr>
          <w:rFonts w:ascii="Arial" w:cs="Arial" w:eastAsia="Arial" w:hAnsi="Arial"/>
          <w:sz w:val="18"/>
          <w:szCs w:val="18"/>
          <w:color w:val="auto"/>
        </w:rPr>
        <w:t>” means (a) the Participant having “good reason” to terminate the Participant’s employment or services, as defined in any employment or consulting or similar services agreement between the Participant and the Company or an Affiliate in effect at the time of such termination, or (b) in the absence of any such employment, consulting or similar services agreement (or the absence of any definition of “Good Reason” contained therein), means (i) a diminution in the Participant’s duties and responsibilities from those in effect immediately prior to a change in such duties and responsibilities, including (X) any change to a different reporting structure that results from a Change in Control, and (Y) any change resulting from the Company becoming a subsidiary of another organization, in each case, regardless of the structure of the Change in Control; (ii) a decrease in the Participant’s base salary or bonus opportunity; or (iii) a relocation of the Participant’s primary work location more than thirty (30) miles from the Participant’s primary work location, without the Participant’s prior written consent; provided that, within thirty (30) days following the occurrence of any of the events set forth herein, the Participant shall have delivered written notice to the Company of the Participant’s intention to terminate the Participant’s employment or services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325755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9" w:name="page50"/>
    <w:bookmarkEnd w:id="49"/>
    <w:p>
      <w:pPr>
        <w:ind w:left="971"/>
        <w:spacing w:after="0" w:line="261" w:lineRule="auto"/>
        <w:rPr>
          <w:sz w:val="20"/>
          <w:szCs w:val="20"/>
          <w:color w:val="auto"/>
        </w:rPr>
      </w:pPr>
      <w:r>
        <w:rPr>
          <w:rFonts w:ascii="Arial" w:cs="Arial" w:eastAsia="Arial" w:hAnsi="Arial"/>
          <w:sz w:val="20"/>
          <w:szCs w:val="20"/>
          <w:color w:val="auto"/>
        </w:rPr>
        <w:t>Good Reason, and the Company shall not have cured such circumstances within thirty (30) days following the Company’s receipt of such notice.</w:t>
      </w:r>
    </w:p>
    <w:p>
      <w:pPr>
        <w:spacing w:after="0" w:line="176" w:lineRule="exact"/>
        <w:rPr>
          <w:sz w:val="20"/>
          <w:szCs w:val="20"/>
          <w:color w:val="auto"/>
        </w:rPr>
      </w:pPr>
    </w:p>
    <w:p>
      <w:pPr>
        <w:ind w:left="331" w:hanging="331"/>
        <w:spacing w:after="0" w:line="260" w:lineRule="auto"/>
        <w:tabs>
          <w:tab w:leader="none" w:pos="40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2020 Annual Incentive Award</w:t>
      </w:r>
      <w:r>
        <w:rPr>
          <w:rFonts w:ascii="Arial" w:cs="Arial" w:eastAsia="Arial" w:hAnsi="Arial"/>
          <w:sz w:val="20"/>
          <w:szCs w:val="20"/>
          <w:color w:val="auto"/>
        </w:rPr>
        <w:t xml:space="preserve">. Subject to the terms and conditions of this Agreement, the Participant is awarded the 2020 Annual Incentive Award pursuant to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2020 Award</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331" w:hanging="331"/>
        <w:spacing w:after="0" w:line="250" w:lineRule="auto"/>
        <w:tabs>
          <w:tab w:leader="none" w:pos="394"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Payment of the 2020 Award</w:t>
      </w:r>
      <w:r>
        <w:rPr>
          <w:rFonts w:ascii="Arial" w:cs="Arial" w:eastAsia="Arial" w:hAnsi="Arial"/>
          <w:sz w:val="20"/>
          <w:szCs w:val="20"/>
          <w:color w:val="auto"/>
        </w:rPr>
        <w:t>. Subject to the terms and conditions contained in this Agreement (including Section 4 of this Agreement), the 2020 Award (if any) will be paid in cash or Shares (or a combination thereof), as determined by the Committee, no later than March 15, 2021.</w:t>
      </w:r>
    </w:p>
    <w:p>
      <w:pPr>
        <w:spacing w:after="0" w:line="185" w:lineRule="exact"/>
        <w:rPr>
          <w:rFonts w:ascii="Arial" w:cs="Arial" w:eastAsia="Arial" w:hAnsi="Arial"/>
          <w:sz w:val="20"/>
          <w:szCs w:val="20"/>
          <w:color w:val="auto"/>
        </w:rPr>
      </w:pPr>
    </w:p>
    <w:p>
      <w:pPr>
        <w:jc w:val="both"/>
        <w:ind w:left="331" w:hanging="331"/>
        <w:spacing w:after="0" w:line="269" w:lineRule="auto"/>
        <w:tabs>
          <w:tab w:leader="none" w:pos="54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Treatment on Termination</w:t>
      </w:r>
      <w:r>
        <w:rPr>
          <w:rFonts w:ascii="Arial" w:cs="Arial" w:eastAsia="Arial" w:hAnsi="Arial"/>
          <w:sz w:val="18"/>
          <w:szCs w:val="18"/>
          <w:color w:val="auto"/>
        </w:rPr>
        <w:t xml:space="preserve">. In the event of the Participant’s termination of employment or services during the Company’s 2020 fiscal year due to death, Disability, termination by the Company and its Affiliates without Cause or termination by the Participant for Good Reason, the Participant shall be entitled to a prorated payment equal to the product of (x) the 2020 Award, if any, that the Participant would have earned for the 2020 fiscal year (calculated without regard to such termination) based on achievement of the applicable performance goals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3" w:lineRule="exact"/>
        <w:rPr>
          <w:rFonts w:ascii="Arial" w:cs="Arial" w:eastAsia="Arial" w:hAnsi="Arial"/>
          <w:sz w:val="18"/>
          <w:szCs w:val="18"/>
          <w:color w:val="auto"/>
        </w:rPr>
      </w:pPr>
    </w:p>
    <w:p>
      <w:pPr>
        <w:jc w:val="both"/>
        <w:ind w:left="331" w:hanging="7"/>
        <w:spacing w:after="0" w:line="254" w:lineRule="auto"/>
        <w:tabs>
          <w:tab w:leader="none" w:pos="619" w:val="left"/>
        </w:tabs>
        <w:numPr>
          <w:ilvl w:val="1"/>
          <w:numId w:val="31"/>
        </w:numPr>
        <w:rPr>
          <w:rFonts w:ascii="Arial" w:cs="Arial" w:eastAsia="Arial" w:hAnsi="Arial"/>
          <w:sz w:val="19"/>
          <w:szCs w:val="19"/>
          <w:color w:val="auto"/>
        </w:rPr>
      </w:pPr>
      <w:r>
        <w:rPr>
          <w:rFonts w:ascii="Arial" w:cs="Arial" w:eastAsia="Arial" w:hAnsi="Arial"/>
          <w:sz w:val="19"/>
          <w:szCs w:val="19"/>
          <w:color w:val="auto"/>
        </w:rPr>
        <w:t>a fraction, the numerator of which is the number of days that the Participant was employed by or providing services to the Company or its Affiliates during the 2020 fiscal year and the denominator of which is 365 (the “</w:t>
      </w:r>
      <w:r>
        <w:rPr>
          <w:rFonts w:ascii="Arial" w:cs="Arial" w:eastAsia="Arial" w:hAnsi="Arial"/>
          <w:sz w:val="19"/>
          <w:szCs w:val="19"/>
          <w:u w:val="single" w:color="auto"/>
          <w:color w:val="auto"/>
        </w:rPr>
        <w:t>Pro-Rata 2020</w:t>
      </w:r>
      <w:r>
        <w:rPr>
          <w:rFonts w:ascii="Arial" w:cs="Arial" w:eastAsia="Arial" w:hAnsi="Arial"/>
          <w:sz w:val="19"/>
          <w:szCs w:val="19"/>
          <w:color w:val="auto"/>
        </w:rPr>
        <w:t xml:space="preserve"> </w:t>
      </w:r>
      <w:r>
        <w:rPr>
          <w:rFonts w:ascii="Arial" w:cs="Arial" w:eastAsia="Arial" w:hAnsi="Arial"/>
          <w:sz w:val="19"/>
          <w:szCs w:val="19"/>
          <w:u w:val="single" w:color="auto"/>
          <w:color w:val="auto"/>
        </w:rPr>
        <w:t>Award</w:t>
      </w:r>
      <w:r>
        <w:rPr>
          <w:rFonts w:ascii="Arial" w:cs="Arial" w:eastAsia="Arial" w:hAnsi="Arial"/>
          <w:sz w:val="19"/>
          <w:szCs w:val="19"/>
          <w:color w:val="auto"/>
        </w:rPr>
        <w:t>”). The Pro-Rata 2020 Award (if any) shall be paid at the same time and subject to the same terms under Section 3 of this Agreement. Notwithstanding anything in this Agreement to the contrary, the Participant shall forfeit the 2020 Award (or the Pro-Rata 2020 Award, as applicable) and have no right to payment hereunder if the Participant’s employment or services are terminated for Cause or Participant voluntarily terminates the Participant’s employment or services without Good Reason, at any time during the Company’s 2020 fiscal year; provided that if Participant’s employment is terminated for any reason following the end of the Company’s 2020 fiscal year but prior to payment of the 2020 Award (or Pro-Rata 2020 Award), if any, such payment will remain payable to the Participant pursuant to Section 3 of this Agreement.</w:t>
      </w:r>
    </w:p>
    <w:p>
      <w:pPr>
        <w:spacing w:after="0" w:line="182" w:lineRule="exact"/>
        <w:rPr>
          <w:rFonts w:ascii="Arial" w:cs="Arial" w:eastAsia="Arial" w:hAnsi="Arial"/>
          <w:sz w:val="19"/>
          <w:szCs w:val="19"/>
          <w:color w:val="auto"/>
        </w:rPr>
      </w:pPr>
    </w:p>
    <w:p>
      <w:pPr>
        <w:ind w:left="351" w:hanging="351"/>
        <w:spacing w:after="0"/>
        <w:tabs>
          <w:tab w:leader="none" w:pos="351"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2020 Award may be transferred pursuant to the requirements under Section 12.3 of the Plan.</w:t>
      </w:r>
    </w:p>
    <w:p>
      <w:pPr>
        <w:spacing w:after="0" w:line="227" w:lineRule="exact"/>
        <w:rPr>
          <w:rFonts w:ascii="Arial" w:cs="Arial" w:eastAsia="Arial" w:hAnsi="Arial"/>
          <w:sz w:val="19"/>
          <w:szCs w:val="19"/>
          <w:color w:val="auto"/>
        </w:rPr>
      </w:pPr>
    </w:p>
    <w:p>
      <w:pPr>
        <w:jc w:val="both"/>
        <w:ind w:left="331" w:hanging="331"/>
        <w:spacing w:after="0" w:line="244" w:lineRule="auto"/>
        <w:tabs>
          <w:tab w:leader="none" w:pos="435"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The Participant shall have no rights as a stockholder with respect to any Share that may be otherwise delivered pursuant to the 2020 Award unless and until the Participant becomes the holder of record or the beneficial owner of such Share, and no adjustment shall be made for dividends or distributions or other rights in respect of such Share for which the record date is prior to the date upon which the Participant becomes the holder of record or the beneficial owner thereof.</w:t>
      </w:r>
    </w:p>
    <w:p>
      <w:pPr>
        <w:spacing w:after="0" w:line="194" w:lineRule="exact"/>
        <w:rPr>
          <w:rFonts w:ascii="Arial" w:cs="Arial" w:eastAsia="Arial" w:hAnsi="Arial"/>
          <w:sz w:val="20"/>
          <w:szCs w:val="20"/>
          <w:color w:val="auto"/>
        </w:rPr>
      </w:pPr>
    </w:p>
    <w:p>
      <w:pPr>
        <w:ind w:left="331" w:hanging="331"/>
        <w:spacing w:after="0" w:line="287" w:lineRule="auto"/>
        <w:tabs>
          <w:tab w:leader="none" w:pos="475"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All amounts payable to the Participant under this Agreement shall be subject to all applicable withholding taxes, normal payroll withholding, and any other deductions, if required by law to be withheld.</w:t>
      </w:r>
    </w:p>
    <w:p>
      <w:pPr>
        <w:spacing w:after="0" w:line="152" w:lineRule="exact"/>
        <w:rPr>
          <w:rFonts w:ascii="Arial" w:cs="Arial" w:eastAsia="Arial" w:hAnsi="Arial"/>
          <w:sz w:val="19"/>
          <w:szCs w:val="19"/>
          <w:color w:val="auto"/>
        </w:rPr>
      </w:pPr>
    </w:p>
    <w:p>
      <w:pPr>
        <w:ind w:left="351" w:hanging="351"/>
        <w:spacing w:after="0"/>
        <w:tabs>
          <w:tab w:leader="none" w:pos="351"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hereunder to the Company shall be addressed as follows:</w:t>
      </w:r>
    </w:p>
    <w:p>
      <w:pPr>
        <w:spacing w:after="0" w:line="227"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ind w:left="4071"/>
        <w:spacing w:after="0"/>
        <w:rPr>
          <w:sz w:val="20"/>
          <w:szCs w:val="20"/>
          <w:color w:val="auto"/>
        </w:rPr>
      </w:pPr>
      <w:r>
        <w:rPr>
          <w:rFonts w:ascii="Arial" w:cs="Arial" w:eastAsia="Arial" w:hAnsi="Arial"/>
          <w:sz w:val="20"/>
          <w:szCs w:val="20"/>
          <w:color w:val="auto"/>
        </w:rPr>
        <w:t>Attn: [____________]</w:t>
      </w:r>
    </w:p>
    <w:p>
      <w:pPr>
        <w:jc w:val="center"/>
        <w:ind w:right="-10"/>
        <w:spacing w:after="0"/>
        <w:rPr>
          <w:sz w:val="20"/>
          <w:szCs w:val="20"/>
          <w:color w:val="auto"/>
        </w:rPr>
      </w:pPr>
      <w:r>
        <w:rPr>
          <w:rFonts w:ascii="Arial" w:cs="Arial" w:eastAsia="Arial" w:hAnsi="Arial"/>
          <w:sz w:val="20"/>
          <w:szCs w:val="20"/>
          <w:color w:val="auto"/>
        </w:rPr>
        <w:t>1 Monster Way</w:t>
      </w:r>
    </w:p>
    <w:p>
      <w:pPr>
        <w:jc w:val="center"/>
        <w:ind w:right="-10"/>
        <w:spacing w:after="0"/>
        <w:rPr>
          <w:sz w:val="20"/>
          <w:szCs w:val="20"/>
          <w:color w:val="auto"/>
        </w:rPr>
      </w:pPr>
      <w:r>
        <w:rPr>
          <w:rFonts w:ascii="Arial" w:cs="Arial" w:eastAsia="Arial" w:hAnsi="Arial"/>
          <w:sz w:val="20"/>
          <w:szCs w:val="20"/>
          <w:color w:val="auto"/>
        </w:rPr>
        <w:t>Corona, CA 92879</w:t>
      </w:r>
    </w:p>
    <w:p>
      <w:pPr>
        <w:jc w:val="center"/>
        <w:ind w:right="-10"/>
        <w:spacing w:after="0"/>
        <w:rPr>
          <w:sz w:val="20"/>
          <w:szCs w:val="20"/>
          <w:color w:val="auto"/>
        </w:rPr>
      </w:pPr>
      <w:r>
        <w:rPr>
          <w:rFonts w:ascii="Arial" w:cs="Arial" w:eastAsia="Arial" w:hAnsi="Arial"/>
          <w:sz w:val="20"/>
          <w:szCs w:val="20"/>
          <w:color w:val="auto"/>
        </w:rPr>
        <w:t>Tel: 1-951-739-6200</w:t>
      </w:r>
    </w:p>
    <w:p>
      <w:pPr>
        <w:spacing w:after="0" w:line="213"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With a copy (which shall not constitute notice) to:</w:t>
      </w:r>
    </w:p>
    <w:p>
      <w:pPr>
        <w:spacing w:after="0" w:line="6" w:lineRule="exact"/>
        <w:rPr>
          <w:sz w:val="20"/>
          <w:szCs w:val="20"/>
          <w:color w:val="auto"/>
        </w:rPr>
      </w:pPr>
    </w:p>
    <w:p>
      <w:pPr>
        <w:ind w:left="3651"/>
        <w:spacing w:after="0"/>
        <w:rPr>
          <w:sz w:val="20"/>
          <w:szCs w:val="20"/>
          <w:color w:val="auto"/>
        </w:rPr>
      </w:pPr>
      <w:r>
        <w:rPr>
          <w:rFonts w:ascii="Arial" w:cs="Arial" w:eastAsia="Arial" w:hAnsi="Arial"/>
          <w:sz w:val="22"/>
          <w:szCs w:val="22"/>
          <w:color w:val="auto"/>
        </w:rPr>
        <w:t>[_______________________]</w:t>
      </w:r>
    </w:p>
    <w:p>
      <w:pPr>
        <w:jc w:val="center"/>
        <w:ind w:right="-10"/>
        <w:spacing w:after="0"/>
        <w:rPr>
          <w:sz w:val="20"/>
          <w:szCs w:val="20"/>
          <w:color w:val="auto"/>
        </w:rPr>
      </w:pPr>
      <w:r>
        <w:rPr>
          <w:rFonts w:ascii="Arial" w:cs="Arial" w:eastAsia="Arial" w:hAnsi="Arial"/>
          <w:sz w:val="20"/>
          <w:szCs w:val="20"/>
          <w:color w:val="auto"/>
        </w:rPr>
        <w:t>c/o Katten Muchin Rosenman LLP</w:t>
      </w:r>
    </w:p>
    <w:p>
      <w:pPr>
        <w:jc w:val="center"/>
        <w:ind w:right="-10"/>
        <w:spacing w:after="0"/>
        <w:rPr>
          <w:sz w:val="20"/>
          <w:szCs w:val="20"/>
          <w:color w:val="auto"/>
        </w:rPr>
      </w:pPr>
      <w:r>
        <w:rPr>
          <w:rFonts w:ascii="Arial" w:cs="Arial" w:eastAsia="Arial" w:hAnsi="Arial"/>
          <w:sz w:val="20"/>
          <w:szCs w:val="20"/>
          <w:color w:val="auto"/>
        </w:rPr>
        <w:t>575 Madison Avenue</w:t>
      </w:r>
    </w:p>
    <w:p>
      <w:pPr>
        <w:jc w:val="center"/>
        <w:ind w:right="-10"/>
        <w:spacing w:after="0"/>
        <w:rPr>
          <w:sz w:val="20"/>
          <w:szCs w:val="20"/>
          <w:color w:val="auto"/>
        </w:rPr>
      </w:pPr>
      <w:r>
        <w:rPr>
          <w:rFonts w:ascii="Arial" w:cs="Arial" w:eastAsia="Arial" w:hAnsi="Arial"/>
          <w:sz w:val="20"/>
          <w:szCs w:val="20"/>
          <w:color w:val="auto"/>
        </w:rPr>
        <w:t>New York, NY 10022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1"/>
          </w:cols>
          <w:pgMar w:left="989" w:top="122" w:right="999" w:bottom="1440" w:gutter="0" w:footer="0" w:header="0"/>
        </w:sectPr>
      </w:pPr>
    </w:p>
    <w:bookmarkStart w:id="50" w:name="page51"/>
    <w:bookmarkEnd w:id="50"/>
    <w:p>
      <w:pPr>
        <w:jc w:val="both"/>
        <w:ind w:left="340"/>
        <w:spacing w:after="0" w:line="256" w:lineRule="auto"/>
        <w:rPr>
          <w:sz w:val="20"/>
          <w:szCs w:val="20"/>
          <w:color w:val="auto"/>
        </w:rPr>
      </w:pPr>
      <w:r>
        <w:rPr>
          <w:rFonts w:ascii="Arial" w:cs="Arial" w:eastAsia="Arial" w:hAnsi="Arial"/>
          <w:sz w:val="19"/>
          <w:szCs w:val="19"/>
          <w:color w:val="auto"/>
        </w:rPr>
        <w:t>Any notice required or permitted to be given hereunder to the Participant shall be addressed to the Participant at the latest address the Company has for the Participant in its records. Such notice shall be delivered personally or sent by certified, registered or express mail, postage prepaid, return receipt requested, or by a reputable overnight delivery service. Any such notice shall be deemed given when received by the intended recipient. Notwithstanding the foregoing, any notice required or permitted hereunder from the Company to the Participant may be made by electronic means, including by electronic mail to the Company-maintained electronic mailbox of the Participant, and the Participant hereby consents to receive such notice by electronic delivery. To the extent permitted in an electronically delivered notice described in the previous sentence, the Participant shall be permitted to respond to such notice or communication by way of a responsive electronic communication, including by electronic mail.</w:t>
      </w:r>
    </w:p>
    <w:p>
      <w:pPr>
        <w:spacing w:after="0" w:line="185" w:lineRule="exact"/>
        <w:rPr>
          <w:sz w:val="20"/>
          <w:szCs w:val="20"/>
          <w:color w:val="auto"/>
        </w:rPr>
      </w:pPr>
    </w:p>
    <w:p>
      <w:pPr>
        <w:jc w:val="both"/>
        <w:ind w:left="340" w:hanging="331"/>
        <w:spacing w:after="0" w:line="250" w:lineRule="auto"/>
        <w:tabs>
          <w:tab w:leader="none" w:pos="497"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Services</w:t>
      </w:r>
      <w:r>
        <w:rPr>
          <w:rFonts w:ascii="Arial" w:cs="Arial" w:eastAsia="Arial" w:hAnsi="Arial"/>
          <w:sz w:val="20"/>
          <w:szCs w:val="20"/>
          <w:color w:val="auto"/>
        </w:rPr>
        <w:t>. This Agreement shall not confer upon the Participant any right with respect to continuance of employment or services nor shall it interfere in any way with the right of the Company and its Affiliates to terminate the Participant’s employment or services at any time.</w:t>
      </w:r>
    </w:p>
    <w:p>
      <w:pPr>
        <w:spacing w:after="0" w:line="185" w:lineRule="exact"/>
        <w:rPr>
          <w:rFonts w:ascii="Arial" w:cs="Arial" w:eastAsia="Arial" w:hAnsi="Arial"/>
          <w:sz w:val="20"/>
          <w:szCs w:val="20"/>
          <w:color w:val="auto"/>
        </w:rPr>
      </w:pPr>
    </w:p>
    <w:p>
      <w:pPr>
        <w:jc w:val="both"/>
        <w:ind w:left="340" w:hanging="331"/>
        <w:spacing w:after="0" w:line="267" w:lineRule="auto"/>
        <w:tabs>
          <w:tab w:leader="none" w:pos="376"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Participant hereby explicitly and without reservation consents to the collection, use, and transfer, in electronic or other form, of the Participant’s personal data as described in this Agreement and any other material by and among, as applicable, the Company, and its other Affiliates or Subsidiaries for the exclusive purpose of implementing, administering, and managing the Participant’s participation in the 2020 Award. The Participant understands that the Company, and its other Affiliates or Subsidiaries may hold certain personal information about the Participant, including, but not limited to, the Participant’s name, home address and telephone number, email address, date of birth, social insurance number, passport or other identification number, salary, nationality, job title (“</w:t>
      </w:r>
      <w:r>
        <w:rPr>
          <w:rFonts w:ascii="Arial" w:cs="Arial" w:eastAsia="Arial" w:hAnsi="Arial"/>
          <w:sz w:val="18"/>
          <w:szCs w:val="18"/>
          <w:u w:val="single" w:color="auto"/>
          <w:color w:val="auto"/>
        </w:rPr>
        <w:t>Data</w:t>
      </w:r>
      <w:r>
        <w:rPr>
          <w:rFonts w:ascii="Arial" w:cs="Arial" w:eastAsia="Arial" w:hAnsi="Arial"/>
          <w:sz w:val="18"/>
          <w:szCs w:val="18"/>
          <w:color w:val="auto"/>
        </w:rPr>
        <w:t>”), for the exclusive purpose of implementing, administering, and managing the 2020 Award. The Participant understands that Data may be transferred to the Company’s third-party administrator or stock plan service provider as may be selected by the Company from time to time. The Participant understands that the recipients of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 of Data by contacting the Participant’s local human resources representative. The Participant authorizes the Company and any other possible recipient that may assist the Company (presently or in the future) with implementing, administering, and managing the 2020 Award to receive, possess, use, retain, and transfer Data, in electronic or other form, for the sole purpose of implementing, administering, and managing the Participant’s participation in the 2020 Award. The Participant understands that Data will be held only as long as is necessary to implement, administer, and manage the Participant’s participation in the 2020 Award. The Participant understands that the Participant may, at any time, view Data, request additional information about the storage and processing of Data, require any necessary amendment to Data or refuse or withdraw the consents in this Section 10, in any case without cost, by contacting in writing the Participant’s local human resources representative. Further, the Participant understands that the Participant is providing the consents described in this Agreement on a purely voluntary basis. If the Participant does not consent, or if the Participant later seeks to revoke the Participant’s consent, the Participant’s employment or services with the Company will not be adversely affected; the only adverse consequence of refusing or withdrawing the Participant’s consent is that the Company may be unable to grant other awards to the Participant or administer or maintain such awards. The Participant understands that refusing or withdrawing the Participant’s consent may affect the Participant’s ability to participate in the 2020 Award. For more information on the consequences of the Participant’s refusal to consent or withdrawal of consent, the Participant understands that the Participant may contact the Participant’s local human resources representative. The Participant understands that the Company may rely on a different legal basis for the collection, processing, and/or transfer of Data either now or in the future and/or request the Participant to provide another data privacy consent. If applicable and upon request of the Company, the Participant agrees to provide an executed acknowledgment or data privacy consent (or any other acknowledgments, agreements, or consents) to the Company that the Company may deem necessary to obtain under the data privacy laws in the Participant’s country, either now or in the future. The Participant understands that the Participant may be unable to participate in the 2020 Award if the Participant fails to execute any such acknowledgment, agreement, or consent requested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1" w:name="page52"/>
    <w:bookmarkEnd w:id="51"/>
    <w:p>
      <w:pPr>
        <w:ind w:left="340" w:hanging="331"/>
        <w:spacing w:after="0" w:line="261" w:lineRule="auto"/>
        <w:tabs>
          <w:tab w:leader="none" w:pos="35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the heirs, executors, administrators, successors, and, to the extent permitted, assigns or other Permitted Assignees of the parties to this Agreement.</w:t>
      </w:r>
    </w:p>
    <w:p>
      <w:pPr>
        <w:spacing w:after="0" w:line="175" w:lineRule="exact"/>
        <w:rPr>
          <w:rFonts w:ascii="Arial" w:cs="Arial" w:eastAsia="Arial" w:hAnsi="Arial"/>
          <w:sz w:val="20"/>
          <w:szCs w:val="20"/>
          <w:color w:val="auto"/>
        </w:rPr>
      </w:pPr>
    </w:p>
    <w:p>
      <w:pPr>
        <w:jc w:val="both"/>
        <w:ind w:left="340" w:hanging="331"/>
        <w:spacing w:after="0" w:line="250" w:lineRule="auto"/>
        <w:tabs>
          <w:tab w:leader="none" w:pos="376"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85" w:lineRule="exact"/>
        <w:rPr>
          <w:rFonts w:ascii="Arial" w:cs="Arial" w:eastAsia="Arial" w:hAnsi="Arial"/>
          <w:sz w:val="20"/>
          <w:szCs w:val="20"/>
          <w:color w:val="auto"/>
        </w:rPr>
      </w:pPr>
    </w:p>
    <w:p>
      <w:pPr>
        <w:jc w:val="both"/>
        <w:ind w:left="340" w:hanging="331"/>
        <w:spacing w:after="0" w:line="246" w:lineRule="auto"/>
        <w:tabs>
          <w:tab w:leader="none" w:pos="43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Waiver; Cumulative Rights</w:t>
      </w:r>
      <w:r>
        <w:rPr>
          <w:rFonts w:ascii="Arial" w:cs="Arial" w:eastAsia="Arial" w:hAnsi="Arial"/>
          <w:sz w:val="20"/>
          <w:szCs w:val="20"/>
          <w:color w:val="auto"/>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spacing w:after="0" w:line="191" w:lineRule="exact"/>
        <w:rPr>
          <w:rFonts w:ascii="Arial" w:cs="Arial" w:eastAsia="Arial" w:hAnsi="Arial"/>
          <w:sz w:val="20"/>
          <w:szCs w:val="20"/>
          <w:color w:val="auto"/>
        </w:rPr>
      </w:pPr>
    </w:p>
    <w:p>
      <w:pPr>
        <w:jc w:val="both"/>
        <w:ind w:left="340" w:right="20" w:hanging="331"/>
        <w:spacing w:after="0" w:line="246" w:lineRule="auto"/>
        <w:tabs>
          <w:tab w:leader="none" w:pos="389"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two (2) counterparts, each of which shall be an original, but both of which shall constitute but one and the same instrument. All signatures hereto may be transmitted by facsimile or .pdf file, and such facsimile or .pdf file will, for all purposes, be deemed to be the original signature of the party whose signature it reproduces, and will be binding upon such party.</w:t>
      </w:r>
    </w:p>
    <w:p>
      <w:pPr>
        <w:spacing w:after="0" w:line="191" w:lineRule="exact"/>
        <w:rPr>
          <w:rFonts w:ascii="Arial" w:cs="Arial" w:eastAsia="Arial" w:hAnsi="Arial"/>
          <w:sz w:val="20"/>
          <w:szCs w:val="20"/>
          <w:color w:val="auto"/>
        </w:rPr>
      </w:pPr>
    </w:p>
    <w:p>
      <w:pPr>
        <w:ind w:left="340" w:hanging="331"/>
        <w:spacing w:after="0" w:line="260" w:lineRule="auto"/>
        <w:tabs>
          <w:tab w:leader="none" w:pos="362"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contained in this Agreement are for reference purposes only and shall not affect the meaning or interpretation of this Agreement.</w:t>
      </w:r>
    </w:p>
    <w:p>
      <w:pPr>
        <w:spacing w:after="0" w:line="176" w:lineRule="exact"/>
        <w:rPr>
          <w:rFonts w:ascii="Arial" w:cs="Arial" w:eastAsia="Arial" w:hAnsi="Arial"/>
          <w:sz w:val="20"/>
          <w:szCs w:val="20"/>
          <w:color w:val="auto"/>
        </w:rPr>
      </w:pPr>
    </w:p>
    <w:p>
      <w:pPr>
        <w:jc w:val="both"/>
        <w:ind w:left="340" w:hanging="331"/>
        <w:spacing w:after="0" w:line="250" w:lineRule="auto"/>
        <w:tabs>
          <w:tab w:leader="none" w:pos="416"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spacing w:after="0" w:line="185" w:lineRule="exact"/>
        <w:rPr>
          <w:rFonts w:ascii="Arial" w:cs="Arial" w:eastAsia="Arial" w:hAnsi="Arial"/>
          <w:sz w:val="20"/>
          <w:szCs w:val="20"/>
          <w:color w:val="auto"/>
        </w:rPr>
      </w:pPr>
    </w:p>
    <w:p>
      <w:pPr>
        <w:jc w:val="both"/>
        <w:ind w:left="340" w:hanging="331"/>
        <w:spacing w:after="0" w:line="263" w:lineRule="auto"/>
        <w:tabs>
          <w:tab w:leader="none" w:pos="36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 related to participation in the 2020 Award by electronic means. The Participant hereby consents to receive such documents by electronic delivery and agrees to participate in the 2020 Award through an on-line or electronic system established and maintained by the Company or a third party designated by the Company.</w:t>
      </w:r>
    </w:p>
    <w:p>
      <w:pPr>
        <w:spacing w:after="0" w:line="176" w:lineRule="exact"/>
        <w:rPr>
          <w:rFonts w:ascii="Arial" w:cs="Arial" w:eastAsia="Arial" w:hAnsi="Arial"/>
          <w:sz w:val="19"/>
          <w:szCs w:val="19"/>
          <w:color w:val="auto"/>
        </w:rPr>
      </w:pPr>
    </w:p>
    <w:p>
      <w:pPr>
        <w:jc w:val="both"/>
        <w:ind w:left="340" w:hanging="331"/>
        <w:spacing w:after="0" w:line="271" w:lineRule="auto"/>
        <w:tabs>
          <w:tab w:leader="none" w:pos="389"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It is intended that the 2020 Award be exempt from or compliant with Section 409A of the Code (together with any Department of Treasury regulation and other interpretive guidance issued thereunder, including without limitation any such regulation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and this Agreement shall be interpreted, construed, and operated to reflect such intent. However, notwithstanding any other provision of this Agreement, if at any time the Committee determines that the 2020 Award (or any portion thereof) may be subject to Section 409A, the Committee shall have the right in its sole discretion (without any obligation to do so or to indemnify the Participant or any other person for failure to do so) to adopt such amendments to this Agreement, or adopt other policies and procedures (including amendments, policies, and procedures with retroactive effect), or take any other action, as the Committee determines is necessary or appropriate either for the 2020 Award to be exempt from the application of Section 409A or to comply with the requirements of Section 409A.</w:t>
      </w:r>
    </w:p>
    <w:p>
      <w:pPr>
        <w:spacing w:after="0" w:line="173" w:lineRule="exact"/>
        <w:rPr>
          <w:rFonts w:ascii="Arial" w:cs="Arial" w:eastAsia="Arial" w:hAnsi="Arial"/>
          <w:sz w:val="18"/>
          <w:szCs w:val="18"/>
          <w:color w:val="auto"/>
        </w:rPr>
      </w:pPr>
    </w:p>
    <w:p>
      <w:pPr>
        <w:jc w:val="both"/>
        <w:ind w:left="340" w:hanging="331"/>
        <w:spacing w:after="0" w:line="250" w:lineRule="auto"/>
        <w:tabs>
          <w:tab w:leader="none" w:pos="376"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its exhibits) constitutes the entire understanding between the Participant and the Company regarding the 2020 Award. This Agreement supersedes any prior agreements, commitments, or negotiations concerning the 2020 Award.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2" w:name="page53"/>
    <w:bookmarkEnd w:id="52"/>
    <w:p>
      <w:pPr>
        <w:ind w:firstLine="661"/>
        <w:spacing w:after="0" w:line="261" w:lineRule="auto"/>
        <w:rPr>
          <w:sz w:val="20"/>
          <w:szCs w:val="20"/>
          <w:color w:val="auto"/>
        </w:rPr>
      </w:pPr>
      <w:r>
        <w:rPr>
          <w:rFonts w:ascii="Arial" w:cs="Arial" w:eastAsia="Arial" w:hAnsi="Arial"/>
          <w:sz w:val="20"/>
          <w:szCs w:val="20"/>
          <w:color w:val="auto"/>
        </w:rPr>
        <w:t>IN WITNESS WHEREOF, the Company has caused this Agreement to be executed by a duly authorized officer and Participant has executed this Agreement both as of the day and year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20" w:type="dxa"/>
            <w:vAlign w:val="bottom"/>
            <w:gridSpan w:val="2"/>
          </w:tcPr>
          <w:p>
            <w:pPr>
              <w:spacing w:after="0"/>
              <w:rPr>
                <w:sz w:val="20"/>
                <w:szCs w:val="20"/>
                <w:color w:val="auto"/>
              </w:rPr>
            </w:pPr>
            <w:r>
              <w:rPr>
                <w:rFonts w:ascii="Arial" w:cs="Arial" w:eastAsia="Arial" w:hAnsi="Arial"/>
                <w:sz w:val="20"/>
                <w:szCs w:val="20"/>
                <w:color w:val="auto"/>
              </w:rPr>
              <w:t>PARTICIPANT</w:t>
            </w:r>
          </w:p>
        </w:tc>
        <w:tc>
          <w:tcPr>
            <w:tcW w:w="5200" w:type="dxa"/>
            <w:vAlign w:val="bottom"/>
            <w:gridSpan w:val="2"/>
          </w:tcPr>
          <w:p>
            <w:pPr>
              <w:ind w:left="200"/>
              <w:spacing w:after="0"/>
              <w:rPr>
                <w:sz w:val="20"/>
                <w:szCs w:val="20"/>
                <w:color w:val="auto"/>
              </w:rPr>
            </w:pPr>
            <w:r>
              <w:rPr>
                <w:rFonts w:ascii="Arial" w:cs="Arial" w:eastAsia="Arial" w:hAnsi="Arial"/>
                <w:sz w:val="20"/>
                <w:szCs w:val="20"/>
                <w:color w:val="auto"/>
              </w:rPr>
              <w:t>MONSTER BEVERAGE CORPORATION</w:t>
            </w:r>
          </w:p>
        </w:tc>
      </w:tr>
      <w:tr>
        <w:trPr>
          <w:trHeight w:val="91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200" w:type="dxa"/>
            <w:vAlign w:val="bottom"/>
            <w:gridSpan w:val="2"/>
          </w:tcPr>
          <w:p>
            <w:pPr>
              <w:ind w:left="200"/>
              <w:spacing w:after="0"/>
              <w:rPr>
                <w:sz w:val="20"/>
                <w:szCs w:val="20"/>
                <w:color w:val="auto"/>
              </w:rPr>
            </w:pPr>
            <w:r>
              <w:rPr>
                <w:rFonts w:ascii="Arial" w:cs="Arial" w:eastAsia="Arial" w:hAnsi="Arial"/>
                <w:sz w:val="20"/>
                <w:szCs w:val="20"/>
                <w:color w:val="auto"/>
              </w:rPr>
              <w:t>By:</w:t>
            </w:r>
          </w:p>
        </w:tc>
      </w:tr>
      <w:tr>
        <w:trPr>
          <w:trHeight w:val="220"/>
        </w:trPr>
        <w:tc>
          <w:tcPr>
            <w:tcW w:w="20" w:type="dxa"/>
            <w:vAlign w:val="bottom"/>
          </w:tcPr>
          <w:p>
            <w:pPr>
              <w:spacing w:after="0"/>
              <w:rPr>
                <w:sz w:val="19"/>
                <w:szCs w:val="19"/>
                <w:color w:val="auto"/>
              </w:rPr>
            </w:pPr>
          </w:p>
        </w:tc>
        <w:tc>
          <w:tcPr>
            <w:tcW w:w="4700" w:type="dxa"/>
            <w:vAlign w:val="bottom"/>
            <w:tcBorders>
              <w:top w:val="single" w:sz="8" w:color="auto"/>
            </w:tcBorders>
          </w:tcPr>
          <w:p>
            <w:pPr>
              <w:spacing w:after="0" w:line="220" w:lineRule="exact"/>
              <w:rPr>
                <w:sz w:val="20"/>
                <w:szCs w:val="20"/>
                <w:color w:val="auto"/>
              </w:rPr>
            </w:pPr>
            <w:r>
              <w:rPr>
                <w:rFonts w:ascii="Arial" w:cs="Arial" w:eastAsia="Arial" w:hAnsi="Arial"/>
                <w:sz w:val="22"/>
                <w:szCs w:val="22"/>
                <w:color w:val="auto"/>
              </w:rPr>
              <w:t>[_____________]</w:t>
            </w:r>
          </w:p>
        </w:tc>
        <w:tc>
          <w:tcPr>
            <w:tcW w:w="1120" w:type="dxa"/>
            <w:vAlign w:val="bottom"/>
          </w:tcPr>
          <w:p>
            <w:pPr>
              <w:spacing w:after="0"/>
              <w:rPr>
                <w:sz w:val="19"/>
                <w:szCs w:val="19"/>
                <w:color w:val="auto"/>
              </w:rPr>
            </w:pPr>
          </w:p>
        </w:tc>
        <w:tc>
          <w:tcPr>
            <w:tcW w:w="408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Name: [_____________]</w:t>
            </w: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5200" w:type="dxa"/>
            <w:vAlign w:val="bottom"/>
            <w:gridSpan w:val="2"/>
          </w:tcPr>
          <w:p>
            <w:pPr>
              <w:ind w:left="1120"/>
              <w:spacing w:after="0"/>
              <w:rPr>
                <w:sz w:val="20"/>
                <w:szCs w:val="20"/>
                <w:color w:val="auto"/>
              </w:rPr>
            </w:pPr>
            <w:r>
              <w:rPr>
                <w:rFonts w:ascii="Arial" w:cs="Arial" w:eastAsia="Arial" w:hAnsi="Arial"/>
                <w:sz w:val="20"/>
                <w:szCs w:val="20"/>
                <w:color w:val="auto"/>
              </w:rPr>
              <w:t>Title:  [_____________]</w:t>
            </w:r>
          </w:p>
        </w:tc>
      </w:tr>
      <w:tr>
        <w:trPr>
          <w:trHeight w:val="2082"/>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2" w:right="99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u w:val="single" w:color="auto"/>
          <w:color w:val="auto"/>
        </w:rPr>
        <w:t>Exhibit A to 2020 Annual Incentive Award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2020 Award</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2020 Award will be based on both Adjusted Operating Income (defined below) performance (pursuant to the table below) (</w:t>
      </w:r>
      <w:r>
        <w:rPr>
          <w:rFonts w:ascii="Arial" w:cs="Arial" w:eastAsia="Arial" w:hAnsi="Arial"/>
          <w:sz w:val="20"/>
          <w:szCs w:val="20"/>
          <w:b w:val="1"/>
          <w:bCs w:val="1"/>
          <w:color w:val="auto"/>
        </w:rPr>
        <w:t>75% weighting</w:t>
      </w:r>
      <w:r>
        <w:rPr>
          <w:rFonts w:ascii="Arial" w:cs="Arial" w:eastAsia="Arial" w:hAnsi="Arial"/>
          <w:sz w:val="20"/>
          <w:szCs w:val="20"/>
          <w:color w:val="auto"/>
        </w:rPr>
        <w:t>) and the Participant’s and/or the Company’s performance during the 2020 fiscal year, as determined by the Committee (</w:t>
      </w:r>
      <w:r>
        <w:rPr>
          <w:rFonts w:ascii="Arial" w:cs="Arial" w:eastAsia="Arial" w:hAnsi="Arial"/>
          <w:sz w:val="20"/>
          <w:szCs w:val="20"/>
          <w:b w:val="1"/>
          <w:bCs w:val="1"/>
          <w:color w:val="auto"/>
        </w:rPr>
        <w:t>25% weighting</w:t>
      </w:r>
      <w:r>
        <w:rPr>
          <w:rFonts w:ascii="Arial" w:cs="Arial" w:eastAsia="Arial" w:hAnsi="Arial"/>
          <w:sz w:val="20"/>
          <w:szCs w:val="20"/>
          <w:color w:val="auto"/>
        </w:rPr>
        <w:t>). The target bonus payable under this Agreement is [___]% of the Participant’s 2020 base salary (the “</w:t>
      </w:r>
      <w:r>
        <w:rPr>
          <w:rFonts w:ascii="Arial" w:cs="Arial" w:eastAsia="Arial" w:hAnsi="Arial"/>
          <w:sz w:val="20"/>
          <w:szCs w:val="20"/>
          <w:u w:val="single" w:color="auto"/>
          <w:color w:val="auto"/>
        </w:rPr>
        <w:t>Target</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Operating Income Component (75%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6292215" cy="1071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07188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shd w:val="clear" w:color="auto" w:fill="7F7F7F"/>
          </w:tcPr>
          <w:p>
            <w:pPr>
              <w:spacing w:after="0"/>
              <w:rPr>
                <w:sz w:val="19"/>
                <w:szCs w:val="19"/>
                <w:color w:val="auto"/>
              </w:rPr>
            </w:pPr>
          </w:p>
        </w:tc>
        <w:tc>
          <w:tcPr>
            <w:tcW w:w="3420" w:type="dxa"/>
            <w:vAlign w:val="bottom"/>
            <w:shd w:val="clear" w:color="auto" w:fill="7F7F7F"/>
          </w:tcPr>
          <w:p>
            <w:pPr>
              <w:spacing w:after="0"/>
              <w:rPr>
                <w:sz w:val="19"/>
                <w:szCs w:val="19"/>
                <w:color w:val="auto"/>
              </w:rPr>
            </w:pPr>
          </w:p>
        </w:tc>
        <w:tc>
          <w:tcPr>
            <w:tcW w:w="4240" w:type="dxa"/>
            <w:vAlign w:val="bottom"/>
            <w:shd w:val="clear" w:color="auto" w:fill="7F7F7F"/>
          </w:tcPr>
          <w:p>
            <w:pPr>
              <w:jc w:val="center"/>
              <w:ind w:right="61"/>
              <w:spacing w:after="0"/>
              <w:rPr>
                <w:sz w:val="20"/>
                <w:szCs w:val="20"/>
                <w:color w:val="auto"/>
              </w:rPr>
            </w:pPr>
            <w:r>
              <w:rPr>
                <w:rFonts w:ascii="Arial" w:cs="Arial" w:eastAsia="Arial" w:hAnsi="Arial"/>
                <w:sz w:val="20"/>
                <w:szCs w:val="20"/>
                <w:b w:val="1"/>
                <w:bCs w:val="1"/>
                <w:color w:val="auto"/>
                <w:w w:val="89"/>
              </w:rPr>
              <w:t>Adjusted Operating Income Component</w:t>
            </w:r>
          </w:p>
        </w:tc>
        <w:tc>
          <w:tcPr>
            <w:tcW w:w="20" w:type="dxa"/>
            <w:vAlign w:val="bottom"/>
          </w:tcPr>
          <w:p>
            <w:pPr>
              <w:spacing w:after="0"/>
              <w:rPr>
                <w:sz w:val="19"/>
                <w:szCs w:val="19"/>
                <w:color w:val="auto"/>
              </w:rPr>
            </w:pPr>
          </w:p>
        </w:tc>
      </w:tr>
      <w:tr>
        <w:trPr>
          <w:trHeight w:val="279"/>
        </w:trPr>
        <w:tc>
          <w:tcPr>
            <w:tcW w:w="2240" w:type="dxa"/>
            <w:vAlign w:val="bottom"/>
            <w:tcBorders>
              <w:bottom w:val="single" w:sz="8" w:color="7F7F7F"/>
            </w:tcBorders>
            <w:shd w:val="clear" w:color="auto" w:fill="7F7F7F"/>
          </w:tcPr>
          <w:p>
            <w:pPr>
              <w:ind w:left="360"/>
              <w:spacing w:after="0"/>
              <w:rPr>
                <w:sz w:val="20"/>
                <w:szCs w:val="20"/>
                <w:color w:val="auto"/>
              </w:rPr>
            </w:pPr>
            <w:r>
              <w:rPr>
                <w:rFonts w:ascii="Arial" w:cs="Arial" w:eastAsia="Arial" w:hAnsi="Arial"/>
                <w:sz w:val="20"/>
                <w:szCs w:val="20"/>
                <w:b w:val="1"/>
                <w:bCs w:val="1"/>
                <w:color w:val="auto"/>
              </w:rPr>
              <w:t>Performance Level</w:t>
            </w:r>
          </w:p>
        </w:tc>
        <w:tc>
          <w:tcPr>
            <w:tcW w:w="3420" w:type="dxa"/>
            <w:vAlign w:val="bottom"/>
            <w:tcBorders>
              <w:bottom w:val="single" w:sz="8" w:color="7F7F7F"/>
            </w:tcBorders>
            <w:shd w:val="clear" w:color="auto" w:fill="7F7F7F"/>
          </w:tcPr>
          <w:p>
            <w:pPr>
              <w:jc w:val="center"/>
              <w:spacing w:after="0"/>
              <w:rPr>
                <w:sz w:val="20"/>
                <w:szCs w:val="20"/>
                <w:color w:val="auto"/>
              </w:rPr>
            </w:pPr>
            <w:r>
              <w:rPr>
                <w:rFonts w:ascii="Arial" w:cs="Arial" w:eastAsia="Arial" w:hAnsi="Arial"/>
                <w:sz w:val="20"/>
                <w:szCs w:val="20"/>
                <w:b w:val="1"/>
                <w:bCs w:val="1"/>
                <w:color w:val="auto"/>
                <w:w w:val="90"/>
              </w:rPr>
              <w:t>2020 Adjusted Operating Income</w:t>
            </w:r>
          </w:p>
        </w:tc>
        <w:tc>
          <w:tcPr>
            <w:tcW w:w="4240" w:type="dxa"/>
            <w:vAlign w:val="bottom"/>
            <w:tcBorders>
              <w:bottom w:val="single" w:sz="8" w:color="7F7F7F"/>
            </w:tcBorders>
            <w:shd w:val="clear" w:color="auto" w:fill="7F7F7F"/>
          </w:tcPr>
          <w:p>
            <w:pPr>
              <w:jc w:val="center"/>
              <w:ind w:right="41"/>
              <w:spacing w:after="0"/>
              <w:rPr>
                <w:sz w:val="20"/>
                <w:szCs w:val="20"/>
                <w:color w:val="auto"/>
              </w:rPr>
            </w:pPr>
            <w:r>
              <w:rPr>
                <w:rFonts w:ascii="Arial" w:cs="Arial" w:eastAsia="Arial" w:hAnsi="Arial"/>
                <w:sz w:val="20"/>
                <w:szCs w:val="20"/>
                <w:b w:val="1"/>
                <w:bCs w:val="1"/>
                <w:color w:val="auto"/>
                <w:w w:val="91"/>
              </w:rPr>
              <w:t>Achievement (% of Target)</w:t>
            </w:r>
          </w:p>
        </w:tc>
        <w:tc>
          <w:tcPr>
            <w:tcW w:w="20" w:type="dxa"/>
            <w:vAlign w:val="bottom"/>
          </w:tcPr>
          <w:p>
            <w:pPr>
              <w:spacing w:after="0"/>
              <w:rPr>
                <w:sz w:val="24"/>
                <w:szCs w:val="24"/>
                <w:color w:val="auto"/>
              </w:rPr>
            </w:pPr>
          </w:p>
        </w:tc>
      </w:tr>
      <w:tr>
        <w:trPr>
          <w:trHeight w:val="254"/>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Below Threshold</w:t>
            </w: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5"/>
              </w:rPr>
              <w:t>Below $[___]</w:t>
            </w:r>
          </w:p>
        </w:tc>
        <w:tc>
          <w:tcPr>
            <w:tcW w:w="4240" w:type="dxa"/>
            <w:vAlign w:val="bottom"/>
            <w:tcBorders>
              <w:top w:val="single" w:sz="8" w:color="auto"/>
            </w:tcBorders>
          </w:tcPr>
          <w:p>
            <w:pPr>
              <w:jc w:val="center"/>
              <w:ind w:right="61"/>
              <w:spacing w:after="0"/>
              <w:rPr>
                <w:sz w:val="20"/>
                <w:szCs w:val="20"/>
                <w:color w:val="auto"/>
              </w:rPr>
            </w:pPr>
            <w:r>
              <w:rPr>
                <w:rFonts w:ascii="Arial" w:cs="Arial" w:eastAsia="Arial" w:hAnsi="Arial"/>
                <w:sz w:val="20"/>
                <w:szCs w:val="20"/>
                <w:color w:val="auto"/>
                <w:w w:val="99"/>
              </w:rPr>
              <w:t>[_]%</w:t>
            </w:r>
          </w:p>
        </w:tc>
        <w:tc>
          <w:tcPr>
            <w:tcW w:w="20" w:type="dxa"/>
            <w:vAlign w:val="bottom"/>
            <w:tcBorders>
              <w:top w:val="single" w:sz="8" w:color="auto"/>
            </w:tcBorders>
          </w:tcPr>
          <w:p>
            <w:pPr>
              <w:spacing w:after="0"/>
              <w:rPr>
                <w:sz w:val="22"/>
                <w:szCs w:val="22"/>
                <w:color w:val="auto"/>
              </w:rPr>
            </w:pPr>
          </w:p>
        </w:tc>
      </w:tr>
      <w:tr>
        <w:trPr>
          <w:trHeight w:val="283"/>
        </w:trPr>
        <w:tc>
          <w:tcPr>
            <w:tcW w:w="2240" w:type="dxa"/>
            <w:vAlign w:val="bottom"/>
          </w:tcPr>
          <w:p>
            <w:pPr>
              <w:ind w:left="40"/>
              <w:spacing w:after="0"/>
              <w:rPr>
                <w:sz w:val="20"/>
                <w:szCs w:val="20"/>
                <w:color w:val="auto"/>
              </w:rPr>
            </w:pPr>
            <w:r>
              <w:rPr>
                <w:rFonts w:ascii="Arial" w:cs="Arial" w:eastAsia="Arial" w:hAnsi="Arial"/>
                <w:sz w:val="20"/>
                <w:szCs w:val="20"/>
                <w:color w:val="auto"/>
              </w:rPr>
              <w:t>Threshold</w:t>
            </w:r>
          </w:p>
        </w:tc>
        <w:tc>
          <w:tcPr>
            <w:tcW w:w="3420" w:type="dxa"/>
            <w:vAlign w:val="bottom"/>
          </w:tcPr>
          <w:p>
            <w:pPr>
              <w:jc w:val="center"/>
              <w:spacing w:after="0"/>
              <w:rPr>
                <w:sz w:val="20"/>
                <w:szCs w:val="20"/>
                <w:color w:val="auto"/>
              </w:rPr>
            </w:pPr>
            <w:r>
              <w:rPr>
                <w:rFonts w:ascii="Arial" w:cs="Arial" w:eastAsia="Arial" w:hAnsi="Arial"/>
                <w:sz w:val="20"/>
                <w:szCs w:val="20"/>
                <w:color w:val="auto"/>
                <w:w w:val="97"/>
              </w:rPr>
              <w:t>$[___]</w:t>
            </w:r>
          </w:p>
        </w:tc>
        <w:tc>
          <w:tcPr>
            <w:tcW w:w="4240" w:type="dxa"/>
            <w:vAlign w:val="bottom"/>
          </w:tcPr>
          <w:p>
            <w:pPr>
              <w:jc w:val="center"/>
              <w:ind w:right="41"/>
              <w:spacing w:after="0"/>
              <w:rPr>
                <w:sz w:val="20"/>
                <w:szCs w:val="20"/>
                <w:color w:val="auto"/>
              </w:rPr>
            </w:pPr>
            <w:r>
              <w:rPr>
                <w:rFonts w:ascii="Arial" w:cs="Arial" w:eastAsia="Arial" w:hAnsi="Arial"/>
                <w:sz w:val="20"/>
                <w:szCs w:val="20"/>
                <w:color w:val="auto"/>
              </w:rPr>
              <w:t>[_]%*</w:t>
            </w:r>
          </w:p>
        </w:tc>
        <w:tc>
          <w:tcPr>
            <w:tcW w:w="20" w:type="dxa"/>
            <w:vAlign w:val="bottom"/>
          </w:tcPr>
          <w:p>
            <w:pPr>
              <w:spacing w:after="0"/>
              <w:rPr>
                <w:sz w:val="24"/>
                <w:szCs w:val="24"/>
                <w:color w:val="auto"/>
              </w:rPr>
            </w:pPr>
          </w:p>
        </w:tc>
      </w:tr>
      <w:tr>
        <w:trPr>
          <w:trHeight w:val="283"/>
        </w:trPr>
        <w:tc>
          <w:tcPr>
            <w:tcW w:w="2240" w:type="dxa"/>
            <w:vAlign w:val="bottom"/>
          </w:tcPr>
          <w:p>
            <w:pPr>
              <w:ind w:left="40"/>
              <w:spacing w:after="0"/>
              <w:rPr>
                <w:sz w:val="20"/>
                <w:szCs w:val="20"/>
                <w:color w:val="auto"/>
              </w:rPr>
            </w:pPr>
            <w:r>
              <w:rPr>
                <w:rFonts w:ascii="Arial" w:cs="Arial" w:eastAsia="Arial" w:hAnsi="Arial"/>
                <w:sz w:val="20"/>
                <w:szCs w:val="20"/>
                <w:color w:val="auto"/>
              </w:rPr>
              <w:t>Target</w:t>
            </w:r>
          </w:p>
        </w:tc>
        <w:tc>
          <w:tcPr>
            <w:tcW w:w="3420" w:type="dxa"/>
            <w:vAlign w:val="bottom"/>
          </w:tcPr>
          <w:p>
            <w:pPr>
              <w:jc w:val="center"/>
              <w:spacing w:after="0"/>
              <w:rPr>
                <w:sz w:val="20"/>
                <w:szCs w:val="20"/>
                <w:color w:val="auto"/>
              </w:rPr>
            </w:pPr>
            <w:r>
              <w:rPr>
                <w:rFonts w:ascii="Arial" w:cs="Arial" w:eastAsia="Arial" w:hAnsi="Arial"/>
                <w:sz w:val="20"/>
                <w:szCs w:val="20"/>
                <w:color w:val="auto"/>
                <w:w w:val="97"/>
              </w:rPr>
              <w:t>$[___]</w:t>
            </w:r>
          </w:p>
        </w:tc>
        <w:tc>
          <w:tcPr>
            <w:tcW w:w="4240" w:type="dxa"/>
            <w:vAlign w:val="bottom"/>
          </w:tcPr>
          <w:p>
            <w:pPr>
              <w:jc w:val="center"/>
              <w:ind w:right="41"/>
              <w:spacing w:after="0"/>
              <w:rPr>
                <w:sz w:val="20"/>
                <w:szCs w:val="20"/>
                <w:color w:val="auto"/>
              </w:rPr>
            </w:pPr>
            <w:r>
              <w:rPr>
                <w:rFonts w:ascii="Arial" w:cs="Arial" w:eastAsia="Arial" w:hAnsi="Arial"/>
                <w:sz w:val="20"/>
                <w:szCs w:val="20"/>
                <w:color w:val="auto"/>
              </w:rPr>
              <w:t>[_]%*</w:t>
            </w:r>
          </w:p>
        </w:tc>
        <w:tc>
          <w:tcPr>
            <w:tcW w:w="20" w:type="dxa"/>
            <w:vAlign w:val="bottom"/>
          </w:tcPr>
          <w:p>
            <w:pPr>
              <w:spacing w:after="0"/>
              <w:rPr>
                <w:sz w:val="24"/>
                <w:szCs w:val="24"/>
                <w:color w:val="auto"/>
              </w:rPr>
            </w:pPr>
          </w:p>
        </w:tc>
      </w:tr>
      <w:tr>
        <w:trPr>
          <w:trHeight w:val="283"/>
        </w:trPr>
        <w:tc>
          <w:tcPr>
            <w:tcW w:w="2240" w:type="dxa"/>
            <w:vAlign w:val="bottom"/>
          </w:tcPr>
          <w:p>
            <w:pPr>
              <w:ind w:left="40"/>
              <w:spacing w:after="0"/>
              <w:rPr>
                <w:sz w:val="20"/>
                <w:szCs w:val="20"/>
                <w:color w:val="auto"/>
              </w:rPr>
            </w:pPr>
            <w:r>
              <w:rPr>
                <w:rFonts w:ascii="Arial" w:cs="Arial" w:eastAsia="Arial" w:hAnsi="Arial"/>
                <w:sz w:val="20"/>
                <w:szCs w:val="20"/>
                <w:color w:val="auto"/>
              </w:rPr>
              <w:t>Maximum</w:t>
            </w:r>
          </w:p>
        </w:tc>
        <w:tc>
          <w:tcPr>
            <w:tcW w:w="3420" w:type="dxa"/>
            <w:vAlign w:val="bottom"/>
          </w:tcPr>
          <w:p>
            <w:pPr>
              <w:jc w:val="center"/>
              <w:spacing w:after="0"/>
              <w:rPr>
                <w:sz w:val="20"/>
                <w:szCs w:val="20"/>
                <w:color w:val="auto"/>
              </w:rPr>
            </w:pPr>
            <w:r>
              <w:rPr>
                <w:rFonts w:ascii="Arial" w:cs="Arial" w:eastAsia="Arial" w:hAnsi="Arial"/>
                <w:sz w:val="20"/>
                <w:szCs w:val="20"/>
                <w:color w:val="auto"/>
                <w:w w:val="97"/>
              </w:rPr>
              <w:t>$[___]</w:t>
            </w:r>
          </w:p>
        </w:tc>
        <w:tc>
          <w:tcPr>
            <w:tcW w:w="4240" w:type="dxa"/>
            <w:vAlign w:val="bottom"/>
          </w:tcPr>
          <w:p>
            <w:pPr>
              <w:jc w:val="center"/>
              <w:ind w:right="41"/>
              <w:spacing w:after="0"/>
              <w:rPr>
                <w:sz w:val="20"/>
                <w:szCs w:val="20"/>
                <w:color w:val="auto"/>
              </w:rPr>
            </w:pPr>
            <w:r>
              <w:rPr>
                <w:rFonts w:ascii="Arial" w:cs="Arial" w:eastAsia="Arial" w:hAnsi="Arial"/>
                <w:sz w:val="20"/>
                <w:szCs w:val="20"/>
                <w:color w:val="auto"/>
              </w:rPr>
              <w:t>[_]%*</w:t>
            </w:r>
          </w:p>
        </w:tc>
        <w:tc>
          <w:tcPr>
            <w:tcW w:w="20" w:type="dxa"/>
            <w:vAlign w:val="bottom"/>
          </w:tcPr>
          <w:p>
            <w:pPr>
              <w:spacing w:after="0"/>
              <w:rPr>
                <w:sz w:val="24"/>
                <w:szCs w:val="24"/>
                <w:color w:val="auto"/>
              </w:rPr>
            </w:pPr>
          </w:p>
        </w:tc>
      </w:tr>
    </w:tbl>
    <w:p>
      <w:pPr>
        <w:spacing w:after="0" w:line="20" w:lineRule="exact"/>
        <w:rPr>
          <w:sz w:val="20"/>
          <w:szCs w:val="20"/>
          <w:color w:val="auto"/>
        </w:rPr>
      </w:pPr>
    </w:p>
    <w:p>
      <w:pPr>
        <w:ind w:right="2280" w:firstLine="9"/>
        <w:spacing w:after="0" w:line="475" w:lineRule="auto"/>
        <w:tabs>
          <w:tab w:leader="none" w:pos="1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Linear interpolation applies between threshold/target and target/maximum performance levels. “</w:t>
      </w:r>
      <w:r>
        <w:rPr>
          <w:rFonts w:ascii="Arial" w:cs="Arial" w:eastAsia="Arial" w:hAnsi="Arial"/>
          <w:sz w:val="20"/>
          <w:szCs w:val="20"/>
          <w:u w:val="single" w:color="auto"/>
          <w:color w:val="auto"/>
        </w:rPr>
        <w:t>Adjusted Operating Income</w:t>
      </w:r>
      <w:r>
        <w:rPr>
          <w:rFonts w:ascii="Arial" w:cs="Arial" w:eastAsia="Arial" w:hAnsi="Arial"/>
          <w:sz w:val="20"/>
          <w:szCs w:val="20"/>
          <w:color w:val="auto"/>
        </w:rPr>
        <w:t>” means [_].</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Discretionary Component (25% weighting)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Following the conclusion of the Company’s 2020 fiscal year, the Committee will make a determination as to the Participant’s overall performance for the year, considering financial, operational, stock price, strategic initiatives and other company and individual performance considerations. The Committee will determine the achievement of this discretionary component, expressed as a percentage of the Target based on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6292215" cy="925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92583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Borders>
              <w:top w:val="single" w:sz="8" w:color="auto"/>
            </w:tcBorders>
            <w:shd w:val="clear" w:color="auto" w:fill="7F7F7F"/>
          </w:tcPr>
          <w:p>
            <w:pPr>
              <w:ind w:left="1680"/>
              <w:spacing w:after="0" w:line="220" w:lineRule="exact"/>
              <w:rPr>
                <w:sz w:val="20"/>
                <w:szCs w:val="20"/>
                <w:color w:val="auto"/>
              </w:rPr>
            </w:pPr>
            <w:r>
              <w:rPr>
                <w:rFonts w:ascii="Arial" w:cs="Arial" w:eastAsia="Arial" w:hAnsi="Arial"/>
                <w:sz w:val="20"/>
                <w:szCs w:val="20"/>
                <w:b w:val="1"/>
                <w:bCs w:val="1"/>
                <w:color w:val="auto"/>
              </w:rPr>
              <w:t>Performance Level</w:t>
            </w:r>
          </w:p>
        </w:tc>
        <w:tc>
          <w:tcPr>
            <w:tcW w:w="5360" w:type="dxa"/>
            <w:vAlign w:val="bottom"/>
            <w:tcBorders>
              <w:top w:val="single" w:sz="8" w:color="auto"/>
            </w:tcBorders>
            <w:shd w:val="clear" w:color="auto" w:fill="7F7F7F"/>
          </w:tcPr>
          <w:p>
            <w:pPr>
              <w:jc w:val="center"/>
              <w:ind w:left="321"/>
              <w:spacing w:after="0" w:line="220" w:lineRule="exact"/>
              <w:rPr>
                <w:sz w:val="20"/>
                <w:szCs w:val="20"/>
                <w:color w:val="auto"/>
              </w:rPr>
            </w:pPr>
            <w:r>
              <w:rPr>
                <w:rFonts w:ascii="Arial" w:cs="Arial" w:eastAsia="Arial" w:hAnsi="Arial"/>
                <w:sz w:val="20"/>
                <w:szCs w:val="20"/>
                <w:b w:val="1"/>
                <w:bCs w:val="1"/>
                <w:color w:val="auto"/>
                <w:w w:val="89"/>
              </w:rPr>
              <w:t>Discretionary Component Achievement</w:t>
            </w:r>
          </w:p>
        </w:tc>
        <w:tc>
          <w:tcPr>
            <w:tcW w:w="20" w:type="dxa"/>
            <w:vAlign w:val="bottom"/>
            <w:tcBorders>
              <w:top w:val="single" w:sz="8" w:color="auto"/>
            </w:tcBorders>
          </w:tcPr>
          <w:p>
            <w:pPr>
              <w:spacing w:after="0"/>
              <w:rPr>
                <w:sz w:val="19"/>
                <w:szCs w:val="19"/>
                <w:color w:val="auto"/>
              </w:rPr>
            </w:pPr>
          </w:p>
        </w:tc>
      </w:tr>
      <w:tr>
        <w:trPr>
          <w:trHeight w:val="252"/>
        </w:trPr>
        <w:tc>
          <w:tcPr>
            <w:tcW w:w="4540" w:type="dxa"/>
            <w:vAlign w:val="bottom"/>
            <w:shd w:val="clear" w:color="auto" w:fill="7F7F7F"/>
          </w:tcPr>
          <w:p>
            <w:pPr>
              <w:spacing w:after="0"/>
              <w:rPr>
                <w:sz w:val="21"/>
                <w:szCs w:val="21"/>
                <w:color w:val="auto"/>
              </w:rPr>
            </w:pPr>
          </w:p>
        </w:tc>
        <w:tc>
          <w:tcPr>
            <w:tcW w:w="5360" w:type="dxa"/>
            <w:vAlign w:val="bottom"/>
            <w:shd w:val="clear" w:color="auto" w:fill="7F7F7F"/>
          </w:tcPr>
          <w:p>
            <w:pPr>
              <w:jc w:val="center"/>
              <w:ind w:left="321"/>
              <w:spacing w:after="0"/>
              <w:rPr>
                <w:sz w:val="20"/>
                <w:szCs w:val="20"/>
                <w:color w:val="auto"/>
              </w:rPr>
            </w:pPr>
            <w:r>
              <w:rPr>
                <w:rFonts w:ascii="Arial" w:cs="Arial" w:eastAsia="Arial" w:hAnsi="Arial"/>
                <w:sz w:val="20"/>
                <w:szCs w:val="20"/>
                <w:b w:val="1"/>
                <w:bCs w:val="1"/>
                <w:color w:val="auto"/>
                <w:w w:val="93"/>
              </w:rPr>
              <w:t>(% of Target)</w:t>
            </w:r>
          </w:p>
        </w:tc>
        <w:tc>
          <w:tcPr>
            <w:tcW w:w="20" w:type="dxa"/>
            <w:vAlign w:val="bottom"/>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9920"/>
          </w:cols>
          <w:pgMar w:left="980" w:top="562" w:right="999" w:bottom="1440" w:gutter="0" w:footer="0" w:header="0"/>
        </w:sectPr>
      </w:pPr>
    </w:p>
    <w:p>
      <w:pPr>
        <w:ind w:left="20"/>
        <w:spacing w:after="0"/>
        <w:rPr>
          <w:sz w:val="20"/>
          <w:szCs w:val="20"/>
          <w:color w:val="auto"/>
        </w:rPr>
      </w:pPr>
      <w:r>
        <w:rPr>
          <w:rFonts w:ascii="Arial" w:cs="Arial" w:eastAsia="Arial" w:hAnsi="Arial"/>
          <w:sz w:val="18"/>
          <w:szCs w:val="18"/>
          <w:color w:val="auto"/>
        </w:rPr>
        <w:t>Below Threshold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Threshold</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Target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Maximum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[_]%</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[_]%</w:t>
      </w:r>
    </w:p>
    <w:p>
      <w:pPr>
        <w:spacing w:after="0" w:line="211" w:lineRule="exact"/>
        <w:rPr>
          <w:sz w:val="20"/>
          <w:szCs w:val="20"/>
          <w:color w:val="auto"/>
        </w:rPr>
      </w:pPr>
    </w:p>
    <w:p>
      <w:pPr>
        <w:sectPr>
          <w:pgSz w:w="11900" w:h="16838" w:orient="portrait"/>
          <w:cols w:equalWidth="0" w:num="2">
            <w:col w:w="4260" w:space="720"/>
            <w:col w:w="4940"/>
          </w:cols>
          <w:pgMar w:left="980" w:top="562" w:right="99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Payout Calculation</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2020 Award payout will be equal to the weighted sum of achievements under the Adjusted Operating Income Component and the Discretionary Component described above. Achievement levels under the Adjusted Operating Income Component and the Discretionary Component described above are independent of each other (i.e., payment can be achieved under one component even if no payout is made under the other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62" w:right="99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EXHIBIT 10.2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MONSTER BEVERAGE CORPORATION</w:t>
      </w:r>
    </w:p>
    <w:p>
      <w:pPr>
        <w:jc w:val="center"/>
        <w:spacing w:after="0"/>
        <w:rPr>
          <w:sz w:val="20"/>
          <w:szCs w:val="20"/>
          <w:color w:val="auto"/>
        </w:rPr>
      </w:pPr>
      <w:r>
        <w:rPr>
          <w:rFonts w:ascii="Arial" w:cs="Arial" w:eastAsia="Arial" w:hAnsi="Arial"/>
          <w:sz w:val="20"/>
          <w:szCs w:val="20"/>
          <w:b w:val="1"/>
          <w:bCs w:val="1"/>
          <w:color w:val="auto"/>
        </w:rPr>
        <w:t>2011 OMNIBUS INCENTIVE PLAN</w:t>
      </w:r>
    </w:p>
    <w:p>
      <w:pPr>
        <w:spacing w:after="0" w:line="213"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 xml:space="preserve">Pursuant to the terms of this Performance Share Unit Award Agreement (along with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as of [_______], 20[___], and the Monster Beverage Corporation 2011 Omnibus Incentive Plan,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(the “</w:t>
      </w:r>
      <w:r>
        <w:rPr>
          <w:rFonts w:ascii="Arial" w:cs="Arial" w:eastAsia="Arial" w:hAnsi="Arial"/>
          <w:sz w:val="18"/>
          <w:szCs w:val="18"/>
          <w:u w:val="single" w:color="auto"/>
          <w:color w:val="auto"/>
        </w:rPr>
        <w:t>Plan</w:t>
      </w:r>
      <w:r>
        <w:rPr>
          <w:rFonts w:ascii="Arial" w:cs="Arial" w:eastAsia="Arial" w:hAnsi="Arial"/>
          <w:sz w:val="18"/>
          <w:szCs w:val="18"/>
          <w:color w:val="auto"/>
        </w:rPr>
        <w:t>”),  Monster Beverage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 agree as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13" w:lineRule="exact"/>
        <w:rPr>
          <w:sz w:val="20"/>
          <w:szCs w:val="20"/>
          <w:color w:val="auto"/>
        </w:rPr>
      </w:pPr>
    </w:p>
    <w:p>
      <w:pPr>
        <w:ind w:left="340" w:right="20" w:hanging="331"/>
        <w:spacing w:after="0" w:line="260" w:lineRule="auto"/>
        <w:tabs>
          <w:tab w:leader="none" w:pos="416"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Whenever the following terms are used in this Agreement, they shall have the meanings set forth below. Capitalized terms not defined in this Agreement shall have the meaning set forth in the Plan.</w:t>
      </w:r>
    </w:p>
    <w:p>
      <w:pPr>
        <w:spacing w:after="0" w:line="176" w:lineRule="exact"/>
        <w:rPr>
          <w:rFonts w:ascii="Arial" w:cs="Arial" w:eastAsia="Arial" w:hAnsi="Arial"/>
          <w:sz w:val="20"/>
          <w:szCs w:val="20"/>
          <w:color w:val="auto"/>
        </w:rPr>
      </w:pPr>
    </w:p>
    <w:p>
      <w:pPr>
        <w:jc w:val="both"/>
        <w:ind w:left="980" w:hanging="323"/>
        <w:spacing w:after="0" w:line="242" w:lineRule="auto"/>
        <w:tabs>
          <w:tab w:leader="none" w:pos="1018"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The term “</w:t>
      </w:r>
      <w:r>
        <w:rPr>
          <w:rFonts w:ascii="Arial" w:cs="Arial" w:eastAsia="Arial" w:hAnsi="Arial"/>
          <w:sz w:val="20"/>
          <w:szCs w:val="20"/>
          <w:u w:val="single" w:color="auto"/>
          <w:color w:val="auto"/>
        </w:rPr>
        <w:t>Cause</w:t>
      </w:r>
      <w:r>
        <w:rPr>
          <w:rFonts w:ascii="Arial" w:cs="Arial" w:eastAsia="Arial" w:hAnsi="Arial"/>
          <w:sz w:val="20"/>
          <w:szCs w:val="20"/>
          <w:color w:val="auto"/>
        </w:rPr>
        <w:t>” means (a) the Company or an Affiliate having “cause” to terminate the Participant’s employment or services, as defined in any employment or consulting agreement or similar services agreement between the Participant and the Company or an Affiliate in effect at the time of such termination, or (b) in the absence of any such employment, consulting or similar services agreement (or the absence of any definition of “Cause” contained therein), means, as determined by the Committee, the Participant’s (i) act(s) of fraud or dishonesty, (ii) knowing and material failure to comply with applicable laws or regulations or satisfactorily perform the Participant’s services with the Company or its Affiliates, (iii) insubordination or (iv) drug or alcohol abuse.</w:t>
      </w:r>
    </w:p>
    <w:p>
      <w:pPr>
        <w:spacing w:after="0" w:line="196" w:lineRule="exact"/>
        <w:rPr>
          <w:rFonts w:ascii="Arial" w:cs="Arial" w:eastAsia="Arial" w:hAnsi="Arial"/>
          <w:sz w:val="20"/>
          <w:szCs w:val="20"/>
          <w:color w:val="auto"/>
        </w:rPr>
      </w:pPr>
    </w:p>
    <w:p>
      <w:pPr>
        <w:jc w:val="both"/>
        <w:ind w:left="980" w:hanging="323"/>
        <w:spacing w:after="0" w:line="263" w:lineRule="auto"/>
        <w:tabs>
          <w:tab w:leader="none" w:pos="1016"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the complete and permanent inability of the Participant to perform the Participant’s essential duties consistent with the terms of the Participant’s employment or services with the Company and its Affiliates, as determined by the Committee upon the basis of such evidence the Committee deems appropriate or necessary, including independent medical reports and data.</w:t>
      </w:r>
    </w:p>
    <w:p>
      <w:pPr>
        <w:spacing w:after="0" w:line="176" w:lineRule="exact"/>
        <w:rPr>
          <w:rFonts w:ascii="Arial" w:cs="Arial" w:eastAsia="Arial" w:hAnsi="Arial"/>
          <w:sz w:val="19"/>
          <w:szCs w:val="19"/>
          <w:color w:val="auto"/>
        </w:rPr>
      </w:pPr>
    </w:p>
    <w:p>
      <w:pPr>
        <w:jc w:val="both"/>
        <w:ind w:left="980" w:hanging="323"/>
        <w:spacing w:after="0" w:line="269" w:lineRule="auto"/>
        <w:tabs>
          <w:tab w:leader="none" w:pos="1126"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The term “Good Reason” means (a) the Participant having “good reason” to terminate the Participant’s employment or services, as defined in any employment or consulting or similar services agreement between the Participant and the Company or an Affiliate in effect at the time of such termination, or (b) in the absence of any such employment, consulting or similar services agreement (or the absence of any definition of “Good Reason” contained therein), means (i) a diminution in the Participant’s duties and responsibilities from those in effect immediately prior to a change in such duties and responsibilities, including (X) any change to a different reporting structure that results from a Change in Control, and (Y) any change resulting from the Company becoming a subsidiary of another organization, in each case, regardless of the structure of the Change in Control; (ii) a decrease in the Participant’s base salary or bonus opportunity; or (iii) a relocation of the Participant’s primary work location more than thirty (30) miles from the Participant’s primary work location, without the Participant’s prior written consent; provided that, within thirty (30) days following the occurrence of any of the events set forth herein, the Participant shall have delivered written notice to the Company of the Participant’s intention to terminate the Participant’s employment or services for Good Reason, and the Company shall not have cured such circumstances within thirty (30) days following the Company’s receipt of such notice.</w:t>
      </w:r>
    </w:p>
    <w:p>
      <w:pPr>
        <w:spacing w:after="0" w:line="181" w:lineRule="exact"/>
        <w:rPr>
          <w:rFonts w:ascii="Arial" w:cs="Arial" w:eastAsia="Arial" w:hAnsi="Arial"/>
          <w:sz w:val="18"/>
          <w:szCs w:val="18"/>
          <w:color w:val="auto"/>
        </w:rPr>
      </w:pPr>
    </w:p>
    <w:p>
      <w:pPr>
        <w:ind w:left="1000" w:hanging="343"/>
        <w:spacing w:after="0"/>
        <w:tabs>
          <w:tab w:leader="none" w:pos="1000"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Performance Period</w:t>
      </w:r>
      <w:r>
        <w:rPr>
          <w:rFonts w:ascii="Arial" w:cs="Arial" w:eastAsia="Arial" w:hAnsi="Arial"/>
          <w:sz w:val="20"/>
          <w:szCs w:val="20"/>
          <w:color w:val="auto"/>
        </w:rPr>
        <w:t>. The term “</w:t>
      </w:r>
      <w:r>
        <w:rPr>
          <w:rFonts w:ascii="Arial" w:cs="Arial" w:eastAsia="Arial" w:hAnsi="Arial"/>
          <w:sz w:val="20"/>
          <w:szCs w:val="20"/>
          <w:u w:val="single" w:color="auto"/>
          <w:color w:val="auto"/>
        </w:rPr>
        <w:t>Performance Period</w:t>
      </w:r>
      <w:r>
        <w:rPr>
          <w:rFonts w:ascii="Arial" w:cs="Arial" w:eastAsia="Arial" w:hAnsi="Arial"/>
          <w:sz w:val="20"/>
          <w:szCs w:val="20"/>
          <w:color w:val="auto"/>
        </w:rPr>
        <w:t xml:space="preserve">” means each of the periods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980" w:hanging="323"/>
        <w:spacing w:after="0" w:line="260" w:lineRule="auto"/>
        <w:tabs>
          <w:tab w:leader="none" w:pos="1032"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The term “</w:t>
      </w:r>
      <w:r>
        <w:rPr>
          <w:rFonts w:ascii="Arial" w:cs="Arial" w:eastAsia="Arial" w:hAnsi="Arial"/>
          <w:sz w:val="20"/>
          <w:szCs w:val="20"/>
          <w:u w:val="single" w:color="auto"/>
          <w:color w:val="auto"/>
        </w:rPr>
        <w:t>Termination</w:t>
      </w:r>
      <w:r>
        <w:rPr>
          <w:rFonts w:ascii="Arial" w:cs="Arial" w:eastAsia="Arial" w:hAnsi="Arial"/>
          <w:sz w:val="20"/>
          <w:szCs w:val="20"/>
          <w:color w:val="auto"/>
        </w:rPr>
        <w:t>” means a termination of the Participant’s service or employment with the Company and its Affiliates.</w:t>
      </w:r>
    </w:p>
    <w:p>
      <w:pPr>
        <w:spacing w:after="0" w:line="176" w:lineRule="exact"/>
        <w:rPr>
          <w:rFonts w:ascii="Arial" w:cs="Arial" w:eastAsia="Arial" w:hAnsi="Arial"/>
          <w:sz w:val="20"/>
          <w:szCs w:val="20"/>
          <w:color w:val="auto"/>
        </w:rPr>
      </w:pPr>
    </w:p>
    <w:p>
      <w:pPr>
        <w:ind w:left="340" w:right="20" w:hanging="331"/>
        <w:spacing w:after="0" w:line="260" w:lineRule="auto"/>
        <w:tabs>
          <w:tab w:leader="none" w:pos="43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Grant of Performance Award</w:t>
      </w:r>
      <w:r>
        <w:rPr>
          <w:rFonts w:ascii="Arial" w:cs="Arial" w:eastAsia="Arial" w:hAnsi="Arial"/>
          <w:sz w:val="20"/>
          <w:szCs w:val="20"/>
          <w:color w:val="auto"/>
        </w:rPr>
        <w:t xml:space="preserve">. Subject to the terms and conditions of this Agreement and the Plan, the Participant is awarded the Performance Share Unit Award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Performance Award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5" w:name="page56"/>
    <w:bookmarkEnd w:id="55"/>
    <w:p>
      <w:pPr>
        <w:jc w:val="both"/>
        <w:ind w:left="340" w:hanging="331"/>
        <w:spacing w:after="0" w:line="250" w:lineRule="auto"/>
        <w:tabs>
          <w:tab w:leader="none" w:pos="36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Subject to the terms and conditions contained in this Agreement and the Plan, the Performance Award shall vest (in whole or in part, as applicable) on the “Vesting Date” of the applicable Performance Period, as defined in </w:t>
      </w:r>
      <w:r>
        <w:rPr>
          <w:rFonts w:ascii="Arial" w:cs="Arial" w:eastAsia="Arial" w:hAnsi="Arial"/>
          <w:sz w:val="20"/>
          <w:szCs w:val="20"/>
          <w:u w:val="single" w:color="auto"/>
          <w:color w:val="auto"/>
        </w:rPr>
        <w:t>Exhibit A</w:t>
      </w:r>
      <w:r>
        <w:rPr>
          <w:rFonts w:ascii="Arial" w:cs="Arial" w:eastAsia="Arial" w:hAnsi="Arial"/>
          <w:sz w:val="20"/>
          <w:szCs w:val="20"/>
          <w:color w:val="auto"/>
        </w:rPr>
        <w:t>, except as otherwise set forth in Section 6 of this Agreement.</w:t>
      </w:r>
    </w:p>
    <w:p>
      <w:pPr>
        <w:spacing w:after="0" w:line="187" w:lineRule="exact"/>
        <w:rPr>
          <w:rFonts w:ascii="Arial" w:cs="Arial" w:eastAsia="Arial" w:hAnsi="Arial"/>
          <w:sz w:val="20"/>
          <w:szCs w:val="20"/>
          <w:color w:val="auto"/>
        </w:rPr>
      </w:pPr>
    </w:p>
    <w:p>
      <w:pPr>
        <w:jc w:val="both"/>
        <w:ind w:left="340" w:hanging="331"/>
        <w:spacing w:after="0" w:line="274" w:lineRule="auto"/>
        <w:tabs>
          <w:tab w:leader="none" w:pos="48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Company will credit the Performance Award (or a portion thereof, as applicable) with Dividend Equivalent payments following the payment by the Company of dividends on Shares. The Company will provide such Dividend Equivalents in Shares having a Fair Market Value per Share, as of the date of such dividend payment, equal to the per-Share amount of such applicable dividend, and shall be payable at the same time as (and only if) the Performance Award (or a portion thereof, as applicable) is settled in accordance with Section 5 below. In the event that any portion of the Performance Award is forfeited by its terms, the Participant shall have no right to Dividend Equivalent payments in respect of such forfeited portion of the Performance Award.</w:t>
      </w:r>
    </w:p>
    <w:p>
      <w:pPr>
        <w:spacing w:after="0" w:line="168" w:lineRule="exact"/>
        <w:rPr>
          <w:rFonts w:ascii="Arial" w:cs="Arial" w:eastAsia="Arial" w:hAnsi="Arial"/>
          <w:sz w:val="18"/>
          <w:szCs w:val="18"/>
          <w:color w:val="auto"/>
        </w:rPr>
      </w:pPr>
    </w:p>
    <w:p>
      <w:pPr>
        <w:jc w:val="both"/>
        <w:ind w:left="340" w:hanging="331"/>
        <w:spacing w:after="0" w:line="244" w:lineRule="auto"/>
        <w:tabs>
          <w:tab w:leader="none" w:pos="362"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Settlement of Performance Award</w:t>
      </w:r>
      <w:r>
        <w:rPr>
          <w:rFonts w:ascii="Arial" w:cs="Arial" w:eastAsia="Arial" w:hAnsi="Arial"/>
          <w:sz w:val="20"/>
          <w:szCs w:val="20"/>
          <w:color w:val="auto"/>
        </w:rPr>
        <w:t xml:space="preserve">. Following the Vesting Date of the applicable Performance Period with respect to any portion of the Performance Award not previously forfeited in accordance with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Section 6 below (as applicable) that remains outstanding, the Company shall issue Shares to the Participant with respect to such portion of the Performance Award no later than March 15</w:t>
      </w:r>
      <w:r>
        <w:rPr>
          <w:rFonts w:ascii="Arial" w:cs="Arial" w:eastAsia="Arial" w:hAnsi="Arial"/>
          <w:sz w:val="10"/>
          <w:szCs w:val="10"/>
          <w:color w:val="auto"/>
        </w:rPr>
        <w:t>th</w:t>
      </w:r>
      <w:r>
        <w:rPr>
          <w:rFonts w:ascii="Arial" w:cs="Arial" w:eastAsia="Arial" w:hAnsi="Arial"/>
          <w:sz w:val="20"/>
          <w:szCs w:val="20"/>
          <w:color w:val="auto"/>
        </w:rPr>
        <w:t xml:space="preserve"> of the year following the Vesting Date of such Performance Period unless otherwise specified in Section 6 below.</w:t>
      </w:r>
    </w:p>
    <w:p>
      <w:pPr>
        <w:spacing w:after="0" w:line="194" w:lineRule="exact"/>
        <w:rPr>
          <w:rFonts w:ascii="Arial" w:cs="Arial" w:eastAsia="Arial" w:hAnsi="Arial"/>
          <w:sz w:val="20"/>
          <w:szCs w:val="20"/>
          <w:color w:val="auto"/>
        </w:rPr>
      </w:pPr>
    </w:p>
    <w:p>
      <w:pPr>
        <w:ind w:left="360" w:hanging="351"/>
        <w:spacing w:after="0"/>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Treatment on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980" w:hanging="323"/>
        <w:spacing w:after="0" w:line="244" w:lineRule="auto"/>
        <w:tabs>
          <w:tab w:leader="none" w:pos="1032" w:val="left"/>
        </w:tabs>
        <w:numPr>
          <w:ilvl w:val="1"/>
          <w:numId w:val="36"/>
        </w:numPr>
        <w:rPr>
          <w:rFonts w:ascii="Arial" w:cs="Arial" w:eastAsia="Arial" w:hAnsi="Arial"/>
          <w:sz w:val="20"/>
          <w:szCs w:val="20"/>
          <w:color w:val="auto"/>
        </w:rPr>
      </w:pPr>
      <w:r>
        <w:rPr>
          <w:rFonts w:ascii="Arial" w:cs="Arial" w:eastAsia="Arial" w:hAnsi="Arial"/>
          <w:sz w:val="20"/>
          <w:szCs w:val="20"/>
          <w:color w:val="auto"/>
        </w:rPr>
        <w:t>Subject to Section 6(b) below, if the Participant incurs a Termination prior to an applicable Vesting Date, any unvested portion of the Performance Award shall be forfeited for no consideration. For the avoidance of doubt, if the Participant incurs a Termination on or after a Vesting Date but such portion of the Performance Award that vested on such Vesting Date remains unpaid, the Participant shall remain eligible to receive such portion of the Performance Award pursuant to Section 5.</w:t>
      </w:r>
    </w:p>
    <w:p>
      <w:pPr>
        <w:spacing w:after="0" w:line="194" w:lineRule="exact"/>
        <w:rPr>
          <w:rFonts w:ascii="Arial" w:cs="Arial" w:eastAsia="Arial" w:hAnsi="Arial"/>
          <w:sz w:val="20"/>
          <w:szCs w:val="20"/>
          <w:color w:val="auto"/>
        </w:rPr>
      </w:pPr>
    </w:p>
    <w:p>
      <w:pPr>
        <w:jc w:val="both"/>
        <w:ind w:left="980" w:hanging="323"/>
        <w:spacing w:after="0" w:line="269" w:lineRule="auto"/>
        <w:tabs>
          <w:tab w:leader="none" w:pos="10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If a Change in Control occurs: (i) within the First Tranche Performance Period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entire Performance Award (i.e., for all three of the Performance Periods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automatically convert into Restricted Stock Units, with the number of Shares underlying such Restricted Stock Units based on the number of Shares deliverable at “Target Performance” (as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(ii) in the Second Tranche Performance Period or Third Tranche Performance Period (each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remaining unvested portion of the entire Performance Award shall automatically convert into Restricted Stock Units, with the number of Shares underlying such Restricted Stock Units based on the results of the performance measures outlined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for the most recently completed Performance Period that ended prior to the Change in Control (as applied to the portion of the Performance Award that remains outstanding). Any Restricted Stock Unit under this Section 6(b) will remain unvested until the applicable Vesting Date; provided that, in the event that the Participant’s employment or services is involuntarily terminated without Cause or for Good Reason following a Change in Control and prior to any Vesting Date, the Restricted Stock Units shall be one hundred percent (100%) vested as of such Termination date. Any Shares payable pursuant to a Restricted Stock Unit under this Section 6(b) shall be settled as soon as administratively practicable but not later than thirty (30) days of the Vesting Date.</w:t>
      </w:r>
    </w:p>
    <w:p>
      <w:pPr>
        <w:spacing w:after="0" w:line="178" w:lineRule="exact"/>
        <w:rPr>
          <w:rFonts w:ascii="Arial" w:cs="Arial" w:eastAsia="Arial" w:hAnsi="Arial"/>
          <w:sz w:val="18"/>
          <w:szCs w:val="18"/>
          <w:color w:val="auto"/>
        </w:rPr>
      </w:pPr>
    </w:p>
    <w:p>
      <w:pPr>
        <w:ind w:left="340" w:right="20" w:hanging="331"/>
        <w:spacing w:after="0" w:line="260" w:lineRule="auto"/>
        <w:tabs>
          <w:tab w:leader="none" w:pos="443"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The Performance Award may be transferred pursuant to the requirements under Section 12.3 of the Plan.</w:t>
      </w:r>
    </w:p>
    <w:p>
      <w:pPr>
        <w:spacing w:after="0" w:line="176" w:lineRule="exact"/>
        <w:rPr>
          <w:rFonts w:ascii="Arial" w:cs="Arial" w:eastAsia="Arial" w:hAnsi="Arial"/>
          <w:sz w:val="20"/>
          <w:szCs w:val="20"/>
          <w:color w:val="auto"/>
        </w:rPr>
      </w:pPr>
    </w:p>
    <w:p>
      <w:pPr>
        <w:jc w:val="both"/>
        <w:ind w:left="340" w:hanging="331"/>
        <w:spacing w:after="0" w:line="244" w:lineRule="auto"/>
        <w:tabs>
          <w:tab w:leader="none" w:pos="43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The Participant shall have no rights as a stockholder with respect to any Share underlying a Performance Award unless and until the Participant becomes the holder of record or the beneficial owner of such Share, and, subject to Section 4 of this Agreement, no adjustment shall be made for dividends or distributions or other rights in respect of such Share for which the record date is prior to the date upon which the Participant becomes the holder of record or the beneficial owner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6" w:name="page57"/>
    <w:bookmarkEnd w:id="56"/>
    <w:p>
      <w:pPr>
        <w:jc w:val="both"/>
        <w:ind w:left="340" w:hanging="331"/>
        <w:spacing w:after="0" w:line="246" w:lineRule="auto"/>
        <w:tabs>
          <w:tab w:leader="none" w:pos="48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Prior to any relevant taxable or tax withholding event, as applicable, the Participant shall make adequate arrangements satisfactory to the Company, as appropriate, to satisfy all tax withholding requirements. In this regard, the Participant authorizes the Company, or their respective agents, at their discretion, to satisfy their withholding obligations by any of the means described in Section 13.1 of the Plan.</w:t>
      </w:r>
    </w:p>
    <w:p>
      <w:pPr>
        <w:spacing w:after="0" w:line="192" w:lineRule="exact"/>
        <w:rPr>
          <w:rFonts w:ascii="Arial" w:cs="Arial" w:eastAsia="Arial" w:hAnsi="Arial"/>
          <w:sz w:val="20"/>
          <w:szCs w:val="20"/>
          <w:color w:val="auto"/>
        </w:rPr>
      </w:pPr>
    </w:p>
    <w:p>
      <w:pPr>
        <w:ind w:left="360" w:hanging="351"/>
        <w:spacing w:after="0"/>
        <w:tabs>
          <w:tab w:leader="none" w:pos="360"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hereunder to the Company shall be addressed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Attn: [____________]</w:t>
      </w: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jc w:val="center"/>
        <w:spacing w:after="0"/>
        <w:rPr>
          <w:sz w:val="20"/>
          <w:szCs w:val="20"/>
          <w:color w:val="auto"/>
        </w:rPr>
      </w:pPr>
      <w:r>
        <w:rPr>
          <w:rFonts w:ascii="Arial" w:cs="Arial" w:eastAsia="Arial" w:hAnsi="Arial"/>
          <w:sz w:val="20"/>
          <w:szCs w:val="20"/>
          <w:color w:val="auto"/>
        </w:rPr>
        <w:t>Tel: 1-951-739-6200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With a copy (which shall not constitute notice) to:</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[____________]</w:t>
      </w:r>
    </w:p>
    <w:p>
      <w:pPr>
        <w:jc w:val="center"/>
        <w:spacing w:after="0"/>
        <w:rPr>
          <w:sz w:val="20"/>
          <w:szCs w:val="20"/>
          <w:color w:val="auto"/>
        </w:rPr>
      </w:pPr>
      <w:r>
        <w:rPr>
          <w:rFonts w:ascii="Arial" w:cs="Arial" w:eastAsia="Arial" w:hAnsi="Arial"/>
          <w:sz w:val="20"/>
          <w:szCs w:val="20"/>
          <w:color w:val="auto"/>
        </w:rPr>
        <w:t>c/o Katten Muchin Rosenman LLP</w:t>
      </w:r>
    </w:p>
    <w:p>
      <w:pPr>
        <w:jc w:val="center"/>
        <w:spacing w:after="0"/>
        <w:rPr>
          <w:sz w:val="20"/>
          <w:szCs w:val="20"/>
          <w:color w:val="auto"/>
        </w:rPr>
      </w:pPr>
      <w:r>
        <w:rPr>
          <w:rFonts w:ascii="Arial" w:cs="Arial" w:eastAsia="Arial" w:hAnsi="Arial"/>
          <w:sz w:val="20"/>
          <w:szCs w:val="20"/>
          <w:color w:val="auto"/>
        </w:rPr>
        <w:t>575 Madison Avenue</w:t>
      </w:r>
    </w:p>
    <w:p>
      <w:pPr>
        <w:jc w:val="center"/>
        <w:spacing w:after="0"/>
        <w:rPr>
          <w:sz w:val="20"/>
          <w:szCs w:val="20"/>
          <w:color w:val="auto"/>
        </w:rPr>
      </w:pPr>
      <w:r>
        <w:rPr>
          <w:rFonts w:ascii="Arial" w:cs="Arial" w:eastAsia="Arial" w:hAnsi="Arial"/>
          <w:sz w:val="20"/>
          <w:szCs w:val="20"/>
          <w:color w:val="auto"/>
        </w:rPr>
        <w:t>New York, NY 10022</w:t>
      </w:r>
    </w:p>
    <w:p>
      <w:pPr>
        <w:spacing w:after="0" w:line="213" w:lineRule="exact"/>
        <w:rPr>
          <w:sz w:val="20"/>
          <w:szCs w:val="20"/>
          <w:color w:val="auto"/>
        </w:rPr>
      </w:pPr>
    </w:p>
    <w:p>
      <w:pPr>
        <w:jc w:val="both"/>
        <w:ind w:left="340"/>
        <w:spacing w:after="0" w:line="256" w:lineRule="auto"/>
        <w:rPr>
          <w:sz w:val="20"/>
          <w:szCs w:val="20"/>
          <w:color w:val="auto"/>
        </w:rPr>
      </w:pPr>
      <w:r>
        <w:rPr>
          <w:rFonts w:ascii="Arial" w:cs="Arial" w:eastAsia="Arial" w:hAnsi="Arial"/>
          <w:sz w:val="19"/>
          <w:szCs w:val="19"/>
          <w:color w:val="auto"/>
        </w:rPr>
        <w:t>Any notice required or permitted to be given hereunder to the Participant shall be addressed to the Participant at the latest address the Company has for the Participant in its records. Such notice shall be delivered personally or sent by certified, registered or express mail, postage prepaid, return receipt requested, or by a reputable overnight delivery service. Any such notice shall be deemed given when received by the intended recipient. Notwithstanding the foregoing, any notice required or permitted hereunder from the Company to the Participant may be made by electronic means, including by electronic mail to the Company-maintained electronic mailbox of the Participant, and the Participant hereby consents to receive such notice by electronic delivery. To the extent permitted in an electronically delivered notice described in the previous sentence, the Participant shall be permitted to respond to such notice or communication by way of a responsive electronic communication, including by electronic mail.</w:t>
      </w:r>
    </w:p>
    <w:p>
      <w:pPr>
        <w:spacing w:after="0" w:line="184" w:lineRule="exact"/>
        <w:rPr>
          <w:sz w:val="20"/>
          <w:szCs w:val="20"/>
          <w:color w:val="auto"/>
        </w:rPr>
      </w:pPr>
    </w:p>
    <w:p>
      <w:pPr>
        <w:jc w:val="both"/>
        <w:ind w:left="340" w:hanging="331"/>
        <w:spacing w:after="0" w:line="250" w:lineRule="auto"/>
        <w:tabs>
          <w:tab w:leader="none" w:pos="43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No Right to Continue Services</w:t>
      </w:r>
      <w:r>
        <w:rPr>
          <w:rFonts w:ascii="Arial" w:cs="Arial" w:eastAsia="Arial" w:hAnsi="Arial"/>
          <w:sz w:val="20"/>
          <w:szCs w:val="20"/>
          <w:color w:val="auto"/>
        </w:rPr>
        <w:t>. This Agreement shall not confer upon the Participant any right with respect to continuance of employment or services nor shall it interfere in any way with the right of the Company and its Affiliates to terminate the Participant’s employment or services at any time.</w:t>
      </w:r>
    </w:p>
    <w:p>
      <w:pPr>
        <w:spacing w:after="0" w:line="185" w:lineRule="exact"/>
        <w:rPr>
          <w:rFonts w:ascii="Arial" w:cs="Arial" w:eastAsia="Arial" w:hAnsi="Arial"/>
          <w:sz w:val="20"/>
          <w:szCs w:val="20"/>
          <w:color w:val="auto"/>
        </w:rPr>
      </w:pPr>
    </w:p>
    <w:p>
      <w:pPr>
        <w:jc w:val="both"/>
        <w:ind w:left="340" w:hanging="331"/>
        <w:spacing w:after="0" w:line="257" w:lineRule="auto"/>
        <w:tabs>
          <w:tab w:leader="none" w:pos="36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Compliance With Law and Regulation</w:t>
      </w:r>
      <w:r>
        <w:rPr>
          <w:rFonts w:ascii="Arial" w:cs="Arial" w:eastAsia="Arial" w:hAnsi="Arial"/>
          <w:sz w:val="19"/>
          <w:szCs w:val="19"/>
          <w:color w:val="auto"/>
        </w:rPr>
        <w:t>. This Agreement and the obligation of the Company to deliver Shares hereunder shall be subject to all applicable federal and state laws, rules and regulations and to such approvals by any government or regulatory agency as may be required. If at any time the Board shall determine that the (i) listing, registration or qualification of the Shares subject or related thereto upon any securities exchange or under any state or federal law, or (ii) consent, approval or agreement of any government regulatory body, is necessary or desirable as a condition of or in connection with the distribution of Shares pursuant to the Performance Award, such Shares will not be distributed in whole or in part unless such listing, registration, qualification, consent, approval or agreement shall have been effected or obtained free of any conditions not acceptable to the Board.</w:t>
      </w:r>
    </w:p>
    <w:p>
      <w:pPr>
        <w:spacing w:after="0" w:line="180" w:lineRule="exact"/>
        <w:rPr>
          <w:rFonts w:ascii="Arial" w:cs="Arial" w:eastAsia="Arial" w:hAnsi="Arial"/>
          <w:sz w:val="19"/>
          <w:szCs w:val="19"/>
          <w:color w:val="auto"/>
        </w:rPr>
      </w:pPr>
    </w:p>
    <w:p>
      <w:pPr>
        <w:jc w:val="both"/>
        <w:ind w:left="340" w:hanging="331"/>
        <w:spacing w:after="0" w:line="256" w:lineRule="auto"/>
        <w:tabs>
          <w:tab w:leader="none" w:pos="376"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Participant hereby explicitly and without reservation consents to the collection, use, and transfer, in electronic or other form, of the Participant’s personal data as described in this Agreement and any other Performance Award material by and among, as applicable, the Company, and its other Affiliates or Subsidiaries for the exclusive purpose of implementing, administering, and managing the Participant’s participation in the Plan. The Participant understands that the Company, and its other Affiliates or Subsidiaries may hold certain personal information about the Participant, including, but not limited to, the Participant’s name, home address and telephone number, email address, date of birth, social insurance number, passport or other identification number, salary, nationality, job title, any Share or directorships held in the Company, or details of all Performance Awards or any other entitlement to Shares awarded, canceled, exercised, vested,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7" w:name="page58"/>
    <w:bookmarkEnd w:id="57"/>
    <w:p>
      <w:pPr>
        <w:jc w:val="both"/>
        <w:ind w:left="340"/>
        <w:spacing w:after="0" w:line="267" w:lineRule="auto"/>
        <w:rPr>
          <w:sz w:val="20"/>
          <w:szCs w:val="20"/>
          <w:color w:val="auto"/>
        </w:rPr>
      </w:pPr>
      <w:r>
        <w:rPr>
          <w:rFonts w:ascii="Arial" w:cs="Arial" w:eastAsia="Arial" w:hAnsi="Arial"/>
          <w:sz w:val="18"/>
          <w:szCs w:val="18"/>
          <w:color w:val="auto"/>
        </w:rPr>
        <w:t>unvested, or outstanding in the Participant’s favor (“</w:t>
      </w:r>
      <w:r>
        <w:rPr>
          <w:rFonts w:ascii="Arial" w:cs="Arial" w:eastAsia="Arial" w:hAnsi="Arial"/>
          <w:sz w:val="18"/>
          <w:szCs w:val="18"/>
          <w:u w:val="single" w:color="auto"/>
          <w:color w:val="auto"/>
        </w:rPr>
        <w:t>Data</w:t>
      </w:r>
      <w:r>
        <w:rPr>
          <w:rFonts w:ascii="Arial" w:cs="Arial" w:eastAsia="Arial" w:hAnsi="Arial"/>
          <w:sz w:val="18"/>
          <w:szCs w:val="18"/>
          <w:color w:val="auto"/>
        </w:rPr>
        <w:t>”), for the exclusive purpose of implementing, administering, and managing the Plan. The Participant understands that Data will be transferred to the Company’s third-party administrator or stock plan service provider as may be selected by the Company from time to time, which is assisting the Company with the implementation, administration, and management of the Plan. The Participant understands that the recipients of Data may be located in the United States or elsewhere, and that the recipients’ country (e.g., the United States) may have different data privacy laws and protections than the Participant’s country. The Participant understands that the Participant may request a list with the names and addresses of any potential recipient of Data by contacting the Participant’s local human resources representative. The Participant authorizes the Company and any other possible recipient that may assist the Company (presently or in the future) with implementing, administering, and managing the Plan to receive, possess, use, retain, and transfer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 to Data or refuse or withdraw the consents in this Section 13, in any case without cost, by contacting in writing the Participant’s local human resources representative. Further, the Participant understands that the Participant is providing the consents described in this Agreement on a purely voluntary basis. If the Participant does not consent, or if the Participant later seeks to revoke the Participant’s consent, the Participant’s employment or services with the Company will not be adversely affected; the only adverse consequence of refusing or withdrawing the Participant’s consent is that the Company may be unable to grant Performance Awards or other awards to the Participant or administer or maintain such awards. Therefore, the Participant understands that refusing or withdrawing the Participant’s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 The Participant understands that the Company may rely on a different legal basis for the collection, processing, and/or transfer of Data either now or in the future and/or request the Participant to provide another data privacy consent. If applicable and upon request of the Company, the Participant agrees to provide an executed acknowledgment or data privacy consent (or any other acknowledgments, agreements, or consents) to the Company that the Company may deem necessary to obtain under the data privacy laws in the Participant’s country, either now or in the future. The Participant understands that the Participant may be unable to participate in the Plan if the Participant fails to execute any such acknowledgment, agreement, or consent requested by the Company.</w:t>
      </w:r>
    </w:p>
    <w:p>
      <w:pPr>
        <w:spacing w:after="0" w:line="194" w:lineRule="exact"/>
        <w:rPr>
          <w:sz w:val="20"/>
          <w:szCs w:val="20"/>
          <w:color w:val="auto"/>
        </w:rPr>
      </w:pPr>
    </w:p>
    <w:p>
      <w:pPr>
        <w:ind w:left="340" w:right="20" w:hanging="331"/>
        <w:spacing w:after="0" w:line="260" w:lineRule="auto"/>
        <w:tabs>
          <w:tab w:leader="none" w:pos="36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the heirs, executors, administrators, successors, and, to the extent permitted, assigns or other Permitted Assignees of the parties to this Agreement.</w:t>
      </w:r>
    </w:p>
    <w:p>
      <w:pPr>
        <w:spacing w:after="0" w:line="176" w:lineRule="exact"/>
        <w:rPr>
          <w:rFonts w:ascii="Arial" w:cs="Arial" w:eastAsia="Arial" w:hAnsi="Arial"/>
          <w:sz w:val="20"/>
          <w:szCs w:val="20"/>
          <w:color w:val="auto"/>
        </w:rPr>
      </w:pPr>
    </w:p>
    <w:p>
      <w:pPr>
        <w:jc w:val="both"/>
        <w:ind w:left="340" w:hanging="331"/>
        <w:spacing w:after="0" w:line="250" w:lineRule="auto"/>
        <w:tabs>
          <w:tab w:leader="none" w:pos="37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85" w:lineRule="exact"/>
        <w:rPr>
          <w:rFonts w:ascii="Arial" w:cs="Arial" w:eastAsia="Arial" w:hAnsi="Arial"/>
          <w:sz w:val="20"/>
          <w:szCs w:val="20"/>
          <w:color w:val="auto"/>
        </w:rPr>
      </w:pPr>
    </w:p>
    <w:p>
      <w:pPr>
        <w:jc w:val="both"/>
        <w:ind w:left="340" w:hanging="331"/>
        <w:spacing w:after="0" w:line="246" w:lineRule="auto"/>
        <w:tabs>
          <w:tab w:leader="none" w:pos="43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Waiver; Cumulative Rights</w:t>
      </w:r>
      <w:r>
        <w:rPr>
          <w:rFonts w:ascii="Arial" w:cs="Arial" w:eastAsia="Arial" w:hAnsi="Arial"/>
          <w:sz w:val="20"/>
          <w:szCs w:val="20"/>
          <w:color w:val="auto"/>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spacing w:after="0" w:line="191" w:lineRule="exact"/>
        <w:rPr>
          <w:rFonts w:ascii="Arial" w:cs="Arial" w:eastAsia="Arial" w:hAnsi="Arial"/>
          <w:sz w:val="20"/>
          <w:szCs w:val="20"/>
          <w:color w:val="auto"/>
        </w:rPr>
      </w:pPr>
    </w:p>
    <w:p>
      <w:pPr>
        <w:jc w:val="both"/>
        <w:ind w:left="340" w:right="20" w:hanging="331"/>
        <w:spacing w:after="0" w:line="246" w:lineRule="auto"/>
        <w:tabs>
          <w:tab w:leader="none" w:pos="389"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signed in two (2) counterparts, each of which shall be an original, but both of which shall constitute but one and the same instrument. All signatures hereto may be transmitted by facsimile or .pdf file, and such facsimile or .pdf file will, for all purposes, be deemed to be the original signature of the party whose signature it reproduces, and will be binding upon such party.</w:t>
      </w:r>
    </w:p>
    <w:p>
      <w:pPr>
        <w:spacing w:after="0" w:line="191" w:lineRule="exact"/>
        <w:rPr>
          <w:rFonts w:ascii="Arial" w:cs="Arial" w:eastAsia="Arial" w:hAnsi="Arial"/>
          <w:sz w:val="20"/>
          <w:szCs w:val="20"/>
          <w:color w:val="auto"/>
        </w:rPr>
      </w:pPr>
    </w:p>
    <w:p>
      <w:pPr>
        <w:ind w:left="340" w:hanging="331"/>
        <w:spacing w:after="0" w:line="260" w:lineRule="auto"/>
        <w:tabs>
          <w:tab w:leader="none" w:pos="362"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contained in this Agreement are for reference purposes only and shall not affect the meaning or interpretation of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8" w:name="page59"/>
    <w:bookmarkEnd w:id="58"/>
    <w:p>
      <w:pPr>
        <w:jc w:val="both"/>
        <w:ind w:left="340" w:hanging="331"/>
        <w:spacing w:after="0" w:line="250" w:lineRule="auto"/>
        <w:tabs>
          <w:tab w:leader="none" w:pos="416"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shall for any reason be held to be invalid or unenforceable, such invalidity or unenforceability shall not affect any other provision hereof, and this Agreement shall be construed as if such invalid or unenforceable provision were omitted.</w:t>
      </w:r>
    </w:p>
    <w:p>
      <w:pPr>
        <w:spacing w:after="0" w:line="186" w:lineRule="exact"/>
        <w:rPr>
          <w:rFonts w:ascii="Arial" w:cs="Arial" w:eastAsia="Arial" w:hAnsi="Arial"/>
          <w:sz w:val="20"/>
          <w:szCs w:val="20"/>
          <w:color w:val="auto"/>
        </w:rPr>
      </w:pPr>
    </w:p>
    <w:p>
      <w:pPr>
        <w:jc w:val="both"/>
        <w:ind w:left="340" w:right="20" w:hanging="331"/>
        <w:spacing w:after="0" w:line="291" w:lineRule="auto"/>
        <w:tabs>
          <w:tab w:leader="none" w:pos="36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The terms and conditions of the Plan (including the clawback and forfeiture events under Section 13.4 of the Plan) are incorporated in this Agreement by reference. In the event of a conflict or inconsistency between the terms and conditions of the Plan and the terms and conditions of this Agreement, the Plan shall govern and control.</w:t>
      </w:r>
    </w:p>
    <w:p>
      <w:pPr>
        <w:spacing w:after="0" w:line="151" w:lineRule="exact"/>
        <w:rPr>
          <w:rFonts w:ascii="Arial" w:cs="Arial" w:eastAsia="Arial" w:hAnsi="Arial"/>
          <w:sz w:val="18"/>
          <w:szCs w:val="18"/>
          <w:color w:val="auto"/>
        </w:rPr>
      </w:pPr>
    </w:p>
    <w:p>
      <w:pPr>
        <w:jc w:val="both"/>
        <w:ind w:left="340" w:hanging="331"/>
        <w:spacing w:after="0" w:line="263" w:lineRule="auto"/>
        <w:tabs>
          <w:tab w:leader="none" w:pos="362"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6" w:lineRule="exact"/>
        <w:rPr>
          <w:rFonts w:ascii="Arial" w:cs="Arial" w:eastAsia="Arial" w:hAnsi="Arial"/>
          <w:sz w:val="19"/>
          <w:szCs w:val="19"/>
          <w:color w:val="auto"/>
        </w:rPr>
      </w:pPr>
    </w:p>
    <w:p>
      <w:pPr>
        <w:jc w:val="both"/>
        <w:ind w:left="340" w:hanging="331"/>
        <w:spacing w:after="0" w:line="269" w:lineRule="auto"/>
        <w:tabs>
          <w:tab w:leader="none" w:pos="36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It is intended that the Performance Award be exempt from or compliant with Section 409A of the Code (together with any Department of Treasury regulation and other interpretive guidance issued thereunder, including without limitation any such regulation or other guidance that may be issued after the date hereof,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409A</w:t>
      </w:r>
      <w:r>
        <w:rPr>
          <w:rFonts w:ascii="Arial" w:cs="Arial" w:eastAsia="Arial" w:hAnsi="Arial"/>
          <w:sz w:val="18"/>
          <w:szCs w:val="18"/>
          <w:color w:val="auto"/>
        </w:rPr>
        <w:t>”) and this Agreement shall be interpreted, construed, and operated to reflect such intent. However, notwithstanding any other provision of the Plan or this Agreement, if at any time the Committee determines that the Performance Award (or any portion thereof) may be subject to Section 409A, the Committee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 as the Committee determines is necessary or appropriate either for the Performance Award to be exempt from the application of Section 409A or to comply with the requirements of Section 409A. If the Participant is a “specified employee” (as defined under Section 409A) and should any portion of the Shares that would otherwise be settled under the Performance Award be determined to be payments that are not exempt from Section 409A, such Shares, to the extent otherwise payable within six (6) months after a “separation from service” (as defined under Section 409A), and to the extent necessary to avoid the imposition of taxes under Section 409A, will be settled on the earlier of the date that is six (6) months and one day after the date of such separation from service or the date of the Participant’s death.</w:t>
      </w:r>
    </w:p>
    <w:p>
      <w:pPr>
        <w:spacing w:after="0" w:line="176" w:lineRule="exact"/>
        <w:rPr>
          <w:rFonts w:ascii="Arial" w:cs="Arial" w:eastAsia="Arial" w:hAnsi="Arial"/>
          <w:sz w:val="18"/>
          <w:szCs w:val="18"/>
          <w:color w:val="auto"/>
        </w:rPr>
      </w:pPr>
    </w:p>
    <w:p>
      <w:pPr>
        <w:jc w:val="both"/>
        <w:ind w:left="340" w:hanging="331"/>
        <w:spacing w:after="0" w:line="250" w:lineRule="auto"/>
        <w:tabs>
          <w:tab w:leader="none" w:pos="376"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its exhibits) and the Plan constitute the entire understanding between the Participant and the Company regarding the Performance Award. This Agreement and the Plan supersede any prior agreements, commitments, or negotiations concerning the Performance Award.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9" w:name="page60"/>
    <w:bookmarkEnd w:id="59"/>
    <w:p>
      <w:pPr>
        <w:ind w:firstLine="661"/>
        <w:spacing w:after="0" w:line="261" w:lineRule="auto"/>
        <w:rPr>
          <w:sz w:val="20"/>
          <w:szCs w:val="20"/>
          <w:color w:val="auto"/>
        </w:rPr>
      </w:pPr>
      <w:r>
        <w:rPr>
          <w:rFonts w:ascii="Arial" w:cs="Arial" w:eastAsia="Arial" w:hAnsi="Arial"/>
          <w:sz w:val="20"/>
          <w:szCs w:val="20"/>
          <w:color w:val="auto"/>
        </w:rPr>
        <w:t>IN WITNESS WHEREOF, the Company has caused this Agreement to be executed by a duly authorized officer and Participant has executed this Agreement both as of the day and year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00" w:type="dxa"/>
            <w:vAlign w:val="bottom"/>
            <w:gridSpan w:val="2"/>
          </w:tcPr>
          <w:p>
            <w:pPr>
              <w:spacing w:after="0"/>
              <w:rPr>
                <w:sz w:val="20"/>
                <w:szCs w:val="20"/>
                <w:color w:val="auto"/>
              </w:rPr>
            </w:pPr>
            <w:r>
              <w:rPr>
                <w:rFonts w:ascii="Arial" w:cs="Arial" w:eastAsia="Arial" w:hAnsi="Arial"/>
                <w:sz w:val="20"/>
                <w:szCs w:val="20"/>
                <w:color w:val="auto"/>
              </w:rPr>
              <w:t>PARTICIPANT</w:t>
            </w:r>
          </w:p>
        </w:tc>
        <w:tc>
          <w:tcPr>
            <w:tcW w:w="5020" w:type="dxa"/>
            <w:vAlign w:val="bottom"/>
            <w:gridSpan w:val="2"/>
          </w:tcPr>
          <w:p>
            <w:pPr>
              <w:ind w:left="200"/>
              <w:spacing w:after="0"/>
              <w:rPr>
                <w:sz w:val="20"/>
                <w:szCs w:val="20"/>
                <w:color w:val="auto"/>
              </w:rPr>
            </w:pPr>
            <w:r>
              <w:rPr>
                <w:rFonts w:ascii="Arial" w:cs="Arial" w:eastAsia="Arial" w:hAnsi="Arial"/>
                <w:sz w:val="20"/>
                <w:szCs w:val="20"/>
                <w:color w:val="auto"/>
              </w:rPr>
              <w:t>MONSTER BEVERAGE CORPORATION</w:t>
            </w:r>
          </w:p>
        </w:tc>
      </w:tr>
      <w:tr>
        <w:trPr>
          <w:trHeight w:val="914"/>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020" w:type="dxa"/>
            <w:vAlign w:val="bottom"/>
            <w:gridSpan w:val="2"/>
          </w:tcPr>
          <w:p>
            <w:pPr>
              <w:ind w:left="200"/>
              <w:spacing w:after="0"/>
              <w:rPr>
                <w:sz w:val="20"/>
                <w:szCs w:val="20"/>
                <w:color w:val="auto"/>
              </w:rPr>
            </w:pPr>
            <w:r>
              <w:rPr>
                <w:rFonts w:ascii="Arial" w:cs="Arial" w:eastAsia="Arial" w:hAnsi="Arial"/>
                <w:sz w:val="20"/>
                <w:szCs w:val="20"/>
                <w:color w:val="auto"/>
              </w:rPr>
              <w:t>By:</w:t>
            </w:r>
          </w:p>
        </w:tc>
      </w:tr>
      <w:tr>
        <w:trPr>
          <w:trHeight w:val="220"/>
        </w:trPr>
        <w:tc>
          <w:tcPr>
            <w:tcW w:w="20" w:type="dxa"/>
            <w:vAlign w:val="bottom"/>
          </w:tcPr>
          <w:p>
            <w:pPr>
              <w:spacing w:after="0"/>
              <w:rPr>
                <w:sz w:val="19"/>
                <w:szCs w:val="19"/>
                <w:color w:val="auto"/>
              </w:rPr>
            </w:pPr>
          </w:p>
        </w:tc>
        <w:tc>
          <w:tcPr>
            <w:tcW w:w="4880" w:type="dxa"/>
            <w:vAlign w:val="bottom"/>
            <w:tcBorders>
              <w:top w:val="single" w:sz="8" w:color="auto"/>
            </w:tcBorders>
          </w:tcPr>
          <w:p>
            <w:pPr>
              <w:spacing w:after="0" w:line="220" w:lineRule="exact"/>
              <w:rPr>
                <w:sz w:val="20"/>
                <w:szCs w:val="20"/>
                <w:color w:val="auto"/>
              </w:rPr>
            </w:pPr>
            <w:r>
              <w:rPr>
                <w:rFonts w:ascii="Arial" w:cs="Arial" w:eastAsia="Arial" w:hAnsi="Arial"/>
                <w:sz w:val="22"/>
                <w:szCs w:val="22"/>
                <w:color w:val="auto"/>
              </w:rPr>
              <w:t>[_____________]</w:t>
            </w:r>
          </w:p>
        </w:tc>
        <w:tc>
          <w:tcPr>
            <w:tcW w:w="560" w:type="dxa"/>
            <w:vAlign w:val="bottom"/>
          </w:tcPr>
          <w:p>
            <w:pPr>
              <w:spacing w:after="0"/>
              <w:rPr>
                <w:sz w:val="19"/>
                <w:szCs w:val="19"/>
                <w:color w:val="auto"/>
              </w:rPr>
            </w:pPr>
          </w:p>
        </w:tc>
        <w:tc>
          <w:tcPr>
            <w:tcW w:w="446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Name: [_____________]</w:t>
            </w:r>
          </w:p>
        </w:tc>
      </w:tr>
      <w:tr>
        <w:trPr>
          <w:trHeight w:val="250"/>
        </w:trPr>
        <w:tc>
          <w:tcPr>
            <w:tcW w:w="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5020" w:type="dxa"/>
            <w:vAlign w:val="bottom"/>
            <w:gridSpan w:val="2"/>
          </w:tcPr>
          <w:p>
            <w:pPr>
              <w:ind w:left="560"/>
              <w:spacing w:after="0"/>
              <w:rPr>
                <w:sz w:val="20"/>
                <w:szCs w:val="20"/>
                <w:color w:val="auto"/>
              </w:rPr>
            </w:pPr>
            <w:r>
              <w:rPr>
                <w:rFonts w:ascii="Arial" w:cs="Arial" w:eastAsia="Arial" w:hAnsi="Arial"/>
                <w:sz w:val="20"/>
                <w:szCs w:val="20"/>
                <w:color w:val="auto"/>
              </w:rPr>
              <w:t>Title:  [_____________]</w:t>
            </w:r>
          </w:p>
        </w:tc>
      </w:tr>
      <w:tr>
        <w:trPr>
          <w:trHeight w:val="1879"/>
        </w:trPr>
        <w:tc>
          <w:tcPr>
            <w:tcW w:w="20" w:type="dxa"/>
            <w:vAlign w:val="bottom"/>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2" w:right="99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u w:val="single" w:color="auto"/>
          <w:color w:val="auto"/>
        </w:rPr>
        <w:t>Exhibit A to Performance Award Agreement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Goals for 2020-2022 Performance Periods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Agreement, the performance goals for the Performance Periods indicated below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Borders>
              <w:right w:val="single" w:sz="8" w:color="auto"/>
            </w:tcBorders>
          </w:tcPr>
          <w:p>
            <w:pPr>
              <w:spacing w:after="0"/>
              <w:rPr>
                <w:sz w:val="16"/>
                <w:szCs w:val="16"/>
                <w:color w:val="auto"/>
              </w:rPr>
            </w:pPr>
          </w:p>
        </w:tc>
        <w:tc>
          <w:tcPr>
            <w:tcW w:w="1300" w:type="dxa"/>
            <w:vAlign w:val="bottom"/>
            <w:tcBorders>
              <w:top w:val="single" w:sz="8" w:color="auto"/>
              <w:bottom w:val="single" w:sz="8" w:color="7F7F7F"/>
            </w:tcBorders>
            <w:shd w:val="clear" w:color="auto" w:fill="7F7F7F"/>
          </w:tcPr>
          <w:p>
            <w:pPr>
              <w:spacing w:after="0"/>
              <w:rPr>
                <w:sz w:val="16"/>
                <w:szCs w:val="16"/>
                <w:color w:val="auto"/>
              </w:rPr>
            </w:pPr>
          </w:p>
        </w:tc>
        <w:tc>
          <w:tcPr>
            <w:tcW w:w="220" w:type="dxa"/>
            <w:vAlign w:val="bottom"/>
            <w:tcBorders>
              <w:top w:val="single" w:sz="8" w:color="auto"/>
              <w:bottom w:val="single" w:sz="8" w:color="7F7F7F"/>
            </w:tcBorders>
            <w:shd w:val="clear" w:color="auto" w:fill="7F7F7F"/>
          </w:tcPr>
          <w:p>
            <w:pPr>
              <w:spacing w:after="0"/>
              <w:rPr>
                <w:sz w:val="16"/>
                <w:szCs w:val="16"/>
                <w:color w:val="auto"/>
              </w:rPr>
            </w:pPr>
          </w:p>
        </w:tc>
        <w:tc>
          <w:tcPr>
            <w:tcW w:w="200" w:type="dxa"/>
            <w:vAlign w:val="bottom"/>
            <w:tcBorders>
              <w:top w:val="single" w:sz="8" w:color="auto"/>
              <w:bottom w:val="single" w:sz="8" w:color="7F7F7F"/>
            </w:tcBorders>
            <w:shd w:val="clear" w:color="auto" w:fill="7F7F7F"/>
          </w:tcPr>
          <w:p>
            <w:pPr>
              <w:spacing w:after="0"/>
              <w:rPr>
                <w:sz w:val="16"/>
                <w:szCs w:val="16"/>
                <w:color w:val="auto"/>
              </w:rPr>
            </w:pPr>
          </w:p>
        </w:tc>
        <w:tc>
          <w:tcPr>
            <w:tcW w:w="1340" w:type="dxa"/>
            <w:vAlign w:val="bottom"/>
            <w:tcBorders>
              <w:top w:val="single" w:sz="8" w:color="auto"/>
              <w:bottom w:val="single" w:sz="8" w:color="auto"/>
            </w:tcBorders>
            <w:gridSpan w:val="3"/>
            <w:shd w:val="clear" w:color="auto" w:fill="7F7F7F"/>
          </w:tcPr>
          <w:p>
            <w:pPr>
              <w:jc w:val="center"/>
              <w:ind w:right="200"/>
              <w:spacing w:after="0" w:line="184" w:lineRule="exact"/>
              <w:rPr>
                <w:sz w:val="20"/>
                <w:szCs w:val="20"/>
                <w:color w:val="auto"/>
              </w:rPr>
            </w:pPr>
            <w:r>
              <w:rPr>
                <w:rFonts w:ascii="Arial" w:cs="Arial" w:eastAsia="Arial" w:hAnsi="Arial"/>
                <w:sz w:val="20"/>
                <w:szCs w:val="20"/>
                <w:b w:val="1"/>
                <w:bCs w:val="1"/>
                <w:color w:val="auto"/>
                <w:w w:val="89"/>
              </w:rPr>
              <w:t>First Tranche</w:t>
            </w:r>
          </w:p>
        </w:tc>
        <w:tc>
          <w:tcPr>
            <w:tcW w:w="240" w:type="dxa"/>
            <w:vAlign w:val="bottom"/>
            <w:tcBorders>
              <w:top w:val="single" w:sz="8" w:color="auto"/>
              <w:bottom w:val="single" w:sz="8" w:color="7F7F7F"/>
            </w:tcBorders>
            <w:shd w:val="clear" w:color="auto" w:fill="7F7F7F"/>
          </w:tcPr>
          <w:p>
            <w:pPr>
              <w:spacing w:after="0"/>
              <w:rPr>
                <w:sz w:val="16"/>
                <w:szCs w:val="16"/>
                <w:color w:val="auto"/>
              </w:rPr>
            </w:pPr>
          </w:p>
        </w:tc>
        <w:tc>
          <w:tcPr>
            <w:tcW w:w="240" w:type="dxa"/>
            <w:vAlign w:val="bottom"/>
            <w:tcBorders>
              <w:top w:val="single" w:sz="8" w:color="auto"/>
              <w:bottom w:val="single" w:sz="8" w:color="7F7F7F"/>
            </w:tcBorders>
            <w:shd w:val="clear" w:color="auto" w:fill="7F7F7F"/>
          </w:tcPr>
          <w:p>
            <w:pPr>
              <w:spacing w:after="0"/>
              <w:rPr>
                <w:sz w:val="16"/>
                <w:szCs w:val="16"/>
                <w:color w:val="auto"/>
              </w:rPr>
            </w:pPr>
          </w:p>
        </w:tc>
        <w:tc>
          <w:tcPr>
            <w:tcW w:w="100" w:type="dxa"/>
            <w:vAlign w:val="bottom"/>
            <w:tcBorders>
              <w:top w:val="single" w:sz="8" w:color="auto"/>
              <w:bottom w:val="single" w:sz="8" w:color="7F7F7F"/>
            </w:tcBorders>
            <w:shd w:val="clear" w:color="auto" w:fill="7F7F7F"/>
          </w:tcPr>
          <w:p>
            <w:pPr>
              <w:spacing w:after="0"/>
              <w:rPr>
                <w:sz w:val="16"/>
                <w:szCs w:val="16"/>
                <w:color w:val="auto"/>
              </w:rPr>
            </w:pPr>
          </w:p>
        </w:tc>
        <w:tc>
          <w:tcPr>
            <w:tcW w:w="1340" w:type="dxa"/>
            <w:vAlign w:val="bottom"/>
            <w:tcBorders>
              <w:top w:val="single" w:sz="8" w:color="auto"/>
              <w:bottom w:val="single" w:sz="8" w:color="auto"/>
            </w:tcBorders>
            <w:gridSpan w:val="2"/>
            <w:shd w:val="clear" w:color="auto" w:fill="7F7F7F"/>
          </w:tcPr>
          <w:p>
            <w:pPr>
              <w:jc w:val="center"/>
              <w:spacing w:after="0" w:line="184" w:lineRule="exact"/>
              <w:rPr>
                <w:sz w:val="20"/>
                <w:szCs w:val="20"/>
                <w:color w:val="auto"/>
              </w:rPr>
            </w:pPr>
            <w:r>
              <w:rPr>
                <w:rFonts w:ascii="Arial" w:cs="Arial" w:eastAsia="Arial" w:hAnsi="Arial"/>
                <w:sz w:val="20"/>
                <w:szCs w:val="20"/>
                <w:b w:val="1"/>
                <w:bCs w:val="1"/>
                <w:color w:val="auto"/>
                <w:w w:val="86"/>
              </w:rPr>
              <w:t>Second Tranche</w:t>
            </w:r>
          </w:p>
        </w:tc>
        <w:tc>
          <w:tcPr>
            <w:tcW w:w="100" w:type="dxa"/>
            <w:vAlign w:val="bottom"/>
            <w:tcBorders>
              <w:top w:val="single" w:sz="8" w:color="auto"/>
              <w:bottom w:val="single" w:sz="8" w:color="auto"/>
            </w:tcBorders>
            <w:shd w:val="clear" w:color="auto" w:fill="7F7F7F"/>
          </w:tcPr>
          <w:p>
            <w:pPr>
              <w:spacing w:after="0"/>
              <w:rPr>
                <w:sz w:val="16"/>
                <w:szCs w:val="16"/>
                <w:color w:val="auto"/>
              </w:rPr>
            </w:pPr>
          </w:p>
        </w:tc>
        <w:tc>
          <w:tcPr>
            <w:tcW w:w="320" w:type="dxa"/>
            <w:vAlign w:val="bottom"/>
            <w:tcBorders>
              <w:top w:val="single" w:sz="8" w:color="auto"/>
              <w:bottom w:val="single" w:sz="8" w:color="auto"/>
            </w:tcBorders>
            <w:shd w:val="clear" w:color="auto" w:fill="7F7F7F"/>
          </w:tcPr>
          <w:p>
            <w:pPr>
              <w:spacing w:after="0"/>
              <w:rPr>
                <w:sz w:val="16"/>
                <w:szCs w:val="16"/>
                <w:color w:val="auto"/>
              </w:rPr>
            </w:pPr>
          </w:p>
        </w:tc>
        <w:tc>
          <w:tcPr>
            <w:tcW w:w="280" w:type="dxa"/>
            <w:vAlign w:val="bottom"/>
            <w:tcBorders>
              <w:top w:val="single" w:sz="8" w:color="auto"/>
              <w:bottom w:val="single" w:sz="8" w:color="auto"/>
            </w:tcBorders>
            <w:shd w:val="clear" w:color="auto" w:fill="7F7F7F"/>
          </w:tcPr>
          <w:p>
            <w:pPr>
              <w:spacing w:after="0"/>
              <w:rPr>
                <w:sz w:val="16"/>
                <w:szCs w:val="16"/>
                <w:color w:val="auto"/>
              </w:rPr>
            </w:pPr>
          </w:p>
        </w:tc>
        <w:tc>
          <w:tcPr>
            <w:tcW w:w="140" w:type="dxa"/>
            <w:vAlign w:val="bottom"/>
            <w:tcBorders>
              <w:top w:val="single" w:sz="8" w:color="auto"/>
              <w:bottom w:val="single" w:sz="8" w:color="auto"/>
            </w:tcBorders>
            <w:shd w:val="clear" w:color="auto" w:fill="7F7F7F"/>
          </w:tcPr>
          <w:p>
            <w:pPr>
              <w:spacing w:after="0"/>
              <w:rPr>
                <w:sz w:val="16"/>
                <w:szCs w:val="16"/>
                <w:color w:val="auto"/>
              </w:rPr>
            </w:pPr>
          </w:p>
        </w:tc>
        <w:tc>
          <w:tcPr>
            <w:tcW w:w="1260" w:type="dxa"/>
            <w:vAlign w:val="bottom"/>
            <w:tcBorders>
              <w:top w:val="single" w:sz="8" w:color="auto"/>
              <w:bottom w:val="single" w:sz="8" w:color="auto"/>
            </w:tcBorders>
            <w:gridSpan w:val="3"/>
            <w:shd w:val="clear" w:color="auto" w:fill="7F7F7F"/>
          </w:tcPr>
          <w:p>
            <w:pPr>
              <w:jc w:val="center"/>
              <w:spacing w:after="0" w:line="184" w:lineRule="exact"/>
              <w:rPr>
                <w:sz w:val="20"/>
                <w:szCs w:val="20"/>
                <w:color w:val="auto"/>
              </w:rPr>
            </w:pPr>
            <w:r>
              <w:rPr>
                <w:rFonts w:ascii="Arial" w:cs="Arial" w:eastAsia="Arial" w:hAnsi="Arial"/>
                <w:sz w:val="20"/>
                <w:szCs w:val="20"/>
                <w:b w:val="1"/>
                <w:bCs w:val="1"/>
                <w:color w:val="auto"/>
                <w:w w:val="94"/>
              </w:rPr>
              <w:t>Third Tranche</w:t>
            </w:r>
          </w:p>
        </w:tc>
        <w:tc>
          <w:tcPr>
            <w:tcW w:w="140" w:type="dxa"/>
            <w:vAlign w:val="bottom"/>
            <w:tcBorders>
              <w:top w:val="single" w:sz="8" w:color="auto"/>
              <w:bottom w:val="single" w:sz="8" w:color="auto"/>
            </w:tcBorders>
            <w:shd w:val="clear" w:color="auto" w:fill="7F7F7F"/>
          </w:tcPr>
          <w:p>
            <w:pPr>
              <w:spacing w:after="0"/>
              <w:rPr>
                <w:sz w:val="16"/>
                <w:szCs w:val="16"/>
                <w:color w:val="auto"/>
              </w:rPr>
            </w:pPr>
          </w:p>
        </w:tc>
        <w:tc>
          <w:tcPr>
            <w:tcW w:w="540" w:type="dxa"/>
            <w:vAlign w:val="bottom"/>
            <w:tcBorders>
              <w:top w:val="single" w:sz="8" w:color="auto"/>
              <w:bottom w:val="single" w:sz="8" w:color="auto"/>
            </w:tcBorders>
            <w:shd w:val="clear" w:color="auto" w:fill="7F7F7F"/>
          </w:tcPr>
          <w:p>
            <w:pPr>
              <w:spacing w:after="0"/>
              <w:rPr>
                <w:sz w:val="16"/>
                <w:szCs w:val="16"/>
                <w:color w:val="auto"/>
              </w:rPr>
            </w:pPr>
          </w:p>
        </w:tc>
        <w:tc>
          <w:tcPr>
            <w:tcW w:w="320" w:type="dxa"/>
            <w:vAlign w:val="bottom"/>
            <w:tcBorders>
              <w:top w:val="single" w:sz="8" w:color="auto"/>
              <w:bottom w:val="single" w:sz="8" w:color="7F7F7F"/>
              <w:right w:val="single" w:sz="8" w:color="7F7F7F"/>
            </w:tcBorders>
            <w:shd w:val="clear" w:color="auto" w:fill="7F7F7F"/>
          </w:tcPr>
          <w:p>
            <w:pPr>
              <w:spacing w:after="0"/>
              <w:rPr>
                <w:sz w:val="16"/>
                <w:szCs w:val="16"/>
                <w:color w:val="auto"/>
              </w:rPr>
            </w:pPr>
          </w:p>
        </w:tc>
        <w:tc>
          <w:tcPr>
            <w:tcW w:w="1800" w:type="dxa"/>
            <w:vAlign w:val="bottom"/>
            <w:tcBorders>
              <w:top w:val="single" w:sz="8" w:color="auto"/>
              <w:bottom w:val="single" w:sz="8" w:color="7F7F7F"/>
              <w:right w:val="single" w:sz="8" w:color="auto"/>
            </w:tcBorders>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1300" w:type="dxa"/>
            <w:vAlign w:val="bottom"/>
            <w:tcBorders>
              <w:bottom w:val="single" w:sz="8" w:color="7F7F7F"/>
            </w:tcBorders>
            <w:shd w:val="clear" w:color="auto" w:fill="7F7F7F"/>
          </w:tcPr>
          <w:p>
            <w:pPr>
              <w:spacing w:after="0" w:line="20" w:lineRule="exact"/>
              <w:rPr>
                <w:sz w:val="1"/>
                <w:szCs w:val="1"/>
                <w:color w:val="auto"/>
              </w:rPr>
            </w:pPr>
          </w:p>
        </w:tc>
        <w:tc>
          <w:tcPr>
            <w:tcW w:w="220" w:type="dxa"/>
            <w:vAlign w:val="bottom"/>
            <w:tcBorders>
              <w:bottom w:val="single" w:sz="8" w:color="7F7F7F"/>
            </w:tcBorders>
            <w:shd w:val="clear" w:color="auto" w:fill="7F7F7F"/>
          </w:tcPr>
          <w:p>
            <w:pPr>
              <w:spacing w:after="0" w:line="20" w:lineRule="exact"/>
              <w:rPr>
                <w:sz w:val="1"/>
                <w:szCs w:val="1"/>
                <w:color w:val="auto"/>
              </w:rPr>
            </w:pPr>
          </w:p>
        </w:tc>
        <w:tc>
          <w:tcPr>
            <w:tcW w:w="200" w:type="dxa"/>
            <w:vAlign w:val="bottom"/>
            <w:tcBorders>
              <w:bottom w:val="single" w:sz="8" w:color="7F7F7F"/>
            </w:tcBorders>
            <w:shd w:val="clear" w:color="auto" w:fill="7F7F7F"/>
          </w:tcPr>
          <w:p>
            <w:pPr>
              <w:spacing w:after="0" w:line="20" w:lineRule="exact"/>
              <w:rPr>
                <w:sz w:val="1"/>
                <w:szCs w:val="1"/>
                <w:color w:val="auto"/>
              </w:rPr>
            </w:pPr>
          </w:p>
        </w:tc>
        <w:tc>
          <w:tcPr>
            <w:tcW w:w="1140" w:type="dxa"/>
            <w:vAlign w:val="bottom"/>
            <w:tcBorders>
              <w:bottom w:val="single" w:sz="8" w:color="auto"/>
            </w:tcBorders>
            <w:shd w:val="clear" w:color="auto" w:fill="7F7F7F"/>
          </w:tcPr>
          <w:p>
            <w:pPr>
              <w:spacing w:after="0" w:line="20" w:lineRule="exact"/>
              <w:rPr>
                <w:sz w:val="1"/>
                <w:szCs w:val="1"/>
                <w:color w:val="auto"/>
              </w:rPr>
            </w:pPr>
          </w:p>
        </w:tc>
        <w:tc>
          <w:tcPr>
            <w:tcW w:w="200" w:type="dxa"/>
            <w:vAlign w:val="bottom"/>
            <w:tcBorders>
              <w:bottom w:val="single" w:sz="8" w:color="7F7F7F"/>
            </w:tcBorders>
            <w:gridSpan w:val="2"/>
            <w:shd w:val="clear" w:color="auto" w:fill="7F7F7F"/>
          </w:tcPr>
          <w:p>
            <w:pPr>
              <w:spacing w:after="0" w:line="20" w:lineRule="exact"/>
              <w:rPr>
                <w:sz w:val="1"/>
                <w:szCs w:val="1"/>
                <w:color w:val="auto"/>
              </w:rPr>
            </w:pPr>
          </w:p>
        </w:tc>
        <w:tc>
          <w:tcPr>
            <w:tcW w:w="240" w:type="dxa"/>
            <w:vAlign w:val="bottom"/>
            <w:tcBorders>
              <w:bottom w:val="single" w:sz="8" w:color="7F7F7F"/>
            </w:tcBorders>
            <w:shd w:val="clear" w:color="auto" w:fill="7F7F7F"/>
          </w:tcPr>
          <w:p>
            <w:pPr>
              <w:spacing w:after="0" w:line="20" w:lineRule="exact"/>
              <w:rPr>
                <w:sz w:val="1"/>
                <w:szCs w:val="1"/>
                <w:color w:val="auto"/>
              </w:rPr>
            </w:pPr>
          </w:p>
        </w:tc>
        <w:tc>
          <w:tcPr>
            <w:tcW w:w="240" w:type="dxa"/>
            <w:vAlign w:val="bottom"/>
            <w:tcBorders>
              <w:bottom w:val="single" w:sz="8" w:color="7F7F7F"/>
            </w:tcBorders>
            <w:vMerge w:val="restart"/>
            <w:shd w:val="clear" w:color="auto" w:fill="7F7F7F"/>
          </w:tcPr>
          <w:p>
            <w:pPr>
              <w:spacing w:after="0" w:line="20" w:lineRule="exact"/>
              <w:rPr>
                <w:sz w:val="1"/>
                <w:szCs w:val="1"/>
                <w:color w:val="auto"/>
              </w:rPr>
            </w:pPr>
          </w:p>
        </w:tc>
        <w:tc>
          <w:tcPr>
            <w:tcW w:w="1540" w:type="dxa"/>
            <w:vAlign w:val="bottom"/>
            <w:tcBorders>
              <w:bottom w:val="single" w:sz="8" w:color="7F7F7F"/>
            </w:tcBorders>
            <w:gridSpan w:val="4"/>
            <w:vMerge w:val="restart"/>
            <w:shd w:val="clear" w:color="auto" w:fill="7F7F7F"/>
          </w:tcPr>
          <w:p>
            <w:pPr>
              <w:jc w:val="center"/>
              <w:spacing w:after="0" w:line="196" w:lineRule="exact"/>
              <w:rPr>
                <w:sz w:val="20"/>
                <w:szCs w:val="20"/>
                <w:color w:val="auto"/>
              </w:rPr>
            </w:pPr>
            <w:r>
              <w:rPr>
                <w:rFonts w:ascii="Arial" w:cs="Arial" w:eastAsia="Arial" w:hAnsi="Arial"/>
                <w:sz w:val="20"/>
                <w:szCs w:val="20"/>
                <w:b w:val="1"/>
                <w:bCs w:val="1"/>
                <w:color w:val="auto"/>
                <w:w w:val="89"/>
              </w:rPr>
              <w:t>Performance Goal</w:t>
            </w:r>
          </w:p>
        </w:tc>
        <w:tc>
          <w:tcPr>
            <w:tcW w:w="320" w:type="dxa"/>
            <w:vAlign w:val="bottom"/>
            <w:tcBorders>
              <w:bottom w:val="single" w:sz="8" w:color="7F7F7F"/>
            </w:tcBorders>
            <w:vMerge w:val="restart"/>
            <w:shd w:val="clear" w:color="auto" w:fill="7F7F7F"/>
          </w:tcPr>
          <w:p>
            <w:pPr>
              <w:spacing w:after="0" w:line="20" w:lineRule="exact"/>
              <w:rPr>
                <w:sz w:val="1"/>
                <w:szCs w:val="1"/>
                <w:color w:val="auto"/>
              </w:rPr>
            </w:pPr>
          </w:p>
        </w:tc>
        <w:tc>
          <w:tcPr>
            <w:tcW w:w="280" w:type="dxa"/>
            <w:vAlign w:val="bottom"/>
            <w:tcBorders>
              <w:bottom w:val="single" w:sz="8" w:color="7F7F7F"/>
            </w:tcBorders>
            <w:vMerge w:val="restart"/>
            <w:shd w:val="clear" w:color="auto" w:fill="7F7F7F"/>
          </w:tcPr>
          <w:p>
            <w:pPr>
              <w:spacing w:after="0" w:line="20" w:lineRule="exact"/>
              <w:rPr>
                <w:sz w:val="1"/>
                <w:szCs w:val="1"/>
                <w:color w:val="auto"/>
              </w:rPr>
            </w:pPr>
          </w:p>
        </w:tc>
        <w:tc>
          <w:tcPr>
            <w:tcW w:w="1540" w:type="dxa"/>
            <w:vAlign w:val="bottom"/>
            <w:tcBorders>
              <w:bottom w:val="single" w:sz="8" w:color="7F7F7F"/>
            </w:tcBorders>
            <w:gridSpan w:val="5"/>
            <w:vMerge w:val="restart"/>
            <w:shd w:val="clear" w:color="auto" w:fill="7F7F7F"/>
          </w:tcPr>
          <w:p>
            <w:pPr>
              <w:jc w:val="center"/>
              <w:spacing w:after="0" w:line="196" w:lineRule="exact"/>
              <w:rPr>
                <w:sz w:val="20"/>
                <w:szCs w:val="20"/>
                <w:color w:val="auto"/>
              </w:rPr>
            </w:pPr>
            <w:r>
              <w:rPr>
                <w:rFonts w:ascii="Arial" w:cs="Arial" w:eastAsia="Arial" w:hAnsi="Arial"/>
                <w:sz w:val="20"/>
                <w:szCs w:val="20"/>
                <w:b w:val="1"/>
                <w:bCs w:val="1"/>
                <w:color w:val="auto"/>
                <w:w w:val="89"/>
              </w:rPr>
              <w:t>Performance Goal</w:t>
            </w:r>
          </w:p>
        </w:tc>
        <w:tc>
          <w:tcPr>
            <w:tcW w:w="540" w:type="dxa"/>
            <w:vAlign w:val="bottom"/>
            <w:tcBorders>
              <w:bottom w:val="single" w:sz="8" w:color="7F7F7F"/>
            </w:tcBorders>
            <w:vMerge w:val="restart"/>
            <w:shd w:val="clear" w:color="auto" w:fill="7F7F7F"/>
          </w:tcPr>
          <w:p>
            <w:pPr>
              <w:spacing w:after="0" w:line="20" w:lineRule="exact"/>
              <w:rPr>
                <w:sz w:val="1"/>
                <w:szCs w:val="1"/>
                <w:color w:val="auto"/>
              </w:rPr>
            </w:pPr>
          </w:p>
        </w:tc>
        <w:tc>
          <w:tcPr>
            <w:tcW w:w="320" w:type="dxa"/>
            <w:vAlign w:val="bottom"/>
            <w:tcBorders>
              <w:bottom w:val="single" w:sz="8" w:color="7F7F7F"/>
              <w:right w:val="single" w:sz="8" w:color="7F7F7F"/>
            </w:tcBorders>
            <w:shd w:val="clear" w:color="auto" w:fill="7F7F7F"/>
          </w:tcPr>
          <w:p>
            <w:pPr>
              <w:spacing w:after="0" w:line="20" w:lineRule="exact"/>
              <w:rPr>
                <w:sz w:val="1"/>
                <w:szCs w:val="1"/>
                <w:color w:val="auto"/>
              </w:rPr>
            </w:pPr>
          </w:p>
        </w:tc>
        <w:tc>
          <w:tcPr>
            <w:tcW w:w="1800" w:type="dxa"/>
            <w:vAlign w:val="bottom"/>
            <w:tcBorders>
              <w:bottom w:val="single" w:sz="8" w:color="7F7F7F"/>
              <w:right w:val="single" w:sz="8" w:color="auto"/>
            </w:tcBorders>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 w:type="dxa"/>
            <w:vAlign w:val="bottom"/>
            <w:tcBorders>
              <w:right w:val="single" w:sz="8" w:color="auto"/>
            </w:tcBorders>
          </w:tcPr>
          <w:p>
            <w:pPr>
              <w:spacing w:after="0"/>
              <w:rPr>
                <w:sz w:val="18"/>
                <w:szCs w:val="18"/>
                <w:color w:val="auto"/>
              </w:rPr>
            </w:pPr>
          </w:p>
        </w:tc>
        <w:tc>
          <w:tcPr>
            <w:tcW w:w="1300" w:type="dxa"/>
            <w:vAlign w:val="bottom"/>
            <w:tcBorders>
              <w:bottom w:val="single" w:sz="8" w:color="7F7F7F"/>
            </w:tcBorders>
            <w:shd w:val="clear" w:color="auto" w:fill="7F7F7F"/>
          </w:tcPr>
          <w:p>
            <w:pPr>
              <w:spacing w:after="0"/>
              <w:rPr>
                <w:sz w:val="18"/>
                <w:szCs w:val="18"/>
                <w:color w:val="auto"/>
              </w:rPr>
            </w:pPr>
          </w:p>
        </w:tc>
        <w:tc>
          <w:tcPr>
            <w:tcW w:w="220" w:type="dxa"/>
            <w:vAlign w:val="bottom"/>
            <w:tcBorders>
              <w:bottom w:val="single" w:sz="8" w:color="7F7F7F"/>
            </w:tcBorders>
            <w:shd w:val="clear" w:color="auto" w:fill="7F7F7F"/>
          </w:tcPr>
          <w:p>
            <w:pPr>
              <w:spacing w:after="0"/>
              <w:rPr>
                <w:sz w:val="18"/>
                <w:szCs w:val="18"/>
                <w:color w:val="auto"/>
              </w:rPr>
            </w:pPr>
          </w:p>
        </w:tc>
        <w:tc>
          <w:tcPr>
            <w:tcW w:w="1540" w:type="dxa"/>
            <w:vAlign w:val="bottom"/>
            <w:tcBorders>
              <w:bottom w:val="single" w:sz="8" w:color="7F7F7F"/>
            </w:tcBorders>
            <w:gridSpan w:val="4"/>
            <w:shd w:val="clear" w:color="auto" w:fill="7F7F7F"/>
          </w:tcPr>
          <w:p>
            <w:pPr>
              <w:jc w:val="center"/>
              <w:spacing w:after="0" w:line="183" w:lineRule="exact"/>
              <w:rPr>
                <w:sz w:val="20"/>
                <w:szCs w:val="20"/>
                <w:color w:val="auto"/>
              </w:rPr>
            </w:pPr>
            <w:r>
              <w:rPr>
                <w:rFonts w:ascii="Arial" w:cs="Arial" w:eastAsia="Arial" w:hAnsi="Arial"/>
                <w:sz w:val="20"/>
                <w:szCs w:val="20"/>
                <w:b w:val="1"/>
                <w:bCs w:val="1"/>
                <w:color w:val="auto"/>
                <w:w w:val="89"/>
              </w:rPr>
              <w:t>Performance Goal</w:t>
            </w:r>
          </w:p>
        </w:tc>
        <w:tc>
          <w:tcPr>
            <w:tcW w:w="240" w:type="dxa"/>
            <w:vAlign w:val="bottom"/>
            <w:tcBorders>
              <w:bottom w:val="single" w:sz="8" w:color="7F7F7F"/>
            </w:tcBorders>
            <w:shd w:val="clear" w:color="auto" w:fill="7F7F7F"/>
          </w:tcPr>
          <w:p>
            <w:pPr>
              <w:spacing w:after="0"/>
              <w:rPr>
                <w:sz w:val="18"/>
                <w:szCs w:val="18"/>
                <w:color w:val="auto"/>
              </w:rPr>
            </w:pPr>
          </w:p>
        </w:tc>
        <w:tc>
          <w:tcPr>
            <w:tcW w:w="240" w:type="dxa"/>
            <w:vAlign w:val="bottom"/>
            <w:tcBorders>
              <w:bottom w:val="single" w:sz="8" w:color="7F7F7F"/>
            </w:tcBorders>
            <w:vMerge w:val="continue"/>
            <w:shd w:val="clear" w:color="auto" w:fill="7F7F7F"/>
          </w:tcPr>
          <w:p>
            <w:pPr>
              <w:spacing w:after="0"/>
              <w:rPr>
                <w:sz w:val="18"/>
                <w:szCs w:val="18"/>
                <w:color w:val="auto"/>
              </w:rPr>
            </w:pPr>
          </w:p>
        </w:tc>
        <w:tc>
          <w:tcPr>
            <w:tcW w:w="1540" w:type="dxa"/>
            <w:vAlign w:val="bottom"/>
            <w:tcBorders>
              <w:bottom w:val="single" w:sz="8" w:color="auto"/>
            </w:tcBorders>
            <w:gridSpan w:val="4"/>
            <w:vMerge w:val="continue"/>
            <w:shd w:val="clear" w:color="auto" w:fill="7F7F7F"/>
          </w:tcPr>
          <w:p>
            <w:pPr>
              <w:spacing w:after="0"/>
              <w:rPr>
                <w:sz w:val="18"/>
                <w:szCs w:val="18"/>
                <w:color w:val="auto"/>
              </w:rPr>
            </w:pPr>
          </w:p>
        </w:tc>
        <w:tc>
          <w:tcPr>
            <w:tcW w:w="320" w:type="dxa"/>
            <w:vAlign w:val="bottom"/>
            <w:tcBorders>
              <w:bottom w:val="single" w:sz="8" w:color="7F7F7F"/>
            </w:tcBorders>
            <w:vMerge w:val="continue"/>
            <w:shd w:val="clear" w:color="auto" w:fill="7F7F7F"/>
          </w:tcPr>
          <w:p>
            <w:pPr>
              <w:spacing w:after="0"/>
              <w:rPr>
                <w:sz w:val="18"/>
                <w:szCs w:val="18"/>
                <w:color w:val="auto"/>
              </w:rPr>
            </w:pPr>
          </w:p>
        </w:tc>
        <w:tc>
          <w:tcPr>
            <w:tcW w:w="280" w:type="dxa"/>
            <w:vAlign w:val="bottom"/>
            <w:tcBorders>
              <w:bottom w:val="single" w:sz="8" w:color="7F7F7F"/>
            </w:tcBorders>
            <w:vMerge w:val="continue"/>
            <w:shd w:val="clear" w:color="auto" w:fill="7F7F7F"/>
          </w:tcPr>
          <w:p>
            <w:pPr>
              <w:spacing w:after="0"/>
              <w:rPr>
                <w:sz w:val="18"/>
                <w:szCs w:val="18"/>
                <w:color w:val="auto"/>
              </w:rPr>
            </w:pPr>
          </w:p>
        </w:tc>
        <w:tc>
          <w:tcPr>
            <w:tcW w:w="1540" w:type="dxa"/>
            <w:vAlign w:val="bottom"/>
            <w:tcBorders>
              <w:bottom w:val="single" w:sz="8" w:color="auto"/>
            </w:tcBorders>
            <w:gridSpan w:val="5"/>
            <w:vMerge w:val="continue"/>
            <w:shd w:val="clear" w:color="auto" w:fill="7F7F7F"/>
          </w:tcPr>
          <w:p>
            <w:pPr>
              <w:spacing w:after="0"/>
              <w:rPr>
                <w:sz w:val="18"/>
                <w:szCs w:val="18"/>
                <w:color w:val="auto"/>
              </w:rPr>
            </w:pPr>
          </w:p>
        </w:tc>
        <w:tc>
          <w:tcPr>
            <w:tcW w:w="540" w:type="dxa"/>
            <w:vAlign w:val="bottom"/>
            <w:tcBorders>
              <w:bottom w:val="single" w:sz="8" w:color="7F7F7F"/>
            </w:tcBorders>
            <w:vMerge w:val="continue"/>
            <w:shd w:val="clear" w:color="auto" w:fill="7F7F7F"/>
          </w:tcPr>
          <w:p>
            <w:pPr>
              <w:spacing w:after="0"/>
              <w:rPr>
                <w:sz w:val="18"/>
                <w:szCs w:val="18"/>
                <w:color w:val="auto"/>
              </w:rPr>
            </w:pPr>
          </w:p>
        </w:tc>
        <w:tc>
          <w:tcPr>
            <w:tcW w:w="320" w:type="dxa"/>
            <w:vAlign w:val="bottom"/>
            <w:tcBorders>
              <w:bottom w:val="single" w:sz="8" w:color="7F7F7F"/>
              <w:right w:val="single" w:sz="8" w:color="7F7F7F"/>
            </w:tcBorders>
            <w:shd w:val="clear" w:color="auto" w:fill="7F7F7F"/>
          </w:tcPr>
          <w:p>
            <w:pPr>
              <w:spacing w:after="0"/>
              <w:rPr>
                <w:sz w:val="18"/>
                <w:szCs w:val="18"/>
                <w:color w:val="auto"/>
              </w:rPr>
            </w:pPr>
          </w:p>
        </w:tc>
        <w:tc>
          <w:tcPr>
            <w:tcW w:w="1800" w:type="dxa"/>
            <w:vAlign w:val="bottom"/>
            <w:tcBorders>
              <w:bottom w:val="single" w:sz="8" w:color="7F7F7F"/>
              <w:right w:val="single" w:sz="8" w:color="auto"/>
            </w:tcBorders>
            <w:shd w:val="clear" w:color="auto" w:fill="7F7F7F"/>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1300" w:type="dxa"/>
            <w:vAlign w:val="bottom"/>
            <w:tcBorders>
              <w:top w:val="single" w:sz="8" w:color="7F7F7F"/>
            </w:tcBorders>
            <w:shd w:val="clear" w:color="auto" w:fill="7F7F7F"/>
          </w:tcPr>
          <w:p>
            <w:pPr>
              <w:spacing w:after="0"/>
              <w:rPr>
                <w:sz w:val="16"/>
                <w:szCs w:val="16"/>
                <w:color w:val="auto"/>
              </w:rPr>
            </w:pPr>
          </w:p>
        </w:tc>
        <w:tc>
          <w:tcPr>
            <w:tcW w:w="220" w:type="dxa"/>
            <w:vAlign w:val="bottom"/>
            <w:tcBorders>
              <w:top w:val="single" w:sz="8" w:color="7F7F7F"/>
            </w:tcBorders>
            <w:shd w:val="clear" w:color="auto" w:fill="7F7F7F"/>
          </w:tcPr>
          <w:p>
            <w:pPr>
              <w:spacing w:after="0"/>
              <w:rPr>
                <w:sz w:val="16"/>
                <w:szCs w:val="16"/>
                <w:color w:val="auto"/>
              </w:rPr>
            </w:pPr>
          </w:p>
        </w:tc>
        <w:tc>
          <w:tcPr>
            <w:tcW w:w="1540" w:type="dxa"/>
            <w:vAlign w:val="bottom"/>
            <w:tcBorders>
              <w:top w:val="single" w:sz="8" w:color="auto"/>
            </w:tcBorders>
            <w:gridSpan w:val="4"/>
            <w:shd w:val="clear" w:color="auto" w:fill="7F7F7F"/>
          </w:tcPr>
          <w:p>
            <w:pPr>
              <w:jc w:val="center"/>
              <w:spacing w:after="0" w:line="187" w:lineRule="exact"/>
              <w:rPr>
                <w:sz w:val="20"/>
                <w:szCs w:val="20"/>
                <w:color w:val="auto"/>
              </w:rPr>
            </w:pPr>
            <w:r>
              <w:rPr>
                <w:rFonts w:ascii="Arial" w:cs="Arial" w:eastAsia="Arial" w:hAnsi="Arial"/>
                <w:sz w:val="20"/>
                <w:szCs w:val="20"/>
                <w:b w:val="1"/>
                <w:bCs w:val="1"/>
                <w:color w:val="auto"/>
                <w:w w:val="89"/>
              </w:rPr>
              <w:t>Adjusted EPS</w:t>
            </w:r>
          </w:p>
        </w:tc>
        <w:tc>
          <w:tcPr>
            <w:tcW w:w="240" w:type="dxa"/>
            <w:vAlign w:val="bottom"/>
            <w:tcBorders>
              <w:top w:val="single" w:sz="8" w:color="7F7F7F"/>
            </w:tcBorders>
            <w:shd w:val="clear" w:color="auto" w:fill="7F7F7F"/>
          </w:tcPr>
          <w:p>
            <w:pPr>
              <w:spacing w:after="0"/>
              <w:rPr>
                <w:sz w:val="16"/>
                <w:szCs w:val="16"/>
                <w:color w:val="auto"/>
              </w:rPr>
            </w:pPr>
          </w:p>
        </w:tc>
        <w:tc>
          <w:tcPr>
            <w:tcW w:w="2100" w:type="dxa"/>
            <w:vAlign w:val="bottom"/>
            <w:tcBorders>
              <w:top w:val="single" w:sz="8" w:color="7F7F7F"/>
            </w:tcBorders>
            <w:gridSpan w:val="6"/>
            <w:shd w:val="clear" w:color="auto" w:fill="7F7F7F"/>
          </w:tcPr>
          <w:p>
            <w:pPr>
              <w:jc w:val="center"/>
              <w:ind w:right="100"/>
              <w:spacing w:after="0" w:line="187" w:lineRule="exact"/>
              <w:rPr>
                <w:sz w:val="20"/>
                <w:szCs w:val="20"/>
                <w:color w:val="auto"/>
              </w:rPr>
            </w:pPr>
            <w:r>
              <w:rPr>
                <w:rFonts w:ascii="Arial" w:cs="Arial" w:eastAsia="Arial" w:hAnsi="Arial"/>
                <w:sz w:val="20"/>
                <w:szCs w:val="20"/>
                <w:b w:val="1"/>
                <w:bCs w:val="1"/>
                <w:color w:val="auto"/>
                <w:w w:val="92"/>
              </w:rPr>
              <w:t>Cumulative EPS For</w:t>
            </w:r>
          </w:p>
        </w:tc>
        <w:tc>
          <w:tcPr>
            <w:tcW w:w="280" w:type="dxa"/>
            <w:vAlign w:val="bottom"/>
            <w:tcBorders>
              <w:top w:val="single" w:sz="8" w:color="7F7F7F"/>
            </w:tcBorders>
            <w:shd w:val="clear" w:color="auto" w:fill="7F7F7F"/>
          </w:tcPr>
          <w:p>
            <w:pPr>
              <w:spacing w:after="0"/>
              <w:rPr>
                <w:sz w:val="16"/>
                <w:szCs w:val="16"/>
                <w:color w:val="auto"/>
              </w:rPr>
            </w:pPr>
          </w:p>
        </w:tc>
        <w:tc>
          <w:tcPr>
            <w:tcW w:w="2080" w:type="dxa"/>
            <w:vAlign w:val="bottom"/>
            <w:tcBorders>
              <w:top w:val="single" w:sz="8" w:color="7F7F7F"/>
            </w:tcBorders>
            <w:gridSpan w:val="6"/>
            <w:shd w:val="clear" w:color="auto" w:fill="7F7F7F"/>
          </w:tcPr>
          <w:p>
            <w:pPr>
              <w:jc w:val="center"/>
              <w:ind w:right="560"/>
              <w:spacing w:after="0" w:line="187" w:lineRule="exact"/>
              <w:rPr>
                <w:sz w:val="20"/>
                <w:szCs w:val="20"/>
                <w:color w:val="auto"/>
              </w:rPr>
            </w:pPr>
            <w:r>
              <w:rPr>
                <w:rFonts w:ascii="Arial" w:cs="Arial" w:eastAsia="Arial" w:hAnsi="Arial"/>
                <w:sz w:val="20"/>
                <w:szCs w:val="20"/>
                <w:b w:val="1"/>
                <w:bCs w:val="1"/>
                <w:color w:val="auto"/>
                <w:w w:val="91"/>
              </w:rPr>
              <w:t>Cumulative EPS</w:t>
            </w:r>
          </w:p>
        </w:tc>
        <w:tc>
          <w:tcPr>
            <w:tcW w:w="320" w:type="dxa"/>
            <w:vAlign w:val="bottom"/>
            <w:tcBorders>
              <w:top w:val="single" w:sz="8" w:color="7F7F7F"/>
              <w:right w:val="single" w:sz="8" w:color="7F7F7F"/>
            </w:tcBorders>
            <w:shd w:val="clear" w:color="auto" w:fill="7F7F7F"/>
          </w:tcPr>
          <w:p>
            <w:pPr>
              <w:spacing w:after="0"/>
              <w:rPr>
                <w:sz w:val="16"/>
                <w:szCs w:val="16"/>
                <w:color w:val="auto"/>
              </w:rPr>
            </w:pPr>
          </w:p>
        </w:tc>
        <w:tc>
          <w:tcPr>
            <w:tcW w:w="1800" w:type="dxa"/>
            <w:vAlign w:val="bottom"/>
            <w:tcBorders>
              <w:top w:val="single" w:sz="8" w:color="7F7F7F"/>
              <w:right w:val="single" w:sz="8" w:color="auto"/>
            </w:tcBorders>
            <w:shd w:val="clear" w:color="auto" w:fill="7F7F7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1300" w:type="dxa"/>
            <w:vAlign w:val="bottom"/>
            <w:shd w:val="clear" w:color="auto" w:fill="7F7F7F"/>
          </w:tcPr>
          <w:p>
            <w:pPr>
              <w:spacing w:after="0"/>
              <w:rPr>
                <w:sz w:val="19"/>
                <w:szCs w:val="19"/>
                <w:color w:val="auto"/>
              </w:rPr>
            </w:pPr>
          </w:p>
        </w:tc>
        <w:tc>
          <w:tcPr>
            <w:tcW w:w="220" w:type="dxa"/>
            <w:vAlign w:val="bottom"/>
            <w:shd w:val="clear" w:color="auto" w:fill="7F7F7F"/>
          </w:tcPr>
          <w:p>
            <w:pPr>
              <w:spacing w:after="0"/>
              <w:rPr>
                <w:sz w:val="19"/>
                <w:szCs w:val="19"/>
                <w:color w:val="auto"/>
              </w:rPr>
            </w:pPr>
          </w:p>
        </w:tc>
        <w:tc>
          <w:tcPr>
            <w:tcW w:w="1540" w:type="dxa"/>
            <w:vAlign w:val="bottom"/>
            <w:gridSpan w:val="4"/>
            <w:shd w:val="clear" w:color="auto" w:fill="7F7F7F"/>
          </w:tcPr>
          <w:p>
            <w:pPr>
              <w:jc w:val="center"/>
              <w:spacing w:after="0"/>
              <w:rPr>
                <w:sz w:val="20"/>
                <w:szCs w:val="20"/>
                <w:color w:val="auto"/>
              </w:rPr>
            </w:pPr>
            <w:r>
              <w:rPr>
                <w:rFonts w:ascii="Arial" w:cs="Arial" w:eastAsia="Arial" w:hAnsi="Arial"/>
                <w:sz w:val="20"/>
                <w:szCs w:val="20"/>
                <w:b w:val="1"/>
                <w:bCs w:val="1"/>
                <w:color w:val="auto"/>
                <w:w w:val="89"/>
              </w:rPr>
              <w:t>For the Following</w:t>
            </w:r>
          </w:p>
        </w:tc>
        <w:tc>
          <w:tcPr>
            <w:tcW w:w="240" w:type="dxa"/>
            <w:vAlign w:val="bottom"/>
            <w:shd w:val="clear" w:color="auto" w:fill="7F7F7F"/>
          </w:tcPr>
          <w:p>
            <w:pPr>
              <w:spacing w:after="0"/>
              <w:rPr>
                <w:sz w:val="19"/>
                <w:szCs w:val="19"/>
                <w:color w:val="auto"/>
              </w:rPr>
            </w:pPr>
          </w:p>
        </w:tc>
        <w:tc>
          <w:tcPr>
            <w:tcW w:w="240" w:type="dxa"/>
            <w:vAlign w:val="bottom"/>
            <w:shd w:val="clear" w:color="auto" w:fill="7F7F7F"/>
          </w:tcPr>
          <w:p>
            <w:pPr>
              <w:spacing w:after="0"/>
              <w:rPr>
                <w:sz w:val="19"/>
                <w:szCs w:val="19"/>
                <w:color w:val="auto"/>
              </w:rPr>
            </w:pPr>
          </w:p>
        </w:tc>
        <w:tc>
          <w:tcPr>
            <w:tcW w:w="100" w:type="dxa"/>
            <w:vAlign w:val="bottom"/>
            <w:shd w:val="clear" w:color="auto" w:fill="7F7F7F"/>
          </w:tcPr>
          <w:p>
            <w:pPr>
              <w:spacing w:after="0"/>
              <w:rPr>
                <w:sz w:val="19"/>
                <w:szCs w:val="19"/>
                <w:color w:val="auto"/>
              </w:rPr>
            </w:pPr>
          </w:p>
        </w:tc>
        <w:tc>
          <w:tcPr>
            <w:tcW w:w="1760" w:type="dxa"/>
            <w:vAlign w:val="bottom"/>
            <w:gridSpan w:val="4"/>
            <w:shd w:val="clear" w:color="auto" w:fill="7F7F7F"/>
          </w:tcPr>
          <w:p>
            <w:pPr>
              <w:jc w:val="center"/>
              <w:ind w:right="420"/>
              <w:spacing w:after="0"/>
              <w:rPr>
                <w:sz w:val="20"/>
                <w:szCs w:val="20"/>
                <w:color w:val="auto"/>
              </w:rPr>
            </w:pPr>
            <w:r>
              <w:rPr>
                <w:rFonts w:ascii="Arial" w:cs="Arial" w:eastAsia="Arial" w:hAnsi="Arial"/>
                <w:sz w:val="20"/>
                <w:szCs w:val="20"/>
                <w:b w:val="1"/>
                <w:bCs w:val="1"/>
                <w:color w:val="auto"/>
                <w:w w:val="88"/>
              </w:rPr>
              <w:t>the Following</w:t>
            </w:r>
          </w:p>
        </w:tc>
        <w:tc>
          <w:tcPr>
            <w:tcW w:w="280" w:type="dxa"/>
            <w:vAlign w:val="bottom"/>
            <w:shd w:val="clear" w:color="auto" w:fill="7F7F7F"/>
          </w:tcPr>
          <w:p>
            <w:pPr>
              <w:spacing w:after="0"/>
              <w:rPr>
                <w:sz w:val="19"/>
                <w:szCs w:val="19"/>
                <w:color w:val="auto"/>
              </w:rPr>
            </w:pPr>
          </w:p>
        </w:tc>
        <w:tc>
          <w:tcPr>
            <w:tcW w:w="2080" w:type="dxa"/>
            <w:vAlign w:val="bottom"/>
            <w:gridSpan w:val="6"/>
            <w:shd w:val="clear" w:color="auto" w:fill="7F7F7F"/>
          </w:tcPr>
          <w:p>
            <w:pPr>
              <w:jc w:val="center"/>
              <w:ind w:right="540"/>
              <w:spacing w:after="0"/>
              <w:rPr>
                <w:sz w:val="20"/>
                <w:szCs w:val="20"/>
                <w:color w:val="auto"/>
              </w:rPr>
            </w:pPr>
            <w:r>
              <w:rPr>
                <w:rFonts w:ascii="Arial" w:cs="Arial" w:eastAsia="Arial" w:hAnsi="Arial"/>
                <w:sz w:val="20"/>
                <w:szCs w:val="20"/>
                <w:b w:val="1"/>
                <w:bCs w:val="1"/>
                <w:color w:val="auto"/>
                <w:w w:val="89"/>
              </w:rPr>
              <w:t>For the Following</w:t>
            </w:r>
          </w:p>
        </w:tc>
        <w:tc>
          <w:tcPr>
            <w:tcW w:w="320" w:type="dxa"/>
            <w:vAlign w:val="bottom"/>
            <w:tcBorders>
              <w:right w:val="single" w:sz="8" w:color="7F7F7F"/>
            </w:tcBorders>
            <w:shd w:val="clear" w:color="auto" w:fill="7F7F7F"/>
          </w:tcPr>
          <w:p>
            <w:pPr>
              <w:spacing w:after="0"/>
              <w:rPr>
                <w:sz w:val="19"/>
                <w:szCs w:val="19"/>
                <w:color w:val="auto"/>
              </w:rPr>
            </w:pPr>
          </w:p>
        </w:tc>
        <w:tc>
          <w:tcPr>
            <w:tcW w:w="1800" w:type="dxa"/>
            <w:vAlign w:val="bottom"/>
            <w:tcBorders>
              <w:right w:val="single" w:sz="8" w:color="auto"/>
            </w:tcBorders>
            <w:shd w:val="clear" w:color="auto" w:fill="7F7F7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1300" w:type="dxa"/>
            <w:vAlign w:val="bottom"/>
            <w:shd w:val="clear" w:color="auto" w:fill="7F7F7F"/>
          </w:tcPr>
          <w:p>
            <w:pPr>
              <w:ind w:left="100"/>
              <w:spacing w:after="0"/>
              <w:rPr>
                <w:sz w:val="20"/>
                <w:szCs w:val="20"/>
                <w:color w:val="auto"/>
              </w:rPr>
            </w:pPr>
            <w:r>
              <w:rPr>
                <w:rFonts w:ascii="Arial" w:cs="Arial" w:eastAsia="Arial" w:hAnsi="Arial"/>
                <w:sz w:val="20"/>
                <w:szCs w:val="20"/>
                <w:b w:val="1"/>
                <w:bCs w:val="1"/>
                <w:color w:val="auto"/>
                <w:w w:val="96"/>
              </w:rPr>
              <w:t>Performance</w:t>
            </w:r>
          </w:p>
        </w:tc>
        <w:tc>
          <w:tcPr>
            <w:tcW w:w="2000" w:type="dxa"/>
            <w:vAlign w:val="bottom"/>
            <w:gridSpan w:val="6"/>
            <w:shd w:val="clear" w:color="auto" w:fill="7F7F7F"/>
          </w:tcPr>
          <w:p>
            <w:pPr>
              <w:jc w:val="center"/>
              <w:spacing w:after="0"/>
              <w:rPr>
                <w:sz w:val="20"/>
                <w:szCs w:val="20"/>
                <w:color w:val="auto"/>
              </w:rPr>
            </w:pPr>
            <w:r>
              <w:rPr>
                <w:rFonts w:ascii="Arial" w:cs="Arial" w:eastAsia="Arial" w:hAnsi="Arial"/>
                <w:sz w:val="20"/>
                <w:szCs w:val="20"/>
                <w:b w:val="1"/>
                <w:bCs w:val="1"/>
                <w:color w:val="auto"/>
                <w:w w:val="90"/>
              </w:rPr>
              <w:t>Performance Period:</w:t>
            </w:r>
          </w:p>
        </w:tc>
        <w:tc>
          <w:tcPr>
            <w:tcW w:w="2100" w:type="dxa"/>
            <w:vAlign w:val="bottom"/>
            <w:gridSpan w:val="6"/>
            <w:shd w:val="clear" w:color="auto" w:fill="7F7F7F"/>
          </w:tcPr>
          <w:p>
            <w:pPr>
              <w:jc w:val="center"/>
              <w:ind w:right="80"/>
              <w:spacing w:after="0"/>
              <w:rPr>
                <w:sz w:val="20"/>
                <w:szCs w:val="20"/>
                <w:color w:val="auto"/>
              </w:rPr>
            </w:pPr>
            <w:r>
              <w:rPr>
                <w:rFonts w:ascii="Arial" w:cs="Arial" w:eastAsia="Arial" w:hAnsi="Arial"/>
                <w:sz w:val="20"/>
                <w:szCs w:val="20"/>
                <w:b w:val="1"/>
                <w:bCs w:val="1"/>
                <w:color w:val="auto"/>
                <w:w w:val="90"/>
              </w:rPr>
              <w:t>Performance Period:</w:t>
            </w:r>
          </w:p>
        </w:tc>
        <w:tc>
          <w:tcPr>
            <w:tcW w:w="2360" w:type="dxa"/>
            <w:vAlign w:val="bottom"/>
            <w:gridSpan w:val="7"/>
            <w:shd w:val="clear" w:color="auto" w:fill="7F7F7F"/>
          </w:tcPr>
          <w:p>
            <w:pPr>
              <w:jc w:val="center"/>
              <w:ind w:right="260"/>
              <w:spacing w:after="0"/>
              <w:rPr>
                <w:sz w:val="20"/>
                <w:szCs w:val="20"/>
                <w:color w:val="auto"/>
              </w:rPr>
            </w:pPr>
            <w:r>
              <w:rPr>
                <w:rFonts w:ascii="Arial" w:cs="Arial" w:eastAsia="Arial" w:hAnsi="Arial"/>
                <w:sz w:val="20"/>
                <w:szCs w:val="20"/>
                <w:b w:val="1"/>
                <w:bCs w:val="1"/>
                <w:color w:val="auto"/>
                <w:w w:val="90"/>
              </w:rPr>
              <w:t>Performance Period:</w:t>
            </w:r>
          </w:p>
        </w:tc>
        <w:tc>
          <w:tcPr>
            <w:tcW w:w="2120" w:type="dxa"/>
            <w:vAlign w:val="bottom"/>
            <w:tcBorders>
              <w:right w:val="single" w:sz="8" w:color="auto"/>
            </w:tcBorders>
            <w:gridSpan w:val="2"/>
            <w:shd w:val="clear" w:color="auto" w:fill="7F7F7F"/>
          </w:tcPr>
          <w:p>
            <w:pPr>
              <w:ind w:left="180"/>
              <w:spacing w:after="0"/>
              <w:rPr>
                <w:sz w:val="20"/>
                <w:szCs w:val="20"/>
                <w:color w:val="auto"/>
              </w:rPr>
            </w:pPr>
            <w:r>
              <w:rPr>
                <w:rFonts w:ascii="Arial" w:cs="Arial" w:eastAsia="Arial" w:hAnsi="Arial"/>
                <w:sz w:val="20"/>
                <w:szCs w:val="20"/>
                <w:b w:val="1"/>
                <w:bCs w:val="1"/>
                <w:color w:val="auto"/>
              </w:rPr>
              <w:t>EPS Performance</w:t>
            </w:r>
          </w:p>
        </w:tc>
        <w:tc>
          <w:tcPr>
            <w:tcW w:w="0" w:type="dxa"/>
            <w:vAlign w:val="bottom"/>
          </w:tcPr>
          <w:p>
            <w:pPr>
              <w:spacing w:after="0"/>
              <w:rPr>
                <w:sz w:val="1"/>
                <w:szCs w:val="1"/>
                <w:color w:val="auto"/>
              </w:rPr>
            </w:pPr>
          </w:p>
        </w:tc>
      </w:tr>
      <w:tr>
        <w:trPr>
          <w:trHeight w:val="311"/>
        </w:trPr>
        <w:tc>
          <w:tcPr>
            <w:tcW w:w="40" w:type="dxa"/>
            <w:vAlign w:val="bottom"/>
            <w:tcBorders>
              <w:right w:val="single" w:sz="8" w:color="auto"/>
            </w:tcBorders>
          </w:tcPr>
          <w:p>
            <w:pPr>
              <w:spacing w:after="0"/>
              <w:rPr>
                <w:sz w:val="24"/>
                <w:szCs w:val="24"/>
                <w:color w:val="auto"/>
              </w:rPr>
            </w:pPr>
          </w:p>
        </w:tc>
        <w:tc>
          <w:tcPr>
            <w:tcW w:w="1300" w:type="dxa"/>
            <w:vAlign w:val="bottom"/>
            <w:tcBorders>
              <w:bottom w:val="single" w:sz="8" w:color="7F7F7F"/>
            </w:tcBorders>
            <w:shd w:val="clear" w:color="auto" w:fill="7F7F7F"/>
          </w:tcPr>
          <w:p>
            <w:pPr>
              <w:ind w:left="420"/>
              <w:spacing w:after="0"/>
              <w:rPr>
                <w:sz w:val="20"/>
                <w:szCs w:val="20"/>
                <w:color w:val="auto"/>
              </w:rPr>
            </w:pPr>
            <w:r>
              <w:rPr>
                <w:rFonts w:ascii="Arial" w:cs="Arial" w:eastAsia="Arial" w:hAnsi="Arial"/>
                <w:sz w:val="20"/>
                <w:szCs w:val="20"/>
                <w:b w:val="1"/>
                <w:bCs w:val="1"/>
                <w:color w:val="auto"/>
              </w:rPr>
              <w:t>Level</w:t>
            </w:r>
          </w:p>
        </w:tc>
        <w:tc>
          <w:tcPr>
            <w:tcW w:w="2000" w:type="dxa"/>
            <w:vAlign w:val="bottom"/>
            <w:tcBorders>
              <w:bottom w:val="single" w:sz="8" w:color="7F7F7F"/>
            </w:tcBorders>
            <w:gridSpan w:val="6"/>
            <w:shd w:val="clear" w:color="auto" w:fill="7F7F7F"/>
          </w:tcPr>
          <w:p>
            <w:pPr>
              <w:jc w:val="center"/>
              <w:spacing w:after="0"/>
              <w:rPr>
                <w:sz w:val="20"/>
                <w:szCs w:val="20"/>
                <w:color w:val="auto"/>
              </w:rPr>
            </w:pPr>
            <w:r>
              <w:rPr>
                <w:rFonts w:ascii="Arial" w:cs="Arial" w:eastAsia="Arial" w:hAnsi="Arial"/>
                <w:sz w:val="20"/>
                <w:szCs w:val="20"/>
                <w:b w:val="1"/>
                <w:bCs w:val="1"/>
                <w:color w:val="auto"/>
                <w:w w:val="89"/>
              </w:rPr>
              <w:t>1/1/2020-12/31/2020</w:t>
            </w:r>
          </w:p>
        </w:tc>
        <w:tc>
          <w:tcPr>
            <w:tcW w:w="2100" w:type="dxa"/>
            <w:vAlign w:val="bottom"/>
            <w:tcBorders>
              <w:bottom w:val="single" w:sz="8" w:color="7F7F7F"/>
            </w:tcBorders>
            <w:gridSpan w:val="6"/>
            <w:shd w:val="clear" w:color="auto" w:fill="7F7F7F"/>
          </w:tcPr>
          <w:p>
            <w:pPr>
              <w:jc w:val="center"/>
              <w:ind w:right="80"/>
              <w:spacing w:after="0"/>
              <w:rPr>
                <w:sz w:val="20"/>
                <w:szCs w:val="20"/>
                <w:color w:val="auto"/>
              </w:rPr>
            </w:pPr>
            <w:r>
              <w:rPr>
                <w:rFonts w:ascii="Arial" w:cs="Arial" w:eastAsia="Arial" w:hAnsi="Arial"/>
                <w:sz w:val="20"/>
                <w:szCs w:val="20"/>
                <w:b w:val="1"/>
                <w:bCs w:val="1"/>
                <w:color w:val="auto"/>
                <w:w w:val="89"/>
              </w:rPr>
              <w:t>1/1/2020-12/31/2021</w:t>
            </w:r>
          </w:p>
        </w:tc>
        <w:tc>
          <w:tcPr>
            <w:tcW w:w="2360" w:type="dxa"/>
            <w:vAlign w:val="bottom"/>
            <w:tcBorders>
              <w:bottom w:val="single" w:sz="8" w:color="7F7F7F"/>
            </w:tcBorders>
            <w:gridSpan w:val="7"/>
            <w:shd w:val="clear" w:color="auto" w:fill="7F7F7F"/>
          </w:tcPr>
          <w:p>
            <w:pPr>
              <w:jc w:val="center"/>
              <w:ind w:right="260"/>
              <w:spacing w:after="0"/>
              <w:rPr>
                <w:sz w:val="20"/>
                <w:szCs w:val="20"/>
                <w:color w:val="auto"/>
              </w:rPr>
            </w:pPr>
            <w:r>
              <w:rPr>
                <w:rFonts w:ascii="Arial" w:cs="Arial" w:eastAsia="Arial" w:hAnsi="Arial"/>
                <w:sz w:val="20"/>
                <w:szCs w:val="20"/>
                <w:b w:val="1"/>
                <w:bCs w:val="1"/>
                <w:color w:val="auto"/>
                <w:w w:val="89"/>
              </w:rPr>
              <w:t>1/1/2020-12/31/2022</w:t>
            </w:r>
          </w:p>
        </w:tc>
        <w:tc>
          <w:tcPr>
            <w:tcW w:w="320" w:type="dxa"/>
            <w:vAlign w:val="bottom"/>
            <w:tcBorders>
              <w:bottom w:val="single" w:sz="8" w:color="7F7F7F"/>
              <w:right w:val="single" w:sz="8" w:color="7F7F7F"/>
            </w:tcBorders>
            <w:shd w:val="clear" w:color="auto" w:fill="7F7F7F"/>
          </w:tcPr>
          <w:p>
            <w:pPr>
              <w:spacing w:after="0"/>
              <w:rPr>
                <w:sz w:val="24"/>
                <w:szCs w:val="24"/>
                <w:color w:val="auto"/>
              </w:rPr>
            </w:pPr>
          </w:p>
        </w:tc>
        <w:tc>
          <w:tcPr>
            <w:tcW w:w="1800" w:type="dxa"/>
            <w:vAlign w:val="bottom"/>
            <w:tcBorders>
              <w:bottom w:val="single" w:sz="8" w:color="7F7F7F"/>
              <w:right w:val="single" w:sz="8" w:color="auto"/>
            </w:tcBorders>
            <w:shd w:val="clear" w:color="auto" w:fill="7F7F7F"/>
          </w:tcPr>
          <w:p>
            <w:pPr>
              <w:ind w:left="160"/>
              <w:spacing w:after="0"/>
              <w:rPr>
                <w:sz w:val="20"/>
                <w:szCs w:val="20"/>
                <w:color w:val="auto"/>
              </w:rPr>
            </w:pPr>
            <w:r>
              <w:rPr>
                <w:rFonts w:ascii="Arial" w:cs="Arial" w:eastAsia="Arial" w:hAnsi="Arial"/>
                <w:sz w:val="20"/>
                <w:szCs w:val="20"/>
                <w:b w:val="1"/>
                <w:bCs w:val="1"/>
                <w:color w:val="auto"/>
              </w:rPr>
              <w:t>Percentage</w:t>
            </w:r>
          </w:p>
        </w:tc>
        <w:tc>
          <w:tcPr>
            <w:tcW w:w="0" w:type="dxa"/>
            <w:vAlign w:val="bottom"/>
          </w:tcPr>
          <w:p>
            <w:pPr>
              <w:spacing w:after="0"/>
              <w:rPr>
                <w:sz w:val="1"/>
                <w:szCs w:val="1"/>
                <w:color w:val="auto"/>
              </w:rPr>
            </w:pPr>
          </w:p>
        </w:tc>
      </w:tr>
      <w:tr>
        <w:trPr>
          <w:trHeight w:val="233"/>
        </w:trPr>
        <w:tc>
          <w:tcPr>
            <w:tcW w:w="40" w:type="dxa"/>
            <w:vAlign w:val="bottom"/>
            <w:tcBorders>
              <w:right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Below</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0" w:type="dxa"/>
            <w:vAlign w:val="bottom"/>
            <w:tcBorders>
              <w:right w:val="single" w:sz="8" w:color="auto"/>
            </w:tcBorders>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20"/>
                <w:szCs w:val="20"/>
                <w:color w:val="auto"/>
              </w:rPr>
              <w:t>Threshold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20"/>
                <w:szCs w:val="20"/>
                <w:color w:val="auto"/>
                <w:w w:val="95"/>
              </w:rPr>
              <w:t>Below $[___]</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20"/>
                <w:szCs w:val="20"/>
                <w:color w:val="auto"/>
                <w:w w:val="95"/>
              </w:rPr>
              <w:t>Below $[___]</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gridSpan w:val="4"/>
          </w:tcPr>
          <w:p>
            <w:pPr>
              <w:jc w:val="center"/>
              <w:ind w:right="720"/>
              <w:spacing w:after="0"/>
              <w:rPr>
                <w:sz w:val="20"/>
                <w:szCs w:val="20"/>
                <w:color w:val="auto"/>
              </w:rPr>
            </w:pPr>
            <w:r>
              <w:rPr>
                <w:rFonts w:ascii="Arial" w:cs="Arial" w:eastAsia="Arial" w:hAnsi="Arial"/>
                <w:sz w:val="20"/>
                <w:szCs w:val="20"/>
                <w:color w:val="auto"/>
                <w:w w:val="95"/>
              </w:rPr>
              <w:t>Below $[___]</w:t>
            </w:r>
          </w:p>
        </w:tc>
        <w:tc>
          <w:tcPr>
            <w:tcW w:w="2120" w:type="dxa"/>
            <w:vAlign w:val="bottom"/>
            <w:tcBorders>
              <w:right w:val="single" w:sz="8" w:color="auto"/>
            </w:tcBorders>
            <w:gridSpan w:val="2"/>
          </w:tcPr>
          <w:p>
            <w:pPr>
              <w:jc w:val="center"/>
              <w:ind w:right="141"/>
              <w:spacing w:after="0"/>
              <w:rPr>
                <w:sz w:val="20"/>
                <w:szCs w:val="20"/>
                <w:color w:val="auto"/>
              </w:rPr>
            </w:pPr>
            <w:r>
              <w:rPr>
                <w:rFonts w:ascii="Arial" w:cs="Arial" w:eastAsia="Arial" w:hAnsi="Arial"/>
                <w:sz w:val="20"/>
                <w:szCs w:val="20"/>
                <w:color w:val="auto"/>
                <w:w w:val="99"/>
              </w:rPr>
              <w:t>[_]%</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20"/>
                <w:szCs w:val="20"/>
                <w:color w:val="auto"/>
              </w:rPr>
              <w:t>Threshold</w:t>
            </w:r>
          </w:p>
        </w:tc>
        <w:tc>
          <w:tcPr>
            <w:tcW w:w="1560" w:type="dxa"/>
            <w:vAlign w:val="bottom"/>
            <w:gridSpan w:val="3"/>
          </w:tcPr>
          <w:p>
            <w:pPr>
              <w:jc w:val="center"/>
              <w:ind w:left="321"/>
              <w:spacing w:after="0"/>
              <w:rPr>
                <w:sz w:val="20"/>
                <w:szCs w:val="20"/>
                <w:color w:val="auto"/>
              </w:rPr>
            </w:pPr>
            <w:r>
              <w:rPr>
                <w:rFonts w:ascii="Arial" w:cs="Arial" w:eastAsia="Arial" w:hAnsi="Arial"/>
                <w:sz w:val="20"/>
                <w:szCs w:val="20"/>
                <w:color w:val="auto"/>
                <w:w w:val="97"/>
              </w:rPr>
              <w:t>$[___]</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left="541"/>
              <w:spacing w:after="0"/>
              <w:rPr>
                <w:sz w:val="20"/>
                <w:szCs w:val="20"/>
                <w:color w:val="auto"/>
              </w:rPr>
            </w:pPr>
            <w:r>
              <w:rPr>
                <w:rFonts w:ascii="Arial" w:cs="Arial" w:eastAsia="Arial" w:hAnsi="Arial"/>
                <w:sz w:val="20"/>
                <w:szCs w:val="20"/>
                <w:color w:val="auto"/>
                <w:w w:val="97"/>
              </w:rPr>
              <w:t>$[___]</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color w:val="auto"/>
                <w:w w:val="97"/>
              </w:rPr>
              <w:t>$[___]</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Borders>
              <w:right w:val="single" w:sz="8" w:color="auto"/>
            </w:tcBorders>
            <w:gridSpan w:val="2"/>
          </w:tcPr>
          <w:p>
            <w:pPr>
              <w:jc w:val="center"/>
              <w:ind w:right="161"/>
              <w:spacing w:after="0"/>
              <w:rPr>
                <w:sz w:val="20"/>
                <w:szCs w:val="20"/>
                <w:color w:val="auto"/>
              </w:rPr>
            </w:pPr>
            <w:r>
              <w:rPr>
                <w:rFonts w:ascii="Arial" w:cs="Arial" w:eastAsia="Arial" w:hAnsi="Arial"/>
                <w:sz w:val="20"/>
                <w:szCs w:val="20"/>
                <w:color w:val="auto"/>
              </w:rPr>
              <w:t>[_]%*</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20"/>
                <w:szCs w:val="20"/>
                <w:color w:val="auto"/>
              </w:rPr>
              <w:t>Target</w:t>
            </w:r>
          </w:p>
        </w:tc>
        <w:tc>
          <w:tcPr>
            <w:tcW w:w="1560" w:type="dxa"/>
            <w:vAlign w:val="bottom"/>
            <w:gridSpan w:val="3"/>
          </w:tcPr>
          <w:p>
            <w:pPr>
              <w:jc w:val="center"/>
              <w:ind w:left="321"/>
              <w:spacing w:after="0"/>
              <w:rPr>
                <w:sz w:val="20"/>
                <w:szCs w:val="20"/>
                <w:color w:val="auto"/>
              </w:rPr>
            </w:pPr>
            <w:r>
              <w:rPr>
                <w:rFonts w:ascii="Arial" w:cs="Arial" w:eastAsia="Arial" w:hAnsi="Arial"/>
                <w:sz w:val="20"/>
                <w:szCs w:val="20"/>
                <w:color w:val="auto"/>
                <w:w w:val="97"/>
              </w:rPr>
              <w:t>$[___]</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left="541"/>
              <w:spacing w:after="0"/>
              <w:rPr>
                <w:sz w:val="20"/>
                <w:szCs w:val="20"/>
                <w:color w:val="auto"/>
              </w:rPr>
            </w:pPr>
            <w:r>
              <w:rPr>
                <w:rFonts w:ascii="Arial" w:cs="Arial" w:eastAsia="Arial" w:hAnsi="Arial"/>
                <w:sz w:val="20"/>
                <w:szCs w:val="20"/>
                <w:color w:val="auto"/>
                <w:w w:val="97"/>
              </w:rPr>
              <w:t>$[___]</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color w:val="auto"/>
                <w:w w:val="97"/>
              </w:rPr>
              <w:t>$[___]</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Borders>
              <w:right w:val="single" w:sz="8" w:color="auto"/>
            </w:tcBorders>
            <w:gridSpan w:val="2"/>
          </w:tcPr>
          <w:p>
            <w:pPr>
              <w:jc w:val="center"/>
              <w:ind w:right="161"/>
              <w:spacing w:after="0"/>
              <w:rPr>
                <w:sz w:val="20"/>
                <w:szCs w:val="20"/>
                <w:color w:val="auto"/>
              </w:rPr>
            </w:pPr>
            <w:r>
              <w:rPr>
                <w:rFonts w:ascii="Arial" w:cs="Arial" w:eastAsia="Arial" w:hAnsi="Arial"/>
                <w:sz w:val="20"/>
                <w:szCs w:val="20"/>
                <w:color w:val="auto"/>
              </w:rPr>
              <w:t>[_]%*</w:t>
            </w:r>
          </w:p>
        </w:tc>
        <w:tc>
          <w:tcPr>
            <w:tcW w:w="0" w:type="dxa"/>
            <w:vAlign w:val="bottom"/>
          </w:tcPr>
          <w:p>
            <w:pPr>
              <w:spacing w:after="0"/>
              <w:rPr>
                <w:sz w:val="1"/>
                <w:szCs w:val="1"/>
                <w:color w:val="auto"/>
              </w:rPr>
            </w:pPr>
          </w:p>
        </w:tc>
      </w:tr>
      <w:tr>
        <w:trPr>
          <w:trHeight w:val="279"/>
        </w:trPr>
        <w:tc>
          <w:tcPr>
            <w:tcW w:w="40" w:type="dxa"/>
            <w:vAlign w:val="bottom"/>
            <w:tcBorders>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Maximum</w:t>
            </w:r>
          </w:p>
        </w:tc>
        <w:tc>
          <w:tcPr>
            <w:tcW w:w="156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20"/>
                <w:szCs w:val="20"/>
                <w:color w:val="auto"/>
                <w:w w:val="97"/>
              </w:rPr>
              <w:t>$[___]</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20"/>
                <w:szCs w:val="20"/>
                <w:color w:val="auto"/>
                <w:w w:val="97"/>
              </w:rPr>
              <w:t>$[___]</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color w:val="auto"/>
                <w:w w:val="97"/>
              </w:rPr>
              <w:t>$[___]</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20" w:type="dxa"/>
            <w:vAlign w:val="bottom"/>
            <w:tcBorders>
              <w:bottom w:val="single" w:sz="8" w:color="auto"/>
              <w:right w:val="single" w:sz="8" w:color="auto"/>
            </w:tcBorders>
            <w:gridSpan w:val="2"/>
          </w:tcPr>
          <w:p>
            <w:pPr>
              <w:jc w:val="center"/>
              <w:ind w:right="161"/>
              <w:spacing w:after="0"/>
              <w:rPr>
                <w:sz w:val="20"/>
                <w:szCs w:val="20"/>
                <w:color w:val="auto"/>
              </w:rPr>
            </w:pPr>
            <w:r>
              <w:rPr>
                <w:rFonts w:ascii="Arial" w:cs="Arial" w:eastAsia="Arial" w:hAnsi="Arial"/>
                <w:sz w:val="20"/>
                <w:szCs w:val="20"/>
                <w:color w:val="auto"/>
              </w:rPr>
              <w:t>[_]%*</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760" w:type="dxa"/>
            <w:vAlign w:val="bottom"/>
            <w:gridSpan w:val="20"/>
          </w:tcPr>
          <w:p>
            <w:pPr>
              <w:spacing w:after="0"/>
              <w:rPr>
                <w:sz w:val="20"/>
                <w:szCs w:val="20"/>
                <w:color w:val="auto"/>
              </w:rPr>
            </w:pPr>
            <w:r>
              <w:rPr>
                <w:rFonts w:ascii="Arial" w:cs="Arial" w:eastAsia="Arial" w:hAnsi="Arial"/>
                <w:sz w:val="20"/>
                <w:szCs w:val="20"/>
                <w:color w:val="auto"/>
                <w:w w:val="91"/>
              </w:rPr>
              <w:t>* Linear interpolation applies between threshold/target and target/maximum performance levels.</w:t>
            </w:r>
          </w:p>
        </w:tc>
        <w:tc>
          <w:tcPr>
            <w:tcW w:w="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52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3060" w:type="dxa"/>
            <w:vAlign w:val="bottom"/>
            <w:gridSpan w:val="6"/>
            <w:shd w:val="clear" w:color="auto" w:fill="7F7F7F"/>
          </w:tcPr>
          <w:p>
            <w:pPr>
              <w:ind w:left="80"/>
              <w:spacing w:after="0" w:line="207" w:lineRule="exact"/>
              <w:rPr>
                <w:sz w:val="20"/>
                <w:szCs w:val="20"/>
                <w:color w:val="auto"/>
              </w:rPr>
            </w:pPr>
            <w:r>
              <w:rPr>
                <w:rFonts w:ascii="Arial" w:cs="Arial" w:eastAsia="Arial" w:hAnsi="Arial"/>
                <w:sz w:val="20"/>
                <w:szCs w:val="20"/>
                <w:color w:val="auto"/>
              </w:rPr>
              <w:t>Performance Periods</w:t>
            </w:r>
          </w:p>
        </w:tc>
        <w:tc>
          <w:tcPr>
            <w:tcW w:w="1620" w:type="dxa"/>
            <w:vAlign w:val="bottom"/>
            <w:tcBorders>
              <w:right w:val="single" w:sz="8" w:color="7F7F7F"/>
            </w:tcBorders>
            <w:gridSpan w:val="4"/>
            <w:shd w:val="clear" w:color="auto" w:fill="7F7F7F"/>
          </w:tcPr>
          <w:p>
            <w:pPr>
              <w:spacing w:after="0" w:line="207" w:lineRule="exact"/>
              <w:rPr>
                <w:sz w:val="20"/>
                <w:szCs w:val="20"/>
                <w:color w:val="auto"/>
              </w:rPr>
            </w:pPr>
            <w:r>
              <w:rPr>
                <w:rFonts w:ascii="Arial" w:cs="Arial" w:eastAsia="Arial" w:hAnsi="Arial"/>
                <w:sz w:val="20"/>
                <w:szCs w:val="20"/>
                <w:color w:val="auto"/>
              </w:rPr>
              <w:t>Threshold Shares</w:t>
            </w:r>
          </w:p>
        </w:tc>
        <w:tc>
          <w:tcPr>
            <w:tcW w:w="1180" w:type="dxa"/>
            <w:vAlign w:val="bottom"/>
            <w:gridSpan w:val="6"/>
            <w:shd w:val="clear" w:color="auto" w:fill="7F7F7F"/>
          </w:tcPr>
          <w:p>
            <w:pPr>
              <w:ind w:left="80"/>
              <w:spacing w:after="0" w:line="207" w:lineRule="exact"/>
              <w:rPr>
                <w:sz w:val="20"/>
                <w:szCs w:val="20"/>
                <w:color w:val="auto"/>
              </w:rPr>
            </w:pPr>
            <w:r>
              <w:rPr>
                <w:rFonts w:ascii="Arial" w:cs="Arial" w:eastAsia="Arial" w:hAnsi="Arial"/>
                <w:sz w:val="20"/>
                <w:szCs w:val="20"/>
                <w:color w:val="auto"/>
                <w:w w:val="85"/>
              </w:rPr>
              <w:t>Target Shares</w:t>
            </w:r>
          </w:p>
        </w:tc>
        <w:tc>
          <w:tcPr>
            <w:tcW w:w="520" w:type="dxa"/>
            <w:vAlign w:val="bottom"/>
            <w:tcBorders>
              <w:right w:val="single" w:sz="8" w:color="7F7F7F"/>
            </w:tcBorders>
            <w:shd w:val="clear" w:color="auto" w:fill="7F7F7F"/>
          </w:tcPr>
          <w:p>
            <w:pPr>
              <w:spacing w:after="0"/>
              <w:rPr>
                <w:sz w:val="17"/>
                <w:szCs w:val="17"/>
                <w:color w:val="auto"/>
              </w:rPr>
            </w:pPr>
          </w:p>
        </w:tc>
        <w:tc>
          <w:tcPr>
            <w:tcW w:w="1380" w:type="dxa"/>
            <w:vAlign w:val="bottom"/>
            <w:gridSpan w:val="3"/>
            <w:shd w:val="clear" w:color="auto" w:fill="7F7F7F"/>
          </w:tcPr>
          <w:p>
            <w:pPr>
              <w:ind w:left="80"/>
              <w:spacing w:after="0" w:line="207" w:lineRule="exact"/>
              <w:rPr>
                <w:sz w:val="20"/>
                <w:szCs w:val="20"/>
                <w:color w:val="auto"/>
              </w:rPr>
            </w:pPr>
            <w:r>
              <w:rPr>
                <w:rFonts w:ascii="Arial" w:cs="Arial" w:eastAsia="Arial" w:hAnsi="Arial"/>
                <w:sz w:val="20"/>
                <w:szCs w:val="20"/>
                <w:color w:val="auto"/>
              </w:rPr>
              <w:t>Maximum</w:t>
            </w:r>
          </w:p>
        </w:tc>
        <w:tc>
          <w:tcPr>
            <w:tcW w:w="320" w:type="dxa"/>
            <w:vAlign w:val="bottom"/>
            <w:tcBorders>
              <w:right w:val="single" w:sz="8" w:color="7F7F7F"/>
            </w:tcBorders>
            <w:shd w:val="clear" w:color="auto" w:fill="7F7F7F"/>
          </w:tcPr>
          <w:p>
            <w:pPr>
              <w:spacing w:after="0"/>
              <w:rPr>
                <w:sz w:val="17"/>
                <w:szCs w:val="17"/>
                <w:color w:val="auto"/>
              </w:rPr>
            </w:pPr>
          </w:p>
        </w:tc>
        <w:tc>
          <w:tcPr>
            <w:tcW w:w="1800" w:type="dxa"/>
            <w:vAlign w:val="bottom"/>
            <w:tcBorders>
              <w:right w:val="single" w:sz="8" w:color="auto"/>
            </w:tcBorders>
            <w:shd w:val="clear" w:color="auto" w:fill="7F7F7F"/>
          </w:tcPr>
          <w:p>
            <w:pPr>
              <w:ind w:left="80"/>
              <w:spacing w:after="0" w:line="207" w:lineRule="exact"/>
              <w:rPr>
                <w:sz w:val="20"/>
                <w:szCs w:val="20"/>
                <w:color w:val="auto"/>
              </w:rPr>
            </w:pPr>
            <w:r>
              <w:rPr>
                <w:rFonts w:ascii="Arial" w:cs="Arial" w:eastAsia="Arial" w:hAnsi="Arial"/>
                <w:sz w:val="20"/>
                <w:szCs w:val="20"/>
                <w:color w:val="auto"/>
              </w:rPr>
              <w:t>Vesting Date</w:t>
            </w: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1300" w:type="dxa"/>
            <w:vAlign w:val="bottom"/>
            <w:tcBorders>
              <w:bottom w:val="single" w:sz="8" w:color="auto"/>
            </w:tcBorders>
            <w:shd w:val="clear" w:color="auto" w:fill="7F7F7F"/>
          </w:tcPr>
          <w:p>
            <w:pPr>
              <w:spacing w:after="0"/>
              <w:rPr>
                <w:sz w:val="21"/>
                <w:szCs w:val="21"/>
                <w:color w:val="auto"/>
              </w:rPr>
            </w:pPr>
          </w:p>
        </w:tc>
        <w:tc>
          <w:tcPr>
            <w:tcW w:w="220" w:type="dxa"/>
            <w:vAlign w:val="bottom"/>
            <w:tcBorders>
              <w:bottom w:val="single" w:sz="8" w:color="auto"/>
            </w:tcBorders>
            <w:shd w:val="clear" w:color="auto" w:fill="7F7F7F"/>
          </w:tcPr>
          <w:p>
            <w:pPr>
              <w:spacing w:after="0"/>
              <w:rPr>
                <w:sz w:val="21"/>
                <w:szCs w:val="21"/>
                <w:color w:val="auto"/>
              </w:rPr>
            </w:pPr>
          </w:p>
        </w:tc>
        <w:tc>
          <w:tcPr>
            <w:tcW w:w="200" w:type="dxa"/>
            <w:vAlign w:val="bottom"/>
            <w:tcBorders>
              <w:bottom w:val="single" w:sz="8" w:color="auto"/>
            </w:tcBorders>
            <w:shd w:val="clear" w:color="auto" w:fill="7F7F7F"/>
          </w:tcPr>
          <w:p>
            <w:pPr>
              <w:spacing w:after="0"/>
              <w:rPr>
                <w:sz w:val="21"/>
                <w:szCs w:val="21"/>
                <w:color w:val="auto"/>
              </w:rPr>
            </w:pPr>
          </w:p>
        </w:tc>
        <w:tc>
          <w:tcPr>
            <w:tcW w:w="1140" w:type="dxa"/>
            <w:vAlign w:val="bottom"/>
            <w:tcBorders>
              <w:bottom w:val="single" w:sz="8" w:color="auto"/>
            </w:tcBorders>
            <w:shd w:val="clear" w:color="auto" w:fill="7F7F7F"/>
          </w:tcPr>
          <w:p>
            <w:pPr>
              <w:spacing w:after="0"/>
              <w:rPr>
                <w:sz w:val="21"/>
                <w:szCs w:val="21"/>
                <w:color w:val="auto"/>
              </w:rPr>
            </w:pPr>
          </w:p>
        </w:tc>
        <w:tc>
          <w:tcPr>
            <w:tcW w:w="120" w:type="dxa"/>
            <w:vAlign w:val="bottom"/>
            <w:tcBorders>
              <w:bottom w:val="single" w:sz="8" w:color="auto"/>
              <w:right w:val="single" w:sz="8" w:color="7F7F7F"/>
            </w:tcBorders>
            <w:shd w:val="clear" w:color="auto" w:fill="7F7F7F"/>
          </w:tcPr>
          <w:p>
            <w:pPr>
              <w:spacing w:after="0"/>
              <w:rPr>
                <w:sz w:val="21"/>
                <w:szCs w:val="21"/>
                <w:color w:val="auto"/>
              </w:rPr>
            </w:pPr>
          </w:p>
        </w:tc>
        <w:tc>
          <w:tcPr>
            <w:tcW w:w="80" w:type="dxa"/>
            <w:vAlign w:val="bottom"/>
            <w:tcBorders>
              <w:bottom w:val="single" w:sz="8" w:color="auto"/>
            </w:tcBorders>
            <w:shd w:val="clear" w:color="auto" w:fill="7F7F7F"/>
          </w:tcPr>
          <w:p>
            <w:pPr>
              <w:spacing w:after="0"/>
              <w:rPr>
                <w:sz w:val="21"/>
                <w:szCs w:val="21"/>
                <w:color w:val="auto"/>
              </w:rPr>
            </w:pPr>
          </w:p>
        </w:tc>
        <w:tc>
          <w:tcPr>
            <w:tcW w:w="240" w:type="dxa"/>
            <w:vAlign w:val="bottom"/>
            <w:tcBorders>
              <w:bottom w:val="single" w:sz="8" w:color="auto"/>
            </w:tcBorders>
            <w:shd w:val="clear" w:color="auto" w:fill="7F7F7F"/>
          </w:tcPr>
          <w:p>
            <w:pPr>
              <w:spacing w:after="0"/>
              <w:rPr>
                <w:sz w:val="21"/>
                <w:szCs w:val="21"/>
                <w:color w:val="auto"/>
              </w:rPr>
            </w:pPr>
          </w:p>
        </w:tc>
        <w:tc>
          <w:tcPr>
            <w:tcW w:w="240" w:type="dxa"/>
            <w:vAlign w:val="bottom"/>
            <w:tcBorders>
              <w:bottom w:val="single" w:sz="8" w:color="auto"/>
            </w:tcBorders>
            <w:shd w:val="clear" w:color="auto" w:fill="7F7F7F"/>
          </w:tcPr>
          <w:p>
            <w:pPr>
              <w:spacing w:after="0"/>
              <w:rPr>
                <w:sz w:val="21"/>
                <w:szCs w:val="21"/>
                <w:color w:val="auto"/>
              </w:rPr>
            </w:pPr>
          </w:p>
        </w:tc>
        <w:tc>
          <w:tcPr>
            <w:tcW w:w="100" w:type="dxa"/>
            <w:vAlign w:val="bottom"/>
            <w:tcBorders>
              <w:bottom w:val="single" w:sz="8" w:color="auto"/>
            </w:tcBorders>
            <w:shd w:val="clear" w:color="auto" w:fill="7F7F7F"/>
          </w:tcPr>
          <w:p>
            <w:pPr>
              <w:spacing w:after="0"/>
              <w:rPr>
                <w:sz w:val="21"/>
                <w:szCs w:val="21"/>
                <w:color w:val="auto"/>
              </w:rPr>
            </w:pPr>
          </w:p>
        </w:tc>
        <w:tc>
          <w:tcPr>
            <w:tcW w:w="1040" w:type="dxa"/>
            <w:vAlign w:val="bottom"/>
            <w:tcBorders>
              <w:bottom w:val="single" w:sz="8" w:color="auto"/>
              <w:right w:val="single" w:sz="8" w:color="7F7F7F"/>
            </w:tcBorders>
            <w:shd w:val="clear" w:color="auto" w:fill="7F7F7F"/>
          </w:tcPr>
          <w:p>
            <w:pPr>
              <w:spacing w:after="0"/>
              <w:rPr>
                <w:sz w:val="21"/>
                <w:szCs w:val="21"/>
                <w:color w:val="auto"/>
              </w:rPr>
            </w:pPr>
          </w:p>
        </w:tc>
        <w:tc>
          <w:tcPr>
            <w:tcW w:w="300" w:type="dxa"/>
            <w:vAlign w:val="bottom"/>
            <w:tcBorders>
              <w:bottom w:val="single" w:sz="8" w:color="auto"/>
            </w:tcBorders>
            <w:shd w:val="clear" w:color="auto" w:fill="7F7F7F"/>
          </w:tcPr>
          <w:p>
            <w:pPr>
              <w:spacing w:after="0"/>
              <w:rPr>
                <w:sz w:val="21"/>
                <w:szCs w:val="21"/>
                <w:color w:val="auto"/>
              </w:rPr>
            </w:pPr>
          </w:p>
        </w:tc>
        <w:tc>
          <w:tcPr>
            <w:tcW w:w="100" w:type="dxa"/>
            <w:vAlign w:val="bottom"/>
            <w:tcBorders>
              <w:bottom w:val="single" w:sz="8" w:color="auto"/>
            </w:tcBorders>
            <w:shd w:val="clear" w:color="auto" w:fill="7F7F7F"/>
          </w:tcPr>
          <w:p>
            <w:pPr>
              <w:spacing w:after="0"/>
              <w:rPr>
                <w:sz w:val="21"/>
                <w:szCs w:val="21"/>
                <w:color w:val="auto"/>
              </w:rPr>
            </w:pPr>
          </w:p>
        </w:tc>
        <w:tc>
          <w:tcPr>
            <w:tcW w:w="320" w:type="dxa"/>
            <w:vAlign w:val="bottom"/>
            <w:tcBorders>
              <w:bottom w:val="single" w:sz="8" w:color="auto"/>
            </w:tcBorders>
            <w:shd w:val="clear" w:color="auto" w:fill="7F7F7F"/>
          </w:tcPr>
          <w:p>
            <w:pPr>
              <w:spacing w:after="0"/>
              <w:rPr>
                <w:sz w:val="21"/>
                <w:szCs w:val="21"/>
                <w:color w:val="auto"/>
              </w:rPr>
            </w:pPr>
          </w:p>
        </w:tc>
        <w:tc>
          <w:tcPr>
            <w:tcW w:w="280" w:type="dxa"/>
            <w:vAlign w:val="bottom"/>
            <w:tcBorders>
              <w:bottom w:val="single" w:sz="8" w:color="auto"/>
            </w:tcBorders>
            <w:shd w:val="clear" w:color="auto" w:fill="7F7F7F"/>
          </w:tcPr>
          <w:p>
            <w:pPr>
              <w:spacing w:after="0"/>
              <w:rPr>
                <w:sz w:val="21"/>
                <w:szCs w:val="21"/>
                <w:color w:val="auto"/>
              </w:rPr>
            </w:pPr>
          </w:p>
        </w:tc>
        <w:tc>
          <w:tcPr>
            <w:tcW w:w="140" w:type="dxa"/>
            <w:vAlign w:val="bottom"/>
            <w:tcBorders>
              <w:bottom w:val="single" w:sz="8" w:color="auto"/>
            </w:tcBorders>
            <w:shd w:val="clear" w:color="auto" w:fill="7F7F7F"/>
          </w:tcPr>
          <w:p>
            <w:pPr>
              <w:spacing w:after="0"/>
              <w:rPr>
                <w:sz w:val="21"/>
                <w:szCs w:val="21"/>
                <w:color w:val="auto"/>
              </w:rPr>
            </w:pPr>
          </w:p>
        </w:tc>
        <w:tc>
          <w:tcPr>
            <w:tcW w:w="40" w:type="dxa"/>
            <w:vAlign w:val="bottom"/>
            <w:tcBorders>
              <w:bottom w:val="single" w:sz="8" w:color="auto"/>
            </w:tcBorders>
            <w:shd w:val="clear" w:color="auto" w:fill="7F7F7F"/>
          </w:tcPr>
          <w:p>
            <w:pPr>
              <w:spacing w:after="0"/>
              <w:rPr>
                <w:sz w:val="21"/>
                <w:szCs w:val="21"/>
                <w:color w:val="auto"/>
              </w:rPr>
            </w:pPr>
          </w:p>
        </w:tc>
        <w:tc>
          <w:tcPr>
            <w:tcW w:w="520" w:type="dxa"/>
            <w:vAlign w:val="bottom"/>
            <w:tcBorders>
              <w:bottom w:val="single" w:sz="8" w:color="auto"/>
              <w:right w:val="single" w:sz="8" w:color="7F7F7F"/>
            </w:tcBorders>
            <w:shd w:val="clear" w:color="auto" w:fill="7F7F7F"/>
          </w:tcPr>
          <w:p>
            <w:pPr>
              <w:spacing w:after="0"/>
              <w:rPr>
                <w:sz w:val="21"/>
                <w:szCs w:val="21"/>
                <w:color w:val="auto"/>
              </w:rPr>
            </w:pPr>
          </w:p>
        </w:tc>
        <w:tc>
          <w:tcPr>
            <w:tcW w:w="1380" w:type="dxa"/>
            <w:vAlign w:val="bottom"/>
            <w:tcBorders>
              <w:bottom w:val="single" w:sz="8" w:color="auto"/>
            </w:tcBorders>
            <w:gridSpan w:val="3"/>
            <w:shd w:val="clear" w:color="auto" w:fill="7F7F7F"/>
          </w:tcPr>
          <w:p>
            <w:pPr>
              <w:ind w:left="80"/>
              <w:spacing w:after="0"/>
              <w:rPr>
                <w:sz w:val="20"/>
                <w:szCs w:val="20"/>
                <w:color w:val="auto"/>
              </w:rPr>
            </w:pPr>
            <w:r>
              <w:rPr>
                <w:rFonts w:ascii="Arial" w:cs="Arial" w:eastAsia="Arial" w:hAnsi="Arial"/>
                <w:sz w:val="20"/>
                <w:szCs w:val="20"/>
                <w:color w:val="auto"/>
              </w:rPr>
              <w:t>Shares</w:t>
            </w:r>
          </w:p>
        </w:tc>
        <w:tc>
          <w:tcPr>
            <w:tcW w:w="320" w:type="dxa"/>
            <w:vAlign w:val="bottom"/>
            <w:tcBorders>
              <w:bottom w:val="single" w:sz="8" w:color="auto"/>
              <w:right w:val="single" w:sz="8" w:color="7F7F7F"/>
            </w:tcBorders>
            <w:shd w:val="clear" w:color="auto" w:fill="7F7F7F"/>
          </w:tcPr>
          <w:p>
            <w:pPr>
              <w:spacing w:after="0"/>
              <w:rPr>
                <w:sz w:val="21"/>
                <w:szCs w:val="21"/>
                <w:color w:val="auto"/>
              </w:rPr>
            </w:pPr>
          </w:p>
        </w:tc>
        <w:tc>
          <w:tcPr>
            <w:tcW w:w="1800" w:type="dxa"/>
            <w:vAlign w:val="bottom"/>
            <w:tcBorders>
              <w:bottom w:val="single" w:sz="8" w:color="auto"/>
              <w:right w:val="single" w:sz="8" w:color="auto"/>
            </w:tcBorders>
            <w:shd w:val="clear" w:color="auto" w:fill="7F7F7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20"/>
                <w:szCs w:val="20"/>
                <w:color w:val="auto"/>
                <w:w w:val="89"/>
              </w:rPr>
              <w:t>First Tranche Performance Period –</w:t>
            </w:r>
          </w:p>
        </w:tc>
        <w:tc>
          <w:tcPr>
            <w:tcW w:w="80" w:type="dxa"/>
            <w:vAlign w:val="bottom"/>
          </w:tcPr>
          <w:p>
            <w:pPr>
              <w:spacing w:after="0"/>
              <w:rPr>
                <w:sz w:val="17"/>
                <w:szCs w:val="17"/>
                <w:color w:val="auto"/>
              </w:rPr>
            </w:pPr>
          </w:p>
        </w:tc>
        <w:tc>
          <w:tcPr>
            <w:tcW w:w="580" w:type="dxa"/>
            <w:vAlign w:val="bottom"/>
            <w:gridSpan w:val="3"/>
          </w:tcPr>
          <w:p>
            <w:pPr>
              <w:ind w:left="20"/>
              <w:spacing w:after="0" w:line="206" w:lineRule="exact"/>
              <w:rPr>
                <w:sz w:val="20"/>
                <w:szCs w:val="20"/>
                <w:color w:val="auto"/>
              </w:rPr>
            </w:pPr>
            <w:r>
              <w:rPr>
                <w:rFonts w:ascii="Arial" w:cs="Arial" w:eastAsia="Arial" w:hAnsi="Arial"/>
                <w:sz w:val="22"/>
                <w:szCs w:val="22"/>
                <w:color w:val="auto"/>
              </w:rPr>
              <w:t>[___]</w:t>
            </w:r>
          </w:p>
        </w:tc>
        <w:tc>
          <w:tcPr>
            <w:tcW w:w="1040" w:type="dxa"/>
            <w:vAlign w:val="bottom"/>
            <w:tcBorders>
              <w:right w:val="single" w:sz="8" w:color="auto"/>
            </w:tcBorders>
          </w:tcPr>
          <w:p>
            <w:pPr>
              <w:spacing w:after="0"/>
              <w:rPr>
                <w:sz w:val="17"/>
                <w:szCs w:val="17"/>
                <w:color w:val="auto"/>
              </w:rPr>
            </w:pPr>
          </w:p>
        </w:tc>
        <w:tc>
          <w:tcPr>
            <w:tcW w:w="720" w:type="dxa"/>
            <w:vAlign w:val="bottom"/>
            <w:gridSpan w:val="3"/>
          </w:tcPr>
          <w:p>
            <w:pPr>
              <w:ind w:left="100"/>
              <w:spacing w:after="0" w:line="206" w:lineRule="exact"/>
              <w:rPr>
                <w:sz w:val="20"/>
                <w:szCs w:val="20"/>
                <w:color w:val="auto"/>
              </w:rPr>
            </w:pPr>
            <w:r>
              <w:rPr>
                <w:rFonts w:ascii="Arial" w:cs="Arial" w:eastAsia="Arial" w:hAnsi="Arial"/>
                <w:sz w:val="22"/>
                <w:szCs w:val="22"/>
                <w:color w:val="auto"/>
              </w:rPr>
              <w:t>[___]</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00" w:type="dxa"/>
            <w:vAlign w:val="bottom"/>
          </w:tcPr>
          <w:p>
            <w:pPr>
              <w:ind w:left="100"/>
              <w:spacing w:after="0" w:line="206" w:lineRule="exact"/>
              <w:rPr>
                <w:sz w:val="20"/>
                <w:szCs w:val="20"/>
                <w:color w:val="auto"/>
              </w:rPr>
            </w:pPr>
            <w:r>
              <w:rPr>
                <w:rFonts w:ascii="Arial" w:cs="Arial" w:eastAsia="Arial" w:hAnsi="Arial"/>
                <w:sz w:val="22"/>
                <w:szCs w:val="22"/>
                <w:color w:val="auto"/>
              </w:rPr>
              <w:t>[___]</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12/31/20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20"/>
                <w:szCs w:val="20"/>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(1 year)</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20"/>
                <w:szCs w:val="20"/>
                <w:color w:val="auto"/>
              </w:rPr>
              <w:t>Second Tranche Performance</w:t>
            </w:r>
          </w:p>
        </w:tc>
        <w:tc>
          <w:tcPr>
            <w:tcW w:w="80" w:type="dxa"/>
            <w:vAlign w:val="bottom"/>
          </w:tcPr>
          <w:p>
            <w:pPr>
              <w:spacing w:after="0"/>
              <w:rPr>
                <w:sz w:val="17"/>
                <w:szCs w:val="17"/>
                <w:color w:val="auto"/>
              </w:rPr>
            </w:pPr>
          </w:p>
        </w:tc>
        <w:tc>
          <w:tcPr>
            <w:tcW w:w="580" w:type="dxa"/>
            <w:vAlign w:val="bottom"/>
            <w:gridSpan w:val="3"/>
          </w:tcPr>
          <w:p>
            <w:pPr>
              <w:ind w:left="20"/>
              <w:spacing w:after="0" w:line="206" w:lineRule="exact"/>
              <w:rPr>
                <w:sz w:val="20"/>
                <w:szCs w:val="20"/>
                <w:color w:val="auto"/>
              </w:rPr>
            </w:pPr>
            <w:r>
              <w:rPr>
                <w:rFonts w:ascii="Arial" w:cs="Arial" w:eastAsia="Arial" w:hAnsi="Arial"/>
                <w:sz w:val="22"/>
                <w:szCs w:val="22"/>
                <w:color w:val="auto"/>
              </w:rPr>
              <w:t>[___]</w:t>
            </w:r>
          </w:p>
        </w:tc>
        <w:tc>
          <w:tcPr>
            <w:tcW w:w="1040" w:type="dxa"/>
            <w:vAlign w:val="bottom"/>
            <w:tcBorders>
              <w:right w:val="single" w:sz="8" w:color="auto"/>
            </w:tcBorders>
          </w:tcPr>
          <w:p>
            <w:pPr>
              <w:spacing w:after="0"/>
              <w:rPr>
                <w:sz w:val="17"/>
                <w:szCs w:val="17"/>
                <w:color w:val="auto"/>
              </w:rPr>
            </w:pPr>
          </w:p>
        </w:tc>
        <w:tc>
          <w:tcPr>
            <w:tcW w:w="720" w:type="dxa"/>
            <w:vAlign w:val="bottom"/>
            <w:gridSpan w:val="3"/>
          </w:tcPr>
          <w:p>
            <w:pPr>
              <w:ind w:left="100"/>
              <w:spacing w:after="0" w:line="206" w:lineRule="exact"/>
              <w:rPr>
                <w:sz w:val="20"/>
                <w:szCs w:val="20"/>
                <w:color w:val="auto"/>
              </w:rPr>
            </w:pPr>
            <w:r>
              <w:rPr>
                <w:rFonts w:ascii="Arial" w:cs="Arial" w:eastAsia="Arial" w:hAnsi="Arial"/>
                <w:sz w:val="22"/>
                <w:szCs w:val="22"/>
                <w:color w:val="auto"/>
              </w:rPr>
              <w:t>[___]</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00" w:type="dxa"/>
            <w:vAlign w:val="bottom"/>
          </w:tcPr>
          <w:p>
            <w:pPr>
              <w:ind w:left="100"/>
              <w:spacing w:after="0" w:line="206" w:lineRule="exact"/>
              <w:rPr>
                <w:sz w:val="20"/>
                <w:szCs w:val="20"/>
                <w:color w:val="auto"/>
              </w:rPr>
            </w:pPr>
            <w:r>
              <w:rPr>
                <w:rFonts w:ascii="Arial" w:cs="Arial" w:eastAsia="Arial" w:hAnsi="Arial"/>
                <w:sz w:val="22"/>
                <w:szCs w:val="22"/>
                <w:color w:val="auto"/>
              </w:rPr>
              <w:t>[___]</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12/31/21</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tcPr>
          <w:p>
            <w:pPr>
              <w:spacing w:after="0"/>
              <w:rPr>
                <w:sz w:val="19"/>
                <w:szCs w:val="19"/>
                <w:color w:val="auto"/>
              </w:rPr>
            </w:pPr>
          </w:p>
        </w:tc>
        <w:tc>
          <w:tcPr>
            <w:tcW w:w="2980" w:type="dxa"/>
            <w:vAlign w:val="bottom"/>
            <w:tcBorders>
              <w:right w:val="single" w:sz="8" w:color="auto"/>
            </w:tcBorders>
            <w:gridSpan w:val="5"/>
          </w:tcPr>
          <w:p>
            <w:pPr>
              <w:ind w:left="80"/>
              <w:spacing w:after="0"/>
              <w:rPr>
                <w:sz w:val="20"/>
                <w:szCs w:val="20"/>
                <w:color w:val="auto"/>
              </w:rPr>
            </w:pPr>
            <w:r>
              <w:rPr>
                <w:rFonts w:ascii="Arial" w:cs="Arial" w:eastAsia="Arial" w:hAnsi="Arial"/>
                <w:sz w:val="20"/>
                <w:szCs w:val="20"/>
                <w:color w:val="auto"/>
              </w:rPr>
              <w:t>Period – 2020-2021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(2 years)</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20"/>
                <w:szCs w:val="20"/>
                <w:color w:val="auto"/>
                <w:w w:val="92"/>
              </w:rPr>
              <w:t>Third Tranche Performance Period</w:t>
            </w:r>
          </w:p>
        </w:tc>
        <w:tc>
          <w:tcPr>
            <w:tcW w:w="80" w:type="dxa"/>
            <w:vAlign w:val="bottom"/>
          </w:tcPr>
          <w:p>
            <w:pPr>
              <w:spacing w:after="0"/>
              <w:rPr>
                <w:sz w:val="17"/>
                <w:szCs w:val="17"/>
                <w:color w:val="auto"/>
              </w:rPr>
            </w:pPr>
          </w:p>
        </w:tc>
        <w:tc>
          <w:tcPr>
            <w:tcW w:w="580" w:type="dxa"/>
            <w:vAlign w:val="bottom"/>
            <w:gridSpan w:val="3"/>
          </w:tcPr>
          <w:p>
            <w:pPr>
              <w:ind w:left="20"/>
              <w:spacing w:after="0" w:line="206" w:lineRule="exact"/>
              <w:rPr>
                <w:sz w:val="20"/>
                <w:szCs w:val="20"/>
                <w:color w:val="auto"/>
              </w:rPr>
            </w:pPr>
            <w:r>
              <w:rPr>
                <w:rFonts w:ascii="Arial" w:cs="Arial" w:eastAsia="Arial" w:hAnsi="Arial"/>
                <w:sz w:val="22"/>
                <w:szCs w:val="22"/>
                <w:color w:val="auto"/>
              </w:rPr>
              <w:t>[___]</w:t>
            </w:r>
          </w:p>
        </w:tc>
        <w:tc>
          <w:tcPr>
            <w:tcW w:w="1040" w:type="dxa"/>
            <w:vAlign w:val="bottom"/>
            <w:tcBorders>
              <w:right w:val="single" w:sz="8" w:color="auto"/>
            </w:tcBorders>
          </w:tcPr>
          <w:p>
            <w:pPr>
              <w:spacing w:after="0"/>
              <w:rPr>
                <w:sz w:val="17"/>
                <w:szCs w:val="17"/>
                <w:color w:val="auto"/>
              </w:rPr>
            </w:pPr>
          </w:p>
        </w:tc>
        <w:tc>
          <w:tcPr>
            <w:tcW w:w="720" w:type="dxa"/>
            <w:vAlign w:val="bottom"/>
            <w:gridSpan w:val="3"/>
          </w:tcPr>
          <w:p>
            <w:pPr>
              <w:ind w:left="100"/>
              <w:spacing w:after="0" w:line="206" w:lineRule="exact"/>
              <w:rPr>
                <w:sz w:val="20"/>
                <w:szCs w:val="20"/>
                <w:color w:val="auto"/>
              </w:rPr>
            </w:pPr>
            <w:r>
              <w:rPr>
                <w:rFonts w:ascii="Arial" w:cs="Arial" w:eastAsia="Arial" w:hAnsi="Arial"/>
                <w:sz w:val="22"/>
                <w:szCs w:val="22"/>
                <w:color w:val="auto"/>
              </w:rPr>
              <w:t>[___]</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700" w:type="dxa"/>
            <w:vAlign w:val="bottom"/>
          </w:tcPr>
          <w:p>
            <w:pPr>
              <w:ind w:left="100"/>
              <w:spacing w:after="0" w:line="206" w:lineRule="exact"/>
              <w:rPr>
                <w:sz w:val="20"/>
                <w:szCs w:val="20"/>
                <w:color w:val="auto"/>
              </w:rPr>
            </w:pPr>
            <w:r>
              <w:rPr>
                <w:rFonts w:ascii="Arial" w:cs="Arial" w:eastAsia="Arial" w:hAnsi="Arial"/>
                <w:sz w:val="22"/>
                <w:szCs w:val="22"/>
                <w:color w:val="auto"/>
              </w:rPr>
              <w:t>[___]</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800" w:type="dxa"/>
            <w:vAlign w:val="bottom"/>
            <w:tcBorders>
              <w:right w:val="single" w:sz="8" w:color="auto"/>
            </w:tcBorders>
          </w:tcPr>
          <w:p>
            <w:pPr>
              <w:ind w:left="100"/>
              <w:spacing w:after="0" w:line="207" w:lineRule="exact"/>
              <w:rPr>
                <w:sz w:val="20"/>
                <w:szCs w:val="20"/>
                <w:color w:val="auto"/>
              </w:rPr>
            </w:pPr>
            <w:r>
              <w:rPr>
                <w:rFonts w:ascii="Arial" w:cs="Arial" w:eastAsia="Arial" w:hAnsi="Arial"/>
                <w:sz w:val="20"/>
                <w:szCs w:val="20"/>
                <w:color w:val="auto"/>
              </w:rPr>
              <w:t>12/31/22</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20"/>
                <w:szCs w:val="20"/>
                <w:color w:val="auto"/>
              </w:rPr>
              <w:t>– 2020-2022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right w:val="single" w:sz="8" w:color="auto"/>
            </w:tcBorders>
          </w:tcPr>
          <w:p>
            <w:pPr>
              <w:spacing w:after="0"/>
              <w:rPr>
                <w:sz w:val="21"/>
                <w:szCs w:val="21"/>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(3 years)</w:t>
            </w: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EPS</w:t>
      </w:r>
      <w:r>
        <w:rPr>
          <w:rFonts w:ascii="Arial" w:cs="Arial" w:eastAsia="Arial" w:hAnsi="Arial"/>
          <w:sz w:val="20"/>
          <w:szCs w:val="20"/>
          <w:color w:val="auto"/>
        </w:rPr>
        <w:t>” means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EPS</w:t>
      </w:r>
      <w:r>
        <w:rPr>
          <w:rFonts w:ascii="Arial" w:cs="Arial" w:eastAsia="Arial" w:hAnsi="Arial"/>
          <w:sz w:val="20"/>
          <w:szCs w:val="20"/>
          <w:color w:val="auto"/>
        </w:rPr>
        <w:t>” means [_].</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EPS</w:t>
      </w:r>
      <w:r>
        <w:rPr>
          <w:rFonts w:ascii="Arial" w:cs="Arial" w:eastAsia="Arial" w:hAnsi="Arial"/>
          <w:sz w:val="19"/>
          <w:szCs w:val="19"/>
          <w:color w:val="auto"/>
        </w:rPr>
        <w:t>” means the sum of the Adjusted EPS during the applicable Performance Period or portion thereof.</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EPS Performance Percentage</w:t>
      </w:r>
      <w:r>
        <w:rPr>
          <w:rFonts w:ascii="Arial" w:cs="Arial" w:eastAsia="Arial" w:hAnsi="Arial"/>
          <w:sz w:val="20"/>
          <w:szCs w:val="20"/>
          <w:color w:val="auto"/>
        </w:rPr>
        <w:t>” means the percentage as set forth in the table above, representing the level of attainment of the Adjusted EPS performance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894715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31.1</w:t>
      </w:r>
    </w:p>
    <w:p>
      <w:pPr>
        <w:spacing w:after="0" w:line="234"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60" w:hanging="351"/>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hanging="331"/>
        <w:spacing w:after="0" w:line="250" w:lineRule="auto"/>
        <w:tabs>
          <w:tab w:leader="none" w:pos="393"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1"/>
        <w:spacing w:after="0" w:line="250" w:lineRule="auto"/>
        <w:tabs>
          <w:tab w:leader="none" w:pos="389" w:val="left"/>
        </w:tabs>
        <w:numPr>
          <w:ilvl w:val="0"/>
          <w:numId w:val="4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1"/>
        <w:spacing w:after="0" w:line="269" w:lineRule="auto"/>
        <w:tabs>
          <w:tab w:leader="none" w:pos="384"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1620" w:hanging="315"/>
        <w:spacing w:after="0" w:line="246" w:lineRule="auto"/>
        <w:tabs>
          <w:tab w:leader="none" w:pos="1657" w:val="left"/>
        </w:tabs>
        <w:numPr>
          <w:ilvl w:val="1"/>
          <w:numId w:val="4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1620" w:hanging="315"/>
        <w:spacing w:after="0" w:line="246" w:lineRule="auto"/>
        <w:tabs>
          <w:tab w:leader="none" w:pos="1712" w:val="left"/>
        </w:tabs>
        <w:numPr>
          <w:ilvl w:val="1"/>
          <w:numId w:val="41"/>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1620" w:hanging="315"/>
        <w:spacing w:after="0" w:line="250" w:lineRule="auto"/>
        <w:tabs>
          <w:tab w:leader="none" w:pos="1692" w:val="left"/>
        </w:tabs>
        <w:numPr>
          <w:ilvl w:val="1"/>
          <w:numId w:val="4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46" w:lineRule="auto"/>
        <w:tabs>
          <w:tab w:leader="none" w:pos="1774" w:val="left"/>
        </w:tabs>
        <w:numPr>
          <w:ilvl w:val="1"/>
          <w:numId w:val="41"/>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hanging="331"/>
        <w:spacing w:after="0" w:line="250" w:lineRule="auto"/>
        <w:tabs>
          <w:tab w:leader="none" w:pos="397"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685" w:val="left"/>
        </w:tabs>
        <w:numPr>
          <w:ilvl w:val="1"/>
          <w:numId w:val="4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834"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May 8,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and Chief Executive Officer</w:t>
            </w:r>
          </w:p>
        </w:tc>
      </w:tr>
      <w:tr>
        <w:trPr>
          <w:trHeight w:val="77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31.2</w:t>
      </w:r>
    </w:p>
    <w:p>
      <w:pPr>
        <w:spacing w:after="0" w:line="221"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16" w:lineRule="exact"/>
        <w:rPr>
          <w:sz w:val="20"/>
          <w:szCs w:val="20"/>
          <w:color w:val="auto"/>
        </w:rPr>
      </w:pPr>
    </w:p>
    <w:p>
      <w:pPr>
        <w:ind w:left="360" w:hanging="351"/>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15" w:lineRule="exact"/>
        <w:rPr>
          <w:rFonts w:ascii="Arial" w:cs="Arial" w:eastAsia="Arial" w:hAnsi="Arial"/>
          <w:sz w:val="20"/>
          <w:szCs w:val="20"/>
          <w:color w:val="auto"/>
        </w:rPr>
      </w:pPr>
    </w:p>
    <w:p>
      <w:pPr>
        <w:jc w:val="both"/>
        <w:ind w:left="340" w:hanging="331"/>
        <w:spacing w:after="0" w:line="250" w:lineRule="auto"/>
        <w:tabs>
          <w:tab w:leader="none" w:pos="393"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jc w:val="both"/>
        <w:ind w:left="340" w:hanging="331"/>
        <w:spacing w:after="0" w:line="250" w:lineRule="auto"/>
        <w:tabs>
          <w:tab w:leader="none" w:pos="389"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1"/>
        <w:spacing w:after="0" w:line="269" w:lineRule="auto"/>
        <w:tabs>
          <w:tab w:leader="none" w:pos="384"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9"/>
          <w:szCs w:val="19"/>
          <w:color w:val="auto"/>
        </w:rPr>
      </w:pPr>
    </w:p>
    <w:p>
      <w:pPr>
        <w:jc w:val="both"/>
        <w:ind w:left="1620" w:hanging="315"/>
        <w:spacing w:after="0" w:line="246" w:lineRule="auto"/>
        <w:tabs>
          <w:tab w:leader="none" w:pos="1657"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1620" w:hanging="315"/>
        <w:spacing w:after="0" w:line="246" w:lineRule="auto"/>
        <w:tabs>
          <w:tab w:leader="none" w:pos="1712"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1620" w:hanging="315"/>
        <w:spacing w:after="0" w:line="250" w:lineRule="auto"/>
        <w:tabs>
          <w:tab w:leader="none" w:pos="1692"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1620" w:hanging="315"/>
        <w:spacing w:after="0" w:line="246" w:lineRule="auto"/>
        <w:tabs>
          <w:tab w:leader="none" w:pos="1774" w:val="left"/>
        </w:tabs>
        <w:numPr>
          <w:ilvl w:val="1"/>
          <w:numId w:val="42"/>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40" w:hanging="331"/>
        <w:spacing w:after="0" w:line="250" w:lineRule="auto"/>
        <w:tabs>
          <w:tab w:leader="none" w:pos="397"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5" w:lineRule="exact"/>
        <w:rPr>
          <w:rFonts w:ascii="Arial" w:cs="Arial" w:eastAsia="Arial" w:hAnsi="Arial"/>
          <w:sz w:val="20"/>
          <w:szCs w:val="20"/>
          <w:color w:val="auto"/>
        </w:rPr>
      </w:pPr>
    </w:p>
    <w:p>
      <w:pPr>
        <w:jc w:val="both"/>
        <w:ind w:left="1620" w:hanging="315"/>
        <w:spacing w:after="0" w:line="250" w:lineRule="auto"/>
        <w:tabs>
          <w:tab w:leader="none" w:pos="1685" w:val="left"/>
        </w:tabs>
        <w:numPr>
          <w:ilvl w:val="1"/>
          <w:numId w:val="4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1620" w:hanging="315"/>
        <w:spacing w:after="0" w:line="260" w:lineRule="auto"/>
        <w:tabs>
          <w:tab w:leader="none" w:pos="1834"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May 8,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20"/>
                <w:szCs w:val="20"/>
                <w:color w:val="auto"/>
                <w:w w:val="97"/>
              </w:rPr>
              <w:t>Vice Chairman of the Board of Directors, President, Chief</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Operating Officer, Chief Financial Officer and Secretary</w:t>
            </w:r>
          </w:p>
        </w:tc>
      </w:tr>
      <w:tr>
        <w:trPr>
          <w:trHeight w:val="77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Monster Beverage Corporation (the “Company”) on Form 10-Q for the quarter ended March 31, 2020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40" w:hanging="323"/>
        <w:spacing w:after="0" w:line="260" w:lineRule="auto"/>
        <w:tabs>
          <w:tab w:leader="none" w:pos="99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60" w:hanging="323"/>
        <w:spacing w:after="0" w:line="260" w:lineRule="auto"/>
        <w:tabs>
          <w:tab w:leader="none" w:pos="99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May 8,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and Chief Executive Officer</w:t>
            </w:r>
          </w:p>
        </w:tc>
      </w:tr>
      <w:tr>
        <w:trPr>
          <w:trHeight w:val="772"/>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2020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8" w:lineRule="exact"/>
        <w:rPr>
          <w:sz w:val="20"/>
          <w:szCs w:val="20"/>
          <w:color w:val="auto"/>
        </w:rPr>
      </w:pPr>
    </w:p>
    <w:p>
      <w:pPr>
        <w:ind w:left="980" w:right="340" w:hanging="323"/>
        <w:spacing w:after="0" w:line="260" w:lineRule="auto"/>
        <w:tabs>
          <w:tab w:leader="none" w:pos="999"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60" w:hanging="323"/>
        <w:spacing w:after="0" w:line="260" w:lineRule="auto"/>
        <w:tabs>
          <w:tab w:leader="none" w:pos="999"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May 8,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20"/>
                <w:szCs w:val="20"/>
                <w:color w:val="auto"/>
                <w:w w:val="97"/>
              </w:rPr>
              <w:t>Vice Chairman of the Board of Directors, President, Chief</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Operating Officer, Chief Financial Officer and Secretary</w:t>
            </w:r>
          </w:p>
        </w:tc>
      </w:tr>
      <w:tr>
        <w:trPr>
          <w:trHeight w:val="77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1."/>
      <w:numFmt w:val="decimal"/>
      <w:start w:val="3"/>
    </w:lvl>
  </w:abstractNum>
  <w:abstractNum w:abstractNumId="3">
    <w:nsid w:val="75A2A8D4"/>
    <w:multiLevelType w:val="hybridMultilevel"/>
    <w:lvl w:ilvl="0">
      <w:lvlJc w:val="left"/>
      <w:lvlText w:val="(%1)"/>
      <w:numFmt w:val="lowerRoman"/>
      <w:start w:val="2"/>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842"/>
    </w:lvl>
  </w:abstractNum>
  <w:abstractNum w:abstractNumId="7">
    <w:nsid w:val="B03E0C6"/>
    <w:multiLevelType w:val="hybridMultilevel"/>
    <w:lvl w:ilvl="0">
      <w:lvlJc w:val="left"/>
      <w:lvlText w:val="%1."/>
      <w:numFmt w:val="decimal"/>
      <w:start w:val="5"/>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7"/>
    </w:lvl>
  </w:abstractNum>
  <w:abstractNum w:abstractNumId="11">
    <w:nsid w:val="2CA88611"/>
    <w:multiLevelType w:val="hybridMultilevel"/>
    <w:lvl w:ilvl="0">
      <w:lvlJc w:val="left"/>
      <w:lvlText w:val="%1."/>
      <w:numFmt w:val="decimal"/>
      <w:start w:val="8"/>
    </w:lvl>
  </w:abstractNum>
  <w:abstractNum w:abstractNumId="12">
    <w:nsid w:val="836C40E"/>
    <w:multiLevelType w:val="hybridMultilevel"/>
    <w:lvl w:ilvl="0">
      <w:lvlJc w:val="left"/>
      <w:lvlText w:val="%1."/>
      <w:numFmt w:val="decimal"/>
      <w:start w:val="10"/>
    </w:lvl>
  </w:abstractNum>
  <w:abstractNum w:abstractNumId="13">
    <w:nsid w:val="2901D82"/>
    <w:multiLevelType w:val="hybridMultilevel"/>
    <w:lvl w:ilvl="0">
      <w:lvlJc w:val="left"/>
      <w:lvlText w:val="%1."/>
      <w:numFmt w:val="decimal"/>
      <w:start w:val="12"/>
    </w:lvl>
  </w:abstractNum>
  <w:abstractNum w:abstractNumId="14">
    <w:nsid w:val="3A95F874"/>
    <w:multiLevelType w:val="hybridMultilevel"/>
    <w:lvl w:ilvl="0">
      <w:lvlJc w:val="left"/>
      <w:lvlText w:val="%1."/>
      <w:numFmt w:val="decimal"/>
      <w:start w:val="13"/>
    </w:lvl>
  </w:abstractNum>
  <w:abstractNum w:abstractNumId="15">
    <w:nsid w:val="8138641"/>
    <w:multiLevelType w:val="hybridMultilevel"/>
    <w:lvl w:ilvl="0">
      <w:lvlJc w:val="left"/>
      <w:lvlText w:val="%1."/>
      <w:numFmt w:val="decimal"/>
      <w:start w:val="15"/>
    </w:lvl>
  </w:abstractNum>
  <w:abstractNum w:abstractNumId="16">
    <w:nsid w:val="1E7FF521"/>
    <w:multiLevelType w:val="hybridMultilevel"/>
    <w:lvl w:ilvl="0">
      <w:lvlJc w:val="left"/>
      <w:lvlText w:val="%1."/>
      <w:numFmt w:val="decimal"/>
      <w:start w:val="16"/>
    </w:lvl>
  </w:abstractNum>
  <w:abstractNum w:abstractNumId="17">
    <w:nsid w:val="7C3DBD3D"/>
    <w:multiLevelType w:val="hybridMultilevel"/>
    <w:lvl w:ilvl="0">
      <w:lvlJc w:val="left"/>
      <w:lvlText w:val="%1."/>
      <w:numFmt w:val="decimal"/>
      <w:start w:val="17"/>
    </w:lvl>
  </w:abstractNum>
  <w:abstractNum w:abstractNumId="18">
    <w:nsid w:val="737B8DDC"/>
    <w:multiLevelType w:val="hybridMultilevel"/>
    <w:lvl w:ilvl="0">
      <w:lvlJc w:val="left"/>
      <w:lvlText w:val="%1."/>
      <w:numFmt w:val="decimal"/>
      <w:start w:val="18"/>
    </w:lvl>
  </w:abstractNum>
  <w:abstractNum w:abstractNumId="19">
    <w:nsid w:val="6CEAF087"/>
    <w:multiLevelType w:val="hybridMultilevel"/>
    <w:lvl w:ilvl="0">
      <w:lvlJc w:val="left"/>
      <w:lvlText w:val="%1"/>
      <w:numFmt w:val="decimal"/>
      <w:start w:val="787"/>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20"/>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decimal"/>
      <w:start w:val="2"/>
    </w:lvl>
    <w:lvl w:ilvl="1">
      <w:lvlJc w:val="left"/>
      <w:lvlText w:val="(%2)"/>
      <w:numFmt w:val="lowerLetter"/>
      <w:start w:val="25"/>
    </w:lvl>
  </w:abstractNum>
  <w:abstractNum w:abstractNumId="31">
    <w:nsid w:val="5C482A97"/>
    <w:multiLevelType w:val="hybridMultilevel"/>
    <w:lvl w:ilvl="0">
      <w:lvlJc w:val="left"/>
      <w:lvlText w:val="%1."/>
      <w:numFmt w:val="decimal"/>
      <w:start w:val="9"/>
    </w:lvl>
  </w:abstractNum>
  <w:abstractNum w:abstractNumId="32">
    <w:nsid w:val="2463B9EA"/>
    <w:multiLevelType w:val="hybridMultilevel"/>
    <w:lvl w:ilvl="0">
      <w:lvlJc w:val="left"/>
      <w:lvlText w:val="%1."/>
      <w:numFmt w:val="decimal"/>
      <w:start w:val="1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lvl w:ilvl="1">
      <w:lvlJc w:val="left"/>
      <w:lvlText w:val="%2."/>
      <w:numFmt w:val="lowerLetter"/>
      <w:start w:val="1"/>
    </w:lvl>
  </w:abstractNum>
  <w:abstractNum w:abstractNumId="35">
    <w:nsid w:val="2D517796"/>
    <w:multiLevelType w:val="hybridMultilevel"/>
    <w:lvl w:ilvl="0">
      <w:lvlJc w:val="left"/>
      <w:lvlText w:val="%1."/>
      <w:numFmt w:val="decimal"/>
      <w:start w:val="3"/>
    </w:lvl>
    <w:lvl w:ilvl="1">
      <w:lvlJc w:val="left"/>
      <w:lvlText w:val="%2."/>
      <w:numFmt w:val="lowerLetter"/>
      <w:start w:val="1"/>
    </w:lvl>
  </w:abstractNum>
  <w:abstractNum w:abstractNumId="36">
    <w:nsid w:val="580BD78F"/>
    <w:multiLevelType w:val="hybridMultilevel"/>
    <w:lvl w:ilvl="0">
      <w:lvlJc w:val="left"/>
      <w:lvlText w:val="%1."/>
      <w:numFmt w:val="decimal"/>
      <w:start w:val="9"/>
    </w:lvl>
  </w:abstractNum>
  <w:abstractNum w:abstractNumId="37">
    <w:nsid w:val="153EA438"/>
    <w:multiLevelType w:val="hybridMultilevel"/>
    <w:lvl w:ilvl="0">
      <w:lvlJc w:val="left"/>
      <w:lvlText w:val="%1."/>
      <w:numFmt w:val="decimal"/>
      <w:start w:val="11"/>
    </w:lvl>
  </w:abstractNum>
  <w:abstractNum w:abstractNumId="38">
    <w:nsid w:val="3855585C"/>
    <w:multiLevelType w:val="hybridMultilevel"/>
    <w:lvl w:ilvl="0">
      <w:lvlJc w:val="left"/>
      <w:lvlText w:val="%1."/>
      <w:numFmt w:val="decimal"/>
      <w:start w:val="14"/>
    </w:lvl>
  </w:abstractNum>
  <w:abstractNum w:abstractNumId="39">
    <w:nsid w:val="70A64E2A"/>
    <w:multiLevelType w:val="hybridMultilevel"/>
    <w:lvl w:ilvl="0">
      <w:lvlJc w:val="left"/>
      <w:lvlText w:val="%1."/>
      <w:numFmt w:val="decimal"/>
      <w:start w:val="19"/>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2020-05-11T05:10:44Z</dcterms:created>
  <dcterms:modified xsi:type="dcterms:W3CDTF">2020-05-11T05:10:44Z</dcterms:modified>
</cp:coreProperties>
</file>