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10-K</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3960" w:right="3140" w:hanging="814"/>
        <w:spacing w:after="0" w:line="261" w:lineRule="auto"/>
        <w:tabs>
          <w:tab w:leader="none" w:pos="3259" w:val="left"/>
        </w:tabs>
        <w:numPr>
          <w:ilvl w:val="0"/>
          <w:numId w:val="1"/>
        </w:numPr>
        <w:rPr>
          <w:rFonts w:ascii="Arial" w:cs="Arial" w:eastAsia="Arial" w:hAnsi="Arial"/>
          <w:sz w:val="18"/>
          <w:szCs w:val="18"/>
          <w:color w:val="auto"/>
        </w:rPr>
      </w:pPr>
      <w:r>
        <w:rPr>
          <w:rFonts w:ascii="Arial" w:cs="Arial" w:eastAsia="Arial" w:hAnsi="Arial"/>
          <w:sz w:val="18"/>
          <w:szCs w:val="18"/>
          <w:color w:val="auto"/>
        </w:rPr>
        <w:t>X] ANNUAL REPORT PURSUANT TO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December 31, 2009</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OR</w:t>
      </w:r>
    </w:p>
    <w:p>
      <w:pPr>
        <w:spacing w:after="0" w:line="151" w:lineRule="exact"/>
        <w:rPr>
          <w:sz w:val="24"/>
          <w:szCs w:val="24"/>
          <w:color w:val="auto"/>
        </w:rPr>
      </w:pPr>
    </w:p>
    <w:p>
      <w:pPr>
        <w:ind w:left="3960" w:right="3020" w:hanging="931"/>
        <w:spacing w:after="0" w:line="308" w:lineRule="auto"/>
        <w:tabs>
          <w:tab w:leader="none" w:pos="3187" w:val="left"/>
        </w:tabs>
        <w:numPr>
          <w:ilvl w:val="0"/>
          <w:numId w:val="2"/>
        </w:numPr>
        <w:rPr>
          <w:rFonts w:ascii="Arial" w:cs="Arial" w:eastAsia="Arial" w:hAnsi="Arial"/>
          <w:sz w:val="17"/>
          <w:szCs w:val="17"/>
          <w:color w:val="auto"/>
        </w:rPr>
      </w:pPr>
      <w:r>
        <w:rPr>
          <w:rFonts w:ascii="Arial" w:cs="Arial" w:eastAsia="Arial" w:hAnsi="Arial"/>
          <w:sz w:val="17"/>
          <w:szCs w:val="17"/>
          <w:color w:val="auto"/>
        </w:rPr>
        <w:t>] TRANSITION REPORT PURSUANT TO SECTION 13 OR 15(d) OF THE SECURITIES EXCHANGE ACT OF 1934</w:t>
      </w:r>
    </w:p>
    <w:p>
      <w:pPr>
        <w:spacing w:after="0" w:line="75" w:lineRule="exact"/>
        <w:rPr>
          <w:sz w:val="24"/>
          <w:szCs w:val="24"/>
          <w:color w:val="auto"/>
        </w:rPr>
      </w:pPr>
    </w:p>
    <w:p>
      <w:pPr>
        <w:ind w:left="4500"/>
        <w:spacing w:after="0"/>
        <w:tabs>
          <w:tab w:leader="none" w:pos="6520" w:val="left"/>
        </w:tabs>
        <w:rPr>
          <w:sz w:val="20"/>
          <w:szCs w:val="20"/>
          <w:color w:val="auto"/>
        </w:rPr>
      </w:pPr>
      <w:r>
        <w:rPr>
          <w:rFonts w:ascii="Arial" w:cs="Arial" w:eastAsia="Arial" w:hAnsi="Arial"/>
          <w:sz w:val="14"/>
          <w:szCs w:val="14"/>
          <w:color w:val="auto"/>
        </w:rPr>
        <w:t>For the transition period from</w:t>
      </w:r>
      <w:r>
        <w:rPr>
          <w:sz w:val="20"/>
          <w:szCs w:val="20"/>
          <w:color w:val="auto"/>
        </w:rPr>
        <w:tab/>
      </w:r>
      <w:r>
        <w:rPr>
          <w:rFonts w:ascii="Arial" w:cs="Arial" w:eastAsia="Arial" w:hAnsi="Arial"/>
          <w:sz w:val="11"/>
          <w:szCs w:val="1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3964940</wp:posOffset>
            </wp:positionH>
            <wp:positionV relativeFrom="paragraph">
              <wp:posOffset>-3810</wp:posOffset>
            </wp:positionV>
            <wp:extent cx="1600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20" cy="8890"/>
                    </a:xfrm>
                    <a:prstGeom prst="rect">
                      <a:avLst/>
                    </a:prstGeom>
                    <a:noFill/>
                  </pic:spPr>
                </pic:pic>
              </a:graphicData>
            </a:graphic>
          </wp:anchor>
        </w:drawing>
        <w:drawing>
          <wp:anchor simplePos="0" relativeHeight="251657728" behindDoc="1" locked="0" layoutInCell="0" allowOverlap="1">
            <wp:simplePos x="0" y="0"/>
            <wp:positionH relativeFrom="column">
              <wp:posOffset>4241165</wp:posOffset>
            </wp:positionH>
            <wp:positionV relativeFrom="paragraph">
              <wp:posOffset>-3810</wp:posOffset>
            </wp:positionV>
            <wp:extent cx="160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20"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0-18761</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HANSEN NATURAL CORPORATION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373" w:right="239" w:bottom="0" w:gutter="0" w:footer="0" w:header="0"/>
        </w:sectPr>
      </w:pPr>
    </w:p>
    <w:p>
      <w:pPr>
        <w:spacing w:after="0" w:line="126" w:lineRule="exact"/>
        <w:rPr>
          <w:sz w:val="24"/>
          <w:szCs w:val="24"/>
          <w:color w:val="auto"/>
        </w:rPr>
      </w:pPr>
    </w:p>
    <w:p>
      <w:pPr>
        <w:ind w:left="260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3660"/>
        <w:spacing w:after="0"/>
        <w:rPr>
          <w:sz w:val="20"/>
          <w:szCs w:val="20"/>
          <w:color w:val="auto"/>
        </w:rPr>
      </w:pPr>
      <w:r>
        <w:rPr>
          <w:rFonts w:ascii="Arial" w:cs="Arial" w:eastAsia="Arial" w:hAnsi="Arial"/>
          <w:sz w:val="16"/>
          <w:szCs w:val="16"/>
          <w:color w:val="auto"/>
        </w:rPr>
        <w:t>39-1679918</w:t>
      </w:r>
    </w:p>
    <w:p>
      <w:pPr>
        <w:spacing w:after="0" w:line="43" w:lineRule="exact"/>
        <w:rPr>
          <w:sz w:val="24"/>
          <w:szCs w:val="24"/>
          <w:color w:val="auto"/>
        </w:rPr>
      </w:pPr>
    </w:p>
    <w:p>
      <w:pPr>
        <w:sectPr>
          <w:pgSz w:w="11900" w:h="16838" w:orient="portrait"/>
          <w:cols w:equalWidth="0" w:num="2">
            <w:col w:w="6080" w:space="720"/>
            <w:col w:w="4620"/>
          </w:cols>
          <w:pgMar w:left="240" w:top="373" w:right="239" w:bottom="0" w:gutter="0" w:footer="0" w:header="0"/>
          <w:type w:val="continuous"/>
        </w:sectPr>
      </w:pPr>
    </w:p>
    <w:p>
      <w:pPr>
        <w:spacing w:after="0" w:line="12" w:lineRule="exact"/>
        <w:rPr>
          <w:sz w:val="24"/>
          <w:szCs w:val="24"/>
          <w:color w:val="auto"/>
        </w:rPr>
      </w:pPr>
    </w:p>
    <w:p>
      <w:pPr>
        <w:ind w:left="2600"/>
        <w:spacing w:after="0"/>
        <w:rPr>
          <w:sz w:val="20"/>
          <w:szCs w:val="20"/>
          <w:color w:val="auto"/>
        </w:rPr>
      </w:pPr>
      <w:r>
        <w:rPr>
          <w:rFonts w:ascii="Arial" w:cs="Arial" w:eastAsia="Arial" w:hAnsi="Arial"/>
          <w:sz w:val="13"/>
          <w:szCs w:val="13"/>
          <w:color w:val="auto"/>
        </w:rPr>
        <w:t>(State or other jurisdiction of</w:t>
      </w:r>
    </w:p>
    <w:p>
      <w:pPr>
        <w:ind w:left="260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138" w:lineRule="exact"/>
        <w:rPr>
          <w:sz w:val="24"/>
          <w:szCs w:val="24"/>
          <w:color w:val="auto"/>
        </w:rPr>
      </w:pPr>
    </w:p>
    <w:p>
      <w:pPr>
        <w:sectPr>
          <w:pgSz w:w="11900" w:h="16838" w:orient="portrait"/>
          <w:cols w:equalWidth="0" w:num="2">
            <w:col w:w="6080" w:space="720"/>
            <w:col w:w="4620"/>
          </w:cols>
          <w:pgMar w:left="240" w:top="373" w:right="239" w:bottom="0" w:gutter="0" w:footer="0" w:header="0"/>
          <w:type w:val="continuous"/>
        </w:sectPr>
      </w:pPr>
    </w:p>
    <w:p>
      <w:pPr>
        <w:jc w:val="center"/>
        <w:spacing w:after="0"/>
        <w:rPr>
          <w:sz w:val="20"/>
          <w:szCs w:val="20"/>
          <w:color w:val="auto"/>
        </w:rPr>
      </w:pPr>
      <w:r>
        <w:rPr>
          <w:rFonts w:ascii="Arial" w:cs="Arial" w:eastAsia="Arial" w:hAnsi="Arial"/>
          <w:sz w:val="18"/>
          <w:szCs w:val="18"/>
          <w:color w:val="auto"/>
        </w:rPr>
        <w:t>550 Monica Circle, Suite 201, Corona, California 92880</w:t>
      </w:r>
    </w:p>
    <w:p>
      <w:pPr>
        <w:spacing w:after="0" w:line="38"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5"/>
          <w:szCs w:val="15"/>
          <w:color w:val="auto"/>
        </w:rPr>
        <w:t>(Address of principal executive offices)</w:t>
      </w:r>
      <w:r>
        <w:rPr>
          <w:sz w:val="20"/>
          <w:szCs w:val="20"/>
          <w:color w:val="auto"/>
        </w:rPr>
        <w:tab/>
      </w:r>
      <w:r>
        <w:rPr>
          <w:rFonts w:ascii="Arial" w:cs="Arial" w:eastAsia="Arial" w:hAnsi="Arial"/>
          <w:sz w:val="14"/>
          <w:szCs w:val="14"/>
          <w:color w:val="auto"/>
        </w:rPr>
        <w:t>(Zip Code)</w:t>
      </w:r>
    </w:p>
    <w:p>
      <w:pPr>
        <w:sectPr>
          <w:pgSz w:w="11900" w:h="16838" w:orient="portrait"/>
          <w:cols w:equalWidth="0" w:num="1">
            <w:col w:w="11420"/>
          </w:cols>
          <w:pgMar w:left="240" w:top="373" w:right="239" w:bottom="0" w:gutter="0" w:footer="0" w:header="0"/>
          <w:type w:val="continuous"/>
        </w:sectPr>
      </w:pP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(951) 739 - 6200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1" w:lineRule="exact"/>
        <w:rPr>
          <w:sz w:val="24"/>
          <w:szCs w:val="24"/>
          <w:color w:val="auto"/>
        </w:rPr>
      </w:pPr>
    </w:p>
    <w:tbl>
      <w:tblPr>
        <w:tblLayout w:type="fixed"/>
        <w:tblInd w:w="130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3540" w:type="dxa"/>
            <w:vAlign w:val="bottom"/>
          </w:tcPr>
          <w:p>
            <w:pPr>
              <w:spacing w:after="0"/>
              <w:rPr>
                <w:sz w:val="18"/>
                <w:szCs w:val="18"/>
                <w:color w:val="auto"/>
              </w:rPr>
            </w:pPr>
          </w:p>
        </w:tc>
        <w:tc>
          <w:tcPr>
            <w:tcW w:w="3180" w:type="dxa"/>
            <w:vAlign w:val="bottom"/>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37"/>
        </w:trPr>
        <w:tc>
          <w:tcPr>
            <w:tcW w:w="5740" w:type="dxa"/>
            <w:vAlign w:val="bottom"/>
            <w:gridSpan w:val="3"/>
          </w:tcPr>
          <w:p>
            <w:pPr>
              <w:jc w:val="center"/>
              <w:ind w:right="2720"/>
              <w:spacing w:after="0"/>
              <w:rPr>
                <w:sz w:val="20"/>
                <w:szCs w:val="20"/>
                <w:color w:val="auto"/>
              </w:rPr>
            </w:pPr>
            <w:r>
              <w:rPr>
                <w:rFonts w:ascii="Arial" w:cs="Arial" w:eastAsia="Arial" w:hAnsi="Arial"/>
                <w:sz w:val="18"/>
                <w:szCs w:val="18"/>
                <w:color w:val="auto"/>
                <w:w w:val="89"/>
              </w:rPr>
              <w:t>Common Stock, $.005 par value per share</w:t>
            </w:r>
          </w:p>
        </w:tc>
        <w:tc>
          <w:tcPr>
            <w:tcW w:w="31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Nasdaq Global Select Market</w:t>
            </w: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25" w:lineRule="exact"/>
        <w:rPr>
          <w:sz w:val="24"/>
          <w:szCs w:val="24"/>
          <w:color w:val="auto"/>
        </w:rPr>
      </w:pPr>
    </w:p>
    <w:p>
      <w:pPr>
        <w:ind w:left="660"/>
        <w:spacing w:after="0" w:line="207" w:lineRule="exact"/>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r>
        <w:rPr>
          <w:rFonts w:ascii="MS PGothic" w:cs="MS PGothic" w:eastAsia="MS PGothic" w:hAnsi="MS PGothic"/>
          <w:sz w:val="18"/>
          <w:szCs w:val="18"/>
          <w:color w:val="auto"/>
        </w:rPr>
        <w:t>☑</w:t>
      </w:r>
      <w:r>
        <w:rPr>
          <w:rFonts w:ascii="Arial" w:cs="Arial" w:eastAsia="Arial" w:hAnsi="Arial"/>
          <w:sz w:val="16"/>
          <w:szCs w:val="16"/>
          <w:color w:val="auto"/>
        </w:rPr>
        <w:t xml:space="preserve"> No</w:t>
      </w:r>
      <w:r>
        <w:rPr>
          <w:rFonts w:ascii="Arial" w:cs="Arial" w:eastAsia="Arial" w:hAnsi="Arial"/>
          <w:sz w:val="18"/>
          <w:szCs w:val="18"/>
          <w:color w:val="auto"/>
        </w:rPr>
        <w:t>o</w:t>
      </w:r>
    </w:p>
    <w:p>
      <w:pPr>
        <w:spacing w:after="0" w:line="158" w:lineRule="exact"/>
        <w:rPr>
          <w:sz w:val="24"/>
          <w:szCs w:val="24"/>
          <w:color w:val="auto"/>
        </w:rPr>
      </w:pPr>
    </w:p>
    <w:p>
      <w:pPr>
        <w:ind w:left="660"/>
        <w:spacing w:after="0" w:line="207" w:lineRule="exact"/>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 Yes</w:t>
      </w:r>
      <w:r>
        <w:rPr>
          <w:rFonts w:ascii="Arial" w:cs="Arial" w:eastAsia="Arial" w:hAnsi="Arial"/>
          <w:sz w:val="18"/>
          <w:szCs w:val="18"/>
          <w:color w:val="auto"/>
        </w:rPr>
        <w:t>o</w:t>
      </w:r>
      <w:r>
        <w:rPr>
          <w:rFonts w:ascii="Arial" w:cs="Arial" w:eastAsia="Arial" w:hAnsi="Arial"/>
          <w:sz w:val="16"/>
          <w:szCs w:val="16"/>
          <w:color w:val="auto"/>
        </w:rPr>
        <w:t xml:space="preserve"> No</w:t>
      </w:r>
      <w:r>
        <w:rPr>
          <w:rFonts w:ascii="MS PGothic" w:cs="MS PGothic" w:eastAsia="MS PGothic" w:hAnsi="MS PGothic"/>
          <w:sz w:val="18"/>
          <w:szCs w:val="18"/>
          <w:color w:val="auto"/>
        </w:rPr>
        <w:t>☑</w:t>
      </w:r>
    </w:p>
    <w:p>
      <w:pPr>
        <w:spacing w:after="0" w:line="195" w:lineRule="exact"/>
        <w:rPr>
          <w:sz w:val="24"/>
          <w:szCs w:val="24"/>
          <w:color w:val="auto"/>
        </w:rPr>
      </w:pPr>
    </w:p>
    <w:p>
      <w:pPr>
        <w:ind w:firstLine="648"/>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Arial" w:cs="Arial" w:eastAsia="Arial" w:hAnsi="Arial"/>
          <w:sz w:val="18"/>
          <w:szCs w:val="18"/>
          <w:color w:val="auto"/>
        </w:rPr>
        <w:t>o</w:t>
      </w:r>
    </w:p>
    <w:p>
      <w:pPr>
        <w:spacing w:after="0" w:line="116" w:lineRule="exact"/>
        <w:rPr>
          <w:sz w:val="24"/>
          <w:szCs w:val="24"/>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118" w:lineRule="exact"/>
        <w:rPr>
          <w:sz w:val="24"/>
          <w:szCs w:val="24"/>
          <w:color w:val="auto"/>
        </w:rPr>
      </w:pPr>
    </w:p>
    <w:p>
      <w:pPr>
        <w:ind w:firstLine="648"/>
        <w:spacing w:after="0" w:line="22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120" w:lineRule="exact"/>
        <w:rPr>
          <w:sz w:val="24"/>
          <w:szCs w:val="24"/>
          <w:color w:val="auto"/>
        </w:rPr>
      </w:pPr>
    </w:p>
    <w:p>
      <w:pPr>
        <w:ind w:firstLine="648"/>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p>
      <w:pPr>
        <w:ind w:right="3900" w:firstLine="247"/>
        <w:spacing w:after="0" w:line="229"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6"/>
          <w:szCs w:val="16"/>
          <w:color w:val="auto"/>
        </w:rPr>
        <w:t xml:space="preserve"> Accelerated filer </w:t>
      </w:r>
      <w:r>
        <w:rPr>
          <w:rFonts w:ascii="Arial" w:cs="Arial" w:eastAsia="Arial" w:hAnsi="Arial"/>
          <w:sz w:val="18"/>
          <w:szCs w:val="18"/>
          <w:color w:val="auto"/>
        </w:rPr>
        <w:t>o</w:t>
      </w:r>
      <w:r>
        <w:rPr>
          <w:rFonts w:ascii="Arial" w:cs="Arial" w:eastAsia="Arial" w:hAnsi="Arial"/>
          <w:sz w:val="16"/>
          <w:szCs w:val="16"/>
          <w:color w:val="auto"/>
        </w:rPr>
        <w:t xml:space="preserve"> Non-accelerated filer </w:t>
      </w:r>
      <w:r>
        <w:rPr>
          <w:rFonts w:ascii="Arial" w:cs="Arial" w:eastAsia="Arial" w:hAnsi="Arial"/>
          <w:sz w:val="18"/>
          <w:szCs w:val="18"/>
          <w:color w:val="auto"/>
        </w:rPr>
        <w:t>o</w:t>
      </w:r>
      <w:r>
        <w:rPr>
          <w:rFonts w:ascii="Arial" w:cs="Arial" w:eastAsia="Arial" w:hAnsi="Arial"/>
          <w:sz w:val="16"/>
          <w:szCs w:val="16"/>
          <w:color w:val="auto"/>
        </w:rPr>
        <w:t xml:space="preserve"> Smaller reporting company </w:t>
      </w:r>
      <w:r>
        <w:rPr>
          <w:rFonts w:ascii="Arial" w:cs="Arial" w:eastAsia="Arial" w:hAnsi="Arial"/>
          <w:sz w:val="18"/>
          <w:szCs w:val="18"/>
          <w:color w:val="auto"/>
        </w:rPr>
        <w:t>o</w:t>
      </w:r>
      <w:r>
        <w:rPr>
          <w:rFonts w:ascii="Arial" w:cs="Arial" w:eastAsia="Arial" w:hAnsi="Arial"/>
          <w:sz w:val="16"/>
          <w:szCs w:val="16"/>
          <w:color w:val="auto"/>
        </w:rPr>
        <w:t xml:space="preserve"> (Do not check if a smaller reporting company)</w:t>
      </w:r>
    </w:p>
    <w:p>
      <w:pPr>
        <w:spacing w:after="0" w:line="292" w:lineRule="exact"/>
        <w:rPr>
          <w:sz w:val="24"/>
          <w:szCs w:val="24"/>
          <w:color w:val="auto"/>
        </w:rPr>
      </w:pPr>
    </w:p>
    <w:p>
      <w:pPr>
        <w:ind w:left="660"/>
        <w:spacing w:after="0" w:line="184" w:lineRule="exact"/>
        <w:tabs>
          <w:tab w:leader="none" w:pos="8240" w:val="left"/>
        </w:tabs>
        <w:rPr>
          <w:sz w:val="20"/>
          <w:szCs w:val="20"/>
          <w:color w:val="auto"/>
        </w:rPr>
      </w:pPr>
      <w:r>
        <w:rPr>
          <w:rFonts w:ascii="Arial" w:cs="Arial" w:eastAsia="Arial" w:hAnsi="Arial"/>
          <w:sz w:val="16"/>
          <w:szCs w:val="16"/>
          <w:color w:val="auto"/>
        </w:rPr>
        <w:t>Indicate by check mark whether the registrant is a shell company (as defined by Rule 12b-2 of the Exchange Act.)</w:t>
      </w:r>
      <w:r>
        <w:rPr>
          <w:sz w:val="20"/>
          <w:szCs w:val="20"/>
          <w:color w:val="auto"/>
        </w:rPr>
        <w:tab/>
      </w:r>
      <w:r>
        <w:rPr>
          <w:rFonts w:ascii="Arial" w:cs="Arial" w:eastAsia="Arial" w:hAnsi="Arial"/>
          <w:sz w:val="14"/>
          <w:szCs w:val="14"/>
          <w:color w:val="auto"/>
        </w:rPr>
        <w:t xml:space="preserve">Yes o No </w:t>
      </w:r>
      <w:r>
        <w:rPr>
          <w:rFonts w:ascii="MS PGothic" w:cs="MS PGothic" w:eastAsia="MS PGothic" w:hAnsi="MS PGothic"/>
          <w:sz w:val="14"/>
          <w:szCs w:val="14"/>
          <w:color w:val="auto"/>
        </w:rPr>
        <w:t>☑</w:t>
      </w:r>
    </w:p>
    <w:p>
      <w:pPr>
        <w:spacing w:after="0" w:line="197" w:lineRule="exact"/>
        <w:rPr>
          <w:sz w:val="24"/>
          <w:szCs w:val="24"/>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was $2,302,152,482 computed by reference to the closing sale price for such stock on the NASDAQ Global Select Market on June 30, 2009, the last business day of the registrant’s most recently completed second fiscal quarter.</w:t>
      </w:r>
    </w:p>
    <w:p>
      <w:pPr>
        <w:spacing w:after="0" w:line="117" w:lineRule="exact"/>
        <w:rPr>
          <w:sz w:val="24"/>
          <w:szCs w:val="24"/>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number of shares of the registrant’s common stock, $0.005 par value per share (being the only class of common stock of the registrant), outstanding on February 12, 2010 was 88,160,693 shares.</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DOCUMENTS INCORPORATED BY REFERENCE:</w:t>
      </w:r>
    </w:p>
    <w:p>
      <w:pPr>
        <w:spacing w:after="0" w:line="167" w:lineRule="exact"/>
        <w:rPr>
          <w:sz w:val="24"/>
          <w:szCs w:val="24"/>
          <w:color w:val="auto"/>
        </w:rPr>
      </w:pPr>
    </w:p>
    <w:p>
      <w:pPr>
        <w:jc w:val="both"/>
        <w:ind w:firstLine="441"/>
        <w:spacing w:after="0" w:line="278" w:lineRule="auto"/>
        <w:rPr>
          <w:sz w:val="20"/>
          <w:szCs w:val="20"/>
          <w:color w:val="auto"/>
        </w:rPr>
      </w:pPr>
      <w:r>
        <w:rPr>
          <w:rFonts w:ascii="Arial" w:cs="Arial" w:eastAsia="Arial" w:hAnsi="Arial"/>
          <w:sz w:val="16"/>
          <w:szCs w:val="16"/>
          <w:color w:val="auto"/>
        </w:rPr>
        <w:t>Portions of the registrant’s Definitive Proxy Statement to be filed subsequent to the date hereof with the Commission pursuant to Regulation 14A in connection with the registrant’s 2010 Annual Meeting of Stockholders are incorporated by reference into Part III of this Report. Such Definitive Proxy Statement will be filed with the Securities and Exchange Commission no later than 120 days after the conclusion of the registrant’s fiscal year ended 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HANSEN NATURAL CORPORATION</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ectPr>
          <w:pgSz w:w="11900" w:h="16838" w:orient="portrait"/>
          <w:cols w:equalWidth="0" w:num="1">
            <w:col w:w="11420"/>
          </w:cols>
          <w:pgMar w:left="240" w:top="373" w:right="239" w:bottom="0" w:gutter="0" w:footer="0" w:header="0"/>
          <w:type w:val="continuous"/>
        </w:sectPr>
      </w:pPr>
    </w:p>
    <w:bookmarkStart w:id="1" w:name="page2"/>
    <w:bookmarkEnd w:id="1"/>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20" w:type="dxa"/>
            <w:vAlign w:val="bottom"/>
            <w:gridSpan w:val="4"/>
          </w:tcPr>
          <w:p>
            <w:pPr>
              <w:ind w:left="660"/>
              <w:spacing w:after="0"/>
              <w:rPr>
                <w:sz w:val="20"/>
                <w:szCs w:val="20"/>
                <w:color w:val="auto"/>
              </w:rPr>
            </w:pPr>
            <w:r>
              <w:rPr>
                <w:rFonts w:ascii="Arial" w:cs="Arial" w:eastAsia="Arial" w:hAnsi="Arial"/>
                <w:sz w:val="20"/>
                <w:szCs w:val="20"/>
                <w:b w:val="1"/>
                <w:bCs w:val="1"/>
                <w:color w:val="auto"/>
              </w:rPr>
              <w:t>TABLE OF CONTENTS</w:t>
            </w:r>
          </w:p>
        </w:tc>
      </w:tr>
      <w:tr>
        <w:trPr>
          <w:trHeight w:val="415"/>
        </w:trPr>
        <w:tc>
          <w:tcPr>
            <w:tcW w:w="1160" w:type="dxa"/>
            <w:vAlign w:val="bottom"/>
            <w:tcBorders>
              <w:bottom w:val="single" w:sz="8" w:color="auto"/>
            </w:tcBorders>
            <w:gridSpan w:val="6"/>
          </w:tcPr>
          <w:p>
            <w:pPr>
              <w:spacing w:after="0"/>
              <w:rPr>
                <w:sz w:val="20"/>
                <w:szCs w:val="20"/>
                <w:color w:val="auto"/>
              </w:rPr>
            </w:pPr>
            <w:r>
              <w:rPr>
                <w:rFonts w:ascii="Arial" w:cs="Arial" w:eastAsia="Arial" w:hAnsi="Arial"/>
                <w:sz w:val="20"/>
                <w:szCs w:val="20"/>
                <w:b w:val="1"/>
                <w:bCs w:val="1"/>
                <w:color w:val="auto"/>
                <w:w w:val="93"/>
              </w:rPr>
              <w:t>Item Number</w:t>
            </w:r>
          </w:p>
        </w:tc>
        <w:tc>
          <w:tcPr>
            <w:tcW w:w="2840" w:type="dxa"/>
            <w:vAlign w:val="bottom"/>
            <w:gridSpan w:val="6"/>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8"/>
              </w:rPr>
              <w:t>Page Number</w:t>
            </w:r>
          </w:p>
        </w:tc>
      </w:tr>
      <w:tr>
        <w:trPr>
          <w:trHeight w:val="210"/>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Borders>
              <w:bottom w:val="single" w:sz="8" w:color="0000EE"/>
            </w:tcBorders>
          </w:tcPr>
          <w:p>
            <w:pPr>
              <w:spacing w:after="0" w:line="209" w:lineRule="exact"/>
              <w:rPr>
                <w:rFonts w:ascii="Arial" w:cs="Arial" w:eastAsia="Arial" w:hAnsi="Arial"/>
                <w:sz w:val="20"/>
                <w:szCs w:val="20"/>
                <w:b w:val="1"/>
                <w:bCs w:val="1"/>
                <w:color w:val="0000EE"/>
                <w:w w:val="94"/>
              </w:rPr>
            </w:pPr>
            <w:hyperlink w:anchor="page2">
              <w:r>
                <w:rPr>
                  <w:rFonts w:ascii="Arial" w:cs="Arial" w:eastAsia="Arial" w:hAnsi="Arial"/>
                  <w:sz w:val="20"/>
                  <w:szCs w:val="20"/>
                  <w:b w:val="1"/>
                  <w:bCs w:val="1"/>
                  <w:color w:val="0000EE"/>
                  <w:w w:val="94"/>
                </w:rPr>
                <w:t>PART I</w:t>
              </w:r>
            </w:hyperlink>
          </w:p>
        </w:tc>
        <w:tc>
          <w:tcPr>
            <w:tcW w:w="5760" w:type="dxa"/>
            <w:vAlign w:val="bottom"/>
            <w:gridSpan w:val="2"/>
          </w:tcPr>
          <w:p>
            <w:pPr>
              <w:spacing w:after="0"/>
              <w:rPr>
                <w:sz w:val="18"/>
                <w:szCs w:val="18"/>
                <w:color w:val="auto"/>
              </w:rPr>
            </w:pPr>
          </w:p>
        </w:tc>
      </w:tr>
      <w:tr>
        <w:trPr>
          <w:trHeight w:val="439"/>
        </w:trPr>
        <w:tc>
          <w:tcPr>
            <w:tcW w:w="820" w:type="dxa"/>
            <w:vAlign w:val="bottom"/>
            <w:gridSpan w:val="3"/>
          </w:tcPr>
          <w:p>
            <w:pPr>
              <w:jc w:val="right"/>
              <w:spacing w:after="0"/>
              <w:rPr>
                <w:rFonts w:ascii="Arial" w:cs="Arial" w:eastAsia="Arial" w:hAnsi="Arial"/>
                <w:sz w:val="20"/>
                <w:szCs w:val="20"/>
                <w:color w:val="0000EE"/>
              </w:rPr>
            </w:pPr>
            <w:hyperlink w:anchor="page2">
              <w:r>
                <w:rPr>
                  <w:rFonts w:ascii="Arial" w:cs="Arial" w:eastAsia="Arial" w:hAnsi="Arial"/>
                  <w:sz w:val="20"/>
                  <w:szCs w:val="20"/>
                  <w:color w:val="0000EE"/>
                </w:rPr>
                <w:t>1.</w:t>
              </w:r>
            </w:hyperlink>
          </w:p>
        </w:tc>
        <w:tc>
          <w:tcPr>
            <w:tcW w:w="140" w:type="dxa"/>
            <w:vAlign w:val="bottom"/>
          </w:tcPr>
          <w:p>
            <w:pPr>
              <w:spacing w:after="0"/>
              <w:rPr>
                <w:sz w:val="24"/>
                <w:szCs w:val="24"/>
                <w:color w:val="auto"/>
              </w:rPr>
            </w:pPr>
          </w:p>
        </w:tc>
        <w:tc>
          <w:tcPr>
            <w:tcW w:w="3040" w:type="dxa"/>
            <w:vAlign w:val="bottom"/>
            <w:gridSpan w:val="8"/>
          </w:tcPr>
          <w:p>
            <w:pPr>
              <w:ind w:left="120"/>
              <w:spacing w:after="0"/>
              <w:rPr>
                <w:rFonts w:ascii="Arial" w:cs="Arial" w:eastAsia="Arial" w:hAnsi="Arial"/>
                <w:sz w:val="20"/>
                <w:szCs w:val="20"/>
                <w:color w:val="0000EE"/>
              </w:rPr>
            </w:pPr>
            <w:hyperlink w:anchor="page2">
              <w:r>
                <w:rPr>
                  <w:rFonts w:ascii="Arial" w:cs="Arial" w:eastAsia="Arial" w:hAnsi="Arial"/>
                  <w:sz w:val="20"/>
                  <w:szCs w:val="20"/>
                  <w:color w:val="0000EE"/>
                </w:rPr>
                <w:t>Business</w:t>
              </w:r>
            </w:hyperlink>
          </w:p>
        </w:tc>
        <w:tc>
          <w:tcPr>
            <w:tcW w:w="7220" w:type="dxa"/>
            <w:vAlign w:val="bottom"/>
            <w:gridSpan w:val="4"/>
          </w:tcPr>
          <w:p>
            <w:pPr>
              <w:jc w:val="center"/>
              <w:ind w:left="5981"/>
              <w:spacing w:after="0"/>
              <w:rPr>
                <w:sz w:val="20"/>
                <w:szCs w:val="20"/>
                <w:color w:val="auto"/>
              </w:rPr>
            </w:pPr>
            <w:r>
              <w:rPr>
                <w:rFonts w:ascii="Arial" w:cs="Arial" w:eastAsia="Arial" w:hAnsi="Arial"/>
                <w:sz w:val="20"/>
                <w:szCs w:val="20"/>
                <w:color w:val="auto"/>
                <w:w w:val="89"/>
              </w:rPr>
              <w:t>3</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20" w:type="dxa"/>
            <w:vAlign w:val="bottom"/>
            <w:gridSpan w:val="4"/>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280" w:type="dxa"/>
            <w:vAlign w:val="bottom"/>
            <w:gridSpan w:val="2"/>
          </w:tcPr>
          <w:p>
            <w:pPr>
              <w:jc w:val="right"/>
              <w:spacing w:after="0" w:line="209" w:lineRule="exact"/>
              <w:rPr>
                <w:rFonts w:ascii="Arial" w:cs="Arial" w:eastAsia="Arial" w:hAnsi="Arial"/>
                <w:sz w:val="20"/>
                <w:szCs w:val="20"/>
                <w:color w:val="0000EE"/>
                <w:w w:val="86"/>
              </w:rPr>
            </w:pPr>
            <w:hyperlink w:anchor="page12">
              <w:r>
                <w:rPr>
                  <w:rFonts w:ascii="Arial" w:cs="Arial" w:eastAsia="Arial" w:hAnsi="Arial"/>
                  <w:sz w:val="20"/>
                  <w:szCs w:val="20"/>
                  <w:color w:val="0000EE"/>
                  <w:w w:val="86"/>
                </w:rPr>
                <w:t>1A.</w:t>
              </w:r>
            </w:hyperlink>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7"/>
          </w:tcPr>
          <w:p>
            <w:pPr>
              <w:spacing w:after="0" w:line="209" w:lineRule="exact"/>
              <w:rPr>
                <w:rFonts w:ascii="Arial" w:cs="Arial" w:eastAsia="Arial" w:hAnsi="Arial"/>
                <w:sz w:val="20"/>
                <w:szCs w:val="20"/>
                <w:color w:val="0000EE"/>
              </w:rPr>
            </w:pPr>
            <w:hyperlink w:anchor="page12">
              <w:r>
                <w:rPr>
                  <w:rFonts w:ascii="Arial" w:cs="Arial" w:eastAsia="Arial" w:hAnsi="Arial"/>
                  <w:sz w:val="20"/>
                  <w:szCs w:val="20"/>
                  <w:color w:val="0000EE"/>
                </w:rPr>
                <w:t>Risk Factors</w:t>
              </w:r>
            </w:hyperlink>
          </w:p>
        </w:tc>
        <w:tc>
          <w:tcPr>
            <w:tcW w:w="7220" w:type="dxa"/>
            <w:vAlign w:val="bottom"/>
            <w:gridSpan w:val="4"/>
          </w:tcPr>
          <w:p>
            <w:pPr>
              <w:jc w:val="center"/>
              <w:ind w:left="5961"/>
              <w:spacing w:after="0" w:line="209" w:lineRule="exact"/>
              <w:rPr>
                <w:sz w:val="20"/>
                <w:szCs w:val="20"/>
                <w:color w:val="auto"/>
              </w:rPr>
            </w:pPr>
            <w:r>
              <w:rPr>
                <w:rFonts w:ascii="Arial" w:cs="Arial" w:eastAsia="Arial" w:hAnsi="Arial"/>
                <w:sz w:val="20"/>
                <w:szCs w:val="20"/>
                <w:color w:val="auto"/>
                <w:w w:val="89"/>
              </w:rPr>
              <w:t>18</w:t>
            </w: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20" w:type="dxa"/>
            <w:vAlign w:val="bottom"/>
            <w:gridSpan w:val="4"/>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280" w:type="dxa"/>
            <w:vAlign w:val="bottom"/>
            <w:tcBorders>
              <w:bottom w:val="single" w:sz="8" w:color="0000EE"/>
            </w:tcBorders>
            <w:gridSpan w:val="2"/>
          </w:tcPr>
          <w:p>
            <w:pPr>
              <w:jc w:val="right"/>
              <w:spacing w:after="0" w:line="209" w:lineRule="exact"/>
              <w:rPr>
                <w:rFonts w:ascii="Arial" w:cs="Arial" w:eastAsia="Arial" w:hAnsi="Arial"/>
                <w:sz w:val="20"/>
                <w:szCs w:val="20"/>
                <w:color w:val="0000EE"/>
                <w:w w:val="86"/>
              </w:rPr>
            </w:pPr>
            <w:hyperlink w:anchor="page17">
              <w:r>
                <w:rPr>
                  <w:rFonts w:ascii="Arial" w:cs="Arial" w:eastAsia="Arial" w:hAnsi="Arial"/>
                  <w:sz w:val="20"/>
                  <w:szCs w:val="20"/>
                  <w:color w:val="0000EE"/>
                  <w:w w:val="86"/>
                </w:rPr>
                <w:t>1B.</w:t>
              </w:r>
            </w:hyperlink>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bottom w:val="single" w:sz="8" w:color="0000EE"/>
            </w:tcBorders>
            <w:gridSpan w:val="6"/>
          </w:tcPr>
          <w:p>
            <w:pPr>
              <w:spacing w:after="0" w:line="209" w:lineRule="exact"/>
              <w:rPr>
                <w:rFonts w:ascii="Arial" w:cs="Arial" w:eastAsia="Arial" w:hAnsi="Arial"/>
                <w:sz w:val="20"/>
                <w:szCs w:val="20"/>
                <w:color w:val="0000EE"/>
                <w:w w:val="89"/>
              </w:rPr>
            </w:pPr>
            <w:hyperlink w:anchor="page17">
              <w:r>
                <w:rPr>
                  <w:rFonts w:ascii="Arial" w:cs="Arial" w:eastAsia="Arial" w:hAnsi="Arial"/>
                  <w:sz w:val="20"/>
                  <w:szCs w:val="20"/>
                  <w:color w:val="0000EE"/>
                  <w:w w:val="89"/>
                </w:rPr>
                <w:t>Unresolved Staff Comments</w:t>
              </w:r>
            </w:hyperlink>
          </w:p>
        </w:tc>
        <w:tc>
          <w:tcPr>
            <w:tcW w:w="660" w:type="dxa"/>
            <w:vAlign w:val="bottom"/>
          </w:tcPr>
          <w:p>
            <w:pPr>
              <w:spacing w:after="0"/>
              <w:rPr>
                <w:sz w:val="18"/>
                <w:szCs w:val="18"/>
                <w:color w:val="auto"/>
              </w:rPr>
            </w:pPr>
          </w:p>
        </w:tc>
        <w:tc>
          <w:tcPr>
            <w:tcW w:w="7220" w:type="dxa"/>
            <w:vAlign w:val="bottom"/>
            <w:gridSpan w:val="4"/>
          </w:tcPr>
          <w:p>
            <w:pPr>
              <w:jc w:val="center"/>
              <w:ind w:left="5961"/>
              <w:spacing w:after="0" w:line="209" w:lineRule="exact"/>
              <w:rPr>
                <w:sz w:val="20"/>
                <w:szCs w:val="20"/>
                <w:color w:val="auto"/>
              </w:rPr>
            </w:pPr>
            <w:r>
              <w:rPr>
                <w:rFonts w:ascii="Arial" w:cs="Arial" w:eastAsia="Arial" w:hAnsi="Arial"/>
                <w:sz w:val="20"/>
                <w:szCs w:val="20"/>
                <w:color w:val="auto"/>
                <w:w w:val="89"/>
              </w:rPr>
              <w:t>26</w:t>
            </w: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17">
              <w:r>
                <w:rPr>
                  <w:rFonts w:ascii="Arial" w:cs="Arial" w:eastAsia="Arial" w:hAnsi="Arial"/>
                  <w:sz w:val="20"/>
                  <w:szCs w:val="20"/>
                  <w:color w:val="0000EE"/>
                </w:rPr>
                <w:t>2.</w:t>
              </w:r>
            </w:hyperlink>
          </w:p>
        </w:tc>
        <w:tc>
          <w:tcPr>
            <w:tcW w:w="140" w:type="dxa"/>
            <w:vAlign w:val="bottom"/>
          </w:tcPr>
          <w:p>
            <w:pPr>
              <w:spacing w:after="0"/>
              <w:rPr>
                <w:sz w:val="18"/>
                <w:szCs w:val="18"/>
                <w:color w:val="auto"/>
              </w:rPr>
            </w:pPr>
          </w:p>
        </w:tc>
        <w:tc>
          <w:tcPr>
            <w:tcW w:w="3040" w:type="dxa"/>
            <w:vAlign w:val="bottom"/>
            <w:gridSpan w:val="8"/>
          </w:tcPr>
          <w:p>
            <w:pPr>
              <w:ind w:left="120"/>
              <w:spacing w:after="0" w:line="209" w:lineRule="exact"/>
              <w:rPr>
                <w:rFonts w:ascii="Arial" w:cs="Arial" w:eastAsia="Arial" w:hAnsi="Arial"/>
                <w:sz w:val="20"/>
                <w:szCs w:val="20"/>
                <w:color w:val="0000EE"/>
              </w:rPr>
            </w:pPr>
            <w:hyperlink w:anchor="page17">
              <w:r>
                <w:rPr>
                  <w:rFonts w:ascii="Arial" w:cs="Arial" w:eastAsia="Arial" w:hAnsi="Arial"/>
                  <w:sz w:val="20"/>
                  <w:szCs w:val="20"/>
                  <w:color w:val="0000EE"/>
                </w:rPr>
                <w:t>Properties</w:t>
              </w:r>
            </w:hyperlink>
          </w:p>
        </w:tc>
        <w:tc>
          <w:tcPr>
            <w:tcW w:w="7220" w:type="dxa"/>
            <w:vAlign w:val="bottom"/>
            <w:gridSpan w:val="4"/>
          </w:tcPr>
          <w:p>
            <w:pPr>
              <w:jc w:val="center"/>
              <w:ind w:left="5961"/>
              <w:spacing w:after="0" w:line="209" w:lineRule="exact"/>
              <w:rPr>
                <w:sz w:val="20"/>
                <w:szCs w:val="20"/>
                <w:color w:val="auto"/>
              </w:rPr>
            </w:pPr>
            <w:r>
              <w:rPr>
                <w:rFonts w:ascii="Arial" w:cs="Arial" w:eastAsia="Arial" w:hAnsi="Arial"/>
                <w:sz w:val="20"/>
                <w:szCs w:val="20"/>
                <w:color w:val="auto"/>
                <w:w w:val="89"/>
              </w:rPr>
              <w:t>27</w:t>
            </w:r>
          </w:p>
        </w:tc>
      </w:tr>
      <w:tr>
        <w:trPr>
          <w:trHeight w:val="20"/>
        </w:trPr>
        <w:tc>
          <w:tcPr>
            <w:tcW w:w="68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220" w:type="dxa"/>
            <w:vAlign w:val="bottom"/>
            <w:gridSpan w:val="4"/>
          </w:tcPr>
          <w:p>
            <w:pPr>
              <w:spacing w:after="0" w:line="20" w:lineRule="exact"/>
              <w:rPr>
                <w:sz w:val="1"/>
                <w:szCs w:val="1"/>
                <w:color w:val="auto"/>
              </w:rPr>
            </w:pP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18">
              <w:r>
                <w:rPr>
                  <w:rFonts w:ascii="Arial" w:cs="Arial" w:eastAsia="Arial" w:hAnsi="Arial"/>
                  <w:sz w:val="20"/>
                  <w:szCs w:val="20"/>
                  <w:color w:val="0000EE"/>
                </w:rPr>
                <w:t>3.</w:t>
              </w:r>
            </w:hyperlink>
          </w:p>
        </w:tc>
        <w:tc>
          <w:tcPr>
            <w:tcW w:w="140" w:type="dxa"/>
            <w:vAlign w:val="bottom"/>
          </w:tcPr>
          <w:p>
            <w:pPr>
              <w:spacing w:after="0"/>
              <w:rPr>
                <w:sz w:val="18"/>
                <w:szCs w:val="18"/>
                <w:color w:val="auto"/>
              </w:rPr>
            </w:pPr>
          </w:p>
        </w:tc>
        <w:tc>
          <w:tcPr>
            <w:tcW w:w="3040" w:type="dxa"/>
            <w:vAlign w:val="bottom"/>
            <w:gridSpan w:val="8"/>
          </w:tcPr>
          <w:p>
            <w:pPr>
              <w:ind w:left="120"/>
              <w:spacing w:after="0" w:line="209" w:lineRule="exact"/>
              <w:rPr>
                <w:rFonts w:ascii="Arial" w:cs="Arial" w:eastAsia="Arial" w:hAnsi="Arial"/>
                <w:sz w:val="20"/>
                <w:szCs w:val="20"/>
                <w:color w:val="0000EE"/>
              </w:rPr>
            </w:pPr>
            <w:hyperlink w:anchor="page18">
              <w:r>
                <w:rPr>
                  <w:rFonts w:ascii="Arial" w:cs="Arial" w:eastAsia="Arial" w:hAnsi="Arial"/>
                  <w:sz w:val="20"/>
                  <w:szCs w:val="20"/>
                  <w:color w:val="0000EE"/>
                </w:rPr>
                <w:t>Legal Proceedings</w:t>
              </w:r>
            </w:hyperlink>
          </w:p>
        </w:tc>
        <w:tc>
          <w:tcPr>
            <w:tcW w:w="7220" w:type="dxa"/>
            <w:vAlign w:val="bottom"/>
            <w:gridSpan w:val="4"/>
          </w:tcPr>
          <w:p>
            <w:pPr>
              <w:jc w:val="center"/>
              <w:ind w:left="5961"/>
              <w:spacing w:after="0" w:line="209" w:lineRule="exact"/>
              <w:rPr>
                <w:sz w:val="20"/>
                <w:szCs w:val="20"/>
                <w:color w:val="auto"/>
              </w:rPr>
            </w:pPr>
            <w:r>
              <w:rPr>
                <w:rFonts w:ascii="Arial" w:cs="Arial" w:eastAsia="Arial" w:hAnsi="Arial"/>
                <w:sz w:val="20"/>
                <w:szCs w:val="20"/>
                <w:color w:val="auto"/>
                <w:w w:val="89"/>
              </w:rPr>
              <w:t>27</w:t>
            </w:r>
          </w:p>
        </w:tc>
      </w:tr>
      <w:tr>
        <w:trPr>
          <w:trHeight w:val="20"/>
        </w:trPr>
        <w:tc>
          <w:tcPr>
            <w:tcW w:w="68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220" w:type="dxa"/>
            <w:vAlign w:val="bottom"/>
            <w:gridSpan w:val="4"/>
          </w:tcPr>
          <w:p>
            <w:pPr>
              <w:spacing w:after="0" w:line="20" w:lineRule="exact"/>
              <w:rPr>
                <w:sz w:val="1"/>
                <w:szCs w:val="1"/>
                <w:color w:val="auto"/>
              </w:rPr>
            </w:pP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19">
              <w:r>
                <w:rPr>
                  <w:rFonts w:ascii="Arial" w:cs="Arial" w:eastAsia="Arial" w:hAnsi="Arial"/>
                  <w:sz w:val="20"/>
                  <w:szCs w:val="20"/>
                  <w:color w:val="0000EE"/>
                </w:rPr>
                <w:t>4.</w:t>
              </w:r>
            </w:hyperlink>
          </w:p>
        </w:tc>
        <w:tc>
          <w:tcPr>
            <w:tcW w:w="140" w:type="dxa"/>
            <w:vAlign w:val="bottom"/>
          </w:tcPr>
          <w:p>
            <w:pPr>
              <w:spacing w:after="0"/>
              <w:rPr>
                <w:sz w:val="18"/>
                <w:szCs w:val="18"/>
                <w:color w:val="auto"/>
              </w:rPr>
            </w:pPr>
          </w:p>
        </w:tc>
        <w:tc>
          <w:tcPr>
            <w:tcW w:w="3040" w:type="dxa"/>
            <w:vAlign w:val="bottom"/>
            <w:gridSpan w:val="8"/>
          </w:tcPr>
          <w:p>
            <w:pPr>
              <w:ind w:left="120"/>
              <w:spacing w:after="0" w:line="209" w:lineRule="exact"/>
              <w:rPr>
                <w:rFonts w:ascii="Arial" w:cs="Arial" w:eastAsia="Arial" w:hAnsi="Arial"/>
                <w:sz w:val="20"/>
                <w:szCs w:val="20"/>
                <w:color w:val="0000EE"/>
              </w:rPr>
            </w:pPr>
            <w:hyperlink w:anchor="page19">
              <w:r>
                <w:rPr>
                  <w:rFonts w:ascii="Arial" w:cs="Arial" w:eastAsia="Arial" w:hAnsi="Arial"/>
                  <w:sz w:val="20"/>
                  <w:szCs w:val="20"/>
                  <w:color w:val="0000EE"/>
                </w:rPr>
                <w:t>Reserved</w:t>
              </w:r>
            </w:hyperlink>
          </w:p>
        </w:tc>
        <w:tc>
          <w:tcPr>
            <w:tcW w:w="7220" w:type="dxa"/>
            <w:vAlign w:val="bottom"/>
            <w:gridSpan w:val="4"/>
          </w:tcPr>
          <w:p>
            <w:pPr>
              <w:jc w:val="center"/>
              <w:ind w:left="5961"/>
              <w:spacing w:after="0" w:line="209" w:lineRule="exact"/>
              <w:rPr>
                <w:sz w:val="20"/>
                <w:szCs w:val="20"/>
                <w:color w:val="auto"/>
              </w:rPr>
            </w:pPr>
            <w:r>
              <w:rPr>
                <w:rFonts w:ascii="Arial" w:cs="Arial" w:eastAsia="Arial" w:hAnsi="Arial"/>
                <w:sz w:val="20"/>
                <w:szCs w:val="20"/>
                <w:color w:val="auto"/>
                <w:w w:val="89"/>
              </w:rPr>
              <w:t>29</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34" w:lineRule="exact"/>
        <w:rPr>
          <w:sz w:val="20"/>
          <w:szCs w:val="20"/>
          <w:color w:val="auto"/>
        </w:rPr>
      </w:pPr>
    </w:p>
    <w:p>
      <w:pPr>
        <w:ind w:left="4780"/>
        <w:spacing w:after="0"/>
        <w:rPr>
          <w:rFonts w:ascii="Arial" w:cs="Arial" w:eastAsia="Arial" w:hAnsi="Arial"/>
          <w:sz w:val="20"/>
          <w:szCs w:val="20"/>
          <w:b w:val="1"/>
          <w:bCs w:val="1"/>
          <w:u w:val="single" w:color="auto"/>
          <w:color w:val="0000EE"/>
        </w:rPr>
      </w:pPr>
      <w:hyperlink w:anchor="page19">
        <w:r>
          <w:rPr>
            <w:rFonts w:ascii="Arial" w:cs="Arial" w:eastAsia="Arial" w:hAnsi="Arial"/>
            <w:sz w:val="20"/>
            <w:szCs w:val="20"/>
            <w:b w:val="1"/>
            <w:bCs w:val="1"/>
            <w:u w:val="single" w:color="auto"/>
            <w:color w:val="0000EE"/>
          </w:rPr>
          <w:t>PART II</w:t>
        </w:r>
      </w:hyperlink>
    </w:p>
    <w:p>
      <w:pPr>
        <w:spacing w:after="0" w:line="235" w:lineRule="exact"/>
        <w:rPr>
          <w:sz w:val="20"/>
          <w:szCs w:val="20"/>
          <w:color w:val="auto"/>
        </w:rPr>
      </w:pPr>
    </w:p>
    <w:p>
      <w:pPr>
        <w:ind w:left="1080" w:hanging="410"/>
        <w:spacing w:after="0"/>
        <w:tabs>
          <w:tab w:leader="none" w:pos="1080" w:val="left"/>
        </w:tabs>
        <w:numPr>
          <w:ilvl w:val="0"/>
          <w:numId w:val="3"/>
        </w:numPr>
        <w:rPr>
          <w:rFonts w:ascii="Arial" w:cs="Arial" w:eastAsia="Arial" w:hAnsi="Arial"/>
          <w:sz w:val="20"/>
          <w:szCs w:val="20"/>
          <w:u w:val="single" w:color="auto"/>
          <w:color w:val="0000EE"/>
        </w:rPr>
      </w:pPr>
      <w:hyperlink w:anchor="page19">
        <w:r>
          <w:rPr>
            <w:rFonts w:ascii="Arial" w:cs="Arial" w:eastAsia="Arial" w:hAnsi="Arial"/>
            <w:sz w:val="20"/>
            <w:szCs w:val="20"/>
            <w:u w:val="single" w:color="auto"/>
            <w:color w:val="0000EE"/>
          </w:rPr>
          <w:t>Market for the Registrant’s Common Equity, Related Stockholder Matters and Issuer Purchases of</w:t>
        </w:r>
      </w:hyperlink>
    </w:p>
    <w:tbl>
      <w:tblPr>
        <w:tblLayout w:type="fixed"/>
        <w:tblInd w:w="0" w:type="dxa"/>
        <w:tblCellMar>
          <w:top w:w="0" w:type="dxa"/>
          <w:left w:w="0" w:type="dxa"/>
          <w:bottom w:w="0" w:type="dxa"/>
          <w:right w:w="0" w:type="dxa"/>
        </w:tblCellMar>
      </w:tblPr>
      <w:tr>
        <w:trPr>
          <w:trHeight w:val="206"/>
        </w:trPr>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20" w:type="dxa"/>
            <w:vAlign w:val="bottom"/>
            <w:gridSpan w:val="19"/>
          </w:tcPr>
          <w:p>
            <w:pPr>
              <w:spacing w:after="0" w:line="206" w:lineRule="exact"/>
              <w:rPr>
                <w:rFonts w:ascii="Arial" w:cs="Arial" w:eastAsia="Arial" w:hAnsi="Arial"/>
                <w:sz w:val="20"/>
                <w:szCs w:val="20"/>
                <w:color w:val="0000EE"/>
              </w:rPr>
            </w:pPr>
            <w:hyperlink w:anchor="page19">
              <w:r>
                <w:rPr>
                  <w:rFonts w:ascii="Arial" w:cs="Arial" w:eastAsia="Arial" w:hAnsi="Arial"/>
                  <w:sz w:val="20"/>
                  <w:szCs w:val="20"/>
                  <w:color w:val="0000EE"/>
                </w:rPr>
                <w:t>Equity Securities</w:t>
              </w:r>
            </w:hyperlink>
          </w:p>
        </w:tc>
        <w:tc>
          <w:tcPr>
            <w:tcW w:w="2360" w:type="dxa"/>
            <w:vAlign w:val="bottom"/>
          </w:tcPr>
          <w:p>
            <w:pPr>
              <w:jc w:val="right"/>
              <w:ind w:right="621"/>
              <w:spacing w:after="0" w:line="206" w:lineRule="exact"/>
              <w:rPr>
                <w:sz w:val="20"/>
                <w:szCs w:val="20"/>
                <w:color w:val="auto"/>
              </w:rPr>
            </w:pPr>
            <w:r>
              <w:rPr>
                <w:rFonts w:ascii="Arial" w:cs="Arial" w:eastAsia="Arial" w:hAnsi="Arial"/>
                <w:sz w:val="20"/>
                <w:szCs w:val="20"/>
                <w:color w:val="auto"/>
              </w:rPr>
              <w:t>29</w:t>
            </w:r>
          </w:p>
        </w:tc>
      </w:tr>
      <w:tr>
        <w:trPr>
          <w:trHeight w:val="20"/>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0"/>
        </w:trPr>
        <w:tc>
          <w:tcPr>
            <w:tcW w:w="840" w:type="dxa"/>
            <w:vAlign w:val="bottom"/>
            <w:gridSpan w:val="6"/>
          </w:tcPr>
          <w:p>
            <w:pPr>
              <w:jc w:val="right"/>
              <w:ind w:right="20"/>
              <w:spacing w:after="0" w:line="209" w:lineRule="exact"/>
              <w:rPr>
                <w:rFonts w:ascii="Arial" w:cs="Arial" w:eastAsia="Arial" w:hAnsi="Arial"/>
                <w:sz w:val="20"/>
                <w:szCs w:val="20"/>
                <w:color w:val="0000EE"/>
              </w:rPr>
            </w:pPr>
            <w:hyperlink w:anchor="page21">
              <w:r>
                <w:rPr>
                  <w:rFonts w:ascii="Arial" w:cs="Arial" w:eastAsia="Arial" w:hAnsi="Arial"/>
                  <w:sz w:val="20"/>
                  <w:szCs w:val="20"/>
                  <w:color w:val="0000EE"/>
                </w:rPr>
                <w:t>6.</w:t>
              </w:r>
            </w:hyperlink>
          </w:p>
        </w:tc>
        <w:tc>
          <w:tcPr>
            <w:tcW w:w="120" w:type="dxa"/>
            <w:vAlign w:val="bottom"/>
          </w:tcPr>
          <w:p>
            <w:pPr>
              <w:spacing w:after="0"/>
              <w:rPr>
                <w:sz w:val="18"/>
                <w:szCs w:val="18"/>
                <w:color w:val="auto"/>
              </w:rPr>
            </w:pPr>
          </w:p>
        </w:tc>
        <w:tc>
          <w:tcPr>
            <w:tcW w:w="8140" w:type="dxa"/>
            <w:vAlign w:val="bottom"/>
            <w:gridSpan w:val="21"/>
          </w:tcPr>
          <w:p>
            <w:pPr>
              <w:ind w:left="120"/>
              <w:spacing w:after="0" w:line="209" w:lineRule="exact"/>
              <w:rPr>
                <w:rFonts w:ascii="Arial" w:cs="Arial" w:eastAsia="Arial" w:hAnsi="Arial"/>
                <w:sz w:val="20"/>
                <w:szCs w:val="20"/>
                <w:color w:val="0000EE"/>
              </w:rPr>
            </w:pPr>
            <w:hyperlink w:anchor="page21">
              <w:r>
                <w:rPr>
                  <w:rFonts w:ascii="Arial" w:cs="Arial" w:eastAsia="Arial" w:hAnsi="Arial"/>
                  <w:sz w:val="20"/>
                  <w:szCs w:val="20"/>
                  <w:color w:val="0000EE"/>
                </w:rPr>
                <w:t>Selected Financial Data</w:t>
              </w:r>
            </w:hyperlink>
          </w:p>
        </w:tc>
        <w:tc>
          <w:tcPr>
            <w:tcW w:w="2360" w:type="dxa"/>
            <w:vAlign w:val="bottom"/>
          </w:tcPr>
          <w:p>
            <w:pPr>
              <w:jc w:val="right"/>
              <w:ind w:right="621"/>
              <w:spacing w:after="0" w:line="209" w:lineRule="exact"/>
              <w:rPr>
                <w:sz w:val="20"/>
                <w:szCs w:val="20"/>
                <w:color w:val="auto"/>
              </w:rPr>
            </w:pPr>
            <w:r>
              <w:rPr>
                <w:rFonts w:ascii="Arial" w:cs="Arial" w:eastAsia="Arial" w:hAnsi="Arial"/>
                <w:sz w:val="20"/>
                <w:szCs w:val="20"/>
                <w:color w:val="auto"/>
              </w:rPr>
              <w:t>32</w:t>
            </w:r>
          </w:p>
        </w:tc>
      </w:tr>
      <w:tr>
        <w:trPr>
          <w:trHeight w:val="20"/>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0"/>
        </w:trPr>
        <w:tc>
          <w:tcPr>
            <w:tcW w:w="840" w:type="dxa"/>
            <w:vAlign w:val="bottom"/>
            <w:gridSpan w:val="6"/>
          </w:tcPr>
          <w:p>
            <w:pPr>
              <w:jc w:val="right"/>
              <w:ind w:right="20"/>
              <w:spacing w:after="0" w:line="209" w:lineRule="exact"/>
              <w:rPr>
                <w:rFonts w:ascii="Arial" w:cs="Arial" w:eastAsia="Arial" w:hAnsi="Arial"/>
                <w:sz w:val="20"/>
                <w:szCs w:val="20"/>
                <w:color w:val="0000EE"/>
              </w:rPr>
            </w:pPr>
            <w:hyperlink w:anchor="page22">
              <w:r>
                <w:rPr>
                  <w:rFonts w:ascii="Arial" w:cs="Arial" w:eastAsia="Arial" w:hAnsi="Arial"/>
                  <w:sz w:val="20"/>
                  <w:szCs w:val="20"/>
                  <w:color w:val="0000EE"/>
                </w:rPr>
                <w:t>7.</w:t>
              </w:r>
            </w:hyperlink>
          </w:p>
        </w:tc>
        <w:tc>
          <w:tcPr>
            <w:tcW w:w="120" w:type="dxa"/>
            <w:vAlign w:val="bottom"/>
          </w:tcPr>
          <w:p>
            <w:pPr>
              <w:spacing w:after="0"/>
              <w:rPr>
                <w:sz w:val="18"/>
                <w:szCs w:val="18"/>
                <w:color w:val="auto"/>
              </w:rPr>
            </w:pPr>
          </w:p>
        </w:tc>
        <w:tc>
          <w:tcPr>
            <w:tcW w:w="8140" w:type="dxa"/>
            <w:vAlign w:val="bottom"/>
            <w:gridSpan w:val="21"/>
          </w:tcPr>
          <w:p>
            <w:pPr>
              <w:ind w:left="120"/>
              <w:spacing w:after="0" w:line="209" w:lineRule="exact"/>
              <w:rPr>
                <w:rFonts w:ascii="Arial" w:cs="Arial" w:eastAsia="Arial" w:hAnsi="Arial"/>
                <w:sz w:val="20"/>
                <w:szCs w:val="20"/>
                <w:color w:val="0000EE"/>
              </w:rPr>
            </w:pPr>
            <w:hyperlink w:anchor="page22">
              <w:r>
                <w:rPr>
                  <w:rFonts w:ascii="Arial" w:cs="Arial" w:eastAsia="Arial" w:hAnsi="Arial"/>
                  <w:sz w:val="20"/>
                  <w:szCs w:val="20"/>
                  <w:color w:val="0000EE"/>
                </w:rPr>
                <w:t>Management’s Discussion and Analysis of Financial Condition and Results of Operations</w:t>
              </w:r>
            </w:hyperlink>
          </w:p>
        </w:tc>
        <w:tc>
          <w:tcPr>
            <w:tcW w:w="2360" w:type="dxa"/>
            <w:vAlign w:val="bottom"/>
          </w:tcPr>
          <w:p>
            <w:pPr>
              <w:jc w:val="right"/>
              <w:ind w:right="621"/>
              <w:spacing w:after="0" w:line="209" w:lineRule="exact"/>
              <w:rPr>
                <w:sz w:val="20"/>
                <w:szCs w:val="20"/>
                <w:color w:val="auto"/>
              </w:rPr>
            </w:pPr>
            <w:r>
              <w:rPr>
                <w:rFonts w:ascii="Arial" w:cs="Arial" w:eastAsia="Arial" w:hAnsi="Arial"/>
                <w:sz w:val="20"/>
                <w:szCs w:val="20"/>
                <w:color w:val="auto"/>
              </w:rPr>
              <w:t>34</w:t>
            </w:r>
          </w:p>
        </w:tc>
      </w:tr>
      <w:tr>
        <w:trPr>
          <w:trHeight w:val="20"/>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360" w:type="dxa"/>
            <w:vAlign w:val="bottom"/>
            <w:gridSpan w:val="5"/>
          </w:tcPr>
          <w:p>
            <w:pPr>
              <w:jc w:val="right"/>
              <w:ind w:right="20"/>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7A.</w:t>
              </w:r>
            </w:hyperlink>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20" w:type="dxa"/>
            <w:vAlign w:val="bottom"/>
            <w:gridSpan w:val="20"/>
          </w:tcPr>
          <w:p>
            <w:pPr>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Quantitative and Qualitative Disclosures about Market Risk</w:t>
              </w:r>
            </w:hyperlink>
          </w:p>
        </w:tc>
        <w:tc>
          <w:tcPr>
            <w:tcW w:w="2360" w:type="dxa"/>
            <w:vAlign w:val="bottom"/>
          </w:tcPr>
          <w:p>
            <w:pPr>
              <w:jc w:val="right"/>
              <w:ind w:right="621"/>
              <w:spacing w:after="0" w:line="209" w:lineRule="exact"/>
              <w:rPr>
                <w:sz w:val="20"/>
                <w:szCs w:val="20"/>
                <w:color w:val="auto"/>
              </w:rPr>
            </w:pPr>
            <w:r>
              <w:rPr>
                <w:rFonts w:ascii="Arial" w:cs="Arial" w:eastAsia="Arial" w:hAnsi="Arial"/>
                <w:sz w:val="20"/>
                <w:szCs w:val="20"/>
                <w:color w:val="auto"/>
              </w:rPr>
              <w:t>61</w:t>
            </w:r>
          </w:p>
        </w:tc>
      </w:tr>
      <w:tr>
        <w:trPr>
          <w:trHeight w:val="210"/>
        </w:trPr>
        <w:tc>
          <w:tcPr>
            <w:tcW w:w="480" w:type="dxa"/>
            <w:vAlign w:val="bottom"/>
          </w:tcPr>
          <w:p>
            <w:pPr>
              <w:spacing w:after="0"/>
              <w:rPr>
                <w:sz w:val="18"/>
                <w:szCs w:val="18"/>
                <w:color w:val="auto"/>
              </w:rPr>
            </w:pPr>
          </w:p>
        </w:tc>
        <w:tc>
          <w:tcPr>
            <w:tcW w:w="360" w:type="dxa"/>
            <w:vAlign w:val="bottom"/>
            <w:tcBorders>
              <w:top w:val="single" w:sz="8" w:color="0000EE"/>
            </w:tcBorders>
            <w:gridSpan w:val="5"/>
          </w:tcPr>
          <w:p>
            <w:pPr>
              <w:jc w:val="right"/>
              <w:ind w:right="20"/>
              <w:spacing w:after="0" w:line="209" w:lineRule="exact"/>
              <w:rPr>
                <w:rFonts w:ascii="Arial" w:cs="Arial" w:eastAsia="Arial" w:hAnsi="Arial"/>
                <w:sz w:val="20"/>
                <w:szCs w:val="20"/>
                <w:color w:val="0000EE"/>
              </w:rPr>
            </w:pPr>
            <w:hyperlink w:anchor="page40">
              <w:r>
                <w:rPr>
                  <w:rFonts w:ascii="Arial" w:cs="Arial" w:eastAsia="Arial" w:hAnsi="Arial"/>
                  <w:sz w:val="20"/>
                  <w:szCs w:val="20"/>
                  <w:color w:val="0000EE"/>
                </w:rPr>
                <w:t>8.</w:t>
              </w:r>
            </w:hyperlink>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top w:val="single" w:sz="8" w:color="0000EE"/>
              <w:bottom w:val="single" w:sz="8" w:color="0000EE"/>
            </w:tcBorders>
            <w:gridSpan w:val="12"/>
          </w:tcPr>
          <w:p>
            <w:pPr>
              <w:spacing w:after="0" w:line="209" w:lineRule="exact"/>
              <w:rPr>
                <w:rFonts w:ascii="Arial" w:cs="Arial" w:eastAsia="Arial" w:hAnsi="Arial"/>
                <w:sz w:val="20"/>
                <w:szCs w:val="20"/>
                <w:color w:val="0000EE"/>
                <w:w w:val="88"/>
              </w:rPr>
            </w:pPr>
            <w:hyperlink w:anchor="page40">
              <w:r>
                <w:rPr>
                  <w:rFonts w:ascii="Arial" w:cs="Arial" w:eastAsia="Arial" w:hAnsi="Arial"/>
                  <w:sz w:val="20"/>
                  <w:szCs w:val="20"/>
                  <w:color w:val="0000EE"/>
                  <w:w w:val="88"/>
                </w:rPr>
                <w:t>Financial Statements and Supplementary Data</w:t>
              </w:r>
            </w:hyperlink>
          </w:p>
        </w:tc>
        <w:tc>
          <w:tcPr>
            <w:tcW w:w="1040" w:type="dxa"/>
            <w:vAlign w:val="bottom"/>
            <w:tcBorders>
              <w:top w:val="single" w:sz="8" w:color="0000EE"/>
            </w:tcBorders>
            <w:gridSpan w:val="4"/>
          </w:tcPr>
          <w:p>
            <w:pPr>
              <w:spacing w:after="0"/>
              <w:rPr>
                <w:sz w:val="18"/>
                <w:szCs w:val="18"/>
                <w:color w:val="auto"/>
              </w:rPr>
            </w:pPr>
          </w:p>
        </w:tc>
        <w:tc>
          <w:tcPr>
            <w:tcW w:w="3280" w:type="dxa"/>
            <w:vAlign w:val="bottom"/>
            <w:gridSpan w:val="4"/>
          </w:tcPr>
          <w:p>
            <w:pPr>
              <w:spacing w:after="0"/>
              <w:rPr>
                <w:sz w:val="18"/>
                <w:szCs w:val="18"/>
                <w:color w:val="auto"/>
              </w:rPr>
            </w:pPr>
          </w:p>
        </w:tc>
        <w:tc>
          <w:tcPr>
            <w:tcW w:w="2360" w:type="dxa"/>
            <w:vAlign w:val="bottom"/>
          </w:tcPr>
          <w:p>
            <w:pPr>
              <w:jc w:val="right"/>
              <w:ind w:right="621"/>
              <w:spacing w:after="0" w:line="209" w:lineRule="exact"/>
              <w:rPr>
                <w:sz w:val="20"/>
                <w:szCs w:val="20"/>
                <w:color w:val="auto"/>
              </w:rPr>
            </w:pPr>
            <w:r>
              <w:rPr>
                <w:rFonts w:ascii="Arial" w:cs="Arial" w:eastAsia="Arial" w:hAnsi="Arial"/>
                <w:sz w:val="20"/>
                <w:szCs w:val="20"/>
                <w:color w:val="auto"/>
              </w:rPr>
              <w:t>62</w:t>
            </w:r>
          </w:p>
        </w:tc>
      </w:tr>
      <w:tr>
        <w:trPr>
          <w:trHeight w:val="210"/>
        </w:trPr>
        <w:tc>
          <w:tcPr>
            <w:tcW w:w="840" w:type="dxa"/>
            <w:vAlign w:val="bottom"/>
            <w:gridSpan w:val="6"/>
          </w:tcPr>
          <w:p>
            <w:pPr>
              <w:jc w:val="right"/>
              <w:ind w:right="20"/>
              <w:spacing w:after="0" w:line="209" w:lineRule="exact"/>
              <w:rPr>
                <w:rFonts w:ascii="Arial" w:cs="Arial" w:eastAsia="Arial" w:hAnsi="Arial"/>
                <w:sz w:val="20"/>
                <w:szCs w:val="20"/>
                <w:color w:val="0000EE"/>
              </w:rPr>
            </w:pPr>
            <w:hyperlink w:anchor="page40">
              <w:r>
                <w:rPr>
                  <w:rFonts w:ascii="Arial" w:cs="Arial" w:eastAsia="Arial" w:hAnsi="Arial"/>
                  <w:sz w:val="20"/>
                  <w:szCs w:val="20"/>
                  <w:color w:val="0000EE"/>
                </w:rPr>
                <w:t>9.</w:t>
              </w:r>
            </w:hyperlink>
          </w:p>
        </w:tc>
        <w:tc>
          <w:tcPr>
            <w:tcW w:w="120" w:type="dxa"/>
            <w:vAlign w:val="bottom"/>
          </w:tcPr>
          <w:p>
            <w:pPr>
              <w:spacing w:after="0"/>
              <w:rPr>
                <w:sz w:val="18"/>
                <w:szCs w:val="18"/>
                <w:color w:val="auto"/>
              </w:rPr>
            </w:pPr>
          </w:p>
        </w:tc>
        <w:tc>
          <w:tcPr>
            <w:tcW w:w="8140" w:type="dxa"/>
            <w:vAlign w:val="bottom"/>
            <w:gridSpan w:val="21"/>
          </w:tcPr>
          <w:p>
            <w:pPr>
              <w:ind w:left="120"/>
              <w:spacing w:after="0" w:line="209" w:lineRule="exact"/>
              <w:rPr>
                <w:rFonts w:ascii="Arial" w:cs="Arial" w:eastAsia="Arial" w:hAnsi="Arial"/>
                <w:sz w:val="20"/>
                <w:szCs w:val="20"/>
                <w:color w:val="0000EE"/>
              </w:rPr>
            </w:pPr>
            <w:hyperlink w:anchor="page40">
              <w:r>
                <w:rPr>
                  <w:rFonts w:ascii="Arial" w:cs="Arial" w:eastAsia="Arial" w:hAnsi="Arial"/>
                  <w:sz w:val="20"/>
                  <w:szCs w:val="20"/>
                  <w:color w:val="0000EE"/>
                </w:rPr>
                <w:t>Changes in and Disagreements with Accountants on Accounting and Financial Disclosure</w:t>
              </w:r>
            </w:hyperlink>
          </w:p>
        </w:tc>
        <w:tc>
          <w:tcPr>
            <w:tcW w:w="2360" w:type="dxa"/>
            <w:vAlign w:val="bottom"/>
          </w:tcPr>
          <w:p>
            <w:pPr>
              <w:jc w:val="right"/>
              <w:ind w:right="621"/>
              <w:spacing w:after="0" w:line="209" w:lineRule="exact"/>
              <w:rPr>
                <w:sz w:val="20"/>
                <w:szCs w:val="20"/>
                <w:color w:val="auto"/>
              </w:rPr>
            </w:pPr>
            <w:r>
              <w:rPr>
                <w:rFonts w:ascii="Arial" w:cs="Arial" w:eastAsia="Arial" w:hAnsi="Arial"/>
                <w:sz w:val="20"/>
                <w:szCs w:val="20"/>
                <w:color w:val="auto"/>
              </w:rPr>
              <w:t>62</w:t>
            </w:r>
          </w:p>
        </w:tc>
      </w:tr>
      <w:tr>
        <w:trPr>
          <w:trHeight w:val="20"/>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0000EE"/>
            </w:tcBorders>
            <w:gridSpan w:val="4"/>
          </w:tcPr>
          <w:p>
            <w:pPr>
              <w:jc w:val="right"/>
              <w:ind w:right="20"/>
              <w:spacing w:after="0" w:line="209" w:lineRule="exact"/>
              <w:rPr>
                <w:rFonts w:ascii="Arial" w:cs="Arial" w:eastAsia="Arial" w:hAnsi="Arial"/>
                <w:sz w:val="20"/>
                <w:szCs w:val="20"/>
                <w:color w:val="0000EE"/>
                <w:w w:val="93"/>
              </w:rPr>
            </w:pPr>
            <w:hyperlink w:anchor="page40">
              <w:r>
                <w:rPr>
                  <w:rFonts w:ascii="Arial" w:cs="Arial" w:eastAsia="Arial" w:hAnsi="Arial"/>
                  <w:sz w:val="20"/>
                  <w:szCs w:val="20"/>
                  <w:color w:val="0000EE"/>
                  <w:w w:val="93"/>
                </w:rPr>
                <w:t>9A.</w:t>
              </w:r>
            </w:hyperlink>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bottom w:val="single" w:sz="8" w:color="0000EE"/>
            </w:tcBorders>
            <w:gridSpan w:val="6"/>
          </w:tcPr>
          <w:p>
            <w:pPr>
              <w:spacing w:after="0" w:line="209" w:lineRule="exact"/>
              <w:rPr>
                <w:rFonts w:ascii="Arial" w:cs="Arial" w:eastAsia="Arial" w:hAnsi="Arial"/>
                <w:sz w:val="20"/>
                <w:szCs w:val="20"/>
                <w:color w:val="0000EE"/>
                <w:w w:val="87"/>
              </w:rPr>
            </w:pPr>
            <w:hyperlink w:anchor="page40">
              <w:r>
                <w:rPr>
                  <w:rFonts w:ascii="Arial" w:cs="Arial" w:eastAsia="Arial" w:hAnsi="Arial"/>
                  <w:sz w:val="20"/>
                  <w:szCs w:val="20"/>
                  <w:color w:val="0000EE"/>
                  <w:w w:val="87"/>
                </w:rPr>
                <w:t>Controls and Procedures</w:t>
              </w:r>
            </w:hyperlink>
          </w:p>
        </w:tc>
        <w:tc>
          <w:tcPr>
            <w:tcW w:w="6060" w:type="dxa"/>
            <w:vAlign w:val="bottom"/>
            <w:gridSpan w:val="14"/>
          </w:tcPr>
          <w:p>
            <w:pPr>
              <w:spacing w:after="0"/>
              <w:rPr>
                <w:sz w:val="18"/>
                <w:szCs w:val="18"/>
                <w:color w:val="auto"/>
              </w:rPr>
            </w:pPr>
          </w:p>
        </w:tc>
        <w:tc>
          <w:tcPr>
            <w:tcW w:w="2360" w:type="dxa"/>
            <w:vAlign w:val="bottom"/>
          </w:tcPr>
          <w:p>
            <w:pPr>
              <w:jc w:val="right"/>
              <w:ind w:right="621"/>
              <w:spacing w:after="0" w:line="209" w:lineRule="exact"/>
              <w:rPr>
                <w:sz w:val="20"/>
                <w:szCs w:val="20"/>
                <w:color w:val="auto"/>
              </w:rPr>
            </w:pPr>
            <w:r>
              <w:rPr>
                <w:rFonts w:ascii="Arial" w:cs="Arial" w:eastAsia="Arial" w:hAnsi="Arial"/>
                <w:sz w:val="20"/>
                <w:szCs w:val="20"/>
                <w:color w:val="auto"/>
              </w:rPr>
              <w:t>62</w:t>
            </w:r>
          </w:p>
        </w:tc>
      </w:tr>
      <w:tr>
        <w:trPr>
          <w:trHeight w:val="210"/>
        </w:trPr>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4"/>
          </w:tcPr>
          <w:p>
            <w:pPr>
              <w:jc w:val="right"/>
              <w:ind w:right="140"/>
              <w:spacing w:after="0" w:line="209" w:lineRule="exact"/>
              <w:rPr>
                <w:rFonts w:ascii="Arial" w:cs="Arial" w:eastAsia="Arial" w:hAnsi="Arial"/>
                <w:sz w:val="20"/>
                <w:szCs w:val="20"/>
                <w:color w:val="0000EE"/>
                <w:w w:val="86"/>
              </w:rPr>
            </w:pPr>
            <w:hyperlink w:anchor="page41">
              <w:r>
                <w:rPr>
                  <w:rFonts w:ascii="Arial" w:cs="Arial" w:eastAsia="Arial" w:hAnsi="Arial"/>
                  <w:sz w:val="20"/>
                  <w:szCs w:val="20"/>
                  <w:color w:val="0000EE"/>
                  <w:w w:val="86"/>
                </w:rPr>
                <w:t>9B.</w:t>
              </w:r>
            </w:hyperlink>
          </w:p>
        </w:tc>
        <w:tc>
          <w:tcPr>
            <w:tcW w:w="8140" w:type="dxa"/>
            <w:vAlign w:val="bottom"/>
            <w:gridSpan w:val="21"/>
          </w:tcPr>
          <w:p>
            <w:pPr>
              <w:ind w:left="120"/>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Other Information</w:t>
              </w:r>
            </w:hyperlink>
          </w:p>
        </w:tc>
        <w:tc>
          <w:tcPr>
            <w:tcW w:w="2360" w:type="dxa"/>
            <w:vAlign w:val="bottom"/>
          </w:tcPr>
          <w:p>
            <w:pPr>
              <w:jc w:val="right"/>
              <w:ind w:right="621"/>
              <w:spacing w:after="0" w:line="209" w:lineRule="exact"/>
              <w:rPr>
                <w:sz w:val="20"/>
                <w:szCs w:val="20"/>
                <w:color w:val="auto"/>
              </w:rPr>
            </w:pPr>
            <w:r>
              <w:rPr>
                <w:rFonts w:ascii="Arial" w:cs="Arial" w:eastAsia="Arial" w:hAnsi="Arial"/>
                <w:sz w:val="20"/>
                <w:szCs w:val="20"/>
                <w:color w:val="auto"/>
              </w:rPr>
              <w:t>64</w:t>
            </w:r>
          </w:p>
        </w:tc>
      </w:tr>
      <w:tr>
        <w:trPr>
          <w:trHeight w:val="439"/>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Borders>
              <w:bottom w:val="single" w:sz="8" w:color="0000EE"/>
            </w:tcBorders>
            <w:gridSpan w:val="4"/>
          </w:tcPr>
          <w:p>
            <w:pPr>
              <w:spacing w:after="0"/>
              <w:rPr>
                <w:rFonts w:ascii="Arial" w:cs="Arial" w:eastAsia="Arial" w:hAnsi="Arial"/>
                <w:sz w:val="20"/>
                <w:szCs w:val="20"/>
                <w:b w:val="1"/>
                <w:bCs w:val="1"/>
                <w:color w:val="0000EE"/>
              </w:rPr>
            </w:pPr>
            <w:hyperlink w:anchor="page41">
              <w:r>
                <w:rPr>
                  <w:rFonts w:ascii="Arial" w:cs="Arial" w:eastAsia="Arial" w:hAnsi="Arial"/>
                  <w:sz w:val="20"/>
                  <w:szCs w:val="20"/>
                  <w:b w:val="1"/>
                  <w:bCs w:val="1"/>
                  <w:color w:val="0000EE"/>
                </w:rPr>
                <w:t>PART III</w:t>
              </w:r>
            </w:hyperlink>
          </w:p>
        </w:tc>
        <w:tc>
          <w:tcPr>
            <w:tcW w:w="3560" w:type="dxa"/>
            <w:vAlign w:val="bottom"/>
            <w:gridSpan w:val="6"/>
          </w:tcPr>
          <w:p>
            <w:pPr>
              <w:spacing w:after="0"/>
              <w:rPr>
                <w:sz w:val="24"/>
                <w:szCs w:val="24"/>
                <w:color w:val="auto"/>
              </w:rPr>
            </w:pPr>
          </w:p>
        </w:tc>
        <w:tc>
          <w:tcPr>
            <w:tcW w:w="2360" w:type="dxa"/>
            <w:vAlign w:val="bottom"/>
          </w:tcPr>
          <w:p>
            <w:pPr>
              <w:spacing w:after="0"/>
              <w:rPr>
                <w:sz w:val="24"/>
                <w:szCs w:val="24"/>
                <w:color w:val="auto"/>
              </w:rPr>
            </w:pPr>
          </w:p>
        </w:tc>
      </w:tr>
      <w:tr>
        <w:trPr>
          <w:trHeight w:val="439"/>
        </w:trPr>
        <w:tc>
          <w:tcPr>
            <w:tcW w:w="840" w:type="dxa"/>
            <w:vAlign w:val="bottom"/>
            <w:gridSpan w:val="6"/>
          </w:tcPr>
          <w:p>
            <w:pPr>
              <w:jc w:val="right"/>
              <w:ind w:right="20"/>
              <w:spacing w:after="0"/>
              <w:rPr>
                <w:rFonts w:ascii="Arial" w:cs="Arial" w:eastAsia="Arial" w:hAnsi="Arial"/>
                <w:sz w:val="20"/>
                <w:szCs w:val="20"/>
                <w:color w:val="0000EE"/>
              </w:rPr>
            </w:pPr>
            <w:hyperlink w:anchor="page41">
              <w:r>
                <w:rPr>
                  <w:rFonts w:ascii="Arial" w:cs="Arial" w:eastAsia="Arial" w:hAnsi="Arial"/>
                  <w:sz w:val="20"/>
                  <w:szCs w:val="20"/>
                  <w:color w:val="0000EE"/>
                </w:rPr>
                <w:t>10.</w:t>
              </w:r>
            </w:hyperlink>
          </w:p>
        </w:tc>
        <w:tc>
          <w:tcPr>
            <w:tcW w:w="120" w:type="dxa"/>
            <w:vAlign w:val="bottom"/>
          </w:tcPr>
          <w:p>
            <w:pPr>
              <w:spacing w:after="0"/>
              <w:rPr>
                <w:sz w:val="24"/>
                <w:szCs w:val="24"/>
                <w:color w:val="auto"/>
              </w:rPr>
            </w:pPr>
          </w:p>
        </w:tc>
        <w:tc>
          <w:tcPr>
            <w:tcW w:w="8140" w:type="dxa"/>
            <w:vAlign w:val="bottom"/>
            <w:gridSpan w:val="21"/>
          </w:tcPr>
          <w:p>
            <w:pPr>
              <w:ind w:left="120"/>
              <w:spacing w:after="0"/>
              <w:rPr>
                <w:rFonts w:ascii="Arial" w:cs="Arial" w:eastAsia="Arial" w:hAnsi="Arial"/>
                <w:sz w:val="20"/>
                <w:szCs w:val="20"/>
                <w:color w:val="0000EE"/>
              </w:rPr>
            </w:pPr>
            <w:hyperlink w:anchor="page41">
              <w:r>
                <w:rPr>
                  <w:rFonts w:ascii="Arial" w:cs="Arial" w:eastAsia="Arial" w:hAnsi="Arial"/>
                  <w:sz w:val="20"/>
                  <w:szCs w:val="20"/>
                  <w:color w:val="0000EE"/>
                </w:rPr>
                <w:t>Directors, Executive Officers and Corporate Governance</w:t>
              </w:r>
            </w:hyperlink>
          </w:p>
        </w:tc>
        <w:tc>
          <w:tcPr>
            <w:tcW w:w="2360" w:type="dxa"/>
            <w:vAlign w:val="bottom"/>
          </w:tcPr>
          <w:p>
            <w:pPr>
              <w:jc w:val="right"/>
              <w:ind w:right="621"/>
              <w:spacing w:after="0"/>
              <w:rPr>
                <w:sz w:val="20"/>
                <w:szCs w:val="20"/>
                <w:color w:val="auto"/>
              </w:rPr>
            </w:pPr>
            <w:r>
              <w:rPr>
                <w:rFonts w:ascii="Arial" w:cs="Arial" w:eastAsia="Arial" w:hAnsi="Arial"/>
                <w:sz w:val="20"/>
                <w:szCs w:val="20"/>
                <w:color w:val="auto"/>
              </w:rPr>
              <w:t>64</w:t>
            </w:r>
          </w:p>
        </w:tc>
      </w:tr>
      <w:tr>
        <w:trPr>
          <w:trHeight w:val="20"/>
        </w:trPr>
        <w:tc>
          <w:tcPr>
            <w:tcW w:w="580" w:type="dxa"/>
            <w:vAlign w:val="bottom"/>
            <w:gridSpan w:val="4"/>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0"/>
        </w:trPr>
        <w:tc>
          <w:tcPr>
            <w:tcW w:w="960" w:type="dxa"/>
            <w:vAlign w:val="bottom"/>
            <w:gridSpan w:val="7"/>
          </w:tcPr>
          <w:p>
            <w:pPr>
              <w:jc w:val="right"/>
              <w:ind w:right="140"/>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11.</w:t>
              </w:r>
            </w:hyperlink>
          </w:p>
        </w:tc>
        <w:tc>
          <w:tcPr>
            <w:tcW w:w="8140" w:type="dxa"/>
            <w:vAlign w:val="bottom"/>
            <w:gridSpan w:val="21"/>
          </w:tcPr>
          <w:p>
            <w:pPr>
              <w:ind w:left="120"/>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Executive Compensation</w:t>
              </w:r>
            </w:hyperlink>
          </w:p>
        </w:tc>
        <w:tc>
          <w:tcPr>
            <w:tcW w:w="2360" w:type="dxa"/>
            <w:vAlign w:val="bottom"/>
          </w:tcPr>
          <w:p>
            <w:pPr>
              <w:jc w:val="right"/>
              <w:ind w:right="621"/>
              <w:spacing w:after="0" w:line="209" w:lineRule="exact"/>
              <w:rPr>
                <w:sz w:val="20"/>
                <w:szCs w:val="20"/>
                <w:color w:val="auto"/>
              </w:rPr>
            </w:pPr>
            <w:r>
              <w:rPr>
                <w:rFonts w:ascii="Arial" w:cs="Arial" w:eastAsia="Arial" w:hAnsi="Arial"/>
                <w:sz w:val="20"/>
                <w:szCs w:val="20"/>
                <w:color w:val="auto"/>
              </w:rPr>
              <w:t>64</w:t>
            </w:r>
          </w:p>
        </w:tc>
      </w:tr>
      <w:tr>
        <w:trPr>
          <w:trHeight w:val="20"/>
        </w:trPr>
        <w:tc>
          <w:tcPr>
            <w:tcW w:w="580" w:type="dxa"/>
            <w:vAlign w:val="bottom"/>
            <w:gridSpan w:val="4"/>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0"/>
        </w:trPr>
        <w:tc>
          <w:tcPr>
            <w:tcW w:w="840" w:type="dxa"/>
            <w:vAlign w:val="bottom"/>
            <w:gridSpan w:val="6"/>
          </w:tcPr>
          <w:p>
            <w:pPr>
              <w:jc w:val="right"/>
              <w:ind w:right="20"/>
              <w:spacing w:after="0" w:line="209" w:lineRule="exact"/>
              <w:rPr>
                <w:rFonts w:ascii="Arial" w:cs="Arial" w:eastAsia="Arial" w:hAnsi="Arial"/>
                <w:sz w:val="20"/>
                <w:szCs w:val="20"/>
                <w:color w:val="0000EE"/>
              </w:rPr>
            </w:pPr>
            <w:hyperlink w:anchor="page42">
              <w:r>
                <w:rPr>
                  <w:rFonts w:ascii="Arial" w:cs="Arial" w:eastAsia="Arial" w:hAnsi="Arial"/>
                  <w:sz w:val="20"/>
                  <w:szCs w:val="20"/>
                  <w:color w:val="0000EE"/>
                </w:rPr>
                <w:t>12.</w:t>
              </w:r>
            </w:hyperlink>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20" w:type="dxa"/>
            <w:vAlign w:val="bottom"/>
            <w:tcBorders>
              <w:bottom w:val="single" w:sz="8" w:color="0000EE"/>
            </w:tcBorders>
            <w:gridSpan w:val="20"/>
          </w:tcPr>
          <w:p>
            <w:pPr>
              <w:spacing w:after="0" w:line="209" w:lineRule="exact"/>
              <w:rPr>
                <w:rFonts w:ascii="Arial" w:cs="Arial" w:eastAsia="Arial" w:hAnsi="Arial"/>
                <w:sz w:val="20"/>
                <w:szCs w:val="20"/>
                <w:color w:val="0000EE"/>
                <w:w w:val="89"/>
              </w:rPr>
            </w:pPr>
            <w:hyperlink w:anchor="page42">
              <w:r>
                <w:rPr>
                  <w:rFonts w:ascii="Arial" w:cs="Arial" w:eastAsia="Arial" w:hAnsi="Arial"/>
                  <w:sz w:val="20"/>
                  <w:szCs w:val="20"/>
                  <w:color w:val="0000EE"/>
                  <w:w w:val="89"/>
                </w:rPr>
                <w:t>Security Ownership of Certain Beneficial Owners and Management and Related Stockholder Matters</w:t>
              </w:r>
            </w:hyperlink>
          </w:p>
        </w:tc>
        <w:tc>
          <w:tcPr>
            <w:tcW w:w="2360" w:type="dxa"/>
            <w:vAlign w:val="bottom"/>
          </w:tcPr>
          <w:p>
            <w:pPr>
              <w:jc w:val="right"/>
              <w:ind w:right="621"/>
              <w:spacing w:after="0" w:line="209" w:lineRule="exact"/>
              <w:rPr>
                <w:sz w:val="20"/>
                <w:szCs w:val="20"/>
                <w:color w:val="auto"/>
              </w:rPr>
            </w:pPr>
            <w:r>
              <w:rPr>
                <w:rFonts w:ascii="Arial" w:cs="Arial" w:eastAsia="Arial" w:hAnsi="Arial"/>
                <w:sz w:val="20"/>
                <w:szCs w:val="20"/>
                <w:color w:val="auto"/>
              </w:rPr>
              <w:t>64</w:t>
            </w:r>
          </w:p>
        </w:tc>
      </w:tr>
      <w:tr>
        <w:trPr>
          <w:trHeight w:val="210"/>
        </w:trPr>
        <w:tc>
          <w:tcPr>
            <w:tcW w:w="840" w:type="dxa"/>
            <w:vAlign w:val="bottom"/>
            <w:gridSpan w:val="6"/>
          </w:tcPr>
          <w:p>
            <w:pPr>
              <w:jc w:val="right"/>
              <w:ind w:right="20"/>
              <w:spacing w:after="0" w:line="209" w:lineRule="exact"/>
              <w:rPr>
                <w:rFonts w:ascii="Arial" w:cs="Arial" w:eastAsia="Arial" w:hAnsi="Arial"/>
                <w:sz w:val="20"/>
                <w:szCs w:val="20"/>
                <w:color w:val="0000EE"/>
              </w:rPr>
            </w:pPr>
            <w:hyperlink w:anchor="page42">
              <w:r>
                <w:rPr>
                  <w:rFonts w:ascii="Arial" w:cs="Arial" w:eastAsia="Arial" w:hAnsi="Arial"/>
                  <w:sz w:val="20"/>
                  <w:szCs w:val="20"/>
                  <w:color w:val="0000EE"/>
                </w:rPr>
                <w:t>13.</w:t>
              </w:r>
            </w:hyperlink>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20" w:type="dxa"/>
            <w:vAlign w:val="bottom"/>
            <w:gridSpan w:val="20"/>
          </w:tcPr>
          <w:p>
            <w:pPr>
              <w:spacing w:after="0" w:line="209" w:lineRule="exact"/>
              <w:rPr>
                <w:rFonts w:ascii="Arial" w:cs="Arial" w:eastAsia="Arial" w:hAnsi="Arial"/>
                <w:sz w:val="20"/>
                <w:szCs w:val="20"/>
                <w:color w:val="0000EE"/>
              </w:rPr>
            </w:pPr>
            <w:hyperlink w:anchor="page42">
              <w:r>
                <w:rPr>
                  <w:rFonts w:ascii="Arial" w:cs="Arial" w:eastAsia="Arial" w:hAnsi="Arial"/>
                  <w:sz w:val="20"/>
                  <w:szCs w:val="20"/>
                  <w:color w:val="0000EE"/>
                </w:rPr>
                <w:t>Certain Relationships and Related Transactions, and Director Independence</w:t>
              </w:r>
            </w:hyperlink>
          </w:p>
        </w:tc>
        <w:tc>
          <w:tcPr>
            <w:tcW w:w="2360" w:type="dxa"/>
            <w:vAlign w:val="bottom"/>
          </w:tcPr>
          <w:p>
            <w:pPr>
              <w:jc w:val="right"/>
              <w:ind w:right="621"/>
              <w:spacing w:after="0" w:line="209" w:lineRule="exact"/>
              <w:rPr>
                <w:sz w:val="20"/>
                <w:szCs w:val="20"/>
                <w:color w:val="auto"/>
              </w:rPr>
            </w:pPr>
            <w:r>
              <w:rPr>
                <w:rFonts w:ascii="Arial" w:cs="Arial" w:eastAsia="Arial" w:hAnsi="Arial"/>
                <w:sz w:val="20"/>
                <w:szCs w:val="20"/>
                <w:color w:val="auto"/>
              </w:rPr>
              <w:t>65</w:t>
            </w:r>
          </w:p>
        </w:tc>
      </w:tr>
      <w:tr>
        <w:trPr>
          <w:trHeight w:val="210"/>
        </w:trPr>
        <w:tc>
          <w:tcPr>
            <w:tcW w:w="840" w:type="dxa"/>
            <w:vAlign w:val="bottom"/>
            <w:gridSpan w:val="6"/>
          </w:tcPr>
          <w:p>
            <w:pPr>
              <w:jc w:val="right"/>
              <w:ind w:right="20"/>
              <w:spacing w:after="0" w:line="209" w:lineRule="exact"/>
              <w:rPr>
                <w:rFonts w:ascii="Arial" w:cs="Arial" w:eastAsia="Arial" w:hAnsi="Arial"/>
                <w:sz w:val="20"/>
                <w:szCs w:val="20"/>
                <w:color w:val="0000EE"/>
              </w:rPr>
            </w:pPr>
            <w:hyperlink w:anchor="page42">
              <w:r>
                <w:rPr>
                  <w:rFonts w:ascii="Arial" w:cs="Arial" w:eastAsia="Arial" w:hAnsi="Arial"/>
                  <w:sz w:val="20"/>
                  <w:szCs w:val="20"/>
                  <w:color w:val="0000EE"/>
                </w:rPr>
                <w:t>14.</w:t>
              </w:r>
            </w:hyperlink>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0" w:type="dxa"/>
            <w:vAlign w:val="bottom"/>
            <w:tcBorders>
              <w:top w:val="single" w:sz="8" w:color="0000EE"/>
            </w:tcBorders>
            <w:gridSpan w:val="17"/>
          </w:tcPr>
          <w:p>
            <w:pPr>
              <w:spacing w:after="0" w:line="209" w:lineRule="exact"/>
              <w:rPr>
                <w:rFonts w:ascii="Arial" w:cs="Arial" w:eastAsia="Arial" w:hAnsi="Arial"/>
                <w:sz w:val="20"/>
                <w:szCs w:val="20"/>
                <w:color w:val="0000EE"/>
              </w:rPr>
            </w:pPr>
            <w:hyperlink w:anchor="page42">
              <w:r>
                <w:rPr>
                  <w:rFonts w:ascii="Arial" w:cs="Arial" w:eastAsia="Arial" w:hAnsi="Arial"/>
                  <w:sz w:val="20"/>
                  <w:szCs w:val="20"/>
                  <w:color w:val="0000EE"/>
                </w:rPr>
                <w:t>Principal Accountant Fees and Services</w:t>
              </w:r>
            </w:hyperlink>
          </w:p>
        </w:tc>
        <w:tc>
          <w:tcPr>
            <w:tcW w:w="2020" w:type="dxa"/>
            <w:vAlign w:val="bottom"/>
            <w:gridSpan w:val="3"/>
          </w:tcPr>
          <w:p>
            <w:pPr>
              <w:spacing w:after="0"/>
              <w:rPr>
                <w:sz w:val="18"/>
                <w:szCs w:val="18"/>
                <w:color w:val="auto"/>
              </w:rPr>
            </w:pPr>
          </w:p>
        </w:tc>
        <w:tc>
          <w:tcPr>
            <w:tcW w:w="2360" w:type="dxa"/>
            <w:vAlign w:val="bottom"/>
          </w:tcPr>
          <w:p>
            <w:pPr>
              <w:jc w:val="right"/>
              <w:ind w:right="621"/>
              <w:spacing w:after="0" w:line="209" w:lineRule="exact"/>
              <w:rPr>
                <w:sz w:val="20"/>
                <w:szCs w:val="20"/>
                <w:color w:val="auto"/>
              </w:rPr>
            </w:pPr>
            <w:r>
              <w:rPr>
                <w:rFonts w:ascii="Arial" w:cs="Arial" w:eastAsia="Arial" w:hAnsi="Arial"/>
                <w:sz w:val="20"/>
                <w:szCs w:val="20"/>
                <w:color w:val="auto"/>
              </w:rPr>
              <w:t>65</w:t>
            </w:r>
          </w:p>
        </w:tc>
      </w:tr>
      <w:tr>
        <w:trPr>
          <w:trHeight w:val="439"/>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20"/>
                <w:szCs w:val="20"/>
                <w:b w:val="1"/>
                <w:bCs w:val="1"/>
                <w:color w:val="0000EE"/>
              </w:rPr>
            </w:pPr>
            <w:hyperlink w:anchor="page42">
              <w:r>
                <w:rPr>
                  <w:rFonts w:ascii="Arial" w:cs="Arial" w:eastAsia="Arial" w:hAnsi="Arial"/>
                  <w:sz w:val="20"/>
                  <w:szCs w:val="20"/>
                  <w:b w:val="1"/>
                  <w:bCs w:val="1"/>
                  <w:color w:val="0000EE"/>
                </w:rPr>
                <w:t>PART IV</w:t>
              </w:r>
            </w:hyperlink>
          </w:p>
        </w:tc>
        <w:tc>
          <w:tcPr>
            <w:tcW w:w="2360" w:type="dxa"/>
            <w:vAlign w:val="bottom"/>
          </w:tcPr>
          <w:p>
            <w:pPr>
              <w:spacing w:after="0"/>
              <w:rPr>
                <w:sz w:val="24"/>
                <w:szCs w:val="24"/>
                <w:color w:val="auto"/>
              </w:rPr>
            </w:pPr>
          </w:p>
        </w:tc>
      </w:tr>
      <w:tr>
        <w:trPr>
          <w:trHeight w:val="439"/>
        </w:trPr>
        <w:tc>
          <w:tcPr>
            <w:tcW w:w="840" w:type="dxa"/>
            <w:vAlign w:val="bottom"/>
            <w:gridSpan w:val="6"/>
          </w:tcPr>
          <w:p>
            <w:pPr>
              <w:jc w:val="right"/>
              <w:ind w:right="20"/>
              <w:spacing w:after="0"/>
              <w:rPr>
                <w:rFonts w:ascii="Arial" w:cs="Arial" w:eastAsia="Arial" w:hAnsi="Arial"/>
                <w:sz w:val="20"/>
                <w:szCs w:val="20"/>
                <w:color w:val="0000EE"/>
              </w:rPr>
            </w:pPr>
            <w:hyperlink w:anchor="page42">
              <w:r>
                <w:rPr>
                  <w:rFonts w:ascii="Arial" w:cs="Arial" w:eastAsia="Arial" w:hAnsi="Arial"/>
                  <w:sz w:val="20"/>
                  <w:szCs w:val="20"/>
                  <w:color w:val="0000EE"/>
                </w:rPr>
                <w:t>15.</w:t>
              </w:r>
            </w:hyperlink>
          </w:p>
        </w:tc>
        <w:tc>
          <w:tcPr>
            <w:tcW w:w="120" w:type="dxa"/>
            <w:vAlign w:val="bottom"/>
          </w:tcPr>
          <w:p>
            <w:pPr>
              <w:spacing w:after="0"/>
              <w:rPr>
                <w:sz w:val="24"/>
                <w:szCs w:val="24"/>
                <w:color w:val="auto"/>
              </w:rPr>
            </w:pPr>
          </w:p>
        </w:tc>
        <w:tc>
          <w:tcPr>
            <w:tcW w:w="3800" w:type="dxa"/>
            <w:vAlign w:val="bottom"/>
            <w:gridSpan w:val="12"/>
          </w:tcPr>
          <w:p>
            <w:pPr>
              <w:ind w:left="120"/>
              <w:spacing w:after="0"/>
              <w:rPr>
                <w:rFonts w:ascii="Arial" w:cs="Arial" w:eastAsia="Arial" w:hAnsi="Arial"/>
                <w:sz w:val="20"/>
                <w:szCs w:val="20"/>
                <w:color w:val="0000EE"/>
                <w:w w:val="93"/>
              </w:rPr>
            </w:pPr>
            <w:hyperlink w:anchor="page42">
              <w:r>
                <w:rPr>
                  <w:rFonts w:ascii="Arial" w:cs="Arial" w:eastAsia="Arial" w:hAnsi="Arial"/>
                  <w:sz w:val="20"/>
                  <w:szCs w:val="20"/>
                  <w:color w:val="0000EE"/>
                  <w:w w:val="93"/>
                </w:rPr>
                <w:t>Exhibits and Financial Statement Schedules</w:t>
              </w:r>
            </w:hyperlink>
          </w:p>
        </w:tc>
        <w:tc>
          <w:tcPr>
            <w:tcW w:w="760" w:type="dxa"/>
            <w:vAlign w:val="bottom"/>
            <w:tcBorders>
              <w:top w:val="single" w:sz="8" w:color="0000EE"/>
            </w:tcBorders>
            <w:gridSpan w:val="2"/>
          </w:tcPr>
          <w:p>
            <w:pPr>
              <w:spacing w:after="0"/>
              <w:rPr>
                <w:sz w:val="24"/>
                <w:szCs w:val="24"/>
                <w:color w:val="auto"/>
              </w:rPr>
            </w:pPr>
          </w:p>
        </w:tc>
        <w:tc>
          <w:tcPr>
            <w:tcW w:w="3580" w:type="dxa"/>
            <w:vAlign w:val="bottom"/>
            <w:gridSpan w:val="7"/>
          </w:tcPr>
          <w:p>
            <w:pPr>
              <w:spacing w:after="0"/>
              <w:rPr>
                <w:sz w:val="24"/>
                <w:szCs w:val="24"/>
                <w:color w:val="auto"/>
              </w:rPr>
            </w:pPr>
          </w:p>
        </w:tc>
        <w:tc>
          <w:tcPr>
            <w:tcW w:w="2360" w:type="dxa"/>
            <w:vAlign w:val="bottom"/>
          </w:tcPr>
          <w:p>
            <w:pPr>
              <w:jc w:val="right"/>
              <w:ind w:right="621"/>
              <w:spacing w:after="0"/>
              <w:rPr>
                <w:sz w:val="20"/>
                <w:szCs w:val="20"/>
                <w:color w:val="auto"/>
              </w:rPr>
            </w:pPr>
            <w:r>
              <w:rPr>
                <w:rFonts w:ascii="Arial" w:cs="Arial" w:eastAsia="Arial" w:hAnsi="Arial"/>
                <w:sz w:val="20"/>
                <w:szCs w:val="20"/>
                <w:color w:val="auto"/>
              </w:rPr>
              <w:t>65</w:t>
            </w:r>
          </w:p>
        </w:tc>
      </w:tr>
      <w:tr>
        <w:trPr>
          <w:trHeight w:val="439"/>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Borders>
              <w:top w:val="single" w:sz="8" w:color="0000EE"/>
            </w:tcBorders>
            <w:gridSpan w:val="9"/>
          </w:tcPr>
          <w:p>
            <w:pPr>
              <w:spacing w:after="0"/>
              <w:rPr>
                <w:rFonts w:ascii="Arial" w:cs="Arial" w:eastAsia="Arial" w:hAnsi="Arial"/>
                <w:sz w:val="20"/>
                <w:szCs w:val="20"/>
                <w:color w:val="0000EE"/>
              </w:rPr>
            </w:pPr>
            <w:hyperlink w:anchor="page42">
              <w:r>
                <w:rPr>
                  <w:rFonts w:ascii="Arial" w:cs="Arial" w:eastAsia="Arial" w:hAnsi="Arial"/>
                  <w:sz w:val="20"/>
                  <w:szCs w:val="20"/>
                  <w:color w:val="0000EE"/>
                </w:rPr>
                <w:t>Signatures</w:t>
              </w:r>
            </w:hyperlink>
          </w:p>
        </w:tc>
        <w:tc>
          <w:tcPr>
            <w:tcW w:w="4540" w:type="dxa"/>
            <w:vAlign w:val="bottom"/>
            <w:gridSpan w:val="11"/>
          </w:tcPr>
          <w:p>
            <w:pPr>
              <w:spacing w:after="0"/>
              <w:rPr>
                <w:sz w:val="24"/>
                <w:szCs w:val="24"/>
                <w:color w:val="auto"/>
              </w:rPr>
            </w:pPr>
          </w:p>
        </w:tc>
        <w:tc>
          <w:tcPr>
            <w:tcW w:w="2360" w:type="dxa"/>
            <w:vAlign w:val="bottom"/>
          </w:tcPr>
          <w:p>
            <w:pPr>
              <w:jc w:val="right"/>
              <w:ind w:right="621"/>
              <w:spacing w:after="0"/>
              <w:rPr>
                <w:sz w:val="20"/>
                <w:szCs w:val="20"/>
                <w:color w:val="auto"/>
              </w:rPr>
            </w:pPr>
            <w:r>
              <w:rPr>
                <w:rFonts w:ascii="Arial" w:cs="Arial" w:eastAsia="Arial" w:hAnsi="Arial"/>
                <w:sz w:val="20"/>
                <w:szCs w:val="20"/>
                <w:color w:val="auto"/>
              </w:rPr>
              <w:t>66</w:t>
            </w:r>
          </w:p>
        </w:tc>
      </w:tr>
      <w:tr>
        <w:trPr>
          <w:trHeight w:val="447"/>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0000EE"/>
            </w:tcBorders>
            <w:gridSpan w:val="2"/>
          </w:tcPr>
          <w:p>
            <w:pPr>
              <w:spacing w:after="0"/>
              <w:rPr>
                <w:sz w:val="24"/>
                <w:szCs w:val="24"/>
                <w:color w:val="auto"/>
              </w:rPr>
            </w:pPr>
          </w:p>
        </w:tc>
        <w:tc>
          <w:tcPr>
            <w:tcW w:w="3900" w:type="dxa"/>
            <w:vAlign w:val="bottom"/>
            <w:gridSpan w:val="14"/>
          </w:tcPr>
          <w:p>
            <w:pPr>
              <w:jc w:val="right"/>
              <w:ind w:right="60"/>
              <w:spacing w:after="0"/>
              <w:rPr>
                <w:sz w:val="20"/>
                <w:szCs w:val="20"/>
                <w:color w:val="auto"/>
              </w:rPr>
            </w:pPr>
            <w:r>
              <w:rPr>
                <w:rFonts w:ascii="Arial" w:cs="Arial" w:eastAsia="Arial" w:hAnsi="Arial"/>
                <w:sz w:val="16"/>
                <w:szCs w:val="16"/>
                <w:color w:val="auto"/>
              </w:rPr>
              <w:t>2</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38"/>
        </w:trPr>
        <w:tc>
          <w:tcPr>
            <w:tcW w:w="4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360" w:type="dxa"/>
            <w:vAlign w:val="bottom"/>
            <w:tcBorders>
              <w:bottom w:val="single" w:sz="8" w:color="010101"/>
            </w:tcBorders>
          </w:tcPr>
          <w:p>
            <w:pPr>
              <w:spacing w:after="0"/>
              <w:rPr>
                <w:sz w:val="11"/>
                <w:szCs w:val="11"/>
                <w:color w:val="auto"/>
              </w:rPr>
            </w:pPr>
          </w:p>
        </w:tc>
      </w:tr>
      <w:tr>
        <w:trPr>
          <w:trHeight w:val="811"/>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8"/>
          </w:tcPr>
          <w:p>
            <w:pPr>
              <w:jc w:val="center"/>
              <w:ind w:right="2440"/>
              <w:spacing w:after="0"/>
              <w:rPr>
                <w:sz w:val="20"/>
                <w:szCs w:val="20"/>
                <w:color w:val="auto"/>
              </w:rPr>
            </w:pPr>
            <w:r>
              <w:rPr>
                <w:rFonts w:ascii="Arial" w:cs="Arial" w:eastAsia="Arial" w:hAnsi="Arial"/>
                <w:sz w:val="20"/>
                <w:szCs w:val="20"/>
                <w:b w:val="1"/>
                <w:bCs w:val="1"/>
                <w:color w:val="auto"/>
                <w:w w:val="97"/>
              </w:rPr>
              <w:t>PART I</w:t>
            </w:r>
          </w:p>
        </w:tc>
        <w:tc>
          <w:tcPr>
            <w:tcW w:w="2360" w:type="dxa"/>
            <w:vAlign w:val="bottom"/>
          </w:tcPr>
          <w:p>
            <w:pPr>
              <w:spacing w:after="0"/>
              <w:rPr>
                <w:sz w:val="24"/>
                <w:szCs w:val="24"/>
                <w:color w:val="auto"/>
              </w:rPr>
            </w:pPr>
          </w:p>
        </w:tc>
      </w:tr>
      <w:tr>
        <w:trPr>
          <w:trHeight w:val="459"/>
        </w:trPr>
        <w:tc>
          <w:tcPr>
            <w:tcW w:w="960" w:type="dxa"/>
            <w:vAlign w:val="bottom"/>
            <w:gridSpan w:val="7"/>
          </w:tcPr>
          <w:p>
            <w:pPr>
              <w:spacing w:after="0"/>
              <w:rPr>
                <w:sz w:val="20"/>
                <w:szCs w:val="20"/>
                <w:color w:val="auto"/>
              </w:rPr>
            </w:pPr>
            <w:r>
              <w:rPr>
                <w:rFonts w:ascii="Arial" w:cs="Arial" w:eastAsia="Arial" w:hAnsi="Arial"/>
                <w:sz w:val="20"/>
                <w:szCs w:val="20"/>
                <w:b w:val="1"/>
                <w:bCs w:val="1"/>
                <w:color w:val="auto"/>
              </w:rPr>
              <w:t>ITEM 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20" w:type="dxa"/>
            <w:vAlign w:val="bottom"/>
            <w:gridSpan w:val="19"/>
          </w:tcPr>
          <w:p>
            <w:pPr>
              <w:spacing w:after="0"/>
              <w:rPr>
                <w:sz w:val="20"/>
                <w:szCs w:val="20"/>
                <w:color w:val="auto"/>
              </w:rPr>
            </w:pPr>
            <w:r>
              <w:rPr>
                <w:rFonts w:ascii="Arial" w:cs="Arial" w:eastAsia="Arial" w:hAnsi="Arial"/>
                <w:sz w:val="20"/>
                <w:szCs w:val="20"/>
                <w:b w:val="1"/>
                <w:bCs w:val="1"/>
                <w:color w:val="auto"/>
              </w:rPr>
              <w:t>BUSINESS</w:t>
            </w:r>
          </w:p>
        </w:tc>
        <w:tc>
          <w:tcPr>
            <w:tcW w:w="2360" w:type="dxa"/>
            <w:vAlign w:val="bottom"/>
          </w:tcPr>
          <w:p>
            <w:pPr>
              <w:spacing w:after="0"/>
              <w:rPr>
                <w:sz w:val="24"/>
                <w:szCs w:val="24"/>
                <w:color w:val="auto"/>
              </w:rPr>
            </w:pPr>
          </w:p>
        </w:tc>
      </w:tr>
      <w:tr>
        <w:trPr>
          <w:trHeight w:val="459"/>
        </w:trPr>
        <w:tc>
          <w:tcPr>
            <w:tcW w:w="960" w:type="dxa"/>
            <w:vAlign w:val="bottom"/>
            <w:gridSpan w:val="7"/>
          </w:tcPr>
          <w:p>
            <w:pPr>
              <w:spacing w:after="0"/>
              <w:rPr>
                <w:sz w:val="20"/>
                <w:szCs w:val="20"/>
                <w:color w:val="auto"/>
              </w:rPr>
            </w:pPr>
            <w:r>
              <w:rPr>
                <w:rFonts w:ascii="Arial" w:cs="Arial" w:eastAsia="Arial" w:hAnsi="Arial"/>
                <w:sz w:val="20"/>
                <w:szCs w:val="20"/>
                <w:b w:val="1"/>
                <w:bCs w:val="1"/>
                <w:color w:val="auto"/>
              </w:rPr>
              <w:t>Overview</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-1127125</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-1127125</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9"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Hansen Natural Corporation was incorporated in Delaware on April 25, 1990. Our principal place of business is located at 550 Monica Circle, Suite 201, Corona, California 92880 and our telephone number is (951) 739-6200. When this report uses the words “Hansen”, “HBC” “the Company”, “we”, “us”, and “our”, these words refer to Hansen Natural Corporation and our subsidiaries, unless the context otherwise requires.</w:t>
      </w:r>
    </w:p>
    <w:p>
      <w:pPr>
        <w:spacing w:after="0" w:line="205"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9"/>
          <w:szCs w:val="19"/>
          <w:color w:val="auto"/>
        </w:rPr>
        <w:t>We are a holding company and conduct no operating business except through our consolidated subsidiaries: Hansen Beverage Company (“HBC”), Monster LDA Company, formerly known as Hard e Beverage Company and previously known as Hard Energy Company and as CVI Ventures, Inc., Monster Energy Europe Limited (“MEEL”) (incorporated in the United Kingdom), Monster Energy Limited (“MEL”) (incorporated in Ireland), Monster Energy AU Pty, Ltd. (“MEAU”) (incorporated in Australia), Monster Energy Brasil Comércio de Bebidas Ltda (incorporated in Brazil), Monster Energy Canada Ltd. (incorporated in Canada), Monster Energy Mexico, S. de R.L. de C.V (incorporated in Mexico), ME Management Services, S. de R.L. de C. V. (incorporated in Mexico), Monster Energy France, SAS (incorporated in France), Blue Sky Natural Beverage Co. (“Blue Sky”), Hansen Junior Juice Company (“Junior Juice”), X-Truck, Inc. (“X-Truck”) (dissolved in November 2009) and Epicenter Music Festival, LLC (“EMF”). In 2009, HBC conducted the vast majority of the Company’s operating business and accounted for the vast majority of the Company’s operating revenues.</w:t>
      </w:r>
    </w:p>
    <w:p>
      <w:pPr>
        <w:spacing w:after="0" w:line="198"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9"/>
          <w:szCs w:val="19"/>
          <w:color w:val="auto"/>
        </w:rPr>
        <w:t>We develop, market, sell and distribute “alternative” beverage category natural sodas, fruit juices, juice blends, juice drinks, energy drinks and energy sports drinks, fruit juice smoothies and “functional” drinks, non-carbonated ready-to-drink iced teas, children’s multi-vitamin juice drinks, Junior Juice® juices, Junior Juice Water and flavored sparkling beverages under the Hansen’s® brand name. We develop, market, sell and distribute energy drinks under the following brand names: Monster Energy®; Monster Hitman Energy Shooter</w:t>
      </w:r>
      <w:r>
        <w:rPr>
          <w:rFonts w:ascii="Arial" w:cs="Arial" w:eastAsia="Arial" w:hAnsi="Arial"/>
          <w:sz w:val="11"/>
          <w:szCs w:val="11"/>
          <w:color w:val="auto"/>
        </w:rPr>
        <w:t>TM</w:t>
      </w:r>
      <w:r>
        <w:rPr>
          <w:rFonts w:ascii="Arial" w:cs="Arial" w:eastAsia="Arial" w:hAnsi="Arial"/>
          <w:sz w:val="19"/>
          <w:szCs w:val="19"/>
          <w:color w:val="auto"/>
        </w:rPr>
        <w:t xml:space="preserve"> and Lost® Energy</w:t>
      </w:r>
      <w:r>
        <w:rPr>
          <w:rFonts w:ascii="Arial" w:cs="Arial" w:eastAsia="Arial" w:hAnsi="Arial"/>
          <w:sz w:val="11"/>
          <w:szCs w:val="11"/>
          <w:color w:val="auto"/>
        </w:rPr>
        <w:t>TM</w:t>
      </w:r>
      <w:r>
        <w:rPr>
          <w:rFonts w:ascii="Arial" w:cs="Arial" w:eastAsia="Arial" w:hAnsi="Arial"/>
          <w:sz w:val="19"/>
          <w:szCs w:val="19"/>
          <w:color w:val="auto"/>
        </w:rPr>
        <w:t xml:space="preserve"> brand names as well as Rumba®, Samba and Tango brand energy juices. We market, sell and distribute the Java Monster</w:t>
      </w:r>
      <w:r>
        <w:rPr>
          <w:rFonts w:ascii="Arial" w:cs="Arial" w:eastAsia="Arial" w:hAnsi="Arial"/>
          <w:sz w:val="11"/>
          <w:szCs w:val="11"/>
          <w:color w:val="auto"/>
        </w:rPr>
        <w:t>TM</w:t>
      </w:r>
      <w:r>
        <w:rPr>
          <w:rFonts w:ascii="Arial" w:cs="Arial" w:eastAsia="Arial" w:hAnsi="Arial"/>
          <w:sz w:val="19"/>
          <w:szCs w:val="19"/>
          <w:color w:val="auto"/>
        </w:rPr>
        <w:t xml:space="preserve"> line of non-carbonated dairy based coffee + energy drinks. We market, sell and distribute natural sodas, premium natural sodas with supplements, organic natural sodas, seltzer waters and energy drinks under the Blue Sky® brand name. We market, sell and distribute enhanced water beverages under the Vidration</w:t>
      </w:r>
      <w:r>
        <w:rPr>
          <w:rFonts w:ascii="Arial" w:cs="Arial" w:eastAsia="Arial" w:hAnsi="Arial"/>
          <w:sz w:val="11"/>
          <w:szCs w:val="11"/>
          <w:color w:val="auto"/>
        </w:rPr>
        <w:t>TM</w:t>
      </w:r>
      <w:r>
        <w:rPr>
          <w:rFonts w:ascii="Arial" w:cs="Arial" w:eastAsia="Arial" w:hAnsi="Arial"/>
          <w:sz w:val="19"/>
          <w:szCs w:val="19"/>
          <w:color w:val="auto"/>
        </w:rPr>
        <w:t xml:space="preserve"> brand name.</w:t>
      </w:r>
    </w:p>
    <w:p>
      <w:pPr>
        <w:sectPr>
          <w:pgSz w:w="11900" w:h="16902" w:orient="portrait"/>
          <w:cols w:equalWidth="0" w:num="1">
            <w:col w:w="11460"/>
          </w:cols>
          <w:pgMar w:left="240" w:top="346" w:right="199" w:bottom="0" w:gutter="0" w:footer="0" w:header="0"/>
        </w:sectPr>
      </w:pPr>
    </w:p>
    <w:bookmarkStart w:id="2" w:name="page3"/>
    <w:bookmarkEnd w:id="2"/>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In 2009 we introduced the following products:</w:t>
      </w:r>
    </w:p>
    <w:p>
      <w:pPr>
        <w:spacing w:after="0" w:line="229" w:lineRule="exact"/>
        <w:rPr>
          <w:sz w:val="20"/>
          <w:szCs w:val="20"/>
          <w:color w:val="auto"/>
        </w:rPr>
      </w:pPr>
    </w:p>
    <w:p>
      <w:pPr>
        <w:ind w:left="660" w:right="320" w:hanging="328"/>
        <w:spacing w:after="0" w:line="247" w:lineRule="auto"/>
        <w:tabs>
          <w:tab w:leader="none" w:pos="615" w:val="left"/>
        </w:tabs>
        <w:numPr>
          <w:ilvl w:val="0"/>
          <w:numId w:val="4"/>
        </w:numPr>
        <w:rPr>
          <w:rFonts w:ascii="Arial" w:cs="Arial" w:eastAsia="Arial" w:hAnsi="Arial"/>
          <w:sz w:val="20"/>
          <w:szCs w:val="20"/>
          <w:color w:val="auto"/>
        </w:rPr>
      </w:pPr>
      <w:r>
        <w:rPr>
          <w:rFonts w:ascii="Arial" w:cs="Arial" w:eastAsia="Arial" w:hAnsi="Arial"/>
          <w:sz w:val="20"/>
          <w:szCs w:val="20"/>
          <w:color w:val="auto"/>
        </w:rPr>
        <w:t>Monster Energy® Import energy drink, which is packaged in 550 ml Ball Re-sealable End (“BRE”) aluminum cans manufactured in Europe and imported into the United States (May 2009).</w:t>
      </w:r>
    </w:p>
    <w:p>
      <w:pPr>
        <w:spacing w:after="0" w:line="1" w:lineRule="exact"/>
        <w:rPr>
          <w:rFonts w:ascii="Arial" w:cs="Arial" w:eastAsia="Arial" w:hAnsi="Arial"/>
          <w:sz w:val="20"/>
          <w:szCs w:val="20"/>
          <w:color w:val="auto"/>
        </w:rPr>
      </w:pPr>
    </w:p>
    <w:p>
      <w:pPr>
        <w:ind w:left="660" w:right="60" w:hanging="328"/>
        <w:spacing w:after="0" w:line="239" w:lineRule="auto"/>
        <w:tabs>
          <w:tab w:leader="none" w:pos="615" w:val="left"/>
        </w:tabs>
        <w:numPr>
          <w:ilvl w:val="0"/>
          <w:numId w:val="4"/>
        </w:numPr>
        <w:rPr>
          <w:rFonts w:ascii="Arial" w:cs="Arial" w:eastAsia="Arial" w:hAnsi="Arial"/>
          <w:sz w:val="20"/>
          <w:szCs w:val="20"/>
          <w:color w:val="auto"/>
        </w:rPr>
      </w:pPr>
      <w:r>
        <w:rPr>
          <w:rFonts w:ascii="Arial" w:cs="Arial" w:eastAsia="Arial" w:hAnsi="Arial"/>
          <w:sz w:val="20"/>
          <w:szCs w:val="20"/>
          <w:color w:val="auto"/>
        </w:rPr>
        <w:t>X-Presso Monster</w:t>
      </w:r>
      <w:r>
        <w:rPr>
          <w:rFonts w:ascii="Arial" w:cs="Arial" w:eastAsia="Arial" w:hAnsi="Arial"/>
          <w:sz w:val="11"/>
          <w:szCs w:val="11"/>
          <w:color w:val="auto"/>
        </w:rPr>
        <w:t>TM</w:t>
      </w:r>
      <w:r>
        <w:rPr>
          <w:rFonts w:ascii="Arial" w:cs="Arial" w:eastAsia="Arial" w:hAnsi="Arial"/>
          <w:sz w:val="20"/>
          <w:szCs w:val="20"/>
          <w:color w:val="auto"/>
        </w:rPr>
        <w:t>-Hammer, a non-carbonated espresso energy drink packaged in 6.75-ounce aluminum cans manufactured in Europe and imported into the United States (June 2009).</w:t>
      </w:r>
    </w:p>
    <w:p>
      <w:pPr>
        <w:spacing w:after="0" w:line="1" w:lineRule="exact"/>
        <w:rPr>
          <w:rFonts w:ascii="Arial" w:cs="Arial" w:eastAsia="Arial" w:hAnsi="Arial"/>
          <w:sz w:val="20"/>
          <w:szCs w:val="20"/>
          <w:color w:val="auto"/>
        </w:rPr>
      </w:pPr>
    </w:p>
    <w:p>
      <w:pPr>
        <w:ind w:left="660" w:right="140" w:hanging="328"/>
        <w:spacing w:after="0" w:line="239" w:lineRule="auto"/>
        <w:tabs>
          <w:tab w:leader="none" w:pos="615" w:val="left"/>
        </w:tabs>
        <w:numPr>
          <w:ilvl w:val="0"/>
          <w:numId w:val="4"/>
        </w:numPr>
        <w:rPr>
          <w:rFonts w:ascii="Arial" w:cs="Arial" w:eastAsia="Arial" w:hAnsi="Arial"/>
          <w:sz w:val="20"/>
          <w:szCs w:val="20"/>
          <w:color w:val="auto"/>
        </w:rPr>
      </w:pPr>
      <w:r>
        <w:rPr>
          <w:rFonts w:ascii="Arial" w:cs="Arial" w:eastAsia="Arial" w:hAnsi="Arial"/>
          <w:sz w:val="20"/>
          <w:szCs w:val="20"/>
          <w:color w:val="auto"/>
        </w:rPr>
        <w:t>Nitrous</w:t>
      </w:r>
      <w:r>
        <w:rPr>
          <w:rFonts w:ascii="Arial" w:cs="Arial" w:eastAsia="Arial" w:hAnsi="Arial"/>
          <w:sz w:val="11"/>
          <w:szCs w:val="11"/>
          <w:color w:val="auto"/>
        </w:rPr>
        <w:t>TM</w:t>
      </w:r>
      <w:r>
        <w:rPr>
          <w:rFonts w:ascii="Arial" w:cs="Arial" w:eastAsia="Arial" w:hAnsi="Arial"/>
          <w:sz w:val="20"/>
          <w:szCs w:val="20"/>
          <w:color w:val="auto"/>
        </w:rPr>
        <w:t xml:space="preserve"> Monster Energy®, a line of energy drinks which is carbonated and contains nitrous oxide, and is packaged in re-sealable 12-ounce sleek aluminum cap-cans, in three variants (July 2009).</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Monster Energy® “Dub Edition” energy drink, which is packaged in 32-ounce aluminum cans (October 2009).</w:t>
      </w:r>
    </w:p>
    <w:p>
      <w:pPr>
        <w:ind w:left="660" w:right="20" w:hanging="328"/>
        <w:spacing w:after="0" w:line="244" w:lineRule="auto"/>
        <w:tabs>
          <w:tab w:leader="none" w:pos="615" w:val="left"/>
        </w:tabs>
        <w:numPr>
          <w:ilvl w:val="0"/>
          <w:numId w:val="4"/>
        </w:numPr>
        <w:rPr>
          <w:rFonts w:ascii="Arial" w:cs="Arial" w:eastAsia="Arial" w:hAnsi="Arial"/>
          <w:sz w:val="20"/>
          <w:szCs w:val="20"/>
          <w:color w:val="auto"/>
        </w:rPr>
      </w:pPr>
      <w:r>
        <w:rPr>
          <w:rFonts w:ascii="Arial" w:cs="Arial" w:eastAsia="Arial" w:hAnsi="Arial"/>
          <w:sz w:val="20"/>
          <w:szCs w:val="20"/>
          <w:color w:val="auto"/>
        </w:rPr>
        <w:t>Hansen’s® Natural Lo-Cal, a new line of all natural, low calorie 64-ounce juice cocktails in four flavors (September 2009). The Lo-Cal juice cocktails are sweetened with Truvia</w:t>
      </w:r>
      <w:r>
        <w:rPr>
          <w:rFonts w:ascii="Arial" w:cs="Arial" w:eastAsia="Arial" w:hAnsi="Arial"/>
          <w:sz w:val="11"/>
          <w:szCs w:val="11"/>
          <w:color w:val="auto"/>
        </w:rPr>
        <w:t>TM</w:t>
      </w:r>
      <w:r>
        <w:rPr>
          <w:rFonts w:ascii="Arial" w:cs="Arial" w:eastAsia="Arial" w:hAnsi="Arial"/>
          <w:sz w:val="20"/>
          <w:szCs w:val="20"/>
          <w:color w:val="auto"/>
        </w:rPr>
        <w:t xml:space="preserve"> brand stevia extract, an all natural sweetener.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right="120" w:hanging="328"/>
        <w:spacing w:after="0" w:line="247" w:lineRule="auto"/>
        <w:tabs>
          <w:tab w:leader="none" w:pos="615" w:val="left"/>
        </w:tabs>
        <w:numPr>
          <w:ilvl w:val="0"/>
          <w:numId w:val="5"/>
        </w:numPr>
        <w:rPr>
          <w:rFonts w:ascii="Arial" w:cs="Arial" w:eastAsia="Arial" w:hAnsi="Arial"/>
          <w:sz w:val="20"/>
          <w:szCs w:val="20"/>
          <w:color w:val="auto"/>
        </w:rPr>
      </w:pPr>
      <w:r>
        <w:rPr>
          <w:rFonts w:ascii="Arial" w:cs="Arial" w:eastAsia="Arial" w:hAnsi="Arial"/>
          <w:sz w:val="20"/>
          <w:szCs w:val="20"/>
          <w:color w:val="auto"/>
        </w:rPr>
        <w:t>SELF Beauty Elixir</w:t>
      </w:r>
      <w:r>
        <w:rPr>
          <w:rFonts w:ascii="Arial" w:cs="Arial" w:eastAsia="Arial" w:hAnsi="Arial"/>
          <w:sz w:val="11"/>
          <w:szCs w:val="11"/>
          <w:color w:val="auto"/>
        </w:rPr>
        <w:t>TM</w:t>
      </w:r>
      <w:r>
        <w:rPr>
          <w:rFonts w:ascii="Arial" w:cs="Arial" w:eastAsia="Arial" w:hAnsi="Arial"/>
          <w:sz w:val="20"/>
          <w:szCs w:val="20"/>
          <w:color w:val="auto"/>
        </w:rPr>
        <w:t xml:space="preserve"> by Hansen’s®, a new line of a low-calorie, functional, ready-to-drink beauty beverages infused with an essential blend of vitamins, minerals, natural fruit &amp; botanical extracts with antioxidants (August 2009).</w:t>
      </w:r>
    </w:p>
    <w:p>
      <w:pPr>
        <w:spacing w:after="0" w:line="1" w:lineRule="exact"/>
        <w:rPr>
          <w:rFonts w:ascii="Arial" w:cs="Arial" w:eastAsia="Arial" w:hAnsi="Arial"/>
          <w:sz w:val="20"/>
          <w:szCs w:val="20"/>
          <w:color w:val="auto"/>
        </w:rPr>
      </w:pPr>
    </w:p>
    <w:p>
      <w:pPr>
        <w:ind w:left="660" w:right="760" w:hanging="328"/>
        <w:spacing w:after="0" w:line="239" w:lineRule="auto"/>
        <w:tabs>
          <w:tab w:leader="none" w:pos="615" w:val="left"/>
        </w:tabs>
        <w:numPr>
          <w:ilvl w:val="0"/>
          <w:numId w:val="5"/>
        </w:numPr>
        <w:rPr>
          <w:rFonts w:ascii="Arial" w:cs="Arial" w:eastAsia="Arial" w:hAnsi="Arial"/>
          <w:sz w:val="20"/>
          <w:szCs w:val="20"/>
          <w:color w:val="auto"/>
        </w:rPr>
      </w:pPr>
      <w:r>
        <w:rPr>
          <w:rFonts w:ascii="Arial" w:cs="Arial" w:eastAsia="Arial" w:hAnsi="Arial"/>
          <w:sz w:val="20"/>
          <w:szCs w:val="20"/>
          <w:color w:val="auto"/>
        </w:rPr>
        <w:t>Blue Sky® Free Sodas, a new line of all natural, zero calorie sodas sweetened with Truvia</w:t>
      </w:r>
      <w:r>
        <w:rPr>
          <w:rFonts w:ascii="Arial" w:cs="Arial" w:eastAsia="Arial" w:hAnsi="Arial"/>
          <w:sz w:val="11"/>
          <w:szCs w:val="11"/>
          <w:color w:val="auto"/>
        </w:rPr>
        <w:t>TM</w:t>
      </w:r>
      <w:r>
        <w:rPr>
          <w:rFonts w:ascii="Arial" w:cs="Arial" w:eastAsia="Arial" w:hAnsi="Arial"/>
          <w:sz w:val="20"/>
          <w:szCs w:val="20"/>
          <w:color w:val="auto"/>
        </w:rPr>
        <w:t xml:space="preserve"> brand stevia extract, an all natural sweetener (September 2009).</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Peace Tea</w:t>
      </w:r>
      <w:r>
        <w:rPr>
          <w:rFonts w:ascii="Arial" w:cs="Arial" w:eastAsia="Arial" w:hAnsi="Arial"/>
          <w:sz w:val="11"/>
          <w:szCs w:val="11"/>
          <w:color w:val="auto"/>
        </w:rPr>
        <w:t>TM</w:t>
      </w:r>
      <w:r>
        <w:rPr>
          <w:rFonts w:ascii="Arial" w:cs="Arial" w:eastAsia="Arial" w:hAnsi="Arial"/>
          <w:sz w:val="20"/>
          <w:szCs w:val="20"/>
          <w:color w:val="auto"/>
        </w:rPr>
        <w:t>, a new line of ready-to-drink iced teas in 23-ounce aluminum cans (December 2009).</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Monster Energy® brand energy drinks include Monster Energy® energy drinks, lo-carb Monster Energy® energy drinks, Monster Energy® Assault® energy drinks, Monster Energy® Khaos</w:t>
      </w:r>
      <w:r>
        <w:rPr>
          <w:rFonts w:ascii="Arial" w:cs="Arial" w:eastAsia="Arial" w:hAnsi="Arial"/>
          <w:sz w:val="11"/>
          <w:szCs w:val="11"/>
          <w:color w:val="auto"/>
        </w:rPr>
        <w:t>TM</w:t>
      </w:r>
      <w:r>
        <w:rPr>
          <w:rFonts w:ascii="Arial" w:cs="Arial" w:eastAsia="Arial" w:hAnsi="Arial"/>
          <w:sz w:val="20"/>
          <w:szCs w:val="20"/>
          <w:color w:val="auto"/>
        </w:rPr>
        <w:t xml:space="preserve"> energy drinks, Monster Energy® M-80</w:t>
      </w:r>
      <w:r>
        <w:rPr>
          <w:rFonts w:ascii="Arial" w:cs="Arial" w:eastAsia="Arial" w:hAnsi="Arial"/>
          <w:sz w:val="11"/>
          <w:szCs w:val="11"/>
          <w:color w:val="auto"/>
        </w:rPr>
        <w:t>TM</w:t>
      </w:r>
      <w:r>
        <w:rPr>
          <w:rFonts w:ascii="Arial" w:cs="Arial" w:eastAsia="Arial" w:hAnsi="Arial"/>
          <w:sz w:val="20"/>
          <w:szCs w:val="20"/>
          <w:color w:val="auto"/>
        </w:rPr>
        <w:t xml:space="preserve"> energy drinks (named “RIPPER” in certain countries), Monster Energy® Heavy Metal</w:t>
      </w:r>
      <w:r>
        <w:rPr>
          <w:rFonts w:ascii="Arial" w:cs="Arial" w:eastAsia="Arial" w:hAnsi="Arial"/>
          <w:sz w:val="11"/>
          <w:szCs w:val="11"/>
          <w:color w:val="auto"/>
        </w:rPr>
        <w:t>TM</w:t>
      </w:r>
      <w:r>
        <w:rPr>
          <w:rFonts w:ascii="Arial" w:cs="Arial" w:eastAsia="Arial" w:hAnsi="Arial"/>
          <w:sz w:val="20"/>
          <w:szCs w:val="20"/>
          <w:color w:val="auto"/>
        </w:rPr>
        <w:t xml:space="preserve"> energy drinks, Monster Energy® MIXXD</w:t>
      </w:r>
      <w:r>
        <w:rPr>
          <w:rFonts w:ascii="Arial" w:cs="Arial" w:eastAsia="Arial" w:hAnsi="Arial"/>
          <w:sz w:val="11"/>
          <w:szCs w:val="11"/>
          <w:color w:val="auto"/>
        </w:rPr>
        <w:t>TM</w:t>
      </w:r>
      <w:r>
        <w:rPr>
          <w:rFonts w:ascii="Arial" w:cs="Arial" w:eastAsia="Arial" w:hAnsi="Arial"/>
          <w:sz w:val="20"/>
          <w:szCs w:val="20"/>
          <w:color w:val="auto"/>
        </w:rPr>
        <w:t xml:space="preserve"> energy drinks, Monster Energy® Import energy drinks and Monster Energy® Dub Edition energy drinks.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History</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the 1930s, Hubert Hansen and his three sons started a business to sell fresh non-pasteurized juices in Los Angeles, California. This business eventually became Hansen’s Juices, Inc., which subsequently became known as The Fresh Juice Company of California, Inc. (“FJC”). FJC retained the right to market and sell fresh non-pasteurized juices under the Hansen trademark. In 1977, Tim Hansen, one of the grandsons of Hubert Hansen, perceived a demand for shelf stable pasteurized natural juices and juice blends and formed Hansen Foods, Inc. (“HFI”). HFI expanded its product line from juices to include Hansen’s Natural Sodas®. The California Co-Packers Corporation (d/b/a Hansen Beverage Company) (“CCC”) acquired certain assets of HFI, including the right to market the Hansen’s® brand name, in 1990. In 1992, HBC acquired the Hansen’s® brand natural soda and apple juice business from CCC. Under our ownership, the Hansen beverage business has significantly expanded and includes a wide range of beverages within the growing “alternative” beverage category, including in particular, energy drinks. In 1999, we acquired all of FJC’s rights to manufacture, sell and distribute fresh non-pasteurized juice products under the Hansen’s® trademark together with certain additional rights. In 2000, HBC, through its wholly-owned subsidiary Blue Sky, acquired the natural soda business previously conducted by Blue Sky Natural Beverage Co., a New Mexico corporation, under the Blue Sky® trademark. In 2001, HBC, through its wholly-owned subsidiary Junior Juice, acquired the Junior Juice business previously conducted by Pasco Juices, Inc. under the Junior Juice® trademark.</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Overview</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“alternative” beverage category combines non-carbonated ready-to-drink iced teas, lemonades, juice cocktails, single serve juices and fruit beverages, ready-to-drink dairy and coffee drinks, energy drinks, sports drinks, and single-serve still water (flavored, unflavored and enhanced) with “new age” beverages, including sodas that are considered natural, sparkling juices and flavored sparkling beverages. According to Beverage Marketing Corporation, domestic wholesale sales in 2009 for the “alternative” beverage category of the market are estimated at $29.9 billion representing a decline of approximately 1.0% over the estimated domestic wholesale sales in 2008 of approximately $30.2 billion (revised from a previously reported estimate of $26.0 billion).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Reportable Segments</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have two reportable segments, namely Direct Store Delivery (“DSD”), whose principal products comprise primarily energy drinks, and Warehouse (“Warehouse”), whose principal products comprise primarily juice based and soda beverages. The DSD segment develops, markets and sells products primarily through an exclusive distributor network, whereas the Warehouse segment develops, markets and sells products primarily directly to retailers. Corporate and unallocated amounts that do not relate to the DSD or Warehouse segments specifically have been allocated to “Corporate &amp; Unallocated.”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DSD segment represented 91.9%, 90.7% and 89.5% of our consolidated net sales for the years ended December 31, 2009, 2008 and 2007, respectively. Our Warehouse segment represented 8.1%, 9.3% and 10.5% of our consolidated net sales for the years ended December 31, 2009, 2008 and 2007, respectively.</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financial information about our reporting segments and geographic areas, refer to Note 16 of Notes to the Consolidated Financial Statements set forth in Part II, Item 8 – “Financial Statements and Supplementary Data” of this report, incorporated herein by reference. For certain risks with respect to our energy drinks see “Part I, Item 1A – Risk Factors” below.</w:t>
      </w:r>
    </w:p>
    <w:p>
      <w:pPr>
        <w:sectPr>
          <w:pgSz w:w="11900" w:h="16910" w:orient="portrait"/>
          <w:cols w:equalWidth="0" w:num="1">
            <w:col w:w="11420"/>
          </w:cols>
          <w:pgMar w:left="240" w:top="352" w:right="239" w:bottom="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Products – DSD Segment</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Monster Energy® Drinks </w:t>
      </w:r>
      <w:r>
        <w:rPr>
          <w:rFonts w:ascii="Arial" w:cs="Arial" w:eastAsia="Arial" w:hAnsi="Arial"/>
          <w:sz w:val="18"/>
          <w:szCs w:val="18"/>
          <w:color w:val="auto"/>
        </w:rPr>
        <w:t>– In 2002, we launched a new carbonated energy drink under the Monster Energy® brand name in 16-ounce</w:t>
      </w:r>
      <w:r>
        <w:rPr>
          <w:rFonts w:ascii="Arial" w:cs="Arial" w:eastAsia="Arial" w:hAnsi="Arial"/>
          <w:sz w:val="18"/>
          <w:szCs w:val="18"/>
          <w:i w:val="1"/>
          <w:iCs w:val="1"/>
          <w:color w:val="auto"/>
        </w:rPr>
        <w:t xml:space="preserve"> </w:t>
      </w:r>
      <w:r>
        <w:rPr>
          <w:rFonts w:ascii="Arial" w:cs="Arial" w:eastAsia="Arial" w:hAnsi="Arial"/>
          <w:sz w:val="18"/>
          <w:szCs w:val="18"/>
          <w:color w:val="auto"/>
        </w:rPr>
        <w:t>cans, which was almost double the size of our Hansen’s branded energy drinks (in 8.3-ounce cans) and the vast majority of competitive energy drinks on the market at that time. Our Monster Energy® drinks contain different types and levels of supplements than our Hansen’s® energy drinks and are marketed through our full service distributor network. We offer the following products under the Monster Energy® brand energy drink product line: Monster Energy</w:t>
      </w:r>
      <w:r>
        <w:rPr>
          <w:rFonts w:ascii="Arial" w:cs="Arial" w:eastAsia="Arial" w:hAnsi="Arial"/>
          <w:sz w:val="18"/>
          <w:szCs w:val="18"/>
          <w:b w:val="1"/>
          <w:bCs w:val="1"/>
          <w:color w:val="auto"/>
        </w:rPr>
        <w:t>®,</w:t>
      </w:r>
      <w:r>
        <w:rPr>
          <w:rFonts w:ascii="Arial" w:cs="Arial" w:eastAsia="Arial" w:hAnsi="Arial"/>
          <w:sz w:val="18"/>
          <w:szCs w:val="18"/>
          <w:color w:val="auto"/>
        </w:rPr>
        <w:t xml:space="preserve"> lo-carb Monster Energy®, Monster Energy</w:t>
      </w:r>
      <w:r>
        <w:rPr>
          <w:rFonts w:ascii="Arial" w:cs="Arial" w:eastAsia="Arial" w:hAnsi="Arial"/>
          <w:sz w:val="18"/>
          <w:szCs w:val="18"/>
          <w:b w:val="1"/>
          <w:bCs w:val="1"/>
          <w:color w:val="auto"/>
        </w:rPr>
        <w:t>®</w:t>
      </w:r>
      <w:r>
        <w:rPr>
          <w:rFonts w:ascii="Arial" w:cs="Arial" w:eastAsia="Arial" w:hAnsi="Arial"/>
          <w:sz w:val="18"/>
          <w:szCs w:val="18"/>
          <w:color w:val="auto"/>
        </w:rPr>
        <w:t xml:space="preserve"> Assault®, Monster Energy</w:t>
      </w:r>
      <w:r>
        <w:rPr>
          <w:rFonts w:ascii="Arial" w:cs="Arial" w:eastAsia="Arial" w:hAnsi="Arial"/>
          <w:sz w:val="18"/>
          <w:szCs w:val="18"/>
          <w:b w:val="1"/>
          <w:bCs w:val="1"/>
          <w:color w:val="auto"/>
        </w:rPr>
        <w:t>®</w:t>
      </w:r>
      <w:r>
        <w:rPr>
          <w:rFonts w:ascii="Arial" w:cs="Arial" w:eastAsia="Arial" w:hAnsi="Arial"/>
          <w:sz w:val="18"/>
          <w:szCs w:val="18"/>
          <w:color w:val="auto"/>
        </w:rPr>
        <w:t xml:space="preserve"> Khaos</w:t>
      </w:r>
      <w:r>
        <w:rPr>
          <w:rFonts w:ascii="Arial" w:cs="Arial" w:eastAsia="Arial" w:hAnsi="Arial"/>
          <w:sz w:val="10"/>
          <w:szCs w:val="10"/>
          <w:color w:val="auto"/>
        </w:rPr>
        <w:t>TM</w:t>
      </w:r>
      <w:r>
        <w:rPr>
          <w:rFonts w:ascii="Arial" w:cs="Arial" w:eastAsia="Arial" w:hAnsi="Arial"/>
          <w:sz w:val="18"/>
          <w:szCs w:val="18"/>
          <w:color w:val="auto"/>
        </w:rPr>
        <w:t>, Monster Energy® M-80</w:t>
      </w:r>
      <w:r>
        <w:rPr>
          <w:rFonts w:ascii="Arial" w:cs="Arial" w:eastAsia="Arial" w:hAnsi="Arial"/>
          <w:sz w:val="10"/>
          <w:szCs w:val="10"/>
          <w:color w:val="auto"/>
        </w:rPr>
        <w:t>TM</w:t>
      </w:r>
      <w:r>
        <w:rPr>
          <w:rFonts w:ascii="Arial" w:cs="Arial" w:eastAsia="Arial" w:hAnsi="Arial"/>
          <w:sz w:val="18"/>
          <w:szCs w:val="18"/>
          <w:color w:val="auto"/>
        </w:rPr>
        <w:t xml:space="preserve"> (named “RIPPER” in certain countries), Monster Energy® Heavy Metal</w:t>
      </w:r>
      <w:r>
        <w:rPr>
          <w:rFonts w:ascii="Arial" w:cs="Arial" w:eastAsia="Arial" w:hAnsi="Arial"/>
          <w:sz w:val="10"/>
          <w:szCs w:val="10"/>
          <w:color w:val="auto"/>
        </w:rPr>
        <w:t>TM</w:t>
      </w:r>
      <w:r>
        <w:rPr>
          <w:rFonts w:ascii="Arial" w:cs="Arial" w:eastAsia="Arial" w:hAnsi="Arial"/>
          <w:sz w:val="18"/>
          <w:szCs w:val="18"/>
          <w:color w:val="auto"/>
        </w:rPr>
        <w:t>, Monster Energy® MIXXD</w:t>
      </w:r>
      <w:r>
        <w:rPr>
          <w:rFonts w:ascii="Arial" w:cs="Arial" w:eastAsia="Arial" w:hAnsi="Arial"/>
          <w:sz w:val="10"/>
          <w:szCs w:val="10"/>
          <w:color w:val="auto"/>
        </w:rPr>
        <w:t>TM</w:t>
      </w:r>
      <w:r>
        <w:rPr>
          <w:rFonts w:ascii="Arial" w:cs="Arial" w:eastAsia="Arial" w:hAnsi="Arial"/>
          <w:sz w:val="18"/>
          <w:szCs w:val="18"/>
          <w:color w:val="auto"/>
        </w:rPr>
        <w:t>, Monster Energy® Import and Monster Energy® Dub Edition. We package our Monster Energy® drinks in 8.3-ounce and/or 12-ounce and/or 16-ounce and/or 23.5-ounce and/or 24-ounce and/or 32-ounce and/or 500ml and/or 550ml aluminum cans and/or 500ml glass bottles.</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Java Monster</w:t>
      </w:r>
      <w:r>
        <w:rPr>
          <w:rFonts w:ascii="Arial" w:cs="Arial" w:eastAsia="Arial" w:hAnsi="Arial"/>
          <w:sz w:val="11"/>
          <w:szCs w:val="11"/>
          <w:color w:val="auto"/>
        </w:rPr>
        <w:t>TM</w:t>
      </w:r>
      <w:r>
        <w:rPr>
          <w:rFonts w:ascii="Arial" w:cs="Arial" w:eastAsia="Arial" w:hAnsi="Arial"/>
          <w:sz w:val="19"/>
          <w:szCs w:val="19"/>
          <w:i w:val="1"/>
          <w:iCs w:val="1"/>
          <w:color w:val="auto"/>
        </w:rPr>
        <w:t xml:space="preserve"> Coffee + Energy Drinks </w:t>
      </w:r>
      <w:r>
        <w:rPr>
          <w:rFonts w:ascii="Arial" w:cs="Arial" w:eastAsia="Arial" w:hAnsi="Arial"/>
          <w:sz w:val="19"/>
          <w:szCs w:val="19"/>
          <w:color w:val="auto"/>
        </w:rPr>
        <w:t>- a line of non-carbonated dairy based coffee + energy drinks under the Java Monster</w:t>
      </w:r>
      <w:r>
        <w:rPr>
          <w:rFonts w:ascii="Arial" w:cs="Arial" w:eastAsia="Arial" w:hAnsi="Arial"/>
          <w:sz w:val="11"/>
          <w:szCs w:val="11"/>
          <w:color w:val="auto"/>
        </w:rPr>
        <w:t>TM</w:t>
      </w:r>
      <w:r>
        <w:rPr>
          <w:rFonts w:ascii="Arial" w:cs="Arial" w:eastAsia="Arial" w:hAnsi="Arial"/>
          <w:sz w:val="19"/>
          <w:szCs w:val="19"/>
          <w:i w:val="1"/>
          <w:iCs w:val="1"/>
          <w:color w:val="auto"/>
        </w:rPr>
        <w:t xml:space="preserve"> </w:t>
      </w:r>
      <w:r>
        <w:rPr>
          <w:rFonts w:ascii="Arial" w:cs="Arial" w:eastAsia="Arial" w:hAnsi="Arial"/>
          <w:sz w:val="19"/>
          <w:szCs w:val="19"/>
          <w:color w:val="auto"/>
        </w:rPr>
        <w:t>brand</w:t>
      </w:r>
      <w:r>
        <w:rPr>
          <w:rFonts w:ascii="Arial" w:cs="Arial" w:eastAsia="Arial" w:hAnsi="Arial"/>
          <w:sz w:val="19"/>
          <w:szCs w:val="19"/>
          <w:i w:val="1"/>
          <w:iCs w:val="1"/>
          <w:color w:val="auto"/>
        </w:rPr>
        <w:t xml:space="preserve"> </w:t>
      </w:r>
      <w:r>
        <w:rPr>
          <w:rFonts w:ascii="Arial" w:cs="Arial" w:eastAsia="Arial" w:hAnsi="Arial"/>
          <w:sz w:val="19"/>
          <w:szCs w:val="19"/>
          <w:color w:val="auto"/>
        </w:rPr>
        <w:t>name. We offer the following products under the Java Monster</w:t>
      </w:r>
      <w:r>
        <w:rPr>
          <w:rFonts w:ascii="Arial" w:cs="Arial" w:eastAsia="Arial" w:hAnsi="Arial"/>
          <w:sz w:val="11"/>
          <w:szCs w:val="11"/>
          <w:color w:val="auto"/>
        </w:rPr>
        <w:t>TM</w:t>
      </w:r>
      <w:r>
        <w:rPr>
          <w:rFonts w:ascii="Arial" w:cs="Arial" w:eastAsia="Arial" w:hAnsi="Arial"/>
          <w:sz w:val="19"/>
          <w:szCs w:val="19"/>
          <w:color w:val="auto"/>
        </w:rPr>
        <w:t xml:space="preserve"> product line: Java Monster</w:t>
      </w:r>
      <w:r>
        <w:rPr>
          <w:rFonts w:ascii="Arial" w:cs="Arial" w:eastAsia="Arial" w:hAnsi="Arial"/>
          <w:sz w:val="11"/>
          <w:szCs w:val="11"/>
          <w:color w:val="auto"/>
        </w:rPr>
        <w:t>TM</w:t>
      </w:r>
      <w:r>
        <w:rPr>
          <w:rFonts w:ascii="Arial" w:cs="Arial" w:eastAsia="Arial" w:hAnsi="Arial"/>
          <w:sz w:val="19"/>
          <w:szCs w:val="19"/>
          <w:color w:val="auto"/>
        </w:rPr>
        <w:t xml:space="preserve"> Originale</w:t>
      </w:r>
      <w:r>
        <w:rPr>
          <w:rFonts w:ascii="Arial" w:cs="Arial" w:eastAsia="Arial" w:hAnsi="Arial"/>
          <w:sz w:val="11"/>
          <w:szCs w:val="11"/>
          <w:color w:val="auto"/>
        </w:rPr>
        <w:t>TM</w:t>
      </w:r>
      <w:r>
        <w:rPr>
          <w:rFonts w:ascii="Arial" w:cs="Arial" w:eastAsia="Arial" w:hAnsi="Arial"/>
          <w:sz w:val="19"/>
          <w:szCs w:val="19"/>
          <w:color w:val="auto"/>
        </w:rPr>
        <w:t>, Java Monster</w:t>
      </w:r>
      <w:r>
        <w:rPr>
          <w:rFonts w:ascii="Arial" w:cs="Arial" w:eastAsia="Arial" w:hAnsi="Arial"/>
          <w:sz w:val="11"/>
          <w:szCs w:val="11"/>
          <w:color w:val="auto"/>
        </w:rPr>
        <w:t>TM</w:t>
      </w:r>
      <w:r>
        <w:rPr>
          <w:rFonts w:ascii="Arial" w:cs="Arial" w:eastAsia="Arial" w:hAnsi="Arial"/>
          <w:sz w:val="19"/>
          <w:szCs w:val="19"/>
          <w:color w:val="auto"/>
        </w:rPr>
        <w:t xml:space="preserve"> Loca Moca®, Java Monster</w:t>
      </w:r>
      <w:r>
        <w:rPr>
          <w:rFonts w:ascii="Arial" w:cs="Arial" w:eastAsia="Arial" w:hAnsi="Arial"/>
          <w:sz w:val="11"/>
          <w:szCs w:val="11"/>
          <w:color w:val="auto"/>
        </w:rPr>
        <w:t>TM</w:t>
      </w:r>
      <w:r>
        <w:rPr>
          <w:rFonts w:ascii="Arial" w:cs="Arial" w:eastAsia="Arial" w:hAnsi="Arial"/>
          <w:sz w:val="19"/>
          <w:szCs w:val="19"/>
          <w:color w:val="auto"/>
        </w:rPr>
        <w:t xml:space="preserve"> Mean Bean®, Java Monster</w:t>
      </w:r>
      <w:r>
        <w:rPr>
          <w:rFonts w:ascii="Arial" w:cs="Arial" w:eastAsia="Arial" w:hAnsi="Arial"/>
          <w:sz w:val="11"/>
          <w:szCs w:val="11"/>
          <w:color w:val="auto"/>
        </w:rPr>
        <w:t>TM</w:t>
      </w:r>
      <w:r>
        <w:rPr>
          <w:rFonts w:ascii="Arial" w:cs="Arial" w:eastAsia="Arial" w:hAnsi="Arial"/>
          <w:sz w:val="19"/>
          <w:szCs w:val="19"/>
          <w:color w:val="auto"/>
        </w:rPr>
        <w:t xml:space="preserve"> Russian, Java Monster</w:t>
      </w:r>
      <w:r>
        <w:rPr>
          <w:rFonts w:ascii="Arial" w:cs="Arial" w:eastAsia="Arial" w:hAnsi="Arial"/>
          <w:sz w:val="11"/>
          <w:szCs w:val="11"/>
          <w:color w:val="auto"/>
        </w:rPr>
        <w:t>TM</w:t>
      </w:r>
      <w:r>
        <w:rPr>
          <w:rFonts w:ascii="Arial" w:cs="Arial" w:eastAsia="Arial" w:hAnsi="Arial"/>
          <w:sz w:val="19"/>
          <w:szCs w:val="19"/>
          <w:color w:val="auto"/>
        </w:rPr>
        <w:t xml:space="preserve"> Irish Blend</w:t>
      </w:r>
      <w:r>
        <w:rPr>
          <w:rFonts w:ascii="Arial" w:cs="Arial" w:eastAsia="Arial" w:hAnsi="Arial"/>
          <w:sz w:val="11"/>
          <w:szCs w:val="11"/>
          <w:color w:val="auto"/>
        </w:rPr>
        <w:t>TM</w:t>
      </w:r>
      <w:r>
        <w:rPr>
          <w:rFonts w:ascii="Arial" w:cs="Arial" w:eastAsia="Arial" w:hAnsi="Arial"/>
          <w:sz w:val="19"/>
          <w:szCs w:val="19"/>
          <w:color w:val="auto"/>
        </w:rPr>
        <w:t>, Java Monster</w:t>
      </w:r>
      <w:r>
        <w:rPr>
          <w:rFonts w:ascii="Arial" w:cs="Arial" w:eastAsia="Arial" w:hAnsi="Arial"/>
          <w:sz w:val="11"/>
          <w:szCs w:val="11"/>
          <w:color w:val="auto"/>
        </w:rPr>
        <w:t>TM</w:t>
      </w:r>
      <w:r>
        <w:rPr>
          <w:rFonts w:ascii="Arial" w:cs="Arial" w:eastAsia="Arial" w:hAnsi="Arial"/>
          <w:sz w:val="19"/>
          <w:szCs w:val="19"/>
          <w:color w:val="auto"/>
        </w:rPr>
        <w:t xml:space="preserve"> Chai Hai</w:t>
      </w:r>
      <w:r>
        <w:rPr>
          <w:rFonts w:ascii="Arial" w:cs="Arial" w:eastAsia="Arial" w:hAnsi="Arial"/>
          <w:sz w:val="11"/>
          <w:szCs w:val="11"/>
          <w:color w:val="auto"/>
        </w:rPr>
        <w:t>TM</w:t>
      </w:r>
      <w:r>
        <w:rPr>
          <w:rFonts w:ascii="Arial" w:cs="Arial" w:eastAsia="Arial" w:hAnsi="Arial"/>
          <w:sz w:val="19"/>
          <w:szCs w:val="19"/>
          <w:color w:val="auto"/>
        </w:rPr>
        <w:t>, Java Monster</w:t>
      </w:r>
      <w:r>
        <w:rPr>
          <w:rFonts w:ascii="Arial" w:cs="Arial" w:eastAsia="Arial" w:hAnsi="Arial"/>
          <w:sz w:val="11"/>
          <w:szCs w:val="11"/>
          <w:color w:val="auto"/>
        </w:rPr>
        <w:t>TM</w:t>
      </w:r>
      <w:r>
        <w:rPr>
          <w:rFonts w:ascii="Arial" w:cs="Arial" w:eastAsia="Arial" w:hAnsi="Arial"/>
          <w:sz w:val="19"/>
          <w:szCs w:val="19"/>
          <w:color w:val="auto"/>
        </w:rPr>
        <w:t xml:space="preserve"> Nut Up</w:t>
      </w:r>
      <w:r>
        <w:rPr>
          <w:rFonts w:ascii="Arial" w:cs="Arial" w:eastAsia="Arial" w:hAnsi="Arial"/>
          <w:sz w:val="11"/>
          <w:szCs w:val="11"/>
          <w:color w:val="auto"/>
        </w:rPr>
        <w:t>TM</w:t>
      </w:r>
      <w:r>
        <w:rPr>
          <w:rFonts w:ascii="Arial" w:cs="Arial" w:eastAsia="Arial" w:hAnsi="Arial"/>
          <w:sz w:val="19"/>
          <w:szCs w:val="19"/>
          <w:color w:val="auto"/>
        </w:rPr>
        <w:t xml:space="preserve"> and Java Monster</w:t>
      </w:r>
      <w:r>
        <w:rPr>
          <w:rFonts w:ascii="Arial" w:cs="Arial" w:eastAsia="Arial" w:hAnsi="Arial"/>
          <w:sz w:val="11"/>
          <w:szCs w:val="11"/>
          <w:color w:val="auto"/>
        </w:rPr>
        <w:t>TM</w:t>
      </w:r>
      <w:r>
        <w:rPr>
          <w:rFonts w:ascii="Arial" w:cs="Arial" w:eastAsia="Arial" w:hAnsi="Arial"/>
          <w:sz w:val="19"/>
          <w:szCs w:val="19"/>
          <w:color w:val="auto"/>
        </w:rPr>
        <w:t xml:space="preserve"> Lo-Ball</w:t>
      </w:r>
      <w:r>
        <w:rPr>
          <w:rFonts w:ascii="Arial" w:cs="Arial" w:eastAsia="Arial" w:hAnsi="Arial"/>
          <w:sz w:val="11"/>
          <w:szCs w:val="11"/>
          <w:color w:val="auto"/>
        </w:rPr>
        <w:t>TM</w:t>
      </w:r>
      <w:r>
        <w:rPr>
          <w:rFonts w:ascii="Arial" w:cs="Arial" w:eastAsia="Arial" w:hAnsi="Arial"/>
          <w:sz w:val="19"/>
          <w:szCs w:val="19"/>
          <w:color w:val="auto"/>
        </w:rPr>
        <w:t>. We package our Java Monster</w:t>
      </w:r>
      <w:r>
        <w:rPr>
          <w:rFonts w:ascii="Arial" w:cs="Arial" w:eastAsia="Arial" w:hAnsi="Arial"/>
          <w:sz w:val="11"/>
          <w:szCs w:val="11"/>
          <w:color w:val="auto"/>
        </w:rPr>
        <w:t>TM</w:t>
      </w:r>
      <w:r>
        <w:rPr>
          <w:rFonts w:ascii="Arial" w:cs="Arial" w:eastAsia="Arial" w:hAnsi="Arial"/>
          <w:sz w:val="19"/>
          <w:szCs w:val="19"/>
          <w:color w:val="auto"/>
        </w:rPr>
        <w:t xml:space="preserve"> Coffee + energy drinks in 15-ounce aluminum cans.</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Nitrous</w:t>
      </w:r>
      <w:r>
        <w:rPr>
          <w:rFonts w:ascii="Arial" w:cs="Arial" w:eastAsia="Arial" w:hAnsi="Arial"/>
          <w:sz w:val="11"/>
          <w:szCs w:val="11"/>
          <w:color w:val="auto"/>
        </w:rPr>
        <w:t>TM</w:t>
      </w:r>
      <w:r>
        <w:rPr>
          <w:rFonts w:ascii="Arial" w:cs="Arial" w:eastAsia="Arial" w:hAnsi="Arial"/>
          <w:sz w:val="20"/>
          <w:szCs w:val="20"/>
          <w:i w:val="1"/>
          <w:iCs w:val="1"/>
          <w:color w:val="auto"/>
        </w:rPr>
        <w:t xml:space="preserve"> Monster Energy</w:t>
      </w:r>
      <w:r>
        <w:rPr>
          <w:rFonts w:ascii="Arial" w:cs="Arial" w:eastAsia="Arial" w:hAnsi="Arial"/>
          <w:sz w:val="20"/>
          <w:szCs w:val="20"/>
          <w:color w:val="auto"/>
        </w:rPr>
        <w:t>®</w:t>
      </w:r>
      <w:r>
        <w:rPr>
          <w:rFonts w:ascii="Arial" w:cs="Arial" w:eastAsia="Arial" w:hAnsi="Arial"/>
          <w:sz w:val="20"/>
          <w:szCs w:val="20"/>
          <w:i w:val="1"/>
          <w:iCs w:val="1"/>
          <w:color w:val="auto"/>
        </w:rPr>
        <w:t xml:space="preserve"> Drinks </w:t>
      </w:r>
      <w:r>
        <w:rPr>
          <w:rFonts w:ascii="Arial" w:cs="Arial" w:eastAsia="Arial" w:hAnsi="Arial"/>
          <w:sz w:val="20"/>
          <w:szCs w:val="20"/>
          <w:color w:val="auto"/>
        </w:rPr>
        <w:t>- In July 2009, we introduced a new line of carbonated energy drinks containing nitrous oxide. We</w:t>
      </w:r>
      <w:r>
        <w:rPr>
          <w:rFonts w:ascii="Arial" w:cs="Arial" w:eastAsia="Arial" w:hAnsi="Arial"/>
          <w:sz w:val="20"/>
          <w:szCs w:val="20"/>
          <w:i w:val="1"/>
          <w:iCs w:val="1"/>
          <w:color w:val="auto"/>
        </w:rPr>
        <w:t xml:space="preserve"> </w:t>
      </w:r>
      <w:r>
        <w:rPr>
          <w:rFonts w:ascii="Arial" w:cs="Arial" w:eastAsia="Arial" w:hAnsi="Arial"/>
          <w:sz w:val="20"/>
          <w:szCs w:val="20"/>
          <w:color w:val="auto"/>
        </w:rPr>
        <w:t>offer the following products under the Nitrous</w:t>
      </w:r>
      <w:r>
        <w:rPr>
          <w:rFonts w:ascii="Arial" w:cs="Arial" w:eastAsia="Arial" w:hAnsi="Arial"/>
          <w:sz w:val="11"/>
          <w:szCs w:val="11"/>
          <w:color w:val="auto"/>
        </w:rPr>
        <w:t>TM</w:t>
      </w:r>
      <w:r>
        <w:rPr>
          <w:rFonts w:ascii="Arial" w:cs="Arial" w:eastAsia="Arial" w:hAnsi="Arial"/>
          <w:sz w:val="20"/>
          <w:szCs w:val="20"/>
          <w:color w:val="auto"/>
        </w:rPr>
        <w:t xml:space="preserve"> Monster Energy® product line: Extra Dry, Anti Gravity and Killer B. We package our Nitrous</w:t>
      </w:r>
      <w:r>
        <w:rPr>
          <w:rFonts w:ascii="Arial" w:cs="Arial" w:eastAsia="Arial" w:hAnsi="Arial"/>
          <w:sz w:val="11"/>
          <w:szCs w:val="11"/>
          <w:color w:val="auto"/>
        </w:rPr>
        <w:t>TM</w:t>
      </w:r>
      <w:r>
        <w:rPr>
          <w:rFonts w:ascii="Arial" w:cs="Arial" w:eastAsia="Arial" w:hAnsi="Arial"/>
          <w:sz w:val="20"/>
          <w:szCs w:val="20"/>
          <w:color w:val="auto"/>
        </w:rPr>
        <w:t xml:space="preserve"> Monster Energy® drinks in 12-ounce sleek aluminum cans.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X-Presso Monster</w:t>
      </w:r>
      <w:r>
        <w:rPr>
          <w:rFonts w:ascii="Arial" w:cs="Arial" w:eastAsia="Arial" w:hAnsi="Arial"/>
          <w:sz w:val="11"/>
          <w:szCs w:val="11"/>
          <w:color w:val="auto"/>
        </w:rPr>
        <w:t>TM</w:t>
      </w:r>
      <w:r>
        <w:rPr>
          <w:rFonts w:ascii="Arial" w:cs="Arial" w:eastAsia="Arial" w:hAnsi="Arial"/>
          <w:sz w:val="20"/>
          <w:szCs w:val="20"/>
          <w:i w:val="1"/>
          <w:iCs w:val="1"/>
          <w:color w:val="auto"/>
        </w:rPr>
        <w:t xml:space="preserve">-Hammer </w:t>
      </w:r>
      <w:r>
        <w:rPr>
          <w:rFonts w:ascii="Arial" w:cs="Arial" w:eastAsia="Arial" w:hAnsi="Arial"/>
          <w:sz w:val="20"/>
          <w:szCs w:val="20"/>
          <w:color w:val="auto"/>
        </w:rPr>
        <w:t>- In June 2009, we introduced X-Presso Monster</w:t>
      </w:r>
      <w:r>
        <w:rPr>
          <w:rFonts w:ascii="Arial" w:cs="Arial" w:eastAsia="Arial" w:hAnsi="Arial"/>
          <w:sz w:val="11"/>
          <w:szCs w:val="11"/>
          <w:color w:val="auto"/>
        </w:rPr>
        <w:t>TM</w:t>
      </w:r>
      <w:r>
        <w:rPr>
          <w:rFonts w:ascii="Arial" w:cs="Arial" w:eastAsia="Arial" w:hAnsi="Arial"/>
          <w:sz w:val="20"/>
          <w:szCs w:val="20"/>
          <w:color w:val="auto"/>
        </w:rPr>
        <w:t>-Hammer, a non-carbonated espresso energy drink in</w:t>
      </w:r>
      <w:r>
        <w:rPr>
          <w:rFonts w:ascii="Arial" w:cs="Arial" w:eastAsia="Arial" w:hAnsi="Arial"/>
          <w:sz w:val="20"/>
          <w:szCs w:val="20"/>
          <w:i w:val="1"/>
          <w:iCs w:val="1"/>
          <w:color w:val="auto"/>
        </w:rPr>
        <w:t xml:space="preserve"> </w:t>
      </w:r>
      <w:r>
        <w:rPr>
          <w:rFonts w:ascii="Arial" w:cs="Arial" w:eastAsia="Arial" w:hAnsi="Arial"/>
          <w:sz w:val="20"/>
          <w:szCs w:val="20"/>
          <w:color w:val="auto"/>
        </w:rPr>
        <w:t>6.75-ounce aluminum cans.</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Monster Hitman Energy Shooter</w:t>
      </w:r>
      <w:r>
        <w:rPr>
          <w:rFonts w:ascii="Arial" w:cs="Arial" w:eastAsia="Arial" w:hAnsi="Arial"/>
          <w:sz w:val="11"/>
          <w:szCs w:val="11"/>
          <w:color w:val="auto"/>
        </w:rPr>
        <w:t>TM</w:t>
      </w:r>
      <w:r>
        <w:rPr>
          <w:rFonts w:ascii="Arial" w:cs="Arial" w:eastAsia="Arial" w:hAnsi="Arial"/>
          <w:sz w:val="20"/>
          <w:szCs w:val="20"/>
          <w:i w:val="1"/>
          <w:iCs w:val="1"/>
          <w:color w:val="auto"/>
        </w:rPr>
        <w:t xml:space="preserve"> </w:t>
      </w:r>
      <w:r>
        <w:rPr>
          <w:rFonts w:ascii="Arial" w:cs="Arial" w:eastAsia="Arial" w:hAnsi="Arial"/>
          <w:sz w:val="20"/>
          <w:szCs w:val="20"/>
          <w:color w:val="auto"/>
        </w:rPr>
        <w:t>- a line of energy shooters in 3-ounce polyethylene terephthalate (“PET”) plastic bottles. We offer</w:t>
      </w:r>
      <w:r>
        <w:rPr>
          <w:rFonts w:ascii="Arial" w:cs="Arial" w:eastAsia="Arial" w:hAnsi="Arial"/>
          <w:sz w:val="20"/>
          <w:szCs w:val="20"/>
          <w:i w:val="1"/>
          <w:iCs w:val="1"/>
          <w:color w:val="auto"/>
        </w:rPr>
        <w:t xml:space="preserve"> </w:t>
      </w:r>
      <w:r>
        <w:rPr>
          <w:rFonts w:ascii="Arial" w:cs="Arial" w:eastAsia="Arial" w:hAnsi="Arial"/>
          <w:sz w:val="20"/>
          <w:szCs w:val="20"/>
          <w:color w:val="auto"/>
        </w:rPr>
        <w:t>the following products under the Monster Hitman Energy Shooter</w:t>
      </w:r>
      <w:r>
        <w:rPr>
          <w:rFonts w:ascii="Arial" w:cs="Arial" w:eastAsia="Arial" w:hAnsi="Arial"/>
          <w:sz w:val="11"/>
          <w:szCs w:val="11"/>
          <w:color w:val="auto"/>
        </w:rPr>
        <w:t>TM</w:t>
      </w:r>
      <w:r>
        <w:rPr>
          <w:rFonts w:ascii="Arial" w:cs="Arial" w:eastAsia="Arial" w:hAnsi="Arial"/>
          <w:sz w:val="20"/>
          <w:szCs w:val="20"/>
          <w:color w:val="auto"/>
        </w:rPr>
        <w:t xml:space="preserve"> product line: Monster Hitman Energy Shooter</w:t>
      </w:r>
      <w:r>
        <w:rPr>
          <w:rFonts w:ascii="Arial" w:cs="Arial" w:eastAsia="Arial" w:hAnsi="Arial"/>
          <w:sz w:val="11"/>
          <w:szCs w:val="11"/>
          <w:color w:val="auto"/>
        </w:rPr>
        <w:t>TM</w:t>
      </w:r>
      <w:r>
        <w:rPr>
          <w:rFonts w:ascii="Arial" w:cs="Arial" w:eastAsia="Arial" w:hAnsi="Arial"/>
          <w:sz w:val="20"/>
          <w:szCs w:val="20"/>
          <w:color w:val="auto"/>
        </w:rPr>
        <w:t>, Monster LOBO Energy Shooter</w:t>
      </w:r>
      <w:r>
        <w:rPr>
          <w:rFonts w:ascii="Arial" w:cs="Arial" w:eastAsia="Arial" w:hAnsi="Arial"/>
          <w:sz w:val="11"/>
          <w:szCs w:val="11"/>
          <w:color w:val="auto"/>
        </w:rPr>
        <w:t>TM</w:t>
      </w:r>
      <w:r>
        <w:rPr>
          <w:rFonts w:ascii="Arial" w:cs="Arial" w:eastAsia="Arial" w:hAnsi="Arial"/>
          <w:sz w:val="20"/>
          <w:szCs w:val="20"/>
          <w:color w:val="auto"/>
        </w:rPr>
        <w:t xml:space="preserve"> and Monster Sniper Energy Shooter</w:t>
      </w:r>
      <w:r>
        <w:rPr>
          <w:rFonts w:ascii="Arial" w:cs="Arial" w:eastAsia="Arial" w:hAnsi="Arial"/>
          <w:sz w:val="11"/>
          <w:szCs w:val="11"/>
          <w:color w:val="auto"/>
        </w:rPr>
        <w:t>TM</w:t>
      </w:r>
      <w:r>
        <w:rPr>
          <w:rFonts w:ascii="Arial" w:cs="Arial" w:eastAsia="Arial" w:hAnsi="Arial"/>
          <w:sz w:val="20"/>
          <w:szCs w:val="20"/>
          <w:color w:val="auto"/>
        </w:rPr>
        <w:t>.</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Lost® Energy</w:t>
      </w:r>
      <w:r>
        <w:rPr>
          <w:rFonts w:ascii="Arial" w:cs="Arial" w:eastAsia="Arial" w:hAnsi="Arial"/>
          <w:sz w:val="11"/>
          <w:szCs w:val="11"/>
          <w:color w:val="auto"/>
        </w:rPr>
        <w:t>TM</w:t>
      </w:r>
      <w:r>
        <w:rPr>
          <w:rFonts w:ascii="Arial" w:cs="Arial" w:eastAsia="Arial" w:hAnsi="Arial"/>
          <w:sz w:val="19"/>
          <w:szCs w:val="19"/>
          <w:i w:val="1"/>
          <w:iCs w:val="1"/>
          <w:color w:val="auto"/>
        </w:rPr>
        <w:t xml:space="preserve"> Drinks </w:t>
      </w:r>
      <w:r>
        <w:rPr>
          <w:rFonts w:ascii="Arial" w:cs="Arial" w:eastAsia="Arial" w:hAnsi="Arial"/>
          <w:sz w:val="19"/>
          <w:szCs w:val="19"/>
          <w:color w:val="auto"/>
        </w:rPr>
        <w:t>- a carbonated energy drink under the Lost® brand name. The Lost® brand name is owned by Lost</w:t>
      </w:r>
      <w:r>
        <w:rPr>
          <w:rFonts w:ascii="Arial" w:cs="Arial" w:eastAsia="Arial" w:hAnsi="Arial"/>
          <w:sz w:val="19"/>
          <w:szCs w:val="19"/>
          <w:i w:val="1"/>
          <w:iCs w:val="1"/>
          <w:color w:val="auto"/>
        </w:rPr>
        <w:t xml:space="preserve"> </w:t>
      </w:r>
      <w:r>
        <w:rPr>
          <w:rFonts w:ascii="Arial" w:cs="Arial" w:eastAsia="Arial" w:hAnsi="Arial"/>
          <w:sz w:val="19"/>
          <w:szCs w:val="19"/>
          <w:color w:val="auto"/>
        </w:rPr>
        <w:t>International, LLC and the drinks are produced, sold and distributed by us under an exclusive license from Lost International, LLC. We offer the following products under the Lost® Energy</w:t>
      </w:r>
      <w:r>
        <w:rPr>
          <w:rFonts w:ascii="Arial" w:cs="Arial" w:eastAsia="Arial" w:hAnsi="Arial"/>
          <w:sz w:val="11"/>
          <w:szCs w:val="11"/>
          <w:color w:val="auto"/>
        </w:rPr>
        <w:t>TM</w:t>
      </w:r>
      <w:r>
        <w:rPr>
          <w:rFonts w:ascii="Arial" w:cs="Arial" w:eastAsia="Arial" w:hAnsi="Arial"/>
          <w:sz w:val="19"/>
          <w:szCs w:val="19"/>
          <w:color w:val="auto"/>
        </w:rPr>
        <w:t xml:space="preserve"> brand energy drink product line: Lost®, Lost® Perfect 10</w:t>
      </w:r>
      <w:r>
        <w:rPr>
          <w:rFonts w:ascii="Arial" w:cs="Arial" w:eastAsia="Arial" w:hAnsi="Arial"/>
          <w:sz w:val="11"/>
          <w:szCs w:val="11"/>
          <w:color w:val="auto"/>
        </w:rPr>
        <w:t>TM</w:t>
      </w:r>
      <w:r>
        <w:rPr>
          <w:rFonts w:ascii="Arial" w:cs="Arial" w:eastAsia="Arial" w:hAnsi="Arial"/>
          <w:sz w:val="19"/>
          <w:szCs w:val="19"/>
          <w:color w:val="auto"/>
        </w:rPr>
        <w:t>, Lost® Five-O</w:t>
      </w:r>
      <w:r>
        <w:rPr>
          <w:rFonts w:ascii="Arial" w:cs="Arial" w:eastAsia="Arial" w:hAnsi="Arial"/>
          <w:sz w:val="11"/>
          <w:szCs w:val="11"/>
          <w:color w:val="auto"/>
        </w:rPr>
        <w:t>TM</w:t>
      </w:r>
      <w:r>
        <w:rPr>
          <w:rFonts w:ascii="Arial" w:cs="Arial" w:eastAsia="Arial" w:hAnsi="Arial"/>
          <w:sz w:val="19"/>
          <w:szCs w:val="19"/>
          <w:color w:val="auto"/>
        </w:rPr>
        <w:t xml:space="preserve"> and Lost® Cadillac</w:t>
      </w:r>
      <w:r>
        <w:rPr>
          <w:rFonts w:ascii="Arial" w:cs="Arial" w:eastAsia="Arial" w:hAnsi="Arial"/>
          <w:sz w:val="11"/>
          <w:szCs w:val="11"/>
          <w:color w:val="auto"/>
        </w:rPr>
        <w:t>TM</w:t>
      </w:r>
      <w:r>
        <w:rPr>
          <w:rFonts w:ascii="Arial" w:cs="Arial" w:eastAsia="Arial" w:hAnsi="Arial"/>
          <w:sz w:val="19"/>
          <w:szCs w:val="19"/>
          <w:color w:val="auto"/>
        </w:rPr>
        <w:t>. We package our Lost® Energy</w:t>
      </w:r>
      <w:r>
        <w:rPr>
          <w:rFonts w:ascii="Arial" w:cs="Arial" w:eastAsia="Arial" w:hAnsi="Arial"/>
          <w:sz w:val="11"/>
          <w:szCs w:val="11"/>
          <w:color w:val="auto"/>
        </w:rPr>
        <w:t>TM</w:t>
      </w:r>
      <w:r>
        <w:rPr>
          <w:rFonts w:ascii="Arial" w:cs="Arial" w:eastAsia="Arial" w:hAnsi="Arial"/>
          <w:sz w:val="19"/>
          <w:szCs w:val="19"/>
          <w:color w:val="auto"/>
        </w:rPr>
        <w:t xml:space="preserve"> drinks in 8.3-ounce and/or 16-ounce and/or 24-ounce aluminum cans.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Energy Juices </w:t>
      </w:r>
      <w:r>
        <w:rPr>
          <w:rFonts w:ascii="Arial" w:cs="Arial" w:eastAsia="Arial" w:hAnsi="Arial"/>
          <w:sz w:val="20"/>
          <w:szCs w:val="20"/>
          <w:color w:val="auto"/>
        </w:rPr>
        <w:t>- - non-carbonated energy juices under the Rumba®, Samba and Tango brand names. Our energy juices are 100% juice</w:t>
      </w:r>
      <w:r>
        <w:rPr>
          <w:rFonts w:ascii="Arial" w:cs="Arial" w:eastAsia="Arial" w:hAnsi="Arial"/>
          <w:sz w:val="20"/>
          <w:szCs w:val="20"/>
          <w:i w:val="1"/>
          <w:iCs w:val="1"/>
          <w:color w:val="auto"/>
        </w:rPr>
        <w:t xml:space="preserve"> </w:t>
      </w:r>
      <w:r>
        <w:rPr>
          <w:rFonts w:ascii="Arial" w:cs="Arial" w:eastAsia="Arial" w:hAnsi="Arial"/>
          <w:sz w:val="20"/>
          <w:szCs w:val="20"/>
          <w:color w:val="auto"/>
        </w:rPr>
        <w:t>products that target male and female morning beverages consumers and are positioned as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substitute for coffee, caffeinated sodas and 100% orange or other juices. We package our energy juices in 15.5-ounce aluminum cans.</w:t>
      </w:r>
    </w:p>
    <w:p>
      <w:pPr>
        <w:spacing w:after="0" w:line="24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Vidration</w:t>
      </w:r>
      <w:r>
        <w:rPr>
          <w:rFonts w:ascii="Arial" w:cs="Arial" w:eastAsia="Arial" w:hAnsi="Arial"/>
          <w:sz w:val="20"/>
          <w:szCs w:val="20"/>
          <w:color w:val="auto"/>
        </w:rPr>
        <w:t>® - a zero calorie, vitamin enhanced water line under the Vidration® brand name in 20-ounce PET bottles. We offer the</w:t>
      </w:r>
      <w:r>
        <w:rPr>
          <w:rFonts w:ascii="Arial" w:cs="Arial" w:eastAsia="Arial" w:hAnsi="Arial"/>
          <w:sz w:val="20"/>
          <w:szCs w:val="20"/>
          <w:i w:val="1"/>
          <w:iCs w:val="1"/>
          <w:color w:val="auto"/>
        </w:rPr>
        <w:t xml:space="preserve"> </w:t>
      </w:r>
      <w:r>
        <w:rPr>
          <w:rFonts w:ascii="Arial" w:cs="Arial" w:eastAsia="Arial" w:hAnsi="Arial"/>
          <w:sz w:val="20"/>
          <w:szCs w:val="20"/>
          <w:color w:val="auto"/>
        </w:rPr>
        <w:t>following products under the Vidration® brand product line: Defense, Recover, Energy, Multi – V and Power.</w:t>
      </w:r>
    </w:p>
    <w:p>
      <w:pPr>
        <w:spacing w:after="0" w:line="1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Peace Tea</w:t>
      </w:r>
      <w:r>
        <w:rPr>
          <w:rFonts w:ascii="Arial" w:cs="Arial" w:eastAsia="Arial" w:hAnsi="Arial"/>
          <w:sz w:val="11"/>
          <w:szCs w:val="11"/>
          <w:color w:val="auto"/>
        </w:rPr>
        <w:t>TM</w:t>
      </w:r>
      <w:r>
        <w:rPr>
          <w:rFonts w:ascii="Arial" w:cs="Arial" w:eastAsia="Arial" w:hAnsi="Arial"/>
          <w:sz w:val="19"/>
          <w:szCs w:val="19"/>
          <w:i w:val="1"/>
          <w:iCs w:val="1"/>
          <w:color w:val="auto"/>
        </w:rPr>
        <w:t xml:space="preserve"> </w:t>
      </w:r>
      <w:r>
        <w:rPr>
          <w:rFonts w:ascii="Arial" w:cs="Arial" w:eastAsia="Arial" w:hAnsi="Arial"/>
          <w:sz w:val="19"/>
          <w:szCs w:val="19"/>
          <w:color w:val="auto"/>
        </w:rPr>
        <w:t>- In December 2009, we introduced a new line of ready-to-drink iced teas in 23-ounce aluminum cans. We offer the</w:t>
      </w:r>
      <w:r>
        <w:rPr>
          <w:rFonts w:ascii="Arial" w:cs="Arial" w:eastAsia="Arial" w:hAnsi="Arial"/>
          <w:sz w:val="19"/>
          <w:szCs w:val="19"/>
          <w:i w:val="1"/>
          <w:iCs w:val="1"/>
          <w:color w:val="auto"/>
        </w:rPr>
        <w:t xml:space="preserve"> </w:t>
      </w:r>
      <w:r>
        <w:rPr>
          <w:rFonts w:ascii="Arial" w:cs="Arial" w:eastAsia="Arial" w:hAnsi="Arial"/>
          <w:sz w:val="19"/>
          <w:szCs w:val="19"/>
          <w:color w:val="auto"/>
        </w:rPr>
        <w:t>following products under the Peace Tea</w:t>
      </w:r>
      <w:r>
        <w:rPr>
          <w:rFonts w:ascii="Arial" w:cs="Arial" w:eastAsia="Arial" w:hAnsi="Arial"/>
          <w:sz w:val="11"/>
          <w:szCs w:val="11"/>
          <w:color w:val="auto"/>
        </w:rPr>
        <w:t>TM</w:t>
      </w:r>
      <w:r>
        <w:rPr>
          <w:rFonts w:ascii="Arial" w:cs="Arial" w:eastAsia="Arial" w:hAnsi="Arial"/>
          <w:sz w:val="19"/>
          <w:szCs w:val="19"/>
          <w:color w:val="auto"/>
        </w:rPr>
        <w:t xml:space="preserve"> product line: green tea, imported Ceylon tea, sweet lemon tea and razzleberry tea.</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Warehouse Segment</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Hansen’s Natural Sodas® - </w:t>
      </w:r>
      <w:r>
        <w:rPr>
          <w:rFonts w:ascii="Arial" w:cs="Arial" w:eastAsia="Arial" w:hAnsi="Arial"/>
          <w:sz w:val="19"/>
          <w:szCs w:val="19"/>
          <w:color w:val="auto"/>
        </w:rPr>
        <w:t>Hansen’s Natural Sodas® have been a leading natural soda brand in Southern California for the past 30</w:t>
      </w:r>
      <w:r>
        <w:rPr>
          <w:rFonts w:ascii="Arial" w:cs="Arial" w:eastAsia="Arial" w:hAnsi="Arial"/>
          <w:sz w:val="19"/>
          <w:szCs w:val="19"/>
          <w:i w:val="1"/>
          <w:iCs w:val="1"/>
          <w:color w:val="auto"/>
        </w:rPr>
        <w:t xml:space="preserve"> </w:t>
      </w:r>
      <w:r>
        <w:rPr>
          <w:rFonts w:ascii="Arial" w:cs="Arial" w:eastAsia="Arial" w:hAnsi="Arial"/>
          <w:sz w:val="19"/>
          <w:szCs w:val="19"/>
          <w:color w:val="auto"/>
        </w:rPr>
        <w:t>years. Hansen’s Natural Sodas®, sweetened with cane sugar, and Hansen’s® Calorie Free Sodas, sweetened with Splenda® and Acesulfame-K, contain no preservatives, no sodium and no caffeine. We offer the following sodas under the Hansen’s® brand name: Hansen’s Natural Sodas®, Hansen’s® Calorie Free Sodas, Hansen’s® Natural Soda Mixers, Hansen’s® Natural Sparkling Sleek Beverages and Hansen’s® Natural Sparkling Sleek Sugar Free Beverages. We package our natural sodas in 12-ounce and/or 16-ounce aluminum cans and our sleek beverages in contemporary 10.5-ounce aluminum cans.</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Blue Sky</w:t>
      </w:r>
      <w:r>
        <w:rPr>
          <w:rFonts w:ascii="Arial" w:cs="Arial" w:eastAsia="Arial" w:hAnsi="Arial"/>
          <w:sz w:val="19"/>
          <w:szCs w:val="19"/>
          <w:color w:val="auto"/>
        </w:rPr>
        <w:t>®</w:t>
      </w:r>
      <w:r>
        <w:rPr>
          <w:rFonts w:ascii="Arial" w:cs="Arial" w:eastAsia="Arial" w:hAnsi="Arial"/>
          <w:sz w:val="19"/>
          <w:szCs w:val="19"/>
          <w:i w:val="1"/>
          <w:iCs w:val="1"/>
          <w:color w:val="auto"/>
        </w:rPr>
        <w:t xml:space="preserve"> Products </w:t>
      </w:r>
      <w:r>
        <w:rPr>
          <w:rFonts w:ascii="Arial" w:cs="Arial" w:eastAsia="Arial" w:hAnsi="Arial"/>
          <w:sz w:val="19"/>
          <w:szCs w:val="19"/>
          <w:color w:val="auto"/>
        </w:rPr>
        <w:t>- The Blue Sky® products contain no preservatives, artificial sweeteners or caffeine (other than the energy drinks)</w:t>
      </w:r>
      <w:r>
        <w:rPr>
          <w:rFonts w:ascii="Arial" w:cs="Arial" w:eastAsia="Arial" w:hAnsi="Arial"/>
          <w:sz w:val="19"/>
          <w:szCs w:val="19"/>
          <w:i w:val="1"/>
          <w:iCs w:val="1"/>
          <w:color w:val="auto"/>
        </w:rPr>
        <w:t xml:space="preserve"> </w:t>
      </w:r>
      <w:r>
        <w:rPr>
          <w:rFonts w:ascii="Arial" w:cs="Arial" w:eastAsia="Arial" w:hAnsi="Arial"/>
          <w:sz w:val="19"/>
          <w:szCs w:val="19"/>
          <w:color w:val="auto"/>
        </w:rPr>
        <w:t>or artificial coloring and are made with sugar and high quality natural flavors. We offer the following products under the Blue Sky® product line: Blue Sky® Natural Sodas, Blue Sky® Premium Sodas, Blue Sky® Organic Natural Sodas, Blue Sky® Seltzer Water, Blue Sky® Blue Energy® drink, Blue Sky® Café Energy and Blue Sky® Tea Sodas. In September 2009, we introduced Blue Sky® Free Sodas, a new line of all natural, zero calorie sodas sweetened with Truvia</w:t>
      </w:r>
      <w:r>
        <w:rPr>
          <w:rFonts w:ascii="Arial" w:cs="Arial" w:eastAsia="Arial" w:hAnsi="Arial"/>
          <w:sz w:val="11"/>
          <w:szCs w:val="11"/>
          <w:color w:val="auto"/>
        </w:rPr>
        <w:t>TM</w:t>
      </w:r>
      <w:r>
        <w:rPr>
          <w:rFonts w:ascii="Arial" w:cs="Arial" w:eastAsia="Arial" w:hAnsi="Arial"/>
          <w:sz w:val="19"/>
          <w:szCs w:val="19"/>
          <w:color w:val="auto"/>
        </w:rPr>
        <w:t xml:space="preserve"> brand stevia extract, an all natural sweetener. We package our Blue Sky® Sodas and seltzer waters in 12-ounce aluminum cans. We package our Blue Sky® Café energy drinks in 15-ounce aluminum cans. We package our Blue Sky® energy drinks in 8.3-ounce and/or 16-ounce aluminum cans.</w:t>
      </w:r>
    </w:p>
    <w:p>
      <w:pPr>
        <w:spacing w:after="0" w:line="1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i w:val="1"/>
          <w:iCs w:val="1"/>
          <w:color w:val="auto"/>
        </w:rPr>
        <w:t>Hansen’s</w:t>
      </w:r>
      <w:r>
        <w:rPr>
          <w:rFonts w:ascii="Arial" w:cs="Arial" w:eastAsia="Arial" w:hAnsi="Arial"/>
          <w:sz w:val="19"/>
          <w:szCs w:val="19"/>
          <w:color w:val="auto"/>
        </w:rPr>
        <w:t>®</w:t>
      </w:r>
      <w:r>
        <w:rPr>
          <w:rFonts w:ascii="Arial" w:cs="Arial" w:eastAsia="Arial" w:hAnsi="Arial"/>
          <w:sz w:val="19"/>
          <w:szCs w:val="19"/>
          <w:i w:val="1"/>
          <w:iCs w:val="1"/>
          <w:color w:val="auto"/>
        </w:rPr>
        <w:t xml:space="preserve"> Energy Drinks </w:t>
      </w:r>
      <w:r>
        <w:rPr>
          <w:rFonts w:ascii="Arial" w:cs="Arial" w:eastAsia="Arial" w:hAnsi="Arial"/>
          <w:sz w:val="19"/>
          <w:szCs w:val="19"/>
          <w:color w:val="auto"/>
        </w:rPr>
        <w:t>- Our Hansen’s</w:t>
      </w:r>
      <w:r>
        <w:rPr>
          <w:rFonts w:ascii="Arial" w:cs="Arial" w:eastAsia="Arial" w:hAnsi="Arial"/>
          <w:sz w:val="19"/>
          <w:szCs w:val="19"/>
          <w:b w:val="1"/>
          <w:b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energy drinks compete in the “functional” beverage category, namely, beverages that</w:t>
      </w:r>
      <w:r>
        <w:rPr>
          <w:rFonts w:ascii="Arial" w:cs="Arial" w:eastAsia="Arial" w:hAnsi="Arial"/>
          <w:sz w:val="19"/>
          <w:szCs w:val="19"/>
          <w:i w:val="1"/>
          <w:iCs w:val="1"/>
          <w:color w:val="auto"/>
        </w:rPr>
        <w:t xml:space="preserve"> </w:t>
      </w:r>
      <w:r>
        <w:rPr>
          <w:rFonts w:ascii="Arial" w:cs="Arial" w:eastAsia="Arial" w:hAnsi="Arial"/>
          <w:sz w:val="19"/>
          <w:szCs w:val="19"/>
          <w:color w:val="auto"/>
        </w:rPr>
        <w:t>provide a real or perceived benefit in addition to simply delivering refreshment. Our Hansen’s</w:t>
      </w:r>
      <w:r>
        <w:rPr>
          <w:rFonts w:ascii="Arial" w:cs="Arial" w:eastAsia="Arial" w:hAnsi="Arial"/>
          <w:sz w:val="19"/>
          <w:szCs w:val="19"/>
          <w:b w:val="1"/>
          <w:bCs w:val="1"/>
          <w:color w:val="auto"/>
        </w:rPr>
        <w:t>®</w:t>
      </w:r>
      <w:r>
        <w:rPr>
          <w:rFonts w:ascii="Arial" w:cs="Arial" w:eastAsia="Arial" w:hAnsi="Arial"/>
          <w:sz w:val="19"/>
          <w:szCs w:val="19"/>
          <w:color w:val="auto"/>
        </w:rPr>
        <w:t xml:space="preserve"> energy drinks contain vitamins, minerals, nutrients, herbs and supplements (collectively, “supplements”). Since 2006, we have marketed our Hansen’s® brand energy drinks through the Warehouse segment. We offer the following products under the Hansen’s</w:t>
      </w:r>
      <w:r>
        <w:rPr>
          <w:rFonts w:ascii="Arial" w:cs="Arial" w:eastAsia="Arial" w:hAnsi="Arial"/>
          <w:sz w:val="19"/>
          <w:szCs w:val="19"/>
          <w:b w:val="1"/>
          <w:bCs w:val="1"/>
          <w:color w:val="auto"/>
        </w:rPr>
        <w:t>®</w:t>
      </w:r>
      <w:r>
        <w:rPr>
          <w:rFonts w:ascii="Arial" w:cs="Arial" w:eastAsia="Arial" w:hAnsi="Arial"/>
          <w:sz w:val="19"/>
          <w:szCs w:val="19"/>
          <w:color w:val="auto"/>
        </w:rPr>
        <w:t xml:space="preserve"> energy drink product line: Hansen’s® Energy Pro and Hansen’s</w:t>
      </w:r>
      <w:r>
        <w:rPr>
          <w:rFonts w:ascii="Arial" w:cs="Arial" w:eastAsia="Arial" w:hAnsi="Arial"/>
          <w:sz w:val="19"/>
          <w:szCs w:val="19"/>
          <w:b w:val="1"/>
          <w:bCs w:val="1"/>
          <w:color w:val="auto"/>
        </w:rPr>
        <w:t>®</w:t>
      </w:r>
      <w:r>
        <w:rPr>
          <w:rFonts w:ascii="Arial" w:cs="Arial" w:eastAsia="Arial" w:hAnsi="Arial"/>
          <w:sz w:val="19"/>
          <w:szCs w:val="19"/>
          <w:color w:val="auto"/>
        </w:rPr>
        <w:t xml:space="preserve"> Energy Diet Red</w:t>
      </w:r>
      <w:r>
        <w:rPr>
          <w:rFonts w:ascii="Arial" w:cs="Arial" w:eastAsia="Arial" w:hAnsi="Arial"/>
          <w:sz w:val="19"/>
          <w:szCs w:val="19"/>
          <w:b w:val="1"/>
          <w:bCs w:val="1"/>
          <w:color w:val="auto"/>
        </w:rPr>
        <w:t>.</w:t>
      </w:r>
      <w:r>
        <w:rPr>
          <w:rFonts w:ascii="Arial" w:cs="Arial" w:eastAsia="Arial" w:hAnsi="Arial"/>
          <w:sz w:val="19"/>
          <w:szCs w:val="19"/>
          <w:color w:val="auto"/>
        </w:rPr>
        <w:t xml:space="preserve"> We package our Hansen’s® energy drinks in 8.3-ounce aluminum cans.</w:t>
      </w:r>
    </w:p>
    <w:p>
      <w:pPr>
        <w:sectPr>
          <w:pgSz w:w="11900" w:h="16838" w:orient="portrait"/>
          <w:cols w:equalWidth="0" w:num="1">
            <w:col w:w="11420"/>
          </w:cols>
          <w:pgMar w:left="240" w:top="346" w:right="239" w:bottom="27" w:gutter="0" w:footer="0" w:header="0"/>
        </w:sectPr>
      </w:pPr>
    </w:p>
    <w:bookmarkStart w:id="4" w:name="page5"/>
    <w:bookmarkEnd w:id="4"/>
    <w:p>
      <w:pPr>
        <w:spacing w:after="0" w:line="8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Juice Products and Smoothies - </w:t>
      </w:r>
      <w:r>
        <w:rPr>
          <w:rFonts w:ascii="Arial" w:cs="Arial" w:eastAsia="Arial" w:hAnsi="Arial"/>
          <w:sz w:val="20"/>
          <w:szCs w:val="20"/>
          <w:color w:val="auto"/>
        </w:rPr>
        <w:t>Our fruit juice product line includes Hansen’s® Natural Apple Juice, which is packaged in 64-ounce</w:t>
      </w:r>
      <w:r>
        <w:rPr>
          <w:rFonts w:ascii="Arial" w:cs="Arial" w:eastAsia="Arial" w:hAnsi="Arial"/>
          <w:sz w:val="20"/>
          <w:szCs w:val="20"/>
          <w:i w:val="1"/>
          <w:iCs w:val="1"/>
          <w:color w:val="auto"/>
        </w:rPr>
        <w:t xml:space="preserve"> </w:t>
      </w:r>
      <w:r>
        <w:rPr>
          <w:rFonts w:ascii="Arial" w:cs="Arial" w:eastAsia="Arial" w:hAnsi="Arial"/>
          <w:sz w:val="20"/>
          <w:szCs w:val="20"/>
          <w:color w:val="auto"/>
        </w:rPr>
        <w:t>PET plastic bottles and 128-ounce High Density Polyethylene bottles, and Hansen’s® Natural Grape Juice, White Grape Juice, Pineapple Juice, Apple Grape Juice, Apple Strawberry Juice, Orange Juice, Cranberry-Apple Juice, Ruby Red Grapefruit Juice, Pomegranate Juice Cocktail, Organic Apple White Grape Juice, Organic Apple Wild Berry Juice and Organic Apple Juice, which are packaged in 64-ounce PET plastic bottles. These Hansen’s® juice products contain 100% juice as well as 120% of the United States Recommended Daily Allowances (the “USRDA”) for Vitamin C (except Pomegranate which contains 27% juice and 100% of the USRDA for Vitamin C). In 2009, we introduced Hansen’s® Natural Lo-Cal juice cocktails, a new line of all natural, low calorie 64-ounce juice cocktails in four flavors. The Lo-Cal juice cocktails are sweetened with Truvia</w:t>
      </w:r>
      <w:r>
        <w:rPr>
          <w:rFonts w:ascii="Arial" w:cs="Arial" w:eastAsia="Arial" w:hAnsi="Arial"/>
          <w:sz w:val="11"/>
          <w:szCs w:val="11"/>
          <w:color w:val="auto"/>
        </w:rPr>
        <w:t>TM</w:t>
      </w:r>
      <w:r>
        <w:rPr>
          <w:rFonts w:ascii="Arial" w:cs="Arial" w:eastAsia="Arial" w:hAnsi="Arial"/>
          <w:sz w:val="20"/>
          <w:szCs w:val="20"/>
          <w:color w:val="auto"/>
        </w:rPr>
        <w:t xml:space="preserve"> brand stevia extract, an all natural sweetener. Hansen’s® juice products compete in the shelf-stable juice category.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Hansen’s® fruit juice smoothies contain approximately 25% juice and provide 100% of the recommended daily intake for adults of Vitamins A, C &amp; E and represented Hansen’s® entry into what is commonly referred to as the “functional” beverage category. Hansen’s® fruit juice smoothies are packaged in 11.5-ounce aluminum cans.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market the above-mentioned juice and smoothie products to our direct retail customers.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Hansen’s® Iced Teas - </w:t>
      </w:r>
      <w:r>
        <w:rPr>
          <w:rFonts w:ascii="Arial" w:cs="Arial" w:eastAsia="Arial" w:hAnsi="Arial"/>
          <w:sz w:val="20"/>
          <w:szCs w:val="20"/>
          <w:color w:val="auto"/>
        </w:rPr>
        <w:t>a line of iced teas in sleek 16-ounce wide mouth PET plastic bottles. We offer varieties sweetened with cane</w:t>
      </w:r>
      <w:r>
        <w:rPr>
          <w:rFonts w:ascii="Arial" w:cs="Arial" w:eastAsia="Arial" w:hAnsi="Arial"/>
          <w:sz w:val="20"/>
          <w:szCs w:val="20"/>
          <w:i w:val="1"/>
          <w:iCs w:val="1"/>
          <w:color w:val="auto"/>
        </w:rPr>
        <w:t xml:space="preserve"> </w:t>
      </w:r>
      <w:r>
        <w:rPr>
          <w:rFonts w:ascii="Arial" w:cs="Arial" w:eastAsia="Arial" w:hAnsi="Arial"/>
          <w:sz w:val="20"/>
          <w:szCs w:val="20"/>
          <w:color w:val="auto"/>
        </w:rPr>
        <w:t>sugar as well as sugar free and unsweetened varieties. Each bottle of tea contains 75 mg of Epigallocatechin Gallate (EGCG), a natural and powerful antioxidant.</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Juices for Children - </w:t>
      </w:r>
      <w:r>
        <w:rPr>
          <w:rFonts w:ascii="Arial" w:cs="Arial" w:eastAsia="Arial" w:hAnsi="Arial"/>
          <w:sz w:val="19"/>
          <w:szCs w:val="19"/>
          <w:color w:val="auto"/>
        </w:rPr>
        <w:t>Our Juice Blast® line of children’s multi-vitamin juice drinks is a dual-branded 100% juice line which was</w:t>
      </w:r>
      <w:r>
        <w:rPr>
          <w:rFonts w:ascii="Arial" w:cs="Arial" w:eastAsia="Arial" w:hAnsi="Arial"/>
          <w:sz w:val="19"/>
          <w:szCs w:val="19"/>
          <w:i w:val="1"/>
          <w:iCs w:val="1"/>
          <w:color w:val="auto"/>
        </w:rPr>
        <w:t xml:space="preserve"> </w:t>
      </w:r>
      <w:r>
        <w:rPr>
          <w:rFonts w:ascii="Arial" w:cs="Arial" w:eastAsia="Arial" w:hAnsi="Arial"/>
          <w:sz w:val="19"/>
          <w:szCs w:val="19"/>
          <w:color w:val="auto"/>
        </w:rPr>
        <w:t>launched in conjunction with Costco Wholesale Corporation (“Costco”) and is sold through Costco stores. Our Juice Slam</w:t>
      </w:r>
      <w:r>
        <w:rPr>
          <w:rFonts w:ascii="Arial" w:cs="Arial" w:eastAsia="Arial" w:hAnsi="Arial"/>
          <w:sz w:val="11"/>
          <w:szCs w:val="11"/>
          <w:color w:val="auto"/>
        </w:rPr>
        <w:t>TM</w:t>
      </w:r>
      <w:r>
        <w:rPr>
          <w:rFonts w:ascii="Arial" w:cs="Arial" w:eastAsia="Arial" w:hAnsi="Arial"/>
          <w:sz w:val="19"/>
          <w:szCs w:val="19"/>
          <w:color w:val="auto"/>
        </w:rPr>
        <w:t xml:space="preserve"> line of children’s multi-vitamin juice drinks is a 100% juice line which we market to grocery store chain customers, the health food trade, and other customers. Both Juice Blast® and Juice Slam</w:t>
      </w:r>
      <w:r>
        <w:rPr>
          <w:rFonts w:ascii="Arial" w:cs="Arial" w:eastAsia="Arial" w:hAnsi="Arial"/>
          <w:sz w:val="11"/>
          <w:szCs w:val="11"/>
          <w:color w:val="auto"/>
        </w:rPr>
        <w:t>TM</w:t>
      </w:r>
      <w:r>
        <w:rPr>
          <w:rFonts w:ascii="Arial" w:cs="Arial" w:eastAsia="Arial" w:hAnsi="Arial"/>
          <w:sz w:val="19"/>
          <w:szCs w:val="19"/>
          <w:color w:val="auto"/>
        </w:rPr>
        <w:t xml:space="preserve"> lines of children’s multi-vitamin juice drinks contain eleven essential vitamins and six essential minerals. Both the Juice Blast® and Juice Slam</w:t>
      </w:r>
      <w:r>
        <w:rPr>
          <w:rFonts w:ascii="Arial" w:cs="Arial" w:eastAsia="Arial" w:hAnsi="Arial"/>
          <w:sz w:val="11"/>
          <w:szCs w:val="11"/>
          <w:color w:val="auto"/>
        </w:rPr>
        <w:t>TM</w:t>
      </w:r>
      <w:r>
        <w:rPr>
          <w:rFonts w:ascii="Arial" w:cs="Arial" w:eastAsia="Arial" w:hAnsi="Arial"/>
          <w:sz w:val="19"/>
          <w:szCs w:val="19"/>
          <w:color w:val="auto"/>
        </w:rPr>
        <w:t xml:space="preserve"> lines are marketed in 6.75-ounce aseptic boxes.</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2001, we acquired the Junior Juice® beverage business. Hansen’s® Junior Juice® product line is a 100% juice line offered in 4.23-ounce aseptic packages and is targeted at toddlers and preschoolers. Most flavors in the Junior Juice® line have calcium added and all flavors contain 100% of the daily recommended allowance of Vitamin C. We extended the Junior Juice® line by adding organic juice products in 4.23-ounce aseptic boxes. Each of our organic Junior Juice® products have 100% juice and contain 100% of the daily recommended allowance of Vitamin C.</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Hansen’s® Organic Junior Water</w:t>
      </w:r>
      <w:r>
        <w:rPr>
          <w:rFonts w:ascii="Arial" w:cs="Arial" w:eastAsia="Arial" w:hAnsi="Arial"/>
          <w:sz w:val="11"/>
          <w:szCs w:val="11"/>
          <w:color w:val="auto"/>
        </w:rPr>
        <w:t>TM</w:t>
      </w:r>
      <w:r>
        <w:rPr>
          <w:rFonts w:ascii="Arial" w:cs="Arial" w:eastAsia="Arial" w:hAnsi="Arial"/>
          <w:sz w:val="20"/>
          <w:szCs w:val="20"/>
          <w:i w:val="1"/>
          <w:iCs w:val="1"/>
          <w:color w:val="auto"/>
        </w:rPr>
        <w:t xml:space="preserve"> - </w:t>
      </w:r>
      <w:r>
        <w:rPr>
          <w:rFonts w:ascii="Arial" w:cs="Arial" w:eastAsia="Arial" w:hAnsi="Arial"/>
          <w:sz w:val="20"/>
          <w:szCs w:val="20"/>
          <w:color w:val="auto"/>
        </w:rPr>
        <w:t>Our Hansen’s® Organic Junior Water</w:t>
      </w:r>
      <w:r>
        <w:rPr>
          <w:rFonts w:ascii="Arial" w:cs="Arial" w:eastAsia="Arial" w:hAnsi="Arial"/>
          <w:sz w:val="11"/>
          <w:szCs w:val="11"/>
          <w:color w:val="auto"/>
        </w:rPr>
        <w:t>TM</w:t>
      </w:r>
      <w:r>
        <w:rPr>
          <w:rFonts w:ascii="Arial" w:cs="Arial" w:eastAsia="Arial" w:hAnsi="Arial"/>
          <w:sz w:val="20"/>
          <w:szCs w:val="20"/>
          <w:i w:val="1"/>
          <w:iCs w:val="1"/>
          <w:color w:val="auto"/>
        </w:rPr>
        <w:t xml:space="preserve"> </w:t>
      </w:r>
      <w:r>
        <w:rPr>
          <w:rFonts w:ascii="Arial" w:cs="Arial" w:eastAsia="Arial" w:hAnsi="Arial"/>
          <w:sz w:val="20"/>
          <w:szCs w:val="20"/>
          <w:color w:val="auto"/>
        </w:rPr>
        <w:t>line in 4.23-ounce aseptic packages was created specially</w:t>
      </w:r>
      <w:r>
        <w:rPr>
          <w:rFonts w:ascii="Arial" w:cs="Arial" w:eastAsia="Arial" w:hAnsi="Arial"/>
          <w:sz w:val="20"/>
          <w:szCs w:val="20"/>
          <w:i w:val="1"/>
          <w:iCs w:val="1"/>
          <w:color w:val="auto"/>
        </w:rPr>
        <w:t xml:space="preserve"> </w:t>
      </w:r>
      <w:r>
        <w:rPr>
          <w:rFonts w:ascii="Arial" w:cs="Arial" w:eastAsia="Arial" w:hAnsi="Arial"/>
          <w:sz w:val="20"/>
          <w:szCs w:val="20"/>
          <w:color w:val="auto"/>
        </w:rPr>
        <w:t>for children ages two to six years old. Our Hansen’s® Organic Junior Water</w:t>
      </w:r>
      <w:r>
        <w:rPr>
          <w:rFonts w:ascii="Arial" w:cs="Arial" w:eastAsia="Arial" w:hAnsi="Arial"/>
          <w:sz w:val="11"/>
          <w:szCs w:val="11"/>
          <w:color w:val="auto"/>
        </w:rPr>
        <w:t>TM</w:t>
      </w:r>
      <w:r>
        <w:rPr>
          <w:rFonts w:ascii="Arial" w:cs="Arial" w:eastAsia="Arial" w:hAnsi="Arial"/>
          <w:sz w:val="20"/>
          <w:szCs w:val="20"/>
          <w:color w:val="auto"/>
        </w:rPr>
        <w:t xml:space="preserve"> line of flavored waters contains 100% of the daily recommended allowance of Vitamin C per serving, no preservatives, no artificial colors, no artificial flavors, no artificial sweeteners, no high fructose corn syrup and contains only thirty calories per serving.</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SELF Beauty Elixir</w:t>
      </w:r>
      <w:r>
        <w:rPr>
          <w:rFonts w:ascii="Arial" w:cs="Arial" w:eastAsia="Arial" w:hAnsi="Arial"/>
          <w:sz w:val="11"/>
          <w:szCs w:val="11"/>
          <w:color w:val="auto"/>
        </w:rPr>
        <w:t>TM</w:t>
      </w:r>
      <w:r>
        <w:rPr>
          <w:rFonts w:ascii="Arial" w:cs="Arial" w:eastAsia="Arial" w:hAnsi="Arial"/>
          <w:sz w:val="20"/>
          <w:szCs w:val="20"/>
          <w:i w:val="1"/>
          <w:iCs w:val="1"/>
          <w:color w:val="auto"/>
        </w:rPr>
        <w:t xml:space="preserve"> by Hansen’s® - </w:t>
      </w:r>
      <w:r>
        <w:rPr>
          <w:rFonts w:ascii="Arial" w:cs="Arial" w:eastAsia="Arial" w:hAnsi="Arial"/>
          <w:sz w:val="20"/>
          <w:szCs w:val="20"/>
          <w:color w:val="auto"/>
        </w:rPr>
        <w:t>In August 2009, we introduced our SELF Beauty Elixir</w:t>
      </w:r>
      <w:r>
        <w:rPr>
          <w:rFonts w:ascii="Arial" w:cs="Arial" w:eastAsia="Arial" w:hAnsi="Arial"/>
          <w:sz w:val="11"/>
          <w:szCs w:val="11"/>
          <w:color w:val="auto"/>
        </w:rPr>
        <w:t>TM</w:t>
      </w:r>
      <w:r>
        <w:rPr>
          <w:rFonts w:ascii="Arial" w:cs="Arial" w:eastAsia="Arial" w:hAnsi="Arial"/>
          <w:sz w:val="20"/>
          <w:szCs w:val="20"/>
          <w:i w:val="1"/>
          <w:iCs w:val="1"/>
          <w:color w:val="auto"/>
        </w:rPr>
        <w:t xml:space="preserve"> </w:t>
      </w:r>
      <w:r>
        <w:rPr>
          <w:rFonts w:ascii="Arial" w:cs="Arial" w:eastAsia="Arial" w:hAnsi="Arial"/>
          <w:sz w:val="20"/>
          <w:szCs w:val="20"/>
          <w:color w:val="auto"/>
        </w:rPr>
        <w:t>line, a low-calorie, functional, ready-to-drink beauty beverage infused with an essential blend of vitamins, minerals, natural fruit &amp; botanical extracts with antioxidants. SELF Beauty Elixir</w:t>
      </w:r>
      <w:r>
        <w:rPr>
          <w:rFonts w:ascii="Arial" w:cs="Arial" w:eastAsia="Arial" w:hAnsi="Arial"/>
          <w:sz w:val="11"/>
          <w:szCs w:val="11"/>
          <w:color w:val="auto"/>
        </w:rPr>
        <w:t>TM</w:t>
      </w:r>
      <w:r>
        <w:rPr>
          <w:rFonts w:ascii="Arial" w:cs="Arial" w:eastAsia="Arial" w:hAnsi="Arial"/>
          <w:sz w:val="20"/>
          <w:szCs w:val="20"/>
          <w:color w:val="auto"/>
        </w:rPr>
        <w:t xml:space="preserve"> by Hansen’s® contains 30% fruit juice, all natural flavors, and many antioxidant rich vitamins such as 500% Vitamin E, 150% Vitamin C, and 100% Vitamin A of the respective daily recommended allowances per serving. In addition to having only 35 calories per can, the product is very low in sodium, gluten-free, preservative-free and contains no artificial colors. SELF Beauty Elixir</w:t>
      </w:r>
      <w:r>
        <w:rPr>
          <w:rFonts w:ascii="Arial" w:cs="Arial" w:eastAsia="Arial" w:hAnsi="Arial"/>
          <w:sz w:val="11"/>
          <w:szCs w:val="11"/>
          <w:color w:val="auto"/>
        </w:rPr>
        <w:t>TM</w:t>
      </w:r>
      <w:r>
        <w:rPr>
          <w:rFonts w:ascii="Arial" w:cs="Arial" w:eastAsia="Arial" w:hAnsi="Arial"/>
          <w:sz w:val="20"/>
          <w:szCs w:val="20"/>
          <w:color w:val="auto"/>
        </w:rPr>
        <w:t xml:space="preserve"> by Hansen’s® is packaged in 8-ounce slim aluminum cans.</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Bottled Water - </w:t>
      </w:r>
      <w:r>
        <w:rPr>
          <w:rFonts w:ascii="Arial" w:cs="Arial" w:eastAsia="Arial" w:hAnsi="Arial"/>
          <w:sz w:val="20"/>
          <w:szCs w:val="20"/>
          <w:color w:val="auto"/>
        </w:rPr>
        <w:t>Our still water product was introduced in 1993 and is now sold in 0.5-liter plastic bottles, primarily to the food service</w:t>
      </w:r>
      <w:r>
        <w:rPr>
          <w:rFonts w:ascii="Arial" w:cs="Arial" w:eastAsia="Arial" w:hAnsi="Arial"/>
          <w:sz w:val="20"/>
          <w:szCs w:val="20"/>
          <w:i w:val="1"/>
          <w:iCs w:val="1"/>
          <w:color w:val="auto"/>
        </w:rPr>
        <w:t xml:space="preserve"> </w:t>
      </w:r>
      <w:r>
        <w:rPr>
          <w:rFonts w:ascii="Arial" w:cs="Arial" w:eastAsia="Arial" w:hAnsi="Arial"/>
          <w:sz w:val="20"/>
          <w:szCs w:val="20"/>
          <w:color w:val="auto"/>
        </w:rPr>
        <w:t>trade. Sales of this product line are very limited.</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2009, we continued to expand our existing product lines and further develop our distribution markets. In particular, we continued to focus on developing and marketing beverages that fall within the category generally described as the “alternative” beverage category, with particular emphasis on energy type drinks.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Other Products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We continue to evaluate and, where considered appropriate, introduce additional flavors and types of beverages to complement our existing product lines. We will also evaluate, and may, where considered appropriate, introduce “functional” foods/snack foods that utilize similar channels of distribution and/or are complementary to our existing products and/or to which our brand names are able to add value.</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also develop and supply, on a limited basis, selected beverages in different formats to a limited number of customers with the objective of solidifying and/or enhancing our relationship with those customers.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Manufacture and Distribution</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We do not directly manufacture our products, but instead outsource the manufacturing process to third party bottlers and contract packers.</w:t>
      </w:r>
    </w:p>
    <w:p>
      <w:pPr>
        <w:sectPr>
          <w:pgSz w:w="11900" w:h="16920" w:orient="portrait"/>
          <w:cols w:equalWidth="0" w:num="1">
            <w:col w:w="11420"/>
          </w:cols>
          <w:pgMar w:left="240" w:top="122" w:right="239" w:bottom="0" w:gutter="0" w:footer="0" w:header="0"/>
        </w:sectPr>
      </w:pPr>
    </w:p>
    <w:bookmarkStart w:id="5" w:name="page6"/>
    <w:bookmarkEnd w:id="5"/>
    <w:p>
      <w:pPr>
        <w:jc w:val="both"/>
        <w:ind w:firstLine="648"/>
        <w:spacing w:after="0" w:line="260" w:lineRule="auto"/>
        <w:rPr>
          <w:sz w:val="20"/>
          <w:szCs w:val="20"/>
          <w:color w:val="auto"/>
        </w:rPr>
      </w:pPr>
      <w:r>
        <w:rPr>
          <w:rFonts w:ascii="Arial" w:cs="Arial" w:eastAsia="Arial" w:hAnsi="Arial"/>
          <w:sz w:val="19"/>
          <w:szCs w:val="19"/>
          <w:color w:val="auto"/>
        </w:rPr>
        <w:t>We purchase concentrates, juices, flavors, supplements, cans, bottles, aseptic boxes, aseptic pouches, caps, labels, trays, boxes and other ingredients for our beverage products from our suppliers, which are delivered to our various third party bottlers and co-packers. Depending on the product, the third party bottlers or packers add filtered water and/or other ingredients and supplements for the manufacture and packaging of the finished products into Company-approved containers in accordance with our formulas. In the case of sodas and other carbonated beverages, the bottler/packer adds carbonation to the products as part of the production process.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Co-Packing Arrangements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are generally responsible for arranging for the purchase of and delivery to our third party bottlers and co-packers of the containers in which our beverage products are packaged.</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All of our beverage products are manufactured by various third party bottlers and co-packers situated throughout the United States and abroad, under separate arrangements with each party. The majority of our co-packaging arrangements are on a month-to-month basis. However, certain of our co-packing arrangements are described below:</w:t>
      </w:r>
    </w:p>
    <w:p>
      <w:pPr>
        <w:spacing w:after="0" w:line="200" w:lineRule="exact"/>
        <w:rPr>
          <w:sz w:val="20"/>
          <w:szCs w:val="20"/>
          <w:color w:val="auto"/>
        </w:rPr>
      </w:pPr>
    </w:p>
    <w:p>
      <w:pPr>
        <w:jc w:val="both"/>
        <w:ind w:left="660" w:hanging="328"/>
        <w:spacing w:after="0" w:line="269" w:lineRule="auto"/>
        <w:tabs>
          <w:tab w:leader="none" w:pos="677" w:val="left"/>
        </w:tabs>
        <w:numPr>
          <w:ilvl w:val="0"/>
          <w:numId w:val="6"/>
        </w:numPr>
        <w:rPr>
          <w:rFonts w:ascii="Arial" w:cs="Arial" w:eastAsia="Arial" w:hAnsi="Arial"/>
          <w:sz w:val="19"/>
          <w:szCs w:val="19"/>
          <w:color w:val="auto"/>
        </w:rPr>
      </w:pPr>
      <w:r>
        <w:rPr>
          <w:rFonts w:ascii="Arial" w:cs="Arial" w:eastAsia="Arial" w:hAnsi="Arial"/>
          <w:sz w:val="19"/>
          <w:szCs w:val="19"/>
          <w:color w:val="auto"/>
        </w:rPr>
        <w:t>Our agreement with Gluek Brewing Company (“Gluek”) pursuant to which Gluek packages certain of our energy drinks. This contract continues until May 2010 and is automatically extended for additional terms of one (1) year each, unless either party notifies the other in writing at least one hundred eighty (180) days prior to the last day of the then current term.</w:t>
      </w:r>
    </w:p>
    <w:p>
      <w:pPr>
        <w:spacing w:after="0" w:line="183" w:lineRule="exact"/>
        <w:rPr>
          <w:rFonts w:ascii="Arial" w:cs="Arial" w:eastAsia="Arial" w:hAnsi="Arial"/>
          <w:sz w:val="19"/>
          <w:szCs w:val="19"/>
          <w:color w:val="auto"/>
        </w:rPr>
      </w:pPr>
    </w:p>
    <w:p>
      <w:pPr>
        <w:jc w:val="both"/>
        <w:ind w:left="660" w:hanging="328"/>
        <w:spacing w:after="0" w:line="269" w:lineRule="auto"/>
        <w:tabs>
          <w:tab w:leader="none" w:pos="729" w:val="left"/>
        </w:tabs>
        <w:numPr>
          <w:ilvl w:val="0"/>
          <w:numId w:val="6"/>
        </w:numPr>
        <w:rPr>
          <w:rFonts w:ascii="Arial" w:cs="Arial" w:eastAsia="Arial" w:hAnsi="Arial"/>
          <w:sz w:val="19"/>
          <w:szCs w:val="19"/>
          <w:color w:val="auto"/>
        </w:rPr>
      </w:pPr>
      <w:r>
        <w:rPr>
          <w:rFonts w:ascii="Arial" w:cs="Arial" w:eastAsia="Arial" w:hAnsi="Arial"/>
          <w:sz w:val="19"/>
          <w:szCs w:val="19"/>
          <w:color w:val="auto"/>
        </w:rPr>
        <w:t>Our agreement with Carolina Beer &amp; Beverage (“Carolina”) pursuant to which Carolina packages certain of our energy drinks. This contract continues until April 2010 and is automatically extended for additional periods of one (1) year each, unless either party notifies the other in writing at least one hundred eighty (180) days prior to the last day of the then current term.</w:t>
      </w:r>
    </w:p>
    <w:p>
      <w:pPr>
        <w:spacing w:after="0" w:line="183" w:lineRule="exact"/>
        <w:rPr>
          <w:rFonts w:ascii="Arial" w:cs="Arial" w:eastAsia="Arial" w:hAnsi="Arial"/>
          <w:sz w:val="19"/>
          <w:szCs w:val="19"/>
          <w:color w:val="auto"/>
        </w:rPr>
      </w:pPr>
    </w:p>
    <w:p>
      <w:pPr>
        <w:jc w:val="both"/>
        <w:ind w:left="660" w:hanging="328"/>
        <w:spacing w:after="0" w:line="250" w:lineRule="auto"/>
        <w:tabs>
          <w:tab w:leader="none" w:pos="664"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agreement with Safeway, Inc. (“Safeway”) pursuant to which Safeway packages certain of our energy drinks and Hansen’s Natural Sodas®. This contract continues until March 2010 and is automatically renewed annually thereafter, unless terminated by either party upon six (6) months written notice.</w:t>
      </w:r>
    </w:p>
    <w:p>
      <w:pPr>
        <w:spacing w:after="0" w:line="199" w:lineRule="exact"/>
        <w:rPr>
          <w:rFonts w:ascii="Arial" w:cs="Arial" w:eastAsia="Arial" w:hAnsi="Arial"/>
          <w:sz w:val="20"/>
          <w:szCs w:val="20"/>
          <w:color w:val="auto"/>
        </w:rPr>
      </w:pPr>
    </w:p>
    <w:p>
      <w:pPr>
        <w:ind w:left="660" w:right="20" w:hanging="328"/>
        <w:spacing w:after="0" w:line="26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agreement with Nor-Cal Beverage Co., Inc. (“Nor-Cal”) pursuant to which Nor-Cal packages certain of our Hansen’s juices in PET plastic bottles. This contract continues until August 2010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and is automatically renewed for one (1) year terms thereafter unless terminated by either party not less than ninety (90) days before the end of the initial term or any renewal period.</w:t>
      </w:r>
    </w:p>
    <w:p>
      <w:pPr>
        <w:spacing w:after="0" w:line="190" w:lineRule="exact"/>
        <w:rPr>
          <w:sz w:val="20"/>
          <w:szCs w:val="20"/>
          <w:color w:val="auto"/>
        </w:rPr>
      </w:pPr>
    </w:p>
    <w:p>
      <w:pPr>
        <w:jc w:val="both"/>
        <w:ind w:left="660" w:hanging="328"/>
        <w:spacing w:after="0" w:line="260" w:lineRule="auto"/>
        <w:tabs>
          <w:tab w:leader="none" w:pos="785" w:val="left"/>
        </w:tabs>
        <w:numPr>
          <w:ilvl w:val="0"/>
          <w:numId w:val="7"/>
        </w:numPr>
        <w:rPr>
          <w:rFonts w:ascii="Arial" w:cs="Arial" w:eastAsia="Arial" w:hAnsi="Arial"/>
          <w:sz w:val="19"/>
          <w:szCs w:val="19"/>
          <w:color w:val="auto"/>
        </w:rPr>
      </w:pPr>
      <w:r>
        <w:rPr>
          <w:rFonts w:ascii="Arial" w:cs="Arial" w:eastAsia="Arial" w:hAnsi="Arial"/>
          <w:sz w:val="19"/>
          <w:szCs w:val="19"/>
          <w:color w:val="auto"/>
        </w:rPr>
        <w:t>Our agreement with Dairy Farmers of America, Inc. (“DFA”) pursuant to which DFA packages certain of our energy drinks. This contract continues until March 2010 and is automatically renewed for consecutive one (1) year periods, subject to mutually agreeable pricing, unless either party provides notice of cancellation at least ninety (90) days prior to the end of the initial term or subsequent extension period. Further, either party may terminate this agreement at its sole discretion at any time by providing the other party with one hundred eighty (180) days prior written notification specifying the date of termination.</w:t>
      </w:r>
    </w:p>
    <w:p>
      <w:pPr>
        <w:spacing w:after="0" w:line="194" w:lineRule="exact"/>
        <w:rPr>
          <w:rFonts w:ascii="Arial" w:cs="Arial" w:eastAsia="Arial" w:hAnsi="Arial"/>
          <w:sz w:val="19"/>
          <w:szCs w:val="19"/>
          <w:color w:val="auto"/>
        </w:rPr>
      </w:pPr>
    </w:p>
    <w:p>
      <w:pPr>
        <w:jc w:val="both"/>
        <w:ind w:left="660" w:hanging="328"/>
        <w:spacing w:after="0" w:line="250" w:lineRule="auto"/>
        <w:tabs>
          <w:tab w:leader="none" w:pos="682"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agreement with the American Bottling Co. (“American”) pursuant to which American packages certain of our energy drinks. This contract continues until March 2010 and is automatically renewed for additional terms of one (1) year, unless terminated by either party at least ninety (90) days prior to the last day of the then current term.</w:t>
      </w:r>
    </w:p>
    <w:p>
      <w:pPr>
        <w:spacing w:after="0" w:line="199" w:lineRule="exact"/>
        <w:rPr>
          <w:rFonts w:ascii="Arial" w:cs="Arial" w:eastAsia="Arial" w:hAnsi="Arial"/>
          <w:sz w:val="20"/>
          <w:szCs w:val="20"/>
          <w:color w:val="auto"/>
        </w:rPr>
      </w:pPr>
    </w:p>
    <w:p>
      <w:pPr>
        <w:jc w:val="both"/>
        <w:ind w:left="660" w:hanging="328"/>
        <w:spacing w:after="0" w:line="291" w:lineRule="auto"/>
        <w:tabs>
          <w:tab w:leader="none" w:pos="769"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agreement with Giumarra &amp; Associates Beverage Company (“Giumarra”) pursuant to which Giumarra packages certain of our energy drinks and juices. This contract continues until June 2010 and is automatically extended for additional periods of one (1) year, unless either party notifies the other in writing at least one hundred eighty (180) days prior to the last day of the then current term.</w:t>
      </w:r>
    </w:p>
    <w:p>
      <w:pPr>
        <w:spacing w:after="0" w:line="165" w:lineRule="exact"/>
        <w:rPr>
          <w:rFonts w:ascii="Arial" w:cs="Arial" w:eastAsia="Arial" w:hAnsi="Arial"/>
          <w:sz w:val="18"/>
          <w:szCs w:val="18"/>
          <w:color w:val="auto"/>
        </w:rPr>
      </w:pPr>
    </w:p>
    <w:p>
      <w:pPr>
        <w:ind w:left="660" w:hanging="328"/>
        <w:spacing w:after="0" w:line="287" w:lineRule="auto"/>
        <w:tabs>
          <w:tab w:leader="none" w:pos="675" w:val="left"/>
        </w:tabs>
        <w:numPr>
          <w:ilvl w:val="0"/>
          <w:numId w:val="7"/>
        </w:numPr>
        <w:rPr>
          <w:rFonts w:ascii="Arial" w:cs="Arial" w:eastAsia="Arial" w:hAnsi="Arial"/>
          <w:sz w:val="19"/>
          <w:szCs w:val="19"/>
          <w:color w:val="auto"/>
        </w:rPr>
      </w:pPr>
      <w:r>
        <w:rPr>
          <w:rFonts w:ascii="Arial" w:cs="Arial" w:eastAsia="Arial" w:hAnsi="Arial"/>
          <w:sz w:val="19"/>
          <w:szCs w:val="19"/>
          <w:color w:val="auto"/>
        </w:rPr>
        <w:t>Our agreement with Pri-Pak, Inc. (“Pri-Pak”) pursuant to which Pri-Pak packages certain of our energy drinks. This contract continues indefinitely but may be terminated at any time by either party by giving ninety (90) days prior written notice.</w:t>
      </w:r>
    </w:p>
    <w:p>
      <w:pPr>
        <w:spacing w:after="0" w:line="166" w:lineRule="exact"/>
        <w:rPr>
          <w:rFonts w:ascii="Arial" w:cs="Arial" w:eastAsia="Arial" w:hAnsi="Arial"/>
          <w:sz w:val="19"/>
          <w:szCs w:val="19"/>
          <w:color w:val="auto"/>
        </w:rPr>
      </w:pPr>
    </w:p>
    <w:p>
      <w:pPr>
        <w:jc w:val="both"/>
        <w:ind w:left="660" w:hanging="328"/>
        <w:spacing w:after="0" w:line="246" w:lineRule="auto"/>
        <w:tabs>
          <w:tab w:leader="none" w:pos="739"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agreement with O-AT-KA Milk Products Cooperative (“O-AT-KA”) pursuant to which O-AT-KA packages certain of our energy drinks. This contract continues until September 2010 and is automatically renewable for consecutive one (1) year periods, subject to mutually agreeable pricing, unless either party provides notice of cancellation at least ninety (90) days prior to the end of the initial term or subsequent extension period.</w:t>
      </w:r>
    </w:p>
    <w:p>
      <w:pPr>
        <w:spacing w:after="0" w:line="205" w:lineRule="exact"/>
        <w:rPr>
          <w:sz w:val="20"/>
          <w:szCs w:val="20"/>
          <w:color w:val="auto"/>
        </w:rPr>
      </w:pPr>
    </w:p>
    <w:p>
      <w:pPr>
        <w:jc w:val="both"/>
        <w:ind w:firstLine="702"/>
        <w:spacing w:after="0" w:line="291" w:lineRule="auto"/>
        <w:rPr>
          <w:sz w:val="20"/>
          <w:szCs w:val="20"/>
          <w:color w:val="auto"/>
        </w:rPr>
      </w:pPr>
      <w:r>
        <w:rPr>
          <w:rFonts w:ascii="Arial" w:cs="Arial" w:eastAsia="Arial" w:hAnsi="Arial"/>
          <w:sz w:val="18"/>
          <w:szCs w:val="18"/>
          <w:color w:val="auto"/>
        </w:rPr>
        <w:t>In certain instances, equipment is purchased by us and installed at the facilities of our co-packers to enable them to produce certain of our products. In general, such equipment remains our property and is either returned to us upon termination of the packing arrangements with such co-packers or is amortized over a pre-determined number of cases that are to be produced at the facilities concerned.</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pack certain products outside of the West Coast region to enable us to produce products closer to the markets where they are sold and thereby reduce freight costs. As distribution volumes increase in both our domestic and international markets, we continue to secure additional packing arrangements closer to such markets to further reduce freight costs.</w:t>
      </w:r>
    </w:p>
    <w:p>
      <w:pPr>
        <w:spacing w:after="0" w:line="2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PET/plastic bottles, aseptic boxes, cans, glass, labels, flavors, juice concentrates, or supplement</w:t>
      </w:r>
    </w:p>
    <w:p>
      <w:pPr>
        <w:sectPr>
          <w:pgSz w:w="11900" w:h="16838" w:orient="portrait"/>
          <w:cols w:equalWidth="0" w:num="1">
            <w:col w:w="11420"/>
          </w:cols>
          <w:pgMar w:left="240" w:top="352" w:right="239" w:bottom="0" w:gutter="0" w:footer="0" w:header="0"/>
        </w:sectPr>
      </w:pPr>
    </w:p>
    <w:bookmarkStart w:id="6" w:name="page7"/>
    <w:bookmarkEnd w:id="6"/>
    <w:p>
      <w:pPr>
        <w:jc w:val="both"/>
        <w:spacing w:after="0" w:line="274" w:lineRule="auto"/>
        <w:rPr>
          <w:sz w:val="20"/>
          <w:szCs w:val="20"/>
          <w:color w:val="auto"/>
        </w:rPr>
      </w:pPr>
      <w:r>
        <w:rPr>
          <w:rFonts w:ascii="Arial" w:cs="Arial" w:eastAsia="Arial" w:hAnsi="Arial"/>
          <w:sz w:val="20"/>
          <w:szCs w:val="20"/>
          <w:color w:val="auto"/>
        </w:rPr>
        <w:t xml:space="preserve">ingredients or certain sweeteners, or packing arrangements, we might not be able to satisfy demand on a short-term basis. </w:t>
      </w:r>
      <w:r>
        <w:rPr>
          <w:rFonts w:ascii="Arial" w:cs="Arial" w:eastAsia="Arial" w:hAnsi="Arial"/>
          <w:sz w:val="21"/>
          <w:szCs w:val="21"/>
          <w:color w:val="auto"/>
        </w:rPr>
        <w:t>(See “Part I, Item</w:t>
      </w:r>
      <w:r>
        <w:rPr>
          <w:rFonts w:ascii="Arial" w:cs="Arial" w:eastAsia="Arial" w:hAnsi="Arial"/>
          <w:sz w:val="20"/>
          <w:szCs w:val="20"/>
          <w:color w:val="auto"/>
        </w:rPr>
        <w:t xml:space="preserve"> </w:t>
      </w:r>
      <w:r>
        <w:rPr>
          <w:rFonts w:ascii="Arial" w:cs="Arial" w:eastAsia="Arial" w:hAnsi="Arial"/>
          <w:sz w:val="21"/>
          <w:szCs w:val="21"/>
          <w:color w:val="auto"/>
        </w:rPr>
        <w:t>1A – Risk Factors”)</w:t>
      </w:r>
      <w:r>
        <w:rPr>
          <w:rFonts w:ascii="Arial" w:cs="Arial" w:eastAsia="Arial" w:hAnsi="Arial"/>
          <w:sz w:val="19"/>
          <w:szCs w:val="19"/>
          <w:color w:val="auto"/>
        </w:rPr>
        <w:t>.</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Although our production arrangements are generally of short duration or are terminable upon our request, we believe a short disruption or delay would not significantly affect our revenues because alternative packing facilities in the United States with adequate capacity can usually be obtained for many of our products at commercially reasonable rates and/or within a reasonably short time period.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However, there are limited packing facilities in the United States, Canada, Australia, Brazil, the United Kingdom and Europe with adequate capacity and/or suitable equipment for certain of our products, including Monster Energy®, Nitrous</w:t>
      </w:r>
      <w:r>
        <w:rPr>
          <w:rFonts w:ascii="Arial" w:cs="Arial" w:eastAsia="Arial" w:hAnsi="Arial"/>
          <w:sz w:val="10"/>
          <w:szCs w:val="10"/>
          <w:color w:val="auto"/>
        </w:rPr>
        <w:t>TM</w:t>
      </w:r>
      <w:r>
        <w:rPr>
          <w:rFonts w:ascii="Arial" w:cs="Arial" w:eastAsia="Arial" w:hAnsi="Arial"/>
          <w:sz w:val="18"/>
          <w:szCs w:val="18"/>
          <w:color w:val="auto"/>
        </w:rPr>
        <w:t xml:space="preserve"> Monster Energy®, X-Presso Monster</w:t>
      </w:r>
      <w:r>
        <w:rPr>
          <w:rFonts w:ascii="Arial" w:cs="Arial" w:eastAsia="Arial" w:hAnsi="Arial"/>
          <w:sz w:val="10"/>
          <w:szCs w:val="10"/>
          <w:color w:val="auto"/>
        </w:rPr>
        <w:t>TM</w:t>
      </w:r>
      <w:r>
        <w:rPr>
          <w:rFonts w:ascii="Arial" w:cs="Arial" w:eastAsia="Arial" w:hAnsi="Arial"/>
          <w:sz w:val="18"/>
          <w:szCs w:val="18"/>
          <w:color w:val="auto"/>
        </w:rPr>
        <w:t>-Hammer and Lost® Energy</w:t>
      </w:r>
      <w:r>
        <w:rPr>
          <w:rFonts w:ascii="Arial" w:cs="Arial" w:eastAsia="Arial" w:hAnsi="Arial"/>
          <w:sz w:val="10"/>
          <w:szCs w:val="10"/>
          <w:color w:val="auto"/>
        </w:rPr>
        <w:t>TM</w:t>
      </w:r>
      <w:r>
        <w:rPr>
          <w:rFonts w:ascii="Arial" w:cs="Arial" w:eastAsia="Arial" w:hAnsi="Arial"/>
          <w:sz w:val="18"/>
          <w:szCs w:val="18"/>
          <w:color w:val="auto"/>
        </w:rPr>
        <w:t xml:space="preserve"> energy drinks, Rumba®, Samba and Tango energy juice drinks, our Java Monster</w:t>
      </w:r>
      <w:r>
        <w:rPr>
          <w:rFonts w:ascii="Arial" w:cs="Arial" w:eastAsia="Arial" w:hAnsi="Arial"/>
          <w:sz w:val="10"/>
          <w:szCs w:val="10"/>
          <w:color w:val="auto"/>
        </w:rPr>
        <w:t>TM</w:t>
      </w:r>
      <w:r>
        <w:rPr>
          <w:rFonts w:ascii="Arial" w:cs="Arial" w:eastAsia="Arial" w:hAnsi="Arial"/>
          <w:sz w:val="18"/>
          <w:szCs w:val="18"/>
          <w:color w:val="auto"/>
        </w:rPr>
        <w:t xml:space="preserve"> product line and our aseptic juice products. A disruption or delay in production of any of such products could significantly affect our revenues from such products as alternative co-packing facilities in the United States, Canada, Australia, Brazil, the United Kingdom or Europe, as the case may be, with adequate capacity may not be available for such products either at commercially reasonable rates and/or within a reasonably short time period, if at all. Consequently, a disruption in production of such products could affect our revenues. We continue to seek alternative and/or additional co-packing facilities in the United States, Canada, Australia, Brazil, the United Kingdom and Europe with adequate capacity for the production of our various products to minimize the risk of a disruption in production.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Distribution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Certain of our distribution agreements are described below:</w:t>
      </w:r>
    </w:p>
    <w:p>
      <w:pPr>
        <w:spacing w:after="0" w:line="229" w:lineRule="exact"/>
        <w:rPr>
          <w:sz w:val="20"/>
          <w:szCs w:val="20"/>
          <w:color w:val="auto"/>
        </w:rPr>
      </w:pPr>
    </w:p>
    <w:p>
      <w:pPr>
        <w:jc w:val="both"/>
        <w:ind w:left="660" w:hanging="328"/>
        <w:spacing w:after="0" w:line="260" w:lineRule="auto"/>
        <w:tabs>
          <w:tab w:leader="none" w:pos="704" w:val="left"/>
        </w:tabs>
        <w:numPr>
          <w:ilvl w:val="0"/>
          <w:numId w:val="8"/>
        </w:numPr>
        <w:rPr>
          <w:rFonts w:ascii="Arial" w:cs="Arial" w:eastAsia="Arial" w:hAnsi="Arial"/>
          <w:sz w:val="19"/>
          <w:szCs w:val="19"/>
          <w:color w:val="auto"/>
        </w:rPr>
      </w:pPr>
      <w:r>
        <w:rPr>
          <w:rFonts w:ascii="Arial" w:cs="Arial" w:eastAsia="Arial" w:hAnsi="Arial"/>
          <w:sz w:val="19"/>
          <w:szCs w:val="19"/>
          <w:color w:val="auto"/>
        </w:rPr>
        <w:t>During the second quarter of 2006, we entered into the Monster Beverages Off-Premise Distribution Coordination Agreement and the Allied Products Distribution Coordination Agreement (jointly, the “Off-Premise Agreements”) with Anheuser-Busch, Inc., a Missouri corporation (“AB”). Under the Off-Premise Agreements, select Anheuser-Busch distributors (the “AB Distributors”) distribute and sell, in markets designated by us, our Monster Energy® and Lost® Energy</w:t>
      </w:r>
      <w:r>
        <w:rPr>
          <w:rFonts w:ascii="Arial" w:cs="Arial" w:eastAsia="Arial" w:hAnsi="Arial"/>
          <w:sz w:val="11"/>
          <w:szCs w:val="11"/>
          <w:color w:val="auto"/>
        </w:rPr>
        <w:t>TM</w:t>
      </w:r>
      <w:r>
        <w:rPr>
          <w:rFonts w:ascii="Arial" w:cs="Arial" w:eastAsia="Arial" w:hAnsi="Arial"/>
          <w:sz w:val="19"/>
          <w:szCs w:val="19"/>
          <w:color w:val="auto"/>
        </w:rPr>
        <w:t xml:space="preserve"> brands non-alcoholic energy drinks and Rumba®, Samba and Tango brand energy juices, as well as additional products that may be agreed between the parties.</w:t>
      </w:r>
    </w:p>
    <w:p>
      <w:pPr>
        <w:spacing w:after="0" w:line="194" w:lineRule="exact"/>
        <w:rPr>
          <w:rFonts w:ascii="Arial" w:cs="Arial" w:eastAsia="Arial" w:hAnsi="Arial"/>
          <w:sz w:val="19"/>
          <w:szCs w:val="19"/>
          <w:color w:val="auto"/>
        </w:rPr>
      </w:pPr>
    </w:p>
    <w:p>
      <w:pPr>
        <w:jc w:val="both"/>
        <w:ind w:left="660" w:hanging="328"/>
        <w:spacing w:after="0" w:line="291"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first quarter of 2007, we entered into the On-Premise Distribution Coordination Agreement (the “On-Premise Agreement”) with AB. Under the On-Premise Agreement, AB manages and coordinates the sale, distribution and merchandising of Monster Energy® energy drinks to on-premise retailers including bars, nightclubs and restaurants in territories approved by us.</w:t>
      </w:r>
    </w:p>
    <w:p>
      <w:pPr>
        <w:spacing w:after="0" w:line="165" w:lineRule="exact"/>
        <w:rPr>
          <w:rFonts w:ascii="Arial" w:cs="Arial" w:eastAsia="Arial" w:hAnsi="Arial"/>
          <w:sz w:val="18"/>
          <w:szCs w:val="18"/>
          <w:color w:val="auto"/>
        </w:rPr>
      </w:pPr>
    </w:p>
    <w:p>
      <w:pPr>
        <w:jc w:val="both"/>
        <w:ind w:left="660" w:hanging="328"/>
        <w:spacing w:after="0" w:line="243" w:lineRule="auto"/>
        <w:tabs>
          <w:tab w:leader="none" w:pos="826" w:val="left"/>
        </w:tabs>
        <w:numPr>
          <w:ilvl w:val="0"/>
          <w:numId w:val="8"/>
        </w:numPr>
        <w:rPr>
          <w:rFonts w:ascii="Arial" w:cs="Arial" w:eastAsia="Arial" w:hAnsi="Arial"/>
          <w:sz w:val="20"/>
          <w:szCs w:val="20"/>
          <w:color w:val="auto"/>
        </w:rPr>
      </w:pPr>
      <w:r>
        <w:rPr>
          <w:rFonts w:ascii="Arial" w:cs="Arial" w:eastAsia="Arial" w:hAnsi="Arial"/>
          <w:sz w:val="20"/>
          <w:szCs w:val="20"/>
          <w:color w:val="auto"/>
        </w:rPr>
        <w:t>During the fourth quarter of 2008, we entered into the Monster Energy Distribution Coordination Agreement (the “TCCC North American Coordination Agreement”) with The Coca-Cola Company (“TCCC”). Pursuant to the TCCC North American Coordination Agreement, we have designated, and in the future may designate, territories in which bottlers from TCCC’s network of partially owned and independent bottlers, including Coca-Cola Enterprises, Inc. (“CCE”), Coca-Cola Bottling Company (“CCBC”), CCBCC Operations, LLC (“Consolidated”), United Bottling Contracts Company, LLC (“United”), and other TCCC independent bottlers (collectively, the “TCCC North American Bottlers”) will distribute and sell primarily our Monster Energy® beverages (the “Products”) in the United States and Canada.</w:t>
      </w:r>
    </w:p>
    <w:p>
      <w:pPr>
        <w:spacing w:after="0" w:line="206" w:lineRule="exact"/>
        <w:rPr>
          <w:rFonts w:ascii="Arial" w:cs="Arial" w:eastAsia="Arial" w:hAnsi="Arial"/>
          <w:sz w:val="20"/>
          <w:szCs w:val="20"/>
          <w:color w:val="auto"/>
        </w:rPr>
      </w:pPr>
    </w:p>
    <w:p>
      <w:pPr>
        <w:jc w:val="both"/>
        <w:ind w:left="660" w:hanging="328"/>
        <w:spacing w:after="0" w:line="257" w:lineRule="auto"/>
        <w:tabs>
          <w:tab w:leader="none" w:pos="675" w:val="left"/>
        </w:tabs>
        <w:numPr>
          <w:ilvl w:val="0"/>
          <w:numId w:val="8"/>
        </w:numPr>
        <w:rPr>
          <w:rFonts w:ascii="Arial" w:cs="Arial" w:eastAsia="Arial" w:hAnsi="Arial"/>
          <w:sz w:val="19"/>
          <w:szCs w:val="19"/>
          <w:color w:val="auto"/>
        </w:rPr>
      </w:pPr>
      <w:r>
        <w:rPr>
          <w:rFonts w:ascii="Arial" w:cs="Arial" w:eastAsia="Arial" w:hAnsi="Arial"/>
          <w:sz w:val="19"/>
          <w:szCs w:val="19"/>
          <w:color w:val="auto"/>
        </w:rPr>
        <w:t>During the fourth quarter of 2008, we entered into the Monster Energy Distribution Agreement with CCE pursuant to which CCE was appointed to distribute, directly and through certain sub-distributors, the Products in portions of twenty-four U.S. states (the “U.S. Territories”). We may designate additional territories within reasonable proximity to the U.S. Territories and CCE will use reasonable good faith efforts to add the additional territories. During the fourth quarter of 2008, we entered into the Monster Energy Canadian Distribution Agreement with CCBC, pursuant to which CCBC has been appointed to distribute, directly and through certain sub-distributors, the Products in Canada, with performance commencing on January 1, 2009. In addition, during the fourth quarter of 2008, we entered into distribution agreements with Consolidated, United and other TCCC North American Bottlers for the distribution of the Products in various territories within the United States.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660" w:hanging="328"/>
        <w:spacing w:after="0" w:line="291" w:lineRule="auto"/>
        <w:tabs>
          <w:tab w:leader="none" w:pos="65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fourth quarter of 2008, we entered into the Monster Energy International Coordination Agreement (the “TCCC International Coordination Agreement”) with TCCC. Pursuant to the TCCC International Coordination Agreement, we have designated, and in the future may designate, countries in which we wish to appoint TCCC distributors to distribute and sell the Products.</w:t>
      </w:r>
    </w:p>
    <w:p>
      <w:pPr>
        <w:spacing w:after="0" w:line="165" w:lineRule="exact"/>
        <w:rPr>
          <w:rFonts w:ascii="Arial" w:cs="Arial" w:eastAsia="Arial" w:hAnsi="Arial"/>
          <w:sz w:val="18"/>
          <w:szCs w:val="18"/>
          <w:color w:val="auto"/>
        </w:rPr>
      </w:pPr>
    </w:p>
    <w:p>
      <w:pPr>
        <w:jc w:val="both"/>
        <w:ind w:left="660" w:right="20" w:hanging="328"/>
        <w:spacing w:after="0" w:line="269" w:lineRule="auto"/>
        <w:tabs>
          <w:tab w:leader="none" w:pos="709" w:val="left"/>
        </w:tabs>
        <w:numPr>
          <w:ilvl w:val="0"/>
          <w:numId w:val="9"/>
        </w:numPr>
        <w:rPr>
          <w:rFonts w:ascii="Arial" w:cs="Arial" w:eastAsia="Arial" w:hAnsi="Arial"/>
          <w:sz w:val="19"/>
          <w:szCs w:val="19"/>
          <w:color w:val="auto"/>
        </w:rPr>
      </w:pPr>
      <w:r>
        <w:rPr>
          <w:rFonts w:ascii="Arial" w:cs="Arial" w:eastAsia="Arial" w:hAnsi="Arial"/>
          <w:sz w:val="19"/>
          <w:szCs w:val="19"/>
          <w:color w:val="auto"/>
        </w:rPr>
        <w:t>During the fourth quarter of 2008, we entered into the Monster Energy International Distribution Agreement and the Monster Energy Belgium Distribution Agreement with CCE pursuant to which CCE has been appointed to distribute directly, and through certain sub-distributors, the Products in Great Britain, France, Belgium, the Netherlands, Luxembourg and Monaco.</w:t>
      </w:r>
    </w:p>
    <w:p>
      <w:pPr>
        <w:spacing w:after="0" w:line="183" w:lineRule="exact"/>
        <w:rPr>
          <w:rFonts w:ascii="Arial" w:cs="Arial" w:eastAsia="Arial" w:hAnsi="Arial"/>
          <w:sz w:val="19"/>
          <w:szCs w:val="19"/>
          <w:color w:val="auto"/>
        </w:rPr>
      </w:pPr>
    </w:p>
    <w:p>
      <w:pPr>
        <w:jc w:val="both"/>
        <w:ind w:left="660" w:hanging="328"/>
        <w:spacing w:after="0" w:line="246" w:lineRule="auto"/>
        <w:tabs>
          <w:tab w:leader="none" w:pos="702" w:val="left"/>
        </w:tabs>
        <w:numPr>
          <w:ilvl w:val="0"/>
          <w:numId w:val="9"/>
        </w:numPr>
        <w:rPr>
          <w:rFonts w:ascii="Arial" w:cs="Arial" w:eastAsia="Arial" w:hAnsi="Arial"/>
          <w:sz w:val="20"/>
          <w:szCs w:val="20"/>
          <w:color w:val="auto"/>
        </w:rPr>
      </w:pPr>
      <w:r>
        <w:rPr>
          <w:rFonts w:ascii="Arial" w:cs="Arial" w:eastAsia="Arial" w:hAnsi="Arial"/>
          <w:sz w:val="20"/>
          <w:szCs w:val="20"/>
          <w:color w:val="auto"/>
        </w:rPr>
        <w:t>During the fourth quarter of 2008, we entered into a distribution agreement with Comercializadora Eloro, S.A., a subsidiary of Grupo Jumex, for exclusive distribution throughout Mexico, excluding the Baja and Sonora regions, of our Monster Energy® and Monster Energy® Khaos</w:t>
      </w:r>
      <w:r>
        <w:rPr>
          <w:rFonts w:ascii="Arial" w:cs="Arial" w:eastAsia="Arial" w:hAnsi="Arial"/>
          <w:sz w:val="11"/>
          <w:szCs w:val="11"/>
          <w:color w:val="auto"/>
        </w:rPr>
        <w:t>TM</w:t>
      </w:r>
      <w:r>
        <w:rPr>
          <w:rFonts w:ascii="Arial" w:cs="Arial" w:eastAsia="Arial" w:hAnsi="Arial"/>
          <w:sz w:val="20"/>
          <w:szCs w:val="20"/>
          <w:color w:val="auto"/>
        </w:rPr>
        <w:t xml:space="preserve"> energy drinks as well as select Java Monster</w:t>
      </w:r>
      <w:r>
        <w:rPr>
          <w:rFonts w:ascii="Arial" w:cs="Arial" w:eastAsia="Arial" w:hAnsi="Arial"/>
          <w:sz w:val="11"/>
          <w:szCs w:val="11"/>
          <w:color w:val="auto"/>
        </w:rPr>
        <w:t>TM</w:t>
      </w:r>
      <w:r>
        <w:rPr>
          <w:rFonts w:ascii="Arial" w:cs="Arial" w:eastAsia="Arial" w:hAnsi="Arial"/>
          <w:sz w:val="20"/>
          <w:szCs w:val="20"/>
          <w:color w:val="auto"/>
        </w:rPr>
        <w:t xml:space="preserve"> product line drinks. Distribution under this agreement commenced January 26, 2009.</w:t>
      </w:r>
    </w:p>
    <w:p>
      <w:pPr>
        <w:spacing w:after="0" w:line="205" w:lineRule="exact"/>
        <w:rPr>
          <w:rFonts w:ascii="Arial" w:cs="Arial" w:eastAsia="Arial" w:hAnsi="Arial"/>
          <w:sz w:val="20"/>
          <w:szCs w:val="20"/>
          <w:color w:val="auto"/>
        </w:rPr>
      </w:pPr>
    </w:p>
    <w:p>
      <w:pPr>
        <w:jc w:val="both"/>
        <w:ind w:left="660" w:hanging="328"/>
        <w:spacing w:after="0" w:line="316" w:lineRule="auto"/>
        <w:tabs>
          <w:tab w:leader="none" w:pos="864"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second quarter of 2009, we entered into a distribution agreement with Schweppes Australia Pty Ltd. for exclusive distribution throughout Australia of certain of our Monster Energy® energy drinks. Distribution under this agreement commenced in</w:t>
      </w:r>
    </w:p>
    <w:p>
      <w:pPr>
        <w:sectPr>
          <w:pgSz w:w="11900" w:h="16838" w:orient="portrait"/>
          <w:cols w:equalWidth="0" w:num="1">
            <w:col w:w="11420"/>
          </w:cols>
          <w:pgMar w:left="240" w:top="118" w:right="239" w:bottom="0" w:gutter="0" w:footer="0" w:header="0"/>
        </w:sectPr>
      </w:pPr>
    </w:p>
    <w:bookmarkStart w:id="7" w:name="page8"/>
    <w:bookmarkEnd w:id="7"/>
    <w:p>
      <w:pPr>
        <w:ind w:left="660"/>
        <w:spacing w:after="0"/>
        <w:rPr>
          <w:sz w:val="20"/>
          <w:szCs w:val="20"/>
          <w:color w:val="auto"/>
        </w:rPr>
      </w:pPr>
      <w:r>
        <w:rPr>
          <w:rFonts w:ascii="Arial" w:cs="Arial" w:eastAsia="Arial" w:hAnsi="Arial"/>
          <w:sz w:val="20"/>
          <w:szCs w:val="20"/>
          <w:color w:val="auto"/>
        </w:rPr>
        <w:t>July 2009.</w:t>
      </w:r>
    </w:p>
    <w:p>
      <w:pPr>
        <w:spacing w:after="0" w:line="230" w:lineRule="exact"/>
        <w:rPr>
          <w:sz w:val="20"/>
          <w:szCs w:val="20"/>
          <w:color w:val="auto"/>
        </w:rPr>
      </w:pPr>
    </w:p>
    <w:p>
      <w:pPr>
        <w:jc w:val="both"/>
        <w:ind w:left="660" w:hanging="328"/>
        <w:spacing w:after="0" w:line="246" w:lineRule="auto"/>
        <w:tabs>
          <w:tab w:leader="none" w:pos="671" w:val="left"/>
        </w:tabs>
        <w:numPr>
          <w:ilvl w:val="0"/>
          <w:numId w:val="10"/>
        </w:numPr>
        <w:rPr>
          <w:rFonts w:ascii="Arial" w:cs="Arial" w:eastAsia="Arial" w:hAnsi="Arial"/>
          <w:sz w:val="20"/>
          <w:szCs w:val="20"/>
          <w:color w:val="auto"/>
        </w:rPr>
      </w:pPr>
      <w:r>
        <w:rPr>
          <w:rFonts w:ascii="Arial" w:cs="Arial" w:eastAsia="Arial" w:hAnsi="Arial"/>
          <w:sz w:val="20"/>
          <w:szCs w:val="20"/>
          <w:color w:val="auto"/>
        </w:rPr>
        <w:t>During the second quarter of 2006, we entered into a distribution agreement with Cadbury Bebidas, S.A. de C.V. (“Cadbury Bebidas”), for exclusive distribution by Cadbury Bebidas throughout Mexico, excluding Baja California, of our Monster Energy® and Lost® Energy</w:t>
      </w:r>
      <w:r>
        <w:rPr>
          <w:rFonts w:ascii="Arial" w:cs="Arial" w:eastAsia="Arial" w:hAnsi="Arial"/>
          <w:sz w:val="11"/>
          <w:szCs w:val="11"/>
          <w:color w:val="auto"/>
        </w:rPr>
        <w:t>TM</w:t>
      </w:r>
      <w:r>
        <w:rPr>
          <w:rFonts w:ascii="Arial" w:cs="Arial" w:eastAsia="Arial" w:hAnsi="Arial"/>
          <w:sz w:val="20"/>
          <w:szCs w:val="20"/>
          <w:color w:val="auto"/>
        </w:rPr>
        <w:t xml:space="preserve"> energy products. In December 2008, this distributor was notified of the termination of its distribution agreement on January 25, 2009.</w:t>
      </w:r>
    </w:p>
    <w:p>
      <w:pPr>
        <w:spacing w:after="0" w:line="20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Distribution levels vary by product and geographic location. Gross sales outside the United States accounted for $168.0 million, $94.2 million and $53.9 million for the years ended December 31, 2009, 2008 and 2007, respectively. The reclassification of a portion of our gross sales to certain military customers to gross sales to customers within the United States from gross sales to customers outside the United States resulted in a decrease in gross sales outside the United States of $2.1 million and $1.8 million for the years ended December 31, 2008 and 2007, respectively, over amounts previously reported.</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continually seek to expand distribution of our products by entering into agreements with regional bottlers or other direct store delivery distributors with established sales, marketing and distribution organizations. Many of our bottlers and distributors are affiliated with and manufacture and/or distribute other soda and non-carbonated brands and other beverage products. In many cases, such products compete directly with our products.</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During 2009, we continued to expand distribution of our products in both the domestic and international markets, and our Monster Energy® drinks are now sold in more than 40 countries around the world. We expanded our sales force to support and grow sales, primarily of our Monster Energy® drinks, our Java Monster</w:t>
      </w:r>
      <w:r>
        <w:rPr>
          <w:rFonts w:ascii="Arial" w:cs="Arial" w:eastAsia="Arial" w:hAnsi="Arial"/>
          <w:sz w:val="11"/>
          <w:szCs w:val="11"/>
          <w:color w:val="auto"/>
        </w:rPr>
        <w:t>TM</w:t>
      </w:r>
      <w:r>
        <w:rPr>
          <w:rFonts w:ascii="Arial" w:cs="Arial" w:eastAsia="Arial" w:hAnsi="Arial"/>
          <w:sz w:val="20"/>
          <w:szCs w:val="20"/>
          <w:color w:val="auto"/>
        </w:rPr>
        <w:t xml:space="preserve"> product line, our Monster Hitman Energy Shooter</w:t>
      </w:r>
      <w:r>
        <w:rPr>
          <w:rFonts w:ascii="Arial" w:cs="Arial" w:eastAsia="Arial" w:hAnsi="Arial"/>
          <w:sz w:val="11"/>
          <w:szCs w:val="11"/>
          <w:color w:val="auto"/>
        </w:rPr>
        <w:t>TM</w:t>
      </w:r>
      <w:r>
        <w:rPr>
          <w:rFonts w:ascii="Arial" w:cs="Arial" w:eastAsia="Arial" w:hAnsi="Arial"/>
          <w:sz w:val="20"/>
          <w:szCs w:val="20"/>
          <w:color w:val="auto"/>
        </w:rPr>
        <w:t>’s, our Nitrous</w:t>
      </w:r>
      <w:r>
        <w:rPr>
          <w:rFonts w:ascii="Arial" w:cs="Arial" w:eastAsia="Arial" w:hAnsi="Arial"/>
          <w:sz w:val="11"/>
          <w:szCs w:val="11"/>
          <w:color w:val="auto"/>
        </w:rPr>
        <w:t>TM</w:t>
      </w:r>
      <w:r>
        <w:rPr>
          <w:rFonts w:ascii="Arial" w:cs="Arial" w:eastAsia="Arial" w:hAnsi="Arial"/>
          <w:sz w:val="20"/>
          <w:szCs w:val="20"/>
          <w:color w:val="auto"/>
        </w:rPr>
        <w:t xml:space="preserve"> Monster Energy® product line and our X-Presso Monster</w:t>
      </w:r>
      <w:r>
        <w:rPr>
          <w:rFonts w:ascii="Arial" w:cs="Arial" w:eastAsia="Arial" w:hAnsi="Arial"/>
          <w:sz w:val="11"/>
          <w:szCs w:val="11"/>
          <w:color w:val="auto"/>
        </w:rPr>
        <w:t>TM</w:t>
      </w:r>
      <w:r>
        <w:rPr>
          <w:rFonts w:ascii="Arial" w:cs="Arial" w:eastAsia="Arial" w:hAnsi="Arial"/>
          <w:sz w:val="20"/>
          <w:szCs w:val="20"/>
          <w:color w:val="auto"/>
        </w:rPr>
        <w:t>-Hammer energy drink.</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Blue Sky® products are sold primarily to the health food trade, natural food chains and mainstream grocery store chains, through specialty health food distributors.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Raw Materials and Suppliers</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principal raw materials used in the manufacturing of our products are aluminum cans, PET plastic bottles as well as juice concentrates, sugar, sucralose, milk and cream, the costs of which are subject to fluctuations. Overall, the prices of aluminum cans, PET plastic bottles, certain juice concentrates and milk and cream decreased in 2009 as compared to 2008. In particular, prices of apple concentrate decreased significantly. We have secured a major part of our 2010 supply of apple concentrate at prices below the overall prices incurred in 2009. Sugar prices were higher in 2009.</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purchase beverage flavors, concentrates, juices, supplements, cane sugar, sucrose, sucralose and other sweeteners as well as other ingredients from independent suppliers located in the United States and abroad.</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Generally, raw materials utilized by us in our business are readily available from numerous sources. However, certain raw materials are manufactured by only one company. We purchase sucralose, which is used alone or in combination with Acesulfame-K in our low-calorie products, flavors, vitamin blends and herbs from single manufacturers. Additionally, certain of our cans are only manufactured by single companies in the United States.</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With regard to our Java Monster</w:t>
      </w:r>
      <w:r>
        <w:rPr>
          <w:rFonts w:ascii="Arial" w:cs="Arial" w:eastAsia="Arial" w:hAnsi="Arial"/>
          <w:sz w:val="11"/>
          <w:szCs w:val="11"/>
          <w:color w:val="auto"/>
        </w:rPr>
        <w:t>TM</w:t>
      </w:r>
      <w:r>
        <w:rPr>
          <w:rFonts w:ascii="Arial" w:cs="Arial" w:eastAsia="Arial" w:hAnsi="Arial"/>
          <w:sz w:val="20"/>
          <w:szCs w:val="20"/>
          <w:color w:val="auto"/>
        </w:rPr>
        <w:t xml:space="preserve"> product line, the dairy industry is subject to shortages and higher demand from time to time, which may result in higher prices.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With regard to our fruit juice and juice-drink products, the industry is subject to variability of weather conditions, which may result in higher prices and/or lower consumer demand for juices.</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Generally, flavor suppliers hold the proprietary rights to their flavors. Consequently, we do not have the list of ingredients or formulae for our flavors and certain of our concentrates readily available to us and we may be unable to obtain these flavors or concentrates from alternative suppliers on short notice. We have identified alternative suppliers of many of the supplements contained in many of our beverages. However, industry-wide shortages of certain fruits and fruit juices, and supplements and sweeteners have been, and could from time to time in the future be, experienced, which could interfere with and/or delay production of certain of our products.</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continually endeavor to develop back-up sources of supply for certain of our flavors and concentrates as well as to negotiate arrangements with suppliers which would enable us to obtain access to certain concentrates or flavor formulas in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and manufacturers and/or distributors.</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connection with the development of new products and flavors, independent suppliers bear a large portion of the expense of product development, thereby enabling us to develop new products and flavors at a relatively low cost. We have historically developed and successfully introduced new products, flavors and packaging for our products and intend to continue developing and introducing additional new beverages and flavors.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ectPr>
          <w:pgSz w:w="11900" w:h="16838" w:orient="portrait"/>
          <w:cols w:equalWidth="0" w:num="1">
            <w:col w:w="11420"/>
          </w:cols>
          <w:pgMar w:left="240" w:top="121" w:right="239" w:bottom="72" w:gutter="0" w:footer="0" w:header="0"/>
        </w:sectPr>
      </w:pPr>
    </w:p>
    <w:bookmarkStart w:id="8" w:name="page9"/>
    <w:bookmarkEnd w:id="8"/>
    <w:p>
      <w:pPr>
        <w:spacing w:after="0" w:line="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beverage industry is highly competitive. The principal areas of competition are pricing, packaging, development of new products and flavors and marketing campaigns. Our products compete with a wide range of drinks produced by a relatively large number of companies, many of which have substantially greater financial, marketing and distribution resources than we do.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Important factors affecting our ability to compete successfully include taste and flavor of products, trade and consumer promotions, rapid and effective development and marketing of new, unique cutting edge products, attractive and different packaging, branded product advertising and pricing. We also compete for distributors who will focus on the sale of our products ahead of those of our competitors, provide stable and reliable distribution and secure adequate shelf space in retail outlets. Competitive pressures in the “alternative”, energy, coffee and “functional” beverage categories could cause our products to be unable to gain or to lose market share or we could experience price erosion, which could have a material adverse effect on our business and results.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have experienced substantial competition from new entrants in the energy drink and energy shot categories. A number of companies who market and distribute iced teas and juice cocktails in larger volume packages, such as 16- and 20-ounce glass and plastic bottles, including Sobe, Snapple, Arizona and Fuse, have added supplements to their products with a view to marketing their products as “functional” or energy beverages or as having “functional” benefits. We believe that many of those products contain lower levels of supplements and principally deliver refreshment. In addition, many competitive products are positioned differently from our energy or “functional” drinks. Our smoothies and tea lines are positioned more closely against those products.</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compete not only for consumer preference, but also for maximum marketing efforts by multi-brand licensed bottlers, brokers and distributors, many of which have a principal affiliation with competing companies and brands. Our products compete with all liquid refreshments and with products of much larger and substantially better financed competitors, including the products of numerous nationally and internationally known producers such as TCCC, PepsiCo, Inc. (“PepsiCo”), The Dr. Pepper Snapple Group, Inc. (the “DPS Group”), Red Bull Gmbh, Kraft Foods, Inc., Nestle Beverage Company, Tree Top and Ocean Spray. We also compete with companies that are smaller or primarily local in operation. Our products also compete with private label brands such as those carried by grocery store chains, convenience store chains and club stores.</w:t>
      </w:r>
    </w:p>
    <w:p>
      <w:pPr>
        <w:spacing w:after="0" w:line="2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natural sodas compete directly with traditional soda products including those marketed by TCCC, PepsiCo and the DPS Group, as well as with carbonated beverages marketed by smaller or primarily local companies such as Jones Soda Co., Clearly Canadian Beverage Company, Crystal Geyser, J.M. Smucker Company and with private label brands such as those carried by grocery store chains, convenience store chains and club stores.</w:t>
      </w:r>
    </w:p>
    <w:p>
      <w:pPr>
        <w:spacing w:after="0" w:line="205"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Our fruit juice smoothies compete directly with Kern’s, Jumex, Jugos del Valle and Libby’s Nectars, and V8 Smoothies, as well as with single serve juice products produced by many competitors. Such competitive products are packaged in glass and PET bottles ranging from 8-to 48-ounces in size and in 11.5-ounce aluminum cans. The juice content of such competitive products ranges from 1% to 100%.</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apple and other juice products compete directly with Tree Top, Mott’s, Martinelli’s, Welch’s, Ocean Spray, Tropicana, Minute Maid, Langers, Apple and Eve, Seneca, Northland, Juicy Juice and also with other brands of apple juice and juice blends, especially store brands.</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energy drinks, including Hansen’s® energy, Diet Red Energy®, Monster Energy®, Nitrous</w:t>
      </w:r>
      <w:r>
        <w:rPr>
          <w:rFonts w:ascii="Arial" w:cs="Arial" w:eastAsia="Arial" w:hAnsi="Arial"/>
          <w:sz w:val="11"/>
          <w:szCs w:val="11"/>
          <w:color w:val="auto"/>
        </w:rPr>
        <w:t>TM</w:t>
      </w:r>
      <w:r>
        <w:rPr>
          <w:rFonts w:ascii="Arial" w:cs="Arial" w:eastAsia="Arial" w:hAnsi="Arial"/>
          <w:sz w:val="20"/>
          <w:szCs w:val="20"/>
          <w:color w:val="auto"/>
        </w:rPr>
        <w:t xml:space="preserve"> Monster Energy®, Lost® Energy</w:t>
      </w:r>
      <w:r>
        <w:rPr>
          <w:rFonts w:ascii="Arial" w:cs="Arial" w:eastAsia="Arial" w:hAnsi="Arial"/>
          <w:sz w:val="11"/>
          <w:szCs w:val="11"/>
          <w:color w:val="auto"/>
        </w:rPr>
        <w:t>TM</w:t>
      </w:r>
      <w:r>
        <w:rPr>
          <w:rFonts w:ascii="Arial" w:cs="Arial" w:eastAsia="Arial" w:hAnsi="Arial"/>
          <w:sz w:val="20"/>
          <w:szCs w:val="20"/>
          <w:color w:val="auto"/>
        </w:rPr>
        <w:t xml:space="preserve"> and Rumba®, Samba and Tango energy juice in 8.3-ounce and/or 15.5-ounce and/or 16-ounce and/or 24-ounce and/or 32-ounce and/or 500ml and/or 550ml aluminum cans and/or 500ml glass bottles, and our Monster Hitman Energy Shooter</w:t>
      </w:r>
      <w:r>
        <w:rPr>
          <w:rFonts w:ascii="Arial" w:cs="Arial" w:eastAsia="Arial" w:hAnsi="Arial"/>
          <w:sz w:val="11"/>
          <w:szCs w:val="11"/>
          <w:color w:val="auto"/>
        </w:rPr>
        <w:t>TM</w:t>
      </w:r>
      <w:r>
        <w:rPr>
          <w:rFonts w:ascii="Arial" w:cs="Arial" w:eastAsia="Arial" w:hAnsi="Arial"/>
          <w:sz w:val="20"/>
          <w:szCs w:val="20"/>
          <w:color w:val="auto"/>
        </w:rPr>
        <w:t>’s, compete directly with Red Bull, Rockstar, Full Throttle, No Fear, Amp, Adrenaline Rush, NOS, Venom, Redline, 180, Red Devil, Rip It, Vitaminenergy, 5-Hour Energy Shot, Stacker 2, Red Bull Energy Shot, Redline Energy Shot, NOS Energy Shot, Rockstar Energy Shot, Full Throttle Quick Shot, Amp Energy Shot and many other brands. TCCC and PepsiCo also market and/or distribute additional products in that market segment such as Pepsi Max, Mountain Dew, Mountain Dew MDX and Vault.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Java Monster</w:t>
      </w:r>
      <w:r>
        <w:rPr>
          <w:rFonts w:ascii="Arial" w:cs="Arial" w:eastAsia="Arial" w:hAnsi="Arial"/>
          <w:sz w:val="11"/>
          <w:szCs w:val="11"/>
          <w:color w:val="auto"/>
        </w:rPr>
        <w:t>TM</w:t>
      </w:r>
      <w:r>
        <w:rPr>
          <w:rFonts w:ascii="Arial" w:cs="Arial" w:eastAsia="Arial" w:hAnsi="Arial"/>
          <w:sz w:val="20"/>
          <w:szCs w:val="20"/>
          <w:color w:val="auto"/>
        </w:rPr>
        <w:t xml:space="preserve"> product line and our X-Presso Monster</w:t>
      </w:r>
      <w:r>
        <w:rPr>
          <w:rFonts w:ascii="Arial" w:cs="Arial" w:eastAsia="Arial" w:hAnsi="Arial"/>
          <w:sz w:val="11"/>
          <w:szCs w:val="11"/>
          <w:color w:val="auto"/>
        </w:rPr>
        <w:t>TM</w:t>
      </w:r>
      <w:r>
        <w:rPr>
          <w:rFonts w:ascii="Arial" w:cs="Arial" w:eastAsia="Arial" w:hAnsi="Arial"/>
          <w:sz w:val="20"/>
          <w:szCs w:val="20"/>
          <w:color w:val="auto"/>
        </w:rPr>
        <w:t>-Hammer energy drink compete directly with Starbucks Frappuccino, Starbucks Double Shot, Starbucks Double Shot Energy Plus Coffee and other Starbucks coffee drinks, Rockstar Roasted, Caribou Coffee, Cinnabon coffee drinks, Godiva dairy based drinks and Full Throttle Coffee.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Peace Tea</w:t>
      </w:r>
      <w:r>
        <w:rPr>
          <w:rFonts w:ascii="Arial" w:cs="Arial" w:eastAsia="Arial" w:hAnsi="Arial"/>
          <w:sz w:val="11"/>
          <w:szCs w:val="11"/>
          <w:color w:val="auto"/>
        </w:rPr>
        <w:t>TM</w:t>
      </w:r>
      <w:r>
        <w:rPr>
          <w:rFonts w:ascii="Arial" w:cs="Arial" w:eastAsia="Arial" w:hAnsi="Arial"/>
          <w:sz w:val="20"/>
          <w:szCs w:val="20"/>
          <w:color w:val="auto"/>
        </w:rPr>
        <w:t xml:space="preserve"> product line competes directly with Arizona, Lipton, Snapple, Nestea, Xing Tea and other tea brands.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Marketing</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achieve maximum shelf and display space exposure in sales outlets and maximum demand from consumers for our products, including advertising, in-store promotions and in-store placement of point-of-sale materials, racks, coolers and barrel coolers, prize promotions, price promotions, competitions, endorsements from selected public and extreme sports figures, coupons, sampling and sponsorship of selected causes. In-store posters, outdoor posters, print, radio and television advertising, together with price promotions and coupons, may also be used to promote our brands. Our extreme sports team endorsements include teams such as the Pro Circuit – Kawasaki Motocross and Supercross teams, Kawasaki Factory Motocross and Supercross teams, Robby Gordon Racing Team, Ken Block Rally Racing Team and the Tech 3 Moto GP Team. Our individual athlete and/or personality endorsements include extreme sports</w:t>
      </w:r>
    </w:p>
    <w:p>
      <w:pPr>
        <w:sectPr>
          <w:pgSz w:w="11900" w:h="16898" w:orient="portrait"/>
          <w:cols w:equalWidth="0" w:num="1">
            <w:col w:w="11420"/>
          </w:cols>
          <w:pgMar w:left="240" w:top="121" w:right="239" w:bottom="0" w:gutter="0" w:footer="0" w:header="0"/>
        </w:sectPr>
      </w:pPr>
    </w:p>
    <w:bookmarkStart w:id="9" w:name="page10"/>
    <w:bookmarkEnd w:id="9"/>
    <w:p>
      <w:pPr>
        <w:jc w:val="both"/>
        <w:spacing w:after="0" w:line="258" w:lineRule="auto"/>
        <w:rPr>
          <w:sz w:val="20"/>
          <w:szCs w:val="20"/>
          <w:color w:val="auto"/>
        </w:rPr>
      </w:pPr>
      <w:r>
        <w:rPr>
          <w:rFonts w:ascii="Arial" w:cs="Arial" w:eastAsia="Arial" w:hAnsi="Arial"/>
          <w:sz w:val="19"/>
          <w:szCs w:val="19"/>
          <w:color w:val="auto"/>
        </w:rPr>
        <w:t>figures and athletes such as NASCAR Camping World Truck Series racer Ricky Carmichael, World Champion Moto GP motorcycle racer Valentino Rossi, World Champion Formula 1 racer Jensen Button, television personalities such as Rob Dyrdek as well as many other athletes that compete in other extreme sports related activities, particularly, the Winter and Summer X-Games, supercross, motocross, freestyle motocross, endurocross, Moto GP racing, Formula 1 racing, surfing, skateboarding, wakeboarding, skiing, snowboarding, BMX, mountain biking, snowmobile freestyle, snowmobile racing, NASCAR racing, off-road truck racing, rally racing, etc. Our event endorsements include a wide range of events such as the Monster Energy® Supercross Series, the AMA Pro Motocross Championship Series, the Vans Warped Tour, the Australian SuperX Supercross Series and the Epicenter Music Festival.</w:t>
      </w:r>
    </w:p>
    <w:p>
      <w:pPr>
        <w:spacing w:after="0" w:line="19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which entails making our products visually distinctive from other beverages on the shelves of retailers. We review our products and packaging on an ongoing basis and, where practical, endeavor to make them better and unique. The labels and graphics for many of our products are redesigned from time to time to maximize their visibility and identification, wherever they may be placed in stores, and we will continue to reevaluate the same from time to time.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 appropriate, we partner with retailers to assist our marketing efforts. For example, while we retain responsibility for the marketing of the Juice Slam® line of children’s multi-vitamin juice drinks, Costco has undertaken partial responsibility for the marketing of the Juice Blast® line.</w:t>
      </w:r>
    </w:p>
    <w:p>
      <w:pPr>
        <w:spacing w:after="0" w:line="2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increased expenditures for our sales and marketing programs by approximately 7.1% in 2009 compared to 2008. As of December 31, 2009, we employed 1,141 employees in sales and marketing activities, of which 428 were employed on a full-time basis.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23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Our customers are primarily full service beverage distributors, retail grocery and specialty chains, wholesalers, club stores, drug chains, mass merchandisers, convenience chains, health food distributors and food service customers. Gross sales to our various customer types for the years ended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December 2009, 2008 and 2007 are reflected below. Such information reflects sales made by us directly to the customer types concerned, which include our full service beverage distributors. Such full service beverage distributors in turn sell certain of our products to the customer types listed below. We do not have complete details of the sales of our products by our full service distributors to their respective customers and therefore limit our description of our customer types to include our sales to such full service distributors without reference to their sales to their own customers. The allocations below reflect changes made by us to the categories historically reported.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60" w:type="dxa"/>
            <w:vAlign w:val="bottom"/>
            <w:vMerge w:val="restart"/>
          </w:tcPr>
          <w:p>
            <w:pPr>
              <w:spacing w:after="0"/>
              <w:rPr>
                <w:sz w:val="20"/>
                <w:szCs w:val="20"/>
                <w:color w:val="auto"/>
              </w:rPr>
            </w:pPr>
            <w:r>
              <w:rPr>
                <w:rFonts w:ascii="Arial" w:cs="Arial" w:eastAsia="Arial" w:hAnsi="Arial"/>
                <w:sz w:val="20"/>
                <w:szCs w:val="20"/>
                <w:color w:val="auto"/>
              </w:rPr>
              <w:t>Full service distributors</w:t>
            </w:r>
          </w:p>
        </w:tc>
        <w:tc>
          <w:tcPr>
            <w:tcW w:w="150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color w:val="auto"/>
                <w:w w:val="89"/>
              </w:rPr>
              <w:t>2009</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2008</w:t>
            </w:r>
          </w:p>
        </w:tc>
        <w:tc>
          <w:tcPr>
            <w:tcW w:w="1500" w:type="dxa"/>
            <w:vAlign w:val="bottom"/>
            <w:tcBorders>
              <w:bottom w:val="single" w:sz="8" w:color="auto"/>
            </w:tcBorders>
          </w:tcPr>
          <w:p>
            <w:pPr>
              <w:jc w:val="center"/>
              <w:ind w:left="41"/>
              <w:spacing w:after="0"/>
              <w:rPr>
                <w:sz w:val="20"/>
                <w:szCs w:val="20"/>
                <w:color w:val="auto"/>
              </w:rPr>
            </w:pPr>
            <w:r>
              <w:rPr>
                <w:rFonts w:ascii="Arial" w:cs="Arial" w:eastAsia="Arial" w:hAnsi="Arial"/>
                <w:sz w:val="20"/>
                <w:szCs w:val="20"/>
                <w:color w:val="auto"/>
                <w:w w:val="89"/>
              </w:rPr>
              <w:t>2007</w:t>
            </w:r>
          </w:p>
        </w:tc>
        <w:tc>
          <w:tcPr>
            <w:tcW w:w="0" w:type="dxa"/>
            <w:vAlign w:val="bottom"/>
          </w:tcPr>
          <w:p>
            <w:pPr>
              <w:spacing w:after="0"/>
              <w:rPr>
                <w:sz w:val="1"/>
                <w:szCs w:val="1"/>
                <w:color w:val="auto"/>
              </w:rPr>
            </w:pPr>
          </w:p>
        </w:tc>
      </w:tr>
      <w:tr>
        <w:trPr>
          <w:trHeight w:val="206"/>
        </w:trPr>
        <w:tc>
          <w:tcPr>
            <w:tcW w:w="6760" w:type="dxa"/>
            <w:vAlign w:val="bottom"/>
            <w:vMerge w:val="continue"/>
          </w:tcPr>
          <w:p>
            <w:pPr>
              <w:spacing w:after="0"/>
              <w:rPr>
                <w:sz w:val="17"/>
                <w:szCs w:val="17"/>
                <w:color w:val="auto"/>
              </w:rPr>
            </w:pPr>
          </w:p>
        </w:tc>
        <w:tc>
          <w:tcPr>
            <w:tcW w:w="1500" w:type="dxa"/>
            <w:vAlign w:val="bottom"/>
          </w:tcPr>
          <w:p>
            <w:pPr>
              <w:jc w:val="center"/>
              <w:ind w:right="41"/>
              <w:spacing w:after="0" w:line="207" w:lineRule="exact"/>
              <w:rPr>
                <w:sz w:val="20"/>
                <w:szCs w:val="20"/>
                <w:color w:val="auto"/>
              </w:rPr>
            </w:pPr>
            <w:r>
              <w:rPr>
                <w:rFonts w:ascii="Arial" w:cs="Arial" w:eastAsia="Arial" w:hAnsi="Arial"/>
                <w:sz w:val="20"/>
                <w:szCs w:val="20"/>
                <w:color w:val="auto"/>
                <w:w w:val="89"/>
              </w:rPr>
              <w:t>66%</w:t>
            </w:r>
          </w:p>
        </w:tc>
        <w:tc>
          <w:tcPr>
            <w:tcW w:w="1660" w:type="dxa"/>
            <w:vAlign w:val="bottom"/>
          </w:tcPr>
          <w:p>
            <w:pPr>
              <w:jc w:val="center"/>
              <w:spacing w:after="0" w:line="207" w:lineRule="exact"/>
              <w:rPr>
                <w:sz w:val="20"/>
                <w:szCs w:val="20"/>
                <w:color w:val="auto"/>
              </w:rPr>
            </w:pPr>
            <w:r>
              <w:rPr>
                <w:rFonts w:ascii="Arial" w:cs="Arial" w:eastAsia="Arial" w:hAnsi="Arial"/>
                <w:sz w:val="20"/>
                <w:szCs w:val="20"/>
                <w:color w:val="auto"/>
                <w:w w:val="94"/>
              </w:rPr>
              <w:t>68%</w:t>
            </w:r>
          </w:p>
        </w:tc>
        <w:tc>
          <w:tcPr>
            <w:tcW w:w="1500" w:type="dxa"/>
            <w:vAlign w:val="bottom"/>
          </w:tcPr>
          <w:p>
            <w:pPr>
              <w:jc w:val="center"/>
              <w:ind w:left="41"/>
              <w:spacing w:after="0" w:line="207" w:lineRule="exact"/>
              <w:rPr>
                <w:sz w:val="20"/>
                <w:szCs w:val="20"/>
                <w:color w:val="auto"/>
              </w:rPr>
            </w:pPr>
            <w:r>
              <w:rPr>
                <w:rFonts w:ascii="Arial" w:cs="Arial" w:eastAsia="Arial" w:hAnsi="Arial"/>
                <w:sz w:val="20"/>
                <w:szCs w:val="20"/>
                <w:color w:val="auto"/>
                <w:w w:val="89"/>
              </w:rPr>
              <w:t>69%</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1500" w:type="dxa"/>
            <w:vAlign w:val="bottom"/>
          </w:tcPr>
          <w:p>
            <w:pPr>
              <w:jc w:val="center"/>
              <w:ind w:right="41"/>
              <w:spacing w:after="0"/>
              <w:rPr>
                <w:sz w:val="20"/>
                <w:szCs w:val="20"/>
                <w:color w:val="auto"/>
              </w:rPr>
            </w:pPr>
            <w:r>
              <w:rPr>
                <w:rFonts w:ascii="Arial" w:cs="Arial" w:eastAsia="Arial" w:hAnsi="Arial"/>
                <w:sz w:val="20"/>
                <w:szCs w:val="20"/>
                <w:color w:val="auto"/>
                <w:w w:val="89"/>
              </w:rPr>
              <w:t>12%</w:t>
            </w:r>
          </w:p>
        </w:tc>
        <w:tc>
          <w:tcPr>
            <w:tcW w:w="1660" w:type="dxa"/>
            <w:vAlign w:val="bottom"/>
          </w:tcPr>
          <w:p>
            <w:pPr>
              <w:jc w:val="center"/>
              <w:spacing w:after="0"/>
              <w:rPr>
                <w:sz w:val="20"/>
                <w:szCs w:val="20"/>
                <w:color w:val="auto"/>
              </w:rPr>
            </w:pPr>
            <w:r>
              <w:rPr>
                <w:rFonts w:ascii="Arial" w:cs="Arial" w:eastAsia="Arial" w:hAnsi="Arial"/>
                <w:sz w:val="20"/>
                <w:szCs w:val="20"/>
                <w:color w:val="auto"/>
                <w:w w:val="94"/>
              </w:rPr>
              <w:t>14%</w:t>
            </w:r>
          </w:p>
        </w:tc>
        <w:tc>
          <w:tcPr>
            <w:tcW w:w="1500" w:type="dxa"/>
            <w:vAlign w:val="bottom"/>
          </w:tcPr>
          <w:p>
            <w:pPr>
              <w:jc w:val="center"/>
              <w:ind w:left="41"/>
              <w:spacing w:after="0"/>
              <w:rPr>
                <w:sz w:val="20"/>
                <w:szCs w:val="20"/>
                <w:color w:val="auto"/>
              </w:rPr>
            </w:pPr>
            <w:r>
              <w:rPr>
                <w:rFonts w:ascii="Arial" w:cs="Arial" w:eastAsia="Arial" w:hAnsi="Arial"/>
                <w:sz w:val="20"/>
                <w:szCs w:val="20"/>
                <w:color w:val="auto"/>
                <w:w w:val="89"/>
              </w:rPr>
              <w:t>14%</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20"/>
                <w:szCs w:val="20"/>
                <w:color w:val="auto"/>
              </w:rPr>
              <w:t>Outside the U.S.</w:t>
            </w:r>
          </w:p>
        </w:tc>
        <w:tc>
          <w:tcPr>
            <w:tcW w:w="1500" w:type="dxa"/>
            <w:vAlign w:val="bottom"/>
          </w:tcPr>
          <w:p>
            <w:pPr>
              <w:jc w:val="center"/>
              <w:ind w:right="41"/>
              <w:spacing w:after="0"/>
              <w:rPr>
                <w:sz w:val="20"/>
                <w:szCs w:val="20"/>
                <w:color w:val="auto"/>
              </w:rPr>
            </w:pPr>
            <w:r>
              <w:rPr>
                <w:rFonts w:ascii="Arial" w:cs="Arial" w:eastAsia="Arial" w:hAnsi="Arial"/>
                <w:sz w:val="20"/>
                <w:szCs w:val="20"/>
                <w:color w:val="auto"/>
                <w:w w:val="89"/>
              </w:rPr>
              <w:t>13%</w:t>
            </w:r>
          </w:p>
        </w:tc>
        <w:tc>
          <w:tcPr>
            <w:tcW w:w="1660" w:type="dxa"/>
            <w:vAlign w:val="bottom"/>
          </w:tcPr>
          <w:p>
            <w:pPr>
              <w:jc w:val="center"/>
              <w:spacing w:after="0"/>
              <w:rPr>
                <w:sz w:val="20"/>
                <w:szCs w:val="20"/>
                <w:color w:val="auto"/>
              </w:rPr>
            </w:pPr>
            <w:r>
              <w:rPr>
                <w:rFonts w:ascii="Arial" w:cs="Arial" w:eastAsia="Arial" w:hAnsi="Arial"/>
                <w:sz w:val="20"/>
                <w:szCs w:val="20"/>
                <w:color w:val="auto"/>
                <w:w w:val="89"/>
              </w:rPr>
              <w:t>8%</w:t>
            </w:r>
          </w:p>
        </w:tc>
        <w:tc>
          <w:tcPr>
            <w:tcW w:w="1500" w:type="dxa"/>
            <w:vAlign w:val="bottom"/>
          </w:tcPr>
          <w:p>
            <w:pPr>
              <w:jc w:val="center"/>
              <w:ind w:left="41"/>
              <w:spacing w:after="0"/>
              <w:rPr>
                <w:sz w:val="20"/>
                <w:szCs w:val="20"/>
                <w:color w:val="auto"/>
              </w:rPr>
            </w:pPr>
            <w:r>
              <w:rPr>
                <w:rFonts w:ascii="Arial" w:cs="Arial" w:eastAsia="Arial" w:hAnsi="Arial"/>
                <w:sz w:val="20"/>
                <w:szCs w:val="20"/>
                <w:color w:val="auto"/>
                <w:w w:val="96"/>
              </w:rPr>
              <w:t>5%</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1500" w:type="dxa"/>
            <w:vAlign w:val="bottom"/>
          </w:tcPr>
          <w:p>
            <w:pPr>
              <w:jc w:val="center"/>
              <w:ind w:right="21"/>
              <w:spacing w:after="0"/>
              <w:rPr>
                <w:sz w:val="20"/>
                <w:szCs w:val="20"/>
                <w:color w:val="auto"/>
              </w:rPr>
            </w:pPr>
            <w:r>
              <w:rPr>
                <w:rFonts w:ascii="Arial" w:cs="Arial" w:eastAsia="Arial" w:hAnsi="Arial"/>
                <w:sz w:val="20"/>
                <w:szCs w:val="20"/>
                <w:color w:val="auto"/>
                <w:w w:val="89"/>
              </w:rPr>
              <w:t>6%</w:t>
            </w:r>
          </w:p>
        </w:tc>
        <w:tc>
          <w:tcPr>
            <w:tcW w:w="1660" w:type="dxa"/>
            <w:vAlign w:val="bottom"/>
          </w:tcPr>
          <w:p>
            <w:pPr>
              <w:jc w:val="center"/>
              <w:spacing w:after="0"/>
              <w:rPr>
                <w:sz w:val="20"/>
                <w:szCs w:val="20"/>
                <w:color w:val="auto"/>
              </w:rPr>
            </w:pPr>
            <w:r>
              <w:rPr>
                <w:rFonts w:ascii="Arial" w:cs="Arial" w:eastAsia="Arial" w:hAnsi="Arial"/>
                <w:sz w:val="20"/>
                <w:szCs w:val="20"/>
                <w:color w:val="auto"/>
                <w:w w:val="89"/>
              </w:rPr>
              <w:t>8%</w:t>
            </w:r>
          </w:p>
        </w:tc>
        <w:tc>
          <w:tcPr>
            <w:tcW w:w="1500" w:type="dxa"/>
            <w:vAlign w:val="bottom"/>
          </w:tcPr>
          <w:p>
            <w:pPr>
              <w:jc w:val="center"/>
              <w:ind w:left="41"/>
              <w:spacing w:after="0"/>
              <w:rPr>
                <w:sz w:val="20"/>
                <w:szCs w:val="20"/>
                <w:color w:val="auto"/>
              </w:rPr>
            </w:pPr>
            <w:r>
              <w:rPr>
                <w:rFonts w:ascii="Arial" w:cs="Arial" w:eastAsia="Arial" w:hAnsi="Arial"/>
                <w:sz w:val="20"/>
                <w:szCs w:val="20"/>
                <w:color w:val="auto"/>
                <w:w w:val="96"/>
              </w:rPr>
              <w:t>9%</w:t>
            </w:r>
          </w:p>
        </w:tc>
        <w:tc>
          <w:tcPr>
            <w:tcW w:w="0" w:type="dxa"/>
            <w:vAlign w:val="bottom"/>
          </w:tcPr>
          <w:p>
            <w:pPr>
              <w:spacing w:after="0"/>
              <w:rPr>
                <w:sz w:val="1"/>
                <w:szCs w:val="1"/>
                <w:color w:val="auto"/>
              </w:rPr>
            </w:pPr>
          </w:p>
        </w:tc>
      </w:tr>
      <w:tr>
        <w:trPr>
          <w:trHeight w:val="250"/>
        </w:trPr>
        <w:tc>
          <w:tcPr>
            <w:tcW w:w="6760" w:type="dxa"/>
            <w:vAlign w:val="bottom"/>
          </w:tcPr>
          <w:p>
            <w:pPr>
              <w:spacing w:after="0"/>
              <w:rPr>
                <w:sz w:val="20"/>
                <w:szCs w:val="20"/>
                <w:color w:val="auto"/>
              </w:rPr>
            </w:pPr>
            <w:r>
              <w:rPr>
                <w:rFonts w:ascii="Arial" w:cs="Arial" w:eastAsia="Arial" w:hAnsi="Arial"/>
                <w:sz w:val="20"/>
                <w:szCs w:val="20"/>
                <w:color w:val="auto"/>
              </w:rPr>
              <w:t>Other</w:t>
            </w:r>
          </w:p>
        </w:tc>
        <w:tc>
          <w:tcPr>
            <w:tcW w:w="1500" w:type="dxa"/>
            <w:vAlign w:val="bottom"/>
          </w:tcPr>
          <w:p>
            <w:pPr>
              <w:jc w:val="center"/>
              <w:ind w:right="21"/>
              <w:spacing w:after="0"/>
              <w:rPr>
                <w:sz w:val="20"/>
                <w:szCs w:val="20"/>
                <w:color w:val="auto"/>
              </w:rPr>
            </w:pPr>
            <w:r>
              <w:rPr>
                <w:rFonts w:ascii="Arial" w:cs="Arial" w:eastAsia="Arial" w:hAnsi="Arial"/>
                <w:sz w:val="20"/>
                <w:szCs w:val="20"/>
                <w:color w:val="auto"/>
                <w:w w:val="89"/>
              </w:rPr>
              <w:t>3%</w:t>
            </w:r>
          </w:p>
        </w:tc>
        <w:tc>
          <w:tcPr>
            <w:tcW w:w="166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1500" w:type="dxa"/>
            <w:vAlign w:val="bottom"/>
          </w:tcPr>
          <w:p>
            <w:pPr>
              <w:jc w:val="center"/>
              <w:ind w:left="41"/>
              <w:spacing w:after="0"/>
              <w:rPr>
                <w:sz w:val="20"/>
                <w:szCs w:val="20"/>
                <w:color w:val="auto"/>
              </w:rPr>
            </w:pPr>
            <w:r>
              <w:rPr>
                <w:rFonts w:ascii="Arial" w:cs="Arial" w:eastAsia="Arial" w:hAnsi="Arial"/>
                <w:sz w:val="20"/>
                <w:szCs w:val="20"/>
                <w:color w:val="auto"/>
                <w:w w:val="96"/>
              </w:rPr>
              <w:t>3%</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Our customers include CCE, CCBC, Consolidated, United and other TCCC North American Bottlers, Wal-Mart, Inc. (including Sam’s Club), AB Distributors, Kalil Bottling Group, Trader Joe’s, John Lenore &amp; Company, Pepsi Canada, ULC (“Pepsi Canada”) (terminated by us effective December 31, 2008), Swire Coca-Cola, Costco, The Kroger Co., Safeway, Inc. and </w:t>
      </w:r>
      <w:r>
        <w:rPr>
          <w:rFonts w:ascii="Arial" w:cs="Arial" w:eastAsia="Arial" w:hAnsi="Arial"/>
          <w:sz w:val="19"/>
          <w:szCs w:val="19"/>
          <w:color w:val="auto"/>
        </w:rPr>
        <w:t>SUPERVALU, Inc.</w:t>
      </w:r>
      <w:r>
        <w:rPr>
          <w:rFonts w:ascii="Arial" w:cs="Arial" w:eastAsia="Arial" w:hAnsi="Arial"/>
          <w:sz w:val="18"/>
          <w:szCs w:val="18"/>
          <w:color w:val="auto"/>
        </w:rPr>
        <w:t xml:space="preserve"> A decision by any large customer to decrease amounts purchased from us or to cease carrying our products could have a material negative effect on our financial condition and consolidated results of operations. CCE, a customer of the DSD segment with sales within specific markets in the United States, Canada, the United Kingdom and certain countries in Europe, accounted for approximately 27% of our net sales for the year ended December 13, 2009. The DPS Group, a former customer of the DSD division, accounted for approximately 13% and 16% of our net sales for the years ended December 31, 2008 and 2007, respectively. Our distribution agreement with the DPS Group was terminated by us effective November 9, 2008. The terminated DPS Group territories are now serviced by a combination of TCCC North American Bottlers and AB Distributors. Wal-Mart, Inc. (including Sam’s Club), a customer of both the DSD and Warehouse divisions, accounted for approximately 9%, 11% and 12% of our net sales for the years ended December 31, 2009, 2008 and 2007,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3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Sales of ready-to-drink beverages are somewhat seasonal, with the second and third calendar quarters accounting for the highest sales volumes. The volume of sales in the beverage business may be affected by weather conditions. Sales of our beverage products may become increasingly subject to seasonal fluctuations as more sales occur outside of California with respect to our products. However, the energy drink category appears to be less seasonal than traditional beverages. As the percentage of our sales that are represented by such products continues to increase, seasonal fluctuations will be further mitigated. Quarterly fluctuations may also be affected by other factors, including the introduction of new products, the opening of new markets where temperature fluctuations are more pronounced, the addition of new bottlers and distributors, changes in the mix of sales of our finished products and changes in and/or increased advertising, marketing and promotional expenses.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We presently have approximately 750 registered trademarks and pending applications in various countries worldwide, and we apply for new trademarks on an ongoing basis. Substantially all of our global trademarks are owned by HBC. We regard our trademarks, service marks, copyrights, domain names, trade dress, and similar intellectual property as very important to our business. We consider Hansen’s Natural</w:t>
      </w:r>
    </w:p>
    <w:p>
      <w:pPr>
        <w:sectPr>
          <w:pgSz w:w="11900" w:h="16838" w:orient="portrait"/>
          <w:cols w:equalWidth="0" w:num="1">
            <w:col w:w="11420"/>
          </w:cols>
          <w:pgMar w:left="240" w:top="121" w:right="239" w:bottom="0" w:gutter="0" w:footer="0" w:header="0"/>
        </w:sectPr>
      </w:pPr>
    </w:p>
    <w:bookmarkStart w:id="10" w:name="page11"/>
    <w:bookmarkEnd w:id="10"/>
    <w:p>
      <w:pPr>
        <w:spacing w:after="0" w:line="14"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Sodas®, Hansen’s®, Blue Sky®, Junior Juice®, Monster®, Monster Energy®, M Monster Energy®, M (stylized)®, Java Monster</w:t>
      </w:r>
      <w:r>
        <w:rPr>
          <w:rFonts w:ascii="Arial" w:cs="Arial" w:eastAsia="Arial" w:hAnsi="Arial"/>
          <w:sz w:val="11"/>
          <w:szCs w:val="11"/>
          <w:color w:val="auto"/>
        </w:rPr>
        <w:t>TM</w:t>
      </w:r>
      <w:r>
        <w:rPr>
          <w:rFonts w:ascii="Arial" w:cs="Arial" w:eastAsia="Arial" w:hAnsi="Arial"/>
          <w:sz w:val="20"/>
          <w:szCs w:val="20"/>
          <w:color w:val="auto"/>
        </w:rPr>
        <w:t xml:space="preserve"> and Unleash the Beast!® to be our core trademarks.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protect our trademarks by applying for registrations and registering our trademarks with the United States Patent and Trademark Office and with government agencies in other countries around the world, particularly where our products are distributed and sold. We also register copyrights in the statements, graphics and content appearing on the packaging of our products.</w:t>
      </w:r>
    </w:p>
    <w:p>
      <w:pPr>
        <w:spacing w:after="0" w:line="184"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Depending upon the jurisdiction, trademarks are valid as long as they are in use and/or their registrations are properly maintained and they have not been found to have become generic. Registrations of trademarks can generally be renewed as long as the trademarks are in use.</w:t>
      </w:r>
    </w:p>
    <w:p>
      <w:pPr>
        <w:spacing w:after="0" w:line="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enforce and protect our trademark rights against third parties infringing or denigrating our trademarks, opposing registration of infringing trademarks, and initiating litigation as necessary.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3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production, distribution and sale in the United States of many of our products are subject to various federal and state regulations, including but not limited to: the Federal Food, Drug and Cosmetic Act;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Outside the United States, the production, distribution and sale of many of our products are also subject to numerous similar and other statutes and regulations.</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California law requires that a specific warning appear on any product that contains a component listed by the State of California as having been found to cause cancer or birth defects. The law exposes all food and beverage producers to the possibility of having to provide warnings on their products because the law recognizes no generally applicable quantitative thresholds below which a warning is not required. Consequently, even trace amounts of listed components can expose affected products to the prospect of warning labels. Products containing listed substances that occur naturally in the product or that are contributed to the product solely by a municipal water supply are generally exempt from the warning requirement. While none of our beverage products are required to display warnings under this law, we cannot predict whether an important component of any of our products might be added to the California list in the future. We also are unable to predict whether, or to what extent, a warning under this law would have an impact on costs or sales of our products.</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Measures have been enacted in various localities and states that require that a deposit be charged for certain non-refillable beverage containers. The precise requirements imposed by these measures vary. Other deposit, recycling or product stewardship proposals have been introduced in certain states and localities and in Congress, and we anticipate that similar legislation or regulations may be proposed in the future at the local, state and federal levels, both in the United States and elsewhere.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with Environmental Laws</w:t>
      </w:r>
    </w:p>
    <w:p>
      <w:pPr>
        <w:spacing w:after="0" w:line="23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Our facilities in the United States are subject to federal, state and local environmental laws and regulations. Compliance with these provisions has not had, nor do we expect such compliance to have, any material adverse effect upon our capital expenditures, net income or competitive position.</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California, we are required to collect redemption values from our customers and to remit such redemption values to the State of California Department of Conservation based upon the number of cans and bottles of certain carbonated and non-carbonated products sold. In certain other states and Canada where Hansen’s® products are sold, we are also required to collect deposits from our customers and to remit such deposits to the respective state agencies based upon the number of cans and bottles of certain carbonated and non-carbonated products sold in such states.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As of December 31, 2009, we employed a total of 1,430 employees of which 710 were employed on a full-time basis. Of our 1,430 employees, we employed 289 in administrative and operational capacities and 1,141 persons in sales and marketing capacities.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 a public company, we are required to file our annual reports on Form 10-K, quarterly reports on Form 10-Q, current reports on Form 8-K, proxy statements on Schedule 14A and other information (including any amendments) with the Securities and Exchange Commission (the “SEC”). You may read and copy such material at the SEC’s Public Reference Room located at 100 F Street, N.E., Washington, D.C. 20549. You may obtain information on the operation of the Public Reference Room by calling the SEC at 1-800-SEC-0330. You can also find the Company’s SEC filings at the SEC’s website at http://www.sec.gov.</w:t>
      </w:r>
    </w:p>
    <w:p>
      <w:pPr>
        <w:spacing w:after="0" w:line="20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Our Internet address is </w:t>
      </w:r>
      <w:r>
        <w:rPr>
          <w:rFonts w:ascii="Arial" w:cs="Arial" w:eastAsia="Arial" w:hAnsi="Arial"/>
          <w:sz w:val="21"/>
          <w:szCs w:val="21"/>
          <w:u w:val="single" w:color="auto"/>
          <w:color w:val="auto"/>
        </w:rPr>
        <w:t>www.hansens.com</w:t>
      </w:r>
      <w:r>
        <w:rPr>
          <w:rFonts w:ascii="Arial" w:cs="Arial" w:eastAsia="Arial" w:hAnsi="Arial"/>
          <w:sz w:val="20"/>
          <w:szCs w:val="20"/>
          <w:color w:val="auto"/>
        </w:rPr>
        <w:t xml:space="preserve">. Information contained on our website is not part of this annual report on Form 10-K. Our SEC filings (including any amendments) will be made available free of charge on </w:t>
      </w:r>
      <w:r>
        <w:rPr>
          <w:rFonts w:ascii="Arial" w:cs="Arial" w:eastAsia="Arial" w:hAnsi="Arial"/>
          <w:sz w:val="20"/>
          <w:szCs w:val="20"/>
          <w:u w:val="single" w:color="auto"/>
          <w:color w:val="auto"/>
        </w:rPr>
        <w:t>www.hansens.com</w:t>
      </w:r>
      <w:r>
        <w:rPr>
          <w:rFonts w:ascii="Arial" w:cs="Arial" w:eastAsia="Arial" w:hAnsi="Arial"/>
          <w:sz w:val="20"/>
          <w:szCs w:val="20"/>
          <w:color w:val="auto"/>
        </w:rPr>
        <w:t>, as soon as reasonably practicable after we electronically file such material with, or furnish it to, the SEC. In addition, you may request a copy of these filings (excluding exhibits) at no cost by writing or telephoning us at the following address or telephone number:</w:t>
      </w:r>
    </w:p>
    <w:p>
      <w:pPr>
        <w:sectPr>
          <w:pgSz w:w="11900" w:h="16853" w:orient="portrait"/>
          <w:cols w:equalWidth="0" w:num="1">
            <w:col w:w="11420"/>
          </w:cols>
          <w:pgMar w:left="240" w:top="122" w:right="239" w:bottom="0" w:gutter="0" w:footer="0" w:header="0"/>
        </w:sectPr>
      </w:pPr>
    </w:p>
    <w:bookmarkStart w:id="11" w:name="page12"/>
    <w:bookmarkEnd w:id="11"/>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Hansen Natural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550 Monica Circle, Suite 201</w:t>
      </w:r>
    </w:p>
    <w:p>
      <w:pPr>
        <w:jc w:val="center"/>
        <w:spacing w:after="0"/>
        <w:rPr>
          <w:sz w:val="20"/>
          <w:szCs w:val="20"/>
          <w:color w:val="auto"/>
        </w:rPr>
      </w:pPr>
      <w:r>
        <w:rPr>
          <w:rFonts w:ascii="Arial" w:cs="Arial" w:eastAsia="Arial" w:hAnsi="Arial"/>
          <w:sz w:val="20"/>
          <w:szCs w:val="20"/>
          <w:color w:val="auto"/>
        </w:rPr>
        <w:t>Corona, CA 92880</w:t>
      </w:r>
    </w:p>
    <w:p>
      <w:pPr>
        <w:ind w:left="5580" w:hanging="484"/>
        <w:spacing w:after="0"/>
        <w:tabs>
          <w:tab w:leader="none" w:pos="5580" w:val="left"/>
        </w:tabs>
        <w:numPr>
          <w:ilvl w:val="1"/>
          <w:numId w:val="11"/>
        </w:numPr>
        <w:rPr>
          <w:rFonts w:ascii="Arial" w:cs="Arial" w:eastAsia="Arial" w:hAnsi="Arial"/>
          <w:sz w:val="20"/>
          <w:szCs w:val="20"/>
          <w:color w:val="auto"/>
        </w:rPr>
      </w:pPr>
      <w:r>
        <w:rPr>
          <w:rFonts w:ascii="Arial" w:cs="Arial" w:eastAsia="Arial" w:hAnsi="Arial"/>
          <w:sz w:val="20"/>
          <w:szCs w:val="20"/>
          <w:color w:val="auto"/>
        </w:rPr>
        <w:t>739-6200</w:t>
      </w:r>
    </w:p>
    <w:p>
      <w:pPr>
        <w:ind w:left="5500" w:hanging="482"/>
        <w:spacing w:after="0"/>
        <w:tabs>
          <w:tab w:leader="none" w:pos="5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HANSENS</w:t>
      </w:r>
    </w:p>
    <w:p>
      <w:pPr>
        <w:ind w:left="5580" w:hanging="484"/>
        <w:spacing w:after="0"/>
        <w:tabs>
          <w:tab w:leader="none" w:pos="5580" w:val="left"/>
        </w:tabs>
        <w:numPr>
          <w:ilvl w:val="1"/>
          <w:numId w:val="12"/>
        </w:numPr>
        <w:rPr>
          <w:rFonts w:ascii="Arial" w:cs="Arial" w:eastAsia="Arial" w:hAnsi="Arial"/>
          <w:sz w:val="20"/>
          <w:szCs w:val="20"/>
          <w:color w:val="auto"/>
        </w:rPr>
      </w:pPr>
      <w:r>
        <w:rPr>
          <w:rFonts w:ascii="Arial" w:cs="Arial" w:eastAsia="Arial" w:hAnsi="Arial"/>
          <w:sz w:val="20"/>
          <w:szCs w:val="20"/>
          <w:color w:val="auto"/>
        </w:rPr>
        <w:t>426-7367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to the other information in this report, you should carefully consider the following risks. If any of the following risks actually occur, our business, financial condition and/or operating results could be materially adversely affected. The risk factors summarized below are not the only risks we face. Additional risks and uncertainties not currently known to us or that we currently deem to be immaterial also may materially adversely affect our business, financial condition and/or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consumer preferences may reduce demand for some of our products.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There is increasing awareness of and concern for the health consequences of obesity. This may reduce demand for our non-diet beverages, which could affect our profitability.</w:t>
      </w:r>
    </w:p>
    <w:p>
      <w:pPr>
        <w:spacing w:after="0" w:line="19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Consumers are seeking greater variety in their beverages. Our future success will depend, in part, upon our continued ability to develop and introduce different and innovative beverages. In order to retain and expand our market share, we must continue to develop and introduce different and innovative beverages and be competitive in the areas of taste, quality and health, although there can be no assurance of our ability to do so. There is no assurance that consumers will continue to purchase our products in the future. Additionally, many of our products are considered premium products and to maintain market share during recessionary periods we may have to reduce profit margins, which would adversely affect our results of operations. Product lifecycles for some beverage brands and/or products and/or packages may be limited to a few years before consumers’ preferences change. The beverages we currently market are in varying stages of their product lifecycles and there can be no assurance that such beverages will become or remain profitable for us. The beverage industry is subject to changing consumer preferences and shifts in consumer preferences may adversely affect us if we misjudge such preferences. We may be unable to achieve volume growth through product and packaging initiatives. We also may be unable to penetrate new markets. If our revenues decline, our business, financial condition and results of operations will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Significant changes in government regulation may hinder sales.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production, distribution and sale in the United States of many of our products are subject to various federal and state regulations, including, but not limited to: the Federal Food, Drug and Cosmetic Act;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New statutes and regulations may also be instituted in the future. If a regulatory authority finds that a current or future product or production run is not in compliance with any of these regulations, we may be fined, or such products may have to be recalled and/or reformulated and/or have the packaging changed, thus adversely affecting our financial condition and operations. In particular, California law requires that a specific warning appear on any product that contains a component listed by the State of California as having been found to cause cancer or birth defects. While we do not believe that any of our beverage products are required to display warnings under this law, we cannot predict whether an important component of any of our products might be added to the California list in the future. We also are unable to predict whether or to what extent a warning under this law would have an impact on costs or sales of our products.</w:t>
      </w:r>
    </w:p>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Public health officials and health advocates are focusing on obesity, especially among children, and are encouraging consumers to reduce consumption of sweetened beverages. Possible new local and/or county and/or state and/or federal taxes, increased regulation on labeling and negative publicity may reduce sales of our products and may adversely affect our financial condition or results of operations.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Additionally, the U.S. Food and Drug Administration has recently proposed revising regulations with respect to serving size information and nutrition labeling on food and beverage products. If definitive regulation is promulgated, we may incur significant costs to alter our existing packaging materials to comply with such regulations. Additionally, revised serving size information may impact and/or reduce and/or otherwise affect the purchase and consumption of our products by our consumers.</w:t>
      </w:r>
    </w:p>
    <w:p>
      <w:pPr>
        <w:spacing w:after="0" w:line="20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The ongoing economic downturn and continued uncertainty in the financial markets and other adverse changes in general economic or political conditions in any of the major countries in which we do business may adversely affect our industry, business and results of operations.</w:t>
      </w:r>
    </w:p>
    <w:p>
      <w:pPr>
        <w:spacing w:after="0" w:line="144" w:lineRule="exact"/>
        <w:rPr>
          <w:sz w:val="20"/>
          <w:szCs w:val="20"/>
          <w:color w:val="auto"/>
        </w:rPr>
      </w:pPr>
    </w:p>
    <w:p>
      <w:pPr>
        <w:jc w:val="both"/>
        <w:ind w:firstLine="441"/>
        <w:spacing w:after="0" w:line="316" w:lineRule="auto"/>
        <w:rPr>
          <w:sz w:val="20"/>
          <w:szCs w:val="20"/>
          <w:color w:val="auto"/>
        </w:rPr>
      </w:pPr>
      <w:r>
        <w:rPr>
          <w:rFonts w:ascii="Arial" w:cs="Arial" w:eastAsia="Arial" w:hAnsi="Arial"/>
          <w:sz w:val="16"/>
          <w:szCs w:val="16"/>
          <w:color w:val="auto"/>
        </w:rPr>
        <w:t>The global credit and financial markets have continued to experience extreme disruptions, including severely diminished liquidity and credit availability, declines in consumer confidence, declines in economic growth, increases in unemployment rates, and uncertainty about economic stability. There can be no assurance that there will not be further deterioration in credit and financial markets and confidence in economic conditions. These economic uncertainties affect businesses such as ours in a number of ways, making it difficult to accurately forecast and plan our future business activities. The current adverse global economic conditions and tightening of credit in financial markets may lead consumers to postpone spending, which may cause our customers to cancel, decrease or delay their existing and future orders with us.</w:t>
      </w:r>
    </w:p>
    <w:p>
      <w:pPr>
        <w:sectPr>
          <w:pgSz w:w="11900" w:h="16902" w:orient="portrait"/>
          <w:cols w:equalWidth="0" w:num="1">
            <w:col w:w="11420"/>
          </w:cols>
          <w:pgMar w:left="240" w:top="352" w:right="239" w:bottom="0" w:gutter="0" w:footer="0" w:header="0"/>
        </w:sectPr>
      </w:pPr>
    </w:p>
    <w:bookmarkStart w:id="12" w:name="page13"/>
    <w:bookmarkEnd w:id="12"/>
    <w:p>
      <w:pPr>
        <w:jc w:val="both"/>
        <w:spacing w:after="0" w:line="247" w:lineRule="auto"/>
        <w:rPr>
          <w:sz w:val="20"/>
          <w:szCs w:val="20"/>
          <w:color w:val="auto"/>
        </w:rPr>
      </w:pPr>
      <w:r>
        <w:rPr>
          <w:rFonts w:ascii="Arial" w:cs="Arial" w:eastAsia="Arial" w:hAnsi="Arial"/>
          <w:sz w:val="20"/>
          <w:szCs w:val="20"/>
          <w:color w:val="auto"/>
        </w:rPr>
        <w:t>In addition, financial difficulties experienced by our suppliers or customers could result in product delays, increased accounts receivable defaults and inventory challenges. We are unable to predict the likely duration and severity of the current disruptions in the credit and financial markets and adverse global economic conditions, and if the current uncertain economic conditions continue or further deteriorate, our business and results of operations could be materially and adversely affected.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Operations outside the United States expose us to uncertain conditions and other risks in international markets.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Our gross sales to customers outside of the United States were approximately 12.8%, 8.0% and 5.2% of consolidated gross sales for the years ended December 31, 2009, 2008 and 2007, respectively, and our growth strategy includes expanding our international business. If we are unable to expand distribution of our products outside the United States, our growth rate could be adversely affected. In many international markets, we have relatively little or no operating experience. It is costly to establish, develop and maintain international operations and promote our brands internationally. We face and will continue to face substantial risks associated with having foreign operations, including: economic or political instability in our international markets; restrictions on or costs relating to the repatriation of foreign profits to the United States, including possible taxes or withholding obligations on any repatriations; and the imposition of tariffs or trade restrictions. These risks could have a significant impact on our ability to sell our products on a competitive basis in international markets and could have a material adverse effect on our business, financial condition and results of operations. Also, our operations outside of the United States are subject to risks relating to appropriate compliance with legal and regulatory requirements in local jurisdictions, potential difficulties in staffing and managing local operations, potentially higher incidence of fraud or corruption, credit risk of local customers and distributors and potentially adverse tax consequences.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Fluctuations in foreign currency exchange rates may adversely affect our operating results.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are exposed to foreign currency exchange rate risk with respect to our sales, expenses, profits, assets and liabilities denominated in currencies other than the U.S. dollar. We have not used instruments to hedge certain foreign currency risks and are not protected against foreign currency fluctuations. As a result, our reported earnings may be affected by changes in foreign currency exchange rates. Moreover, any favorable impacts to profit margins or financial results from fluctuations in foreign currency exchange rates are likely to be unsustainable over time.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Increased competition could hurt our business.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beverage industry is highly competitive. The principal areas of competition are pricing, packaging, development of new products and flavors and marketing campaigns. Our products compete with a wide range of drinks produced by a relatively large number of manufacturers, most of which have substantially greater financial, marketing and distribution resources than we do.</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Important factors affecting our ability to compete successfully include the taste and flavor of our products, trade and consumer promotions, rapid and effective development of new, unique cutting edge products, attractive and different packaging, branded product advertising and pricing. Our products compete with all liquid refreshments and with products of much larger and substantially better financed competitors, including the products of numerous nationally and internationally known producers such as TCCC, PepsiCo, Red Bull Gmbh, the DPS Group, Kraft Foods Inc., and Nestle Beverage Company. We also compete with companies that are smaller or primarily national or local in operations such as Tree Top and Ocean Spray. Our products also compete with private label brands such as those carried by grocery store chains, convenience store chains, and club stores. Our Java Monster</w:t>
      </w:r>
      <w:r>
        <w:rPr>
          <w:rFonts w:ascii="Arial" w:cs="Arial" w:eastAsia="Arial" w:hAnsi="Arial"/>
          <w:sz w:val="11"/>
          <w:szCs w:val="11"/>
          <w:color w:val="auto"/>
        </w:rPr>
        <w:t>TM</w:t>
      </w:r>
      <w:r>
        <w:rPr>
          <w:rFonts w:ascii="Arial" w:cs="Arial" w:eastAsia="Arial" w:hAnsi="Arial"/>
          <w:sz w:val="19"/>
          <w:szCs w:val="19"/>
          <w:color w:val="auto"/>
        </w:rPr>
        <w:t xml:space="preserve"> product line competes directly with Starbucks Frappuccino, Starbucks Double Shot, Starbucks Double Shot Energy Plus Coffee and other Starbucks coffee drinks, Rockstar Roasted, Caribou Coffee, Cinnabon coffee drinks, Godiva dairy based drinks and Full Throttle Coffee.</w:t>
      </w:r>
    </w:p>
    <w:p>
      <w:pPr>
        <w:spacing w:after="0" w:line="1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can be no assurance that we will not encounter difficulties in maintaining our current revenues or market share or position due to competition in the beverage industry. If our revenues decline, our business, financial condition and results of operations could be adversely affected.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derive a substantial portion of revenues from our energy drinks and competitive pressure in the “energy drink” category could adversely affect our operating results.</w:t>
      </w:r>
    </w:p>
    <w:p>
      <w:pPr>
        <w:spacing w:after="0" w:line="19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A substantial portion of our sales are derived from our energy drinks, including in particular our Monster Energy® brand energy drinks. Our DSD segment, which comprises primarily energy drinks, represented 91.9% of net sales for the year ended December 31, 2009. Any decrease in the sales of our Monster Energy® brand energy drinks could significantly adversely affect our future revenues and net income. Historically, we have experienced substantial competition from new entrants in the energy drink category. Our energy drinks compete directly with Red Bull, Rockstar, Full Throttle, No Fear, Amp, Adrenaline Rush, NOS, Venom, Redline, 180, Red Devil, Rip It, Vitaminenergy, Starbucks Double Shot, Starbucks Double Shot Energy Plus Coffee, Rockstar Roasted, Full Throttle Coffee, 5-Hour Energy Shot, Stacker 2, Red Bull Energy Shot, Redline Energy Shot, NOS Energy Shot, Rockstar Energy Shot, Full Throttle Quick Shot, Amp Energy Shot and many other brands. A number of companies who market and distribute iced teas and juice cocktails in different packages, such as 16- and 20-ounce glass and plastic bottles, including Sobe, Snapple, Arizona, Fuse, and Vitamin Water, have added supplements to their products with a view to marketing their products as “functional” or energy beverages or as having “functional” benefits. In addition, certain large companies such as TCCC and PepsiCo, market and/or distribute products in that market segment such as Pepsi Max, Mountain Dew, Mountain Dew MDX and Vault. Competitive pressures in the energy drink category could impact our revenues or we could experience price erosion or lower market share, any of which could have a material adverse effect on our business and results.</w:t>
      </w:r>
    </w:p>
    <w:p>
      <w:pPr>
        <w:spacing w:after="0" w:line="187"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i w:val="1"/>
          <w:iCs w:val="1"/>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ectPr>
          <w:pgSz w:w="11900" w:h="16838" w:orient="portrait"/>
          <w:cols w:equalWidth="0" w:num="1">
            <w:col w:w="11420"/>
          </w:cols>
          <w:pgMar w:left="240" w:top="122" w:right="239" w:bottom="0" w:gutter="0" w:footer="0" w:header="0"/>
        </w:sectPr>
      </w:pPr>
    </w:p>
    <w:bookmarkStart w:id="13" w:name="page14"/>
    <w:bookmarkEnd w:id="13"/>
    <w:p>
      <w:pPr>
        <w:jc w:val="both"/>
        <w:ind w:firstLine="648"/>
        <w:spacing w:after="0" w:line="264" w:lineRule="auto"/>
        <w:rPr>
          <w:sz w:val="20"/>
          <w:szCs w:val="20"/>
          <w:color w:val="auto"/>
        </w:rPr>
      </w:pPr>
      <w:r>
        <w:rPr>
          <w:rFonts w:ascii="Arial" w:cs="Arial" w:eastAsia="Arial" w:hAnsi="Arial"/>
          <w:sz w:val="19"/>
          <w:szCs w:val="19"/>
          <w:color w:val="auto"/>
        </w:rPr>
        <w:t>We do not directly manufacture our products, but instead outsource such manufacturing to bottlers and other contract packers. In the event of a disruption or delay, we may be unable to procure alternative packing facilities at commercially reasonable rates and/or within a reasonably short time period. In addition, there are limited alternative packing facilities in the United States, Canada, Australia, Brazil, the United Kingdom and Europe with adequate capacity and/or suitable equipment for many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products, including Hansen’s® brand energy drinks in 8.3-ounce cans, our PET tea line, Hansen’s® Sparkling beverages in 10.5-ounce sleek cans, aseptic juice products, juices in 64-ounce PET plastic bottles, Monster Energy®, Nitrous</w:t>
      </w:r>
      <w:r>
        <w:rPr>
          <w:rFonts w:ascii="Arial" w:cs="Arial" w:eastAsia="Arial" w:hAnsi="Arial"/>
          <w:sz w:val="10"/>
          <w:szCs w:val="10"/>
          <w:color w:val="auto"/>
        </w:rPr>
        <w:t>TM</w:t>
      </w:r>
      <w:r>
        <w:rPr>
          <w:rFonts w:ascii="Arial" w:cs="Arial" w:eastAsia="Arial" w:hAnsi="Arial"/>
          <w:sz w:val="18"/>
          <w:szCs w:val="18"/>
          <w:color w:val="auto"/>
        </w:rPr>
        <w:t xml:space="preserve"> Monster Energy®, X-Presso Monster</w:t>
      </w:r>
      <w:r>
        <w:rPr>
          <w:rFonts w:ascii="Arial" w:cs="Arial" w:eastAsia="Arial" w:hAnsi="Arial"/>
          <w:sz w:val="10"/>
          <w:szCs w:val="10"/>
          <w:color w:val="auto"/>
        </w:rPr>
        <w:t>TM</w:t>
      </w:r>
      <w:r>
        <w:rPr>
          <w:rFonts w:ascii="Arial" w:cs="Arial" w:eastAsia="Arial" w:hAnsi="Arial"/>
          <w:sz w:val="18"/>
          <w:szCs w:val="18"/>
          <w:color w:val="auto"/>
        </w:rPr>
        <w:t>-Hammer, Lost® Energy</w:t>
      </w:r>
      <w:r>
        <w:rPr>
          <w:rFonts w:ascii="Arial" w:cs="Arial" w:eastAsia="Arial" w:hAnsi="Arial"/>
          <w:sz w:val="10"/>
          <w:szCs w:val="10"/>
          <w:color w:val="auto"/>
        </w:rPr>
        <w:t>TM</w:t>
      </w:r>
      <w:r>
        <w:rPr>
          <w:rFonts w:ascii="Arial" w:cs="Arial" w:eastAsia="Arial" w:hAnsi="Arial"/>
          <w:sz w:val="18"/>
          <w:szCs w:val="18"/>
          <w:color w:val="auto"/>
        </w:rPr>
        <w:t xml:space="preserve"> and Rumba®, Samba, Tango energy drinks in 6.75-ounce and/or 8.3-ounce and/or 12-ounce and/or 15.5-ounce and/or 16-ounce and/or 24-ounce and/or 32-ounce and/or 500ml aluminum cans and/or 550ml BRE aluminum cans and/or 500ml glass bottles and/or 12-ounce, 15-ounce and 24-ounce aluminum cap cans, our Java Monster</w:t>
      </w:r>
      <w:r>
        <w:rPr>
          <w:rFonts w:ascii="Arial" w:cs="Arial" w:eastAsia="Arial" w:hAnsi="Arial"/>
          <w:sz w:val="10"/>
          <w:szCs w:val="10"/>
          <w:color w:val="auto"/>
        </w:rPr>
        <w:t>TM</w:t>
      </w:r>
      <w:r>
        <w:rPr>
          <w:rFonts w:ascii="Arial" w:cs="Arial" w:eastAsia="Arial" w:hAnsi="Arial"/>
          <w:sz w:val="18"/>
          <w:szCs w:val="18"/>
          <w:color w:val="auto"/>
        </w:rPr>
        <w:t xml:space="preserve"> product line in 15-ounce aluminum cans, Monster Hitman Energy Shooter</w:t>
      </w:r>
      <w:r>
        <w:rPr>
          <w:rFonts w:ascii="Arial" w:cs="Arial" w:eastAsia="Arial" w:hAnsi="Arial"/>
          <w:sz w:val="10"/>
          <w:szCs w:val="10"/>
          <w:color w:val="auto"/>
        </w:rPr>
        <w:t>TM</w:t>
      </w:r>
      <w:r>
        <w:rPr>
          <w:rFonts w:ascii="Arial" w:cs="Arial" w:eastAsia="Arial" w:hAnsi="Arial"/>
          <w:sz w:val="18"/>
          <w:szCs w:val="18"/>
          <w:color w:val="auto"/>
        </w:rPr>
        <w:t>’s, our Peace Tea</w:t>
      </w:r>
      <w:r>
        <w:rPr>
          <w:rFonts w:ascii="Arial" w:cs="Arial" w:eastAsia="Arial" w:hAnsi="Arial"/>
          <w:sz w:val="10"/>
          <w:szCs w:val="10"/>
          <w:color w:val="auto"/>
        </w:rPr>
        <w:t>TM</w:t>
      </w:r>
      <w:r>
        <w:rPr>
          <w:rFonts w:ascii="Arial" w:cs="Arial" w:eastAsia="Arial" w:hAnsi="Arial"/>
          <w:sz w:val="18"/>
          <w:szCs w:val="18"/>
          <w:color w:val="auto"/>
        </w:rPr>
        <w:t xml:space="preserve"> product line in 23-ounce aluminum cans and other products. A disruption or delay in production of any of such products could significantly affect our revenues from such products as alternative co-packing facilities in the United States and abroad with adequate capacity may not be available for such products either at commercially reasonable rates, and/or within a reasonably short time period, if at all. Consequently, a disruption in production of such products could adversely affect our revenues.</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rely on bottlers and distributors to distribute our DSD products. If we are unable to maintain good relationships with our existing bottlers and distributors and/or secure such bottlers and distributors, our business could suffer.</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continually seek to expand distribution of our products by entering into agreements with regional bottlers or other direct store delivery distributors having established sales, marketing and distribution organizations. Many of our bottlers and distributors are affiliated with and manufacture and/or distribute other soda, carbonated and non-carbonated brands and other beverage products (both alcoholic and non-alcoholic), including energy drinks. In many cases, such products compete directly with our products.</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TCCC North American Bottlers and AB Distributors are our primary domestic and international distributors of our Monster Energy® beverages. If we are unable to maintain good relationships with the TCCC North American Bottlers and AB Distributors, or if the TCCC North American Bottlers and/or AB Distributors do not market and promote our products above the products of our competitors, sales of our Monster Energy® beverages could be adversely affected. The recently announced proposed transactions between CCE and TCCC could affect our existing distribution arrangements. Detailed deal terms have not yet been fully disclosed. We are in the process of evaluating the potential impact the proposed transactions could have on the distribution of our products.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marketing efforts of our distributors are important for our success. If our DSD brands prove to be less attractive to our existing bottlers and distributors and/or if we fail to attract additional bottlers and distributors, and/or our bottlers and/or distributors do not market and promote our products with greater focus in preference to the products of our competitors, our business, financial condition and results of operations could be adversely affected.</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Our customers are material to our success. If we are unable to maintain good relationships with our existing customers, our business could suffer.</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Unilateral decisions could be taken by our distributors, convenience chains, grocery chains, specialty chain stores, club stores and other customers to discontinue carrying all or any of our products that they are carrying at any time, which could cause our business to suffer.</w:t>
      </w:r>
    </w:p>
    <w:p>
      <w:pPr>
        <w:spacing w:after="0" w:line="14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DPS Group, a former customer of the DSD division, accounted for approximately 13% and 16% of our net sales for the years ended December 31, 2008 and 2007, respectively. Our distribution agreement with the DPS Group was terminated by us effective November 9, 2008. The related terminated distributor territories are now serviced by a combination of the TCCC North American Bottlers and AB Distributors. If the TCCC North American Bottlers and/or AB Distributors are generally not as successful in selling our products as the DPS Group was, this could have a material adverse effect on our financial condition and consolidated results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CCE, a customer of the DSD segment with sales in specific markets in the United States, Canada, the United Kingdom and certain countries in Europe, accounted for approximately 27% of our net sales for the year ended December 31, 2009. Wal-Mart, Inc. (including Sam’s Club), a customer of both the DSD and Warehouse divisions, accounted for approximately 9%, 11% and 12% of our net sales for each of the years ended December 31, 2009, 2008 and 2007, respectively. A decision by CCE, Wal-Mart, Inc. (including Sam’s Club) or any other large customer to decrease the amount purchased from us or to cease carrying our products could have a material adverse effect on our financial condition and consolidated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Increases in cost or shortages of raw materials or increases in costs of co-packing could harm our business.</w:t>
      </w:r>
    </w:p>
    <w:p>
      <w:pPr>
        <w:spacing w:after="0" w:line="22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principal raw materials used by us are aluminum cans, PET plastic bottles, as well as juice concentrates, sugar, sucralose, milk and cream, the costs of which are subject to fluctuations. In addition, certain of our co-pack arrangements allow such co-packers to increase their charges based on certain of their own cost increases. We are uncertain whether the prices of any of the above or any other raw materials or ingredients will rise in the future and whether we will be able to pass any of such increases on to our customers. We do not use hedging agreements or alternative instruments to manage the risks associated with securing sufficient ingredients or raw materials.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addition, some of these raw materials, such as certain sizes of cans, are available from a limited number of suppliers.</w:t>
      </w:r>
    </w:p>
    <w:p>
      <w:pPr>
        <w:sectPr>
          <w:pgSz w:w="11900" w:h="16838" w:orient="portrait"/>
          <w:cols w:equalWidth="0" w:num="1">
            <w:col w:w="11420"/>
          </w:cols>
          <w:pgMar w:left="240" w:top="122" w:right="239" w:bottom="0" w:gutter="0" w:footer="0" w:header="0"/>
        </w:sectPr>
      </w:pPr>
    </w:p>
    <w:bookmarkStart w:id="14" w:name="page15"/>
    <w:bookmarkEnd w:id="14"/>
    <w:p>
      <w:pPr>
        <w:spacing w:after="0"/>
        <w:rPr>
          <w:sz w:val="20"/>
          <w:szCs w:val="20"/>
          <w:color w:val="auto"/>
        </w:rPr>
      </w:pPr>
      <w:r>
        <w:rPr>
          <w:rFonts w:ascii="Arial" w:cs="Arial" w:eastAsia="Arial" w:hAnsi="Arial"/>
          <w:sz w:val="20"/>
          <w:szCs w:val="20"/>
          <w:i w:val="1"/>
          <w:iCs w:val="1"/>
          <w:color w:val="auto"/>
        </w:rPr>
        <w:t>Our failure to accurately estimate demand for our products could adversely affect our business and financial results.</w:t>
      </w:r>
    </w:p>
    <w:p>
      <w:pPr>
        <w:spacing w:after="0" w:line="2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may not correctly estimate demand for our products. 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PET plastic bottles, cans, glass, labels, sucralose, flavors, supplements, juice concentrates, certain sweeteners, or packing arrangements, we might not be able to satisfy demand on a short-term basis. Moreover, industry-wide shortages of certain juice concentrates, supplements and sweeteners have been and could, from time to time in the future, be experienced. Such shortages could interfere with and/or delay production of certain of our products and could have a material adverse effect on our business and financial results. We generally do not use hedging agreements or alternative instruments to manage this risk.</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The costs of packaging supplies are subject to price increases from time to time and we may be unable to pass all or some of such increased costs on to our customers.</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Many of our packaging supplies contracts allow our suppliers to alter the costs they charge us for packaging supplies based on changes in the costs of the underlying commodities that are used to produce those packaging supplies, such as resin for PET bottles, aluminum for cans and pulp and paper for cartons and/or trays. These changes in the prices we pay for our packaging supplies occur at certain predetermined times that vary by product and supplier. In some cases, we fix the prices of certain packaging supplies for a reasonable period. In other cases, we bear the risk of increases in the costs of these packaging supplies, including the underlying costs of the commodities that comprise these packaging supplies. We do not use derivative instruments to manage this risk. If the costs of these packaging supplies increase, we may be unable to pass these costs along to our customers through corresponding adjustments to the prices we charge, which could have a material adverse effect on our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rely upon our ongoing relationships with our key flavor suppliers. If we are unable to source our flavors on acceptable terms from our key suppliers, we could suffer disruptions in our business.</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Generally, flavor suppliers hold the proprietary rights to their flavors. Consequently, we do not have the list of ingredients or formulae for our flavors and certain of our concentrates readily available to us and we may be unable to obtain these flavors or concentrates from alternative suppliers on short notice. If we must replace a flavor supplier, we could experience temporary disruptions in our ability to deliver products to our customers which could have a material adverse effect on our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Our intellectual property rights are critical to our success, and the loss of such rights could materially adversely affect our business.</w:t>
      </w:r>
    </w:p>
    <w:p>
      <w:pPr>
        <w:spacing w:after="0" w:line="24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own numerous trademarks that are very important to our business. We also own the copyright in and to a portion of the content on the packaging of our products. We regard our trademarks, copyrights, and similar intellectual property as critical to our success and attempt to protect such intellectual property with registered and common law trademarks and copyrights, restrictions on disclosure and other actions to prevent infringement. However, there can be no assurance that other third parties will not infringe or misappropriate our trademarks and similar proprietary rights. If we lose some or all of our intellectual property rights, our business may be materially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If we are unable to maintain brand image or product quality, or if we encounter product recalls, our business may suffer.</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success depends on our ability to build and maintain brand image for our existing products, new products and brand extensions. We have no assurance that our advertising, marketing and promotional programs will have the desired impact on our products’ brand image and on consumer preferences. Product quality and/or ingredient content issues, efficacy or lack thereof, real or imagined, or allegations of product contamination, even if false or unfounded, could tarnish the image of the affected brands and may cause consumers to choose other products. We may be required from time to time to recall products entirely or from specific co-packers, markets or batches. Product recalls could adversely affect our profitability and our brand image. We do not maintain recall insurance.</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While we have to date not experienced any credible product liability litigation, there is no assurance that we will not experience such litigation in the future. In the event we were to experience product liability claims or a product recall, our financial condition and business operations could be materially adversely effected.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do not maintain sufficient inventory levels or if we are unable to deliver our products to our customers in sufficient quantities, or if our retailers’ inventory levels are too high, our operating results will be adversely affected.</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If we do not accurately anticipate the future demand for a particular product or the time it will take to obtain new inventory, our inventory levels will not be appropriate and our results of operations may be negatively impacted. If we fail to meet our shipping schedules, we could damage our relationships with distributors and/or retailers, increase our shipping costs or cause sales opportunities to be delayed or lost. In order to be able to deliver our products on a timely basis, we need to maintain adequate inventory levels of the desired products. If the inventory of our products held by our distributors and/or retailers is too high, they will not place orders for additional products, which would unfavorably impact our future sales and adversely affect our operating results.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are not able to retain the full-time services of senior management there may be an adverse effect on our operations and/or our operating performance until we find suitable replacements.</w:t>
      </w:r>
    </w:p>
    <w:p>
      <w:pPr>
        <w:sectPr>
          <w:pgSz w:w="11900" w:h="16838" w:orient="portrait"/>
          <w:cols w:equalWidth="0" w:num="1">
            <w:col w:w="11420"/>
          </w:cols>
          <w:pgMar w:left="240" w:top="122" w:right="239" w:bottom="155"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155" w:gutter="0" w:footer="0" w:header="0"/>
          <w:type w:val="continuous"/>
        </w:sectPr>
      </w:pPr>
    </w:p>
    <w:bookmarkStart w:id="15" w:name="page16"/>
    <w:bookmarkEnd w:id="15"/>
    <w:p>
      <w:pPr>
        <w:spacing w:after="0" w:line="6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business is dependent, to a large extent, upon the services of our senior management. We do not maintain key person life insurance for any members of our senior management. The loss of services of either Mr. Sacks, Chairman and Chief Executive Officer, Mr. Schlosberg, President and Chief Financial Officer, Mr. Hall, President of the Monster Beverage Division, or any other key members of our senior management could adversely affect our business until suitable replacements can be found. There may be a limited number of personnel with the requisite skills to serve in these positions and we may be unable to locate or employ such qualified personnel on acceptable terms.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Climate change may negatively affect our business.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There is concern that a gradual increase in global average temperatures could cause significant changes in weather patterns around the globe and an increase in the frequency and severity of natural disasters. While warmer weather has historically been associated with increased sales of our products, changing weather patterns could result in decreased agricultural productivity in certain regions, which may limit availability or increase the cost of certain key ingredients used in our products. Increased frequency or duration of extreme weather conditions could also impair production capabilities, disrupt our supply chain including, without limitation, the availability of and/or result in higher prices for juice concentrates and natural flavors, or impact demand for our products. In addition, public expectations for reductions in greenhouse gas emissions could result in increased energy, transportation and raw material costs and may require us to make additional investments in facilities and equipment. As a result, the effects of climate change could have a long-term adverse impact on our business and results of operations. Sales of our products may also be influenced to some extent by weather conditions in the markets in which we operate. Weather conditions may influence consumer demand for certain of our beverages, which could have an adverse effect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Potential changes in accounting practices and/or taxation may adversely affect our financial results.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cannot predict the impact that future changes in accounting standards or practices may have on our financial results. New accounting standards could be issued that change the way we record revenues, expenses, assets and liabilities. These changes in accounting standards could adversely affect our reported earnings. Increases in direct and indirect income tax rates could affect after tax income. Equally, increases in indirect taxes (including environmental taxes pertaining to the disposal of beverage containers) could affect our products’ affordability and reduce our sales.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Volatility of stock price may restrict sale opportunities.</w:t>
      </w: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Our stock price is affected by a number of factors, including stockholder expectations, financial results, the introduction of new products by us and our competitors, general economic and market conditions, estimates and projections by the investment community and public comments by other persons and many other factors, many of which are beyond our control. We may be unable to achieve analysts’ earnings forecasts, which may be based on projected volumes and sales of many product types and/or new products, certain of which are more profitable than others. There can be no assurance that the Company will achieve projected levels or mixes of product sales. As a result, our stock price is subject to significant volatility and stockholders may not be able to sell our stock at attractive prices. During the fiscal year ended December 31, 2009, our stock price high was $44.02 and stock price low was $27.91.</w:t>
      </w:r>
    </w:p>
    <w:p>
      <w:pPr>
        <w:spacing w:after="0" w:line="19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Provisions in our organizational documents and control by insiders may prevent changes in control even if such changes would be beneficial to other stockholders.</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organizational documents may limit changes in control. Furthermore, as of February 12, 2010, Mr. Sacks and Mr. Schlosberg together may be deemed to control approximately 24.8% of our outstanding common stock. Consequently, Mr. Sacks and Mr. Schlosberg could exercise significant control over matters submitted to a vote of our stockholders, including electing directors, amending organizational documents and disapproving extraordinary transactions such as a takeover attempt, even though such actions may be favorable to the other common stockholders.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cash flow may not be sufficient to fund our long term goals.</w:t>
      </w:r>
    </w:p>
    <w:p>
      <w:pPr>
        <w:spacing w:after="0" w:line="22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We may be unable to generate sufficient cash flow to support our capital expenditure plans and general operating activities. In addition, the terms and/or availability of our credit facility and/or the activities of our creditors could affect the financing of our future growth.</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Our investments in marketable securities are subject to risks which may cause losses and affect the liquidity of these investments.</w:t>
      </w:r>
    </w:p>
    <w:p>
      <w:pPr>
        <w:spacing w:after="0" w:line="24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At December 31, 2009, we had $328.3 million in cash and cash equivalents and $99.3 million in short- and long-term investments. We have historically invested these amounts in U.S. Treasury bills, government agencies and municipal securities (which may have an auction reset feature), corporate notes and bonds, commercial paper and money market funds meeting certain criteria. Certain of these investments are subject to general credit, liquidity, market and interest rate risks, which may be exacerbated by U.S. sub-prime mortgage defaults that have affected various sectors of the financial markets and caused credit and liquidity issues. These market risks associated with our investment portfolio may have a negative adverse effect on our future results of operations, liquidity and financial condition. At the current time, we are not increasing our investments in auction rate securities nor investing in corporate bonds.</w:t>
      </w:r>
    </w:p>
    <w:p>
      <w:pPr>
        <w:spacing w:after="0" w:line="18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Certain of our short-term investments and all of our long-term investments are comprised of municipal or educational related or other public body notes with an auction reset feature (“auction rate securities”). The majority of these notes carry an investment grade or better credit rating and are additionally backed by various federal agencies and/or monoline insurance companies. The applicable interest rate is reset at pre-determined intervals, usually every 7 to 35 days. Liquidity for these auction rate securities was typically provided by an auction process which allowed holders to sell their notes at periodic auctions. At December 31, 2009, we held auction rate securities with a face value of $96.4 million (amortized cost basis of $92.0 million). During the year ended December 31, 2009, the auctions for these auction rate securities failed. We</w:t>
      </w:r>
    </w:p>
    <w:p>
      <w:pPr>
        <w:sectPr>
          <w:pgSz w:w="11900" w:h="16903" w:orient="portrait"/>
          <w:cols w:equalWidth="0" w:num="1">
            <w:col w:w="11420"/>
          </w:cols>
          <w:pgMar w:left="240" w:top="339" w:right="239" w:bottom="0" w:gutter="0" w:footer="0" w:header="0"/>
        </w:sectPr>
      </w:pPr>
    </w:p>
    <w:bookmarkStart w:id="16" w:name="page17"/>
    <w:bookmarkEnd w:id="16"/>
    <w:p>
      <w:pPr>
        <w:spacing w:after="0" w:line="3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determined that there was an impairment of our auction rate securities of $12.1 million, resulting in a fair value of $84.3 million, which is included in short and long-term investments in our consolidated financial statements. We determined that of the $12.1 million impairment of our auction rate securities, $7.7 million was deemed temporary. This amount has been recorded, net of a tax benefit of $3.1 million, as a component of accumulated other comprehensive loss for the year ended December 31, 2009. In addition, we determined that $3.9 million of the impairment was an other-than-temporary impairment and recorded a charge in other income (expense) in our consolidated financial statements for the year ended December 31, 2009 ($0.5 million had been previously deemed other-than-temporary and was charged to other income (expense) for the year ended December 31, 2008.) There is no assurance that auctions on the remaining auction rate securities in our investment portfolio will succeed. The auction failures appear to have been attributable to inadequate buyers and/or buying demand and/or the lack of support from financial advisors and sponsors. In the event that there is a failed auction, the indenture governing the security in some cases requires the issuer to pay interest at a default rate that is above market rates for similar instruments. The securities for which auctions have failed will continue to accrue and/or pay interest at their predetermined default rates and be auctioned every 7 to 35 days until their respective auction succeeds, the issuer calls the securities, they mature or we are able to sell the securities to third parties. As a result, our ability to liquidate and fully recover the carrying value of our auction rate securities in the near term may be limited. Consequently, these securities, except those that were redeemed at par after December 31, 2009 and 2008, are classified as long-term investments in the accompanying consolidated balance sheets.</w:t>
      </w:r>
    </w:p>
    <w:p>
      <w:pPr>
        <w:spacing w:after="0" w:line="195"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8"/>
          <w:szCs w:val="18"/>
          <w:color w:val="auto"/>
        </w:rPr>
        <w:t>If the issuers of these auction rate securities are unable to refinance their debts and call the notes or successfully close future auctions and their credit ratings deteriorate, we may be required to record additional impairment charges on these investments in the future. If uncertainties in the credit and capital markets continue or there are ratings downgrades on the auction rate securities held by us, we may be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required to recognize additional impairments on these investments. We may be required to wait until market stability is restored for these instruments or until the final maturity of the underlying notes (up to 40 years) to realize our investments’ recorded value (See “Part II, Item 7A – Qualitative And Quantitative Disclosures About Market Risks” and “Part II, Item 8, Note 2 and 3 in our consolidated financial statements).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fail to maintain effective disclosure controls and procedures and internal control over financial reporting on a consolidated basis, our stock price and investor confidence in our Company could be materially and adversely affected.</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required to maintain both disclosure controls and procedures and internal control over financial reporting that are effective for the purposes described in “Part II, Item 9A – Controls and Procedures.” If we fail to do so, our business, results of operations, financial condition or the value of our stock could be materially harmed.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Litigation or legal proceedings could expose us to significant liabilities and thus negatively affect our financial results.</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are a party, from time to time, to various litigation claims and legal proceedings, including, but not limited to, intellectual property, fraud, unfair business practices and false advertising, breach of contract claims, securities actions and shareholder derivative actions. Material legal proceedings are described more fully in “Part I, Item 3 – Legal Proceedings” and in Part II, Item 8, Note 11 to our consolidated financial statements contained in this Form 10-K.</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Defending these proceedings will result in significant ongoing expenditures and the continued diversion of our management’s time and attention from the operation of our business, which could have a negative effect on our business operations. Our failure to successfully defend or settle any of these litigations or legal proceedings could result in liability that, to the extent not covered by our insurance, could have a material adverse effect on our financial conditions, revenue and profitability, and could cause the market value of our common stock to decline.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 must continually maintain and/or upgrade our information technology systems.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We rely on various information technology systems to manage our operations. During 2009, we commenced the implementation of the SAP enterprise resource planning system to replace our legacy systems in North America. This implementation subjects us to take on inherent costs and risks associated with replacing and changing these systems, including impairment of our ability to fulfill customer orders, potential disruption of the internal control structure, substantial capital expenditures, demands on management time and other risks of delays or difficulties in transitioning to a new system. The implementation of this system may not result in productivity improvements at a level that outweighs the costs of implementation, or at all. Any information technology system disruptions, if not anticipated and appropriately mitigated, could have an adverse effect on our business and operations. As of January 2010, we had completed our North American transition to the SAP enterprise resource planning system. It is our intention to complete the transition for our international operations within fiscal 2010. We estimate the remaining costs for implementation of the initiative will be approximately $0.8 million.</w:t>
      </w:r>
    </w:p>
    <w:p>
      <w:pPr>
        <w:spacing w:after="0" w:line="179"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October 2006, we entered into a lease agreement pursuant to which we leased 346,495 square feet of warehouse and distribution space located in Corona, California. This lease commitment provides for minimum rental payments for 120 months, commencing March 2007, excluding renewal options. The monthly rental payments are $167,586 at the commencement of the lease and increase over the lease term by</w:t>
      </w:r>
    </w:p>
    <w:p>
      <w:pPr>
        <w:sectPr>
          <w:pgSz w:w="11900" w:h="16877" w:orient="portrait"/>
          <w:cols w:equalWidth="0" w:num="1">
            <w:col w:w="11420"/>
          </w:cols>
          <w:pgMar w:left="240" w:top="122" w:right="239" w:bottom="0" w:gutter="0" w:footer="0" w:header="0"/>
        </w:sectPr>
      </w:pPr>
    </w:p>
    <w:bookmarkStart w:id="17" w:name="page18"/>
    <w:bookmarkEnd w:id="17"/>
    <w:p>
      <w:pPr>
        <w:spacing w:after="0" w:line="56" w:lineRule="exact"/>
        <w:rPr>
          <w:sz w:val="20"/>
          <w:szCs w:val="20"/>
          <w:color w:val="auto"/>
        </w:rPr>
      </w:pPr>
    </w:p>
    <w:p>
      <w:pPr>
        <w:jc w:val="both"/>
        <w:ind w:right="20"/>
        <w:spacing w:after="0" w:line="317" w:lineRule="auto"/>
        <w:rPr>
          <w:sz w:val="20"/>
          <w:szCs w:val="20"/>
          <w:color w:val="auto"/>
        </w:rPr>
      </w:pPr>
      <w:r>
        <w:rPr>
          <w:rFonts w:ascii="Arial" w:cs="Arial" w:eastAsia="Arial" w:hAnsi="Arial"/>
          <w:sz w:val="18"/>
          <w:szCs w:val="18"/>
          <w:color w:val="auto"/>
        </w:rPr>
        <w:t>7.5% at the end of each 30 month period. The new warehouse and distribution space replaced our previous warehouse and distribution space also located in Corona, California. In September 2007, we relocated our corporate offices to newly leased offices in Corona, California.</w:t>
      </w:r>
    </w:p>
    <w:p>
      <w:pPr>
        <w:spacing w:after="0" w:line="1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have sublet a small portion of our previous leased office, warehouse and distribution space on a month to month basis. In addition, we continue to utilize the remaining portion of this space as overflow for our main warehouse. This lease expires in October 2010. We lease other office and warehouse space domestically and internationally, including properties in Australia, Brazil, Canada, Ireland and the United Kingdom. We also rent additional office and warehouse space on a short-term basis from time to time in the countries in which we operate.</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August 2008, we completed the purchase of 1.09 acres of land for a purchase price of $1.4 million. In December 2009, we completed the purchase of an additional 2.12 acres of adjacent vacant land for a purchase price of $1.7 million. The properties are located adjacent to our leased warehouse and distribution space. We are reviewing the feasibility of constructing a new office building and parking lot on these combined parcels of land to replace our existing leased office space.</w:t>
      </w:r>
    </w:p>
    <w:p>
      <w:pPr>
        <w:spacing w:after="0" w:line="199"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September 2006, Christopher Chavez purporting to act on behalf of himself and a class of consumers yet to be defined filed an action in the Superior Court of the State of California, City and County of San Francisco, against the Company and its subsidiaries for unfair business practices, false advertising, violation of California Consumers Legal Remedies Act, fraud, deceit and/or misrepresentation alleging that the Company misleadingly labels its Blue Sky beverages as manufactured and canned/bottled wholly in Santa Fe, New Mexico. Defendants removed this Superior Court action to the United States District Court for the Northern District of California under the Class Action Fairness Act, and filed motions for dismissal or transfer. On June 11, 2007, the United States District Court, Northern District of California granted the Company’s motion to dismiss Chavez’s complaint with prejudice. On June 23, 2009, the United States Court of Appeals for the Ninth Circuit filed a memorandum opinion reversing the opinion of the United States District Court and remanded the case to the United States District Court for further proceedings. A class certification hearing is scheduled for March 2010. The Company has filed a motion to dismiss the Consumer Legal Remedies Act claims that is set for hearing on March 4, 2010. Chavez has filed a motion for a decision on a preemption issue that will be heard on the same day. The Company believes it has meritorious defenses to the allegations and plans a vigorous defense. Discovery has just begun.</w:t>
      </w:r>
    </w:p>
    <w:p>
      <w:pPr>
        <w:spacing w:after="0" w:line="19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July 11, 2008, the Company initiated an action against Citigroup Inc., Citigroup Global Markets, Inc., and Citi Smith Barney, in the United States District Court, Central District of California, for violations of federal securities laws and the Investment Advisers Act of 1940, as amended, arising out of the Company’s purchase of auction rate securities. The Court granted the defendants’ motion to compel arbitration before the Financial Industry Regulatory Authority (“FINRA”). The matter is now proceeding before FINRA and has been set for hearing in March 2010.</w:t>
      </w:r>
    </w:p>
    <w:p>
      <w:pPr>
        <w:spacing w:after="0" w:line="208"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On August 28, 2008, the Company initiated an action against Oppenheimer Holdings Inc., Oppenheimer &amp; Co. Inc., and Oppenheimer Asset Management Inc., in the United States District Court, Central District of California, for violations of federal securities laws and the Investment Advisors Act, arising out of the Company’s purchase of auction rate securities. The defendants answered the complaint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on October 14, 2008 denying the allegations set forth therein. The Oppenheimer action was deemed a related case to the Company’s action against Citigroup Inc. (described above). After the Court granted the defendants’ motion to compel arbitration in the Citigroup Inc. case, the Company stipulated to arbitration before FINRA, where the matter is now proceeding and has been set for hearing in August, 2010. The Company has voluntarily dismissed, without prejudice, its claims against Oppenheimer Asset Management, Inc. The Panel denied Oppenheimer Holdings, Inc.’s motion to be dismissed from the proceeding.</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May 2009, Avraham Wellman, purporting to act on behalf of himself and a class of consumers in Canada, filed a putative class action in the Ontario Superior Court of Justice, in the City of Toronto, Ontario, Canada, against the Company and its former Canadian distributor, Pepsi-Cola Canada Ltd., as defendants.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The plaintiff claims general damages on behalf of the putative class in the amount of CDN$20 million, together with punitive damages of CDN$5 million, plus legal costs and interest. The plaintiff’s certification motion materials have not yet been filed. In accordance with class action practice in Ontario, the Company will not file an answer to the complaint until after the determination of the certification motion. The Company believes that the plaintiff’s complaint is without merit and plans a vigorous defense.</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to the above matters, the Company is subject to litigation from time to time in the normal course of business, including claims from terminated distributors. Although it is not possible to predict the outcome of such litigation, based on the facts known to the Company and after consultation with counsel, management believes that such litigation in the aggregate will likely not have a material adverse effect on the Company’s financial position or results of operations.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Securities Litigation </w:t>
      </w:r>
      <w:r>
        <w:rPr>
          <w:rFonts w:ascii="Arial" w:cs="Arial" w:eastAsia="Arial" w:hAnsi="Arial"/>
          <w:sz w:val="19"/>
          <w:szCs w:val="19"/>
          <w:color w:val="auto"/>
        </w:rPr>
        <w:t>— On September 11, 2008, a federal securities class action complaint styled</w:t>
      </w:r>
      <w:r>
        <w:rPr>
          <w:rFonts w:ascii="Arial" w:cs="Arial" w:eastAsia="Arial" w:hAnsi="Arial"/>
          <w:sz w:val="19"/>
          <w:szCs w:val="19"/>
          <w:i w:val="1"/>
          <w:iCs w:val="1"/>
          <w:color w:val="auto"/>
        </w:rPr>
        <w:t xml:space="preserve"> Cunha v. Hansen Natural Corp., et al. </w:t>
      </w:r>
      <w:r>
        <w:rPr>
          <w:rFonts w:ascii="Arial" w:cs="Arial" w:eastAsia="Arial" w:hAnsi="Arial"/>
          <w:sz w:val="19"/>
          <w:szCs w:val="19"/>
          <w:color w:val="auto"/>
        </w:rPr>
        <w:t>was filed in the United States District Court for the Central District of California (the “District Court”). On September 17, 2008, a second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federal securities class action complaint styled </w:t>
      </w:r>
      <w:r>
        <w:rPr>
          <w:rFonts w:ascii="Arial" w:cs="Arial" w:eastAsia="Arial" w:hAnsi="Arial"/>
          <w:sz w:val="19"/>
          <w:szCs w:val="19"/>
          <w:i w:val="1"/>
          <w:iCs w:val="1"/>
          <w:color w:val="auto"/>
        </w:rPr>
        <w:t>Brown v. Hansen Natural Corp., et al.</w:t>
      </w:r>
      <w:r>
        <w:rPr>
          <w:rFonts w:ascii="Arial" w:cs="Arial" w:eastAsia="Arial" w:hAnsi="Arial"/>
          <w:sz w:val="19"/>
          <w:szCs w:val="19"/>
          <w:color w:val="auto"/>
        </w:rPr>
        <w:t xml:space="preserve"> was also filed in the District Court.</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On July 14, 2009, the Court entered an order consolidating the actions and appointing lead counsel and the Structural Ironworkers Local Union #1 Pension Fund as lead plaintiff. On August 28, 2009 lead plaintiff filed a Consolidated Complaint for Violations of Federal Securities Laws (the “Consolidated Class Action Complaint”). The Consolidated Class Action Complaint purports to be brought on behalf of a class of purchasers of the Company’s stock during the period November 9, 2006 through November 8, 2007 (the “Class Period”). It names as</w:t>
      </w:r>
    </w:p>
    <w:p>
      <w:pPr>
        <w:sectPr>
          <w:pgSz w:w="11900" w:h="16895" w:orient="portrait"/>
          <w:cols w:equalWidth="0" w:num="1">
            <w:col w:w="11420"/>
          </w:cols>
          <w:pgMar w:left="240" w:top="122" w:right="239" w:bottom="0" w:gutter="0" w:footer="0" w:header="0"/>
        </w:sectPr>
      </w:pPr>
    </w:p>
    <w:bookmarkStart w:id="18" w:name="page19"/>
    <w:bookmarkEnd w:id="18"/>
    <w:p>
      <w:pPr>
        <w:jc w:val="both"/>
        <w:spacing w:after="0" w:line="243" w:lineRule="auto"/>
        <w:rPr>
          <w:sz w:val="20"/>
          <w:szCs w:val="20"/>
          <w:color w:val="auto"/>
        </w:rPr>
      </w:pPr>
      <w:r>
        <w:rPr>
          <w:rFonts w:ascii="Arial" w:cs="Arial" w:eastAsia="Arial" w:hAnsi="Arial"/>
          <w:sz w:val="20"/>
          <w:szCs w:val="20"/>
          <w:color w:val="auto"/>
        </w:rPr>
        <w:t>defendants the Company, Rodney C. Sacks, Hilton H. Schlosberg, and Thomas J. Kelly. Plaintiff principally alleges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alleges that the Company’s financial statements for the second quarter of 2007 did not include certain promotional expenses. The Consolidated Class Action Complaint alleges violations of Sections 10(b) and 20(a) of the Securities Exchange Act of 1934, as amended (the “Exchange Act”) and Rule 10b-5 promulgated thereunder, and seeks an unspecified amount of damages.</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November 16, 2009, the defendants filed their motion to dismiss the Consolidated Class Action Complaint pursuant to Federal Rules of Civil Procedure 12(b)(6) and 9(b), as well as the Private Securities Litigation Reform Act. On January 8, 2010, lead plaintiff filed its opposition to defendants’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motion to dismiss. Defendants’ reply brief was filed on February 8, 2010 and the Company is awaiting a decision from the Court on the motion.</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Derivative Litigation </w:t>
      </w:r>
      <w:r>
        <w:rPr>
          <w:rFonts w:ascii="Arial" w:cs="Arial" w:eastAsia="Arial" w:hAnsi="Arial"/>
          <w:sz w:val="20"/>
          <w:szCs w:val="20"/>
          <w:color w:val="auto"/>
        </w:rPr>
        <w:t>— On October 15, 2008, a derivative complaint was filed in the United States District Court for the Central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District of California (the “District Court”), styled </w:t>
      </w:r>
      <w:r>
        <w:rPr>
          <w:rFonts w:ascii="Arial" w:cs="Arial" w:eastAsia="Arial" w:hAnsi="Arial"/>
          <w:sz w:val="20"/>
          <w:szCs w:val="20"/>
          <w:i w:val="1"/>
          <w:iCs w:val="1"/>
          <w:color w:val="auto"/>
        </w:rPr>
        <w:t>Merckel v. Sacks, et al</w:t>
      </w:r>
      <w:r>
        <w:rPr>
          <w:rFonts w:ascii="Arial" w:cs="Arial" w:eastAsia="Arial" w:hAnsi="Arial"/>
          <w:sz w:val="20"/>
          <w:szCs w:val="20"/>
          <w:color w:val="auto"/>
        </w:rPr>
        <w:t xml:space="preserve">. On November 17, 2008, a second derivative complaint styled </w:t>
      </w:r>
      <w:r>
        <w:rPr>
          <w:rFonts w:ascii="Arial" w:cs="Arial" w:eastAsia="Arial" w:hAnsi="Arial"/>
          <w:sz w:val="20"/>
          <w:szCs w:val="20"/>
          <w:i w:val="1"/>
          <w:iCs w:val="1"/>
          <w:color w:val="auto"/>
        </w:rPr>
        <w:t xml:space="preserve">Dislevy v. Sacks, et al. </w:t>
      </w:r>
      <w:r>
        <w:rPr>
          <w:rFonts w:ascii="Arial" w:cs="Arial" w:eastAsia="Arial" w:hAnsi="Arial"/>
          <w:sz w:val="20"/>
          <w:szCs w:val="20"/>
          <w:color w:val="auto"/>
        </w:rPr>
        <w:t>was also filed in the District Court. The derivative suits were each brought, purportedly on behalf of the Company, by a</w:t>
      </w:r>
      <w:r>
        <w:rPr>
          <w:rFonts w:ascii="Arial" w:cs="Arial" w:eastAsia="Arial" w:hAnsi="Arial"/>
          <w:sz w:val="20"/>
          <w:szCs w:val="20"/>
          <w:i w:val="1"/>
          <w:iCs w:val="1"/>
          <w:color w:val="auto"/>
        </w:rPr>
        <w:t xml:space="preserve"> </w:t>
      </w:r>
      <w:r>
        <w:rPr>
          <w:rFonts w:ascii="Arial" w:cs="Arial" w:eastAsia="Arial" w:hAnsi="Arial"/>
          <w:sz w:val="20"/>
          <w:szCs w:val="20"/>
          <w:color w:val="auto"/>
        </w:rPr>
        <w:t>shareholder of the Company who made no prior demand on the Company’s Board of Directors.</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On June 29, 2009, the Court entered an order consolidating the Merckel and Dislevy actions. On July 13, 2009, the Court entered an order re-styling the consolidated actions as </w:t>
      </w:r>
      <w:r>
        <w:rPr>
          <w:rFonts w:ascii="Arial" w:cs="Arial" w:eastAsia="Arial" w:hAnsi="Arial"/>
          <w:sz w:val="18"/>
          <w:szCs w:val="18"/>
          <w:i w:val="1"/>
          <w:iCs w:val="1"/>
          <w:color w:val="auto"/>
        </w:rPr>
        <w:t>In re Hansen Derivative Shareholder Litigation</w:t>
      </w:r>
      <w:r>
        <w:rPr>
          <w:rFonts w:ascii="Arial" w:cs="Arial" w:eastAsia="Arial" w:hAnsi="Arial"/>
          <w:sz w:val="18"/>
          <w:szCs w:val="18"/>
          <w:color w:val="auto"/>
        </w:rPr>
        <w:t>, appointing lead plaintiff and lead counsel, and establishing a schedule for the filing of a consolidated amended complaint and for defendants’ response to such complaint.</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On October 13, 2009, lead plaintiff filed a Consolidated Shareholder Derivative Complaint (the “Consolidated Derivative Complaint”). The Consolidated Derivative Complaint names as defendants certain current and former officers, directors, and employees of the Company, including Rodney C. Sacks, Hilton H. Schlosberg, Harold C. Taber, Jr., Benjamin M. Polk, Norman C. Epstein, Mark S. Vidergauz, Sydney Selati, Thomas J. Kelly, Mark J. Hall, and Kirk S. Blower, as well as Hilrod Holdings, L.P. The Company is named as a nominal defendant. The factual allegations of the Consolidated Derivative Complaint are similar to those set forth in the Consolidated Class Action Complaint described above. Plaintiff alleges that, from November 2006 to the present, the defendants caused the Company to issue false and misleading statements concerning its business prospects and failed to properly disclose problems related to its non-Monster energy drinks, the prospects for the Anheuser-Busch distribution relationship, and alleged “inventory loading” that affected the Company’s results for the second quarter of 2007. Plaintiff further alleges that while the Company’s shares were purportedly artificially inflated because of those improper statements, certain of the defendants sold Company stock while in possession of material non-public information. The Consolidated Derivative Complaint asserts various causes of action, including breach of fiduciary duty, aiding and abetting breach of fiduciary duty, violation of Cal. Corp. Code §§ 25402 and 25403 for insider selling, and unjust enrichment. The suit seeks an unspecified amount of damages to be paid to the Company and adoption of corporate governance reforms, among other things.</w:t>
      </w:r>
    </w:p>
    <w:p>
      <w:pPr>
        <w:spacing w:after="0" w:line="18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January 8, 2010, the Company filed its motion to dismiss the Consolidated Derivative Complaint pursuant to Federal Rules of Civil Procedure 12(b)(6) and 23.1. Plaintiff’s opposition to the motion was filed on February 22, 2010, and the Company’s reply brief is required to be filed by March 15, 2010. None of the other defendants need answer, move to dismiss, or otherwise respond to the Consolidated Derivative Complaint until or unless the District Court orders the Company to file an answer, in which case the other defendants will have 45 days after the filing of the Company’s answer to move to dismiss or otherwise respond to the Consolidated Derivative Complaint.</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Although the ultimate outcome of these matters cannot be determined with certainty, the Company believes that the allegations in the Consolidated Class Action Complaint and the Consolidated Derivative Complaint are without merit. The Company intends to vigorously defend against these lawsuits.</w:t>
      </w:r>
    </w:p>
    <w:p>
      <w:pPr>
        <w:spacing w:after="0" w:line="194"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Reserved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ITEM 5. MARKET FOR THE REGISTRANT’S COMMON EQUITY, RELATED STOCKHOLDER MATTERS AND ISSUER PURCHASES OF EQUITY SECURITIES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Principal Market</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Company’s common stock began trading in the over-the-counter market on November 8, 1990 and was subsequently quoted on the Nasdaq Capital Market under the symbol “HANS”. On July 5, 2007, the Company’s common stock began trading on the Nasdaq Global Select Market under the same symbol, “HANS”. As of February 12, 2010, there were 88,160,693 shares of the Company’s common stock outstanding held by approximately 385 holders of record.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Price and Dividend Information</w:t>
      </w:r>
    </w:p>
    <w:p>
      <w:pPr>
        <w:sectPr>
          <w:pgSz w:w="11900" w:h="16838" w:orient="portrait"/>
          <w:cols w:equalWidth="0" w:num="1">
            <w:col w:w="11420"/>
          </w:cols>
          <w:pgMar w:left="240" w:top="122" w:right="239" w:bottom="0" w:gutter="0" w:footer="0" w:header="0"/>
        </w:sectPr>
      </w:pPr>
    </w:p>
    <w:bookmarkStart w:id="19" w:name="page20"/>
    <w:bookmarkEnd w:id="19"/>
    <w:p>
      <w:pPr>
        <w:ind w:left="660"/>
        <w:spacing w:after="0"/>
        <w:rPr>
          <w:sz w:val="20"/>
          <w:szCs w:val="20"/>
          <w:color w:val="auto"/>
        </w:rPr>
      </w:pPr>
      <w:r>
        <w:rPr>
          <w:rFonts w:ascii="Arial" w:cs="Arial" w:eastAsia="Arial" w:hAnsi="Arial"/>
          <w:sz w:val="20"/>
          <w:szCs w:val="20"/>
          <w:color w:val="auto"/>
        </w:rPr>
        <w:t>The following table sets forth high and low per share sales price of our common stock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Year Ended December 31, 2009</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High</w:t>
            </w:r>
          </w:p>
        </w:tc>
        <w:tc>
          <w:tcPr>
            <w:tcW w:w="6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Low</w:t>
            </w:r>
          </w:p>
        </w:tc>
      </w:tr>
      <w:tr>
        <w:trPr>
          <w:trHeight w:val="206"/>
        </w:trPr>
        <w:tc>
          <w:tcPr>
            <w:tcW w:w="4060" w:type="dxa"/>
            <w:vAlign w:val="bottom"/>
          </w:tcPr>
          <w:p>
            <w:pPr>
              <w:spacing w:after="0" w:line="207" w:lineRule="exact"/>
              <w:rPr>
                <w:sz w:val="20"/>
                <w:szCs w:val="20"/>
                <w:color w:val="auto"/>
              </w:rPr>
            </w:pPr>
            <w:r>
              <w:rPr>
                <w:rFonts w:ascii="Arial" w:cs="Arial" w:eastAsia="Arial" w:hAnsi="Arial"/>
                <w:sz w:val="20"/>
                <w:szCs w:val="20"/>
                <w:color w:val="auto"/>
              </w:rPr>
              <w:t>First Quarter</w:t>
            </w:r>
          </w:p>
        </w:tc>
        <w:tc>
          <w:tcPr>
            <w:tcW w:w="2440" w:type="dxa"/>
            <w:vAlign w:val="bottom"/>
          </w:tcPr>
          <w:p>
            <w:pPr>
              <w:jc w:val="right"/>
              <w:ind w:right="721"/>
              <w:spacing w:after="0" w:line="207" w:lineRule="exact"/>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line="207" w:lineRule="exact"/>
              <w:rPr>
                <w:sz w:val="20"/>
                <w:szCs w:val="20"/>
                <w:color w:val="auto"/>
              </w:rPr>
            </w:pPr>
            <w:r>
              <w:rPr>
                <w:rFonts w:ascii="Arial" w:cs="Arial" w:eastAsia="Arial" w:hAnsi="Arial"/>
                <w:sz w:val="20"/>
                <w:szCs w:val="20"/>
                <w:color w:val="auto"/>
                <w:w w:val="87"/>
              </w:rPr>
              <w:t>37.24</w:t>
            </w:r>
          </w:p>
        </w:tc>
        <w:tc>
          <w:tcPr>
            <w:tcW w:w="460" w:type="dxa"/>
            <w:vAlign w:val="bottom"/>
          </w:tcPr>
          <w:p>
            <w:pPr>
              <w:jc w:val="right"/>
              <w:ind w:right="12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30.37</w:t>
            </w:r>
          </w:p>
        </w:tc>
      </w:tr>
      <w:tr>
        <w:trPr>
          <w:trHeight w:val="230"/>
        </w:trPr>
        <w:tc>
          <w:tcPr>
            <w:tcW w:w="4060" w:type="dxa"/>
            <w:vAlign w:val="bottom"/>
          </w:tcPr>
          <w:p>
            <w:pPr>
              <w:spacing w:after="0"/>
              <w:rPr>
                <w:sz w:val="20"/>
                <w:szCs w:val="20"/>
                <w:color w:val="auto"/>
              </w:rPr>
            </w:pPr>
            <w:r>
              <w:rPr>
                <w:rFonts w:ascii="Arial" w:cs="Arial" w:eastAsia="Arial" w:hAnsi="Arial"/>
                <w:sz w:val="20"/>
                <w:szCs w:val="20"/>
                <w:color w:val="auto"/>
              </w:rPr>
              <w:t>Second Quarter</w:t>
            </w:r>
          </w:p>
        </w:tc>
        <w:tc>
          <w:tcPr>
            <w:tcW w:w="2440" w:type="dxa"/>
            <w:vAlign w:val="bottom"/>
          </w:tcPr>
          <w:p>
            <w:pPr>
              <w:jc w:val="right"/>
              <w:ind w:right="72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w w:val="87"/>
              </w:rPr>
              <w:t>44.02</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29.65</w:t>
            </w:r>
          </w:p>
        </w:tc>
      </w:tr>
      <w:tr>
        <w:trPr>
          <w:trHeight w:val="230"/>
        </w:trPr>
        <w:tc>
          <w:tcPr>
            <w:tcW w:w="4060" w:type="dxa"/>
            <w:vAlign w:val="bottom"/>
          </w:tcPr>
          <w:p>
            <w:pPr>
              <w:spacing w:after="0"/>
              <w:rPr>
                <w:sz w:val="20"/>
                <w:szCs w:val="20"/>
                <w:color w:val="auto"/>
              </w:rPr>
            </w:pPr>
            <w:r>
              <w:rPr>
                <w:rFonts w:ascii="Arial" w:cs="Arial" w:eastAsia="Arial" w:hAnsi="Arial"/>
                <w:sz w:val="20"/>
                <w:szCs w:val="20"/>
                <w:color w:val="auto"/>
              </w:rPr>
              <w:t>Third Quarter</w:t>
            </w:r>
          </w:p>
        </w:tc>
        <w:tc>
          <w:tcPr>
            <w:tcW w:w="2440" w:type="dxa"/>
            <w:vAlign w:val="bottom"/>
          </w:tcPr>
          <w:p>
            <w:pPr>
              <w:jc w:val="right"/>
              <w:ind w:right="72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w w:val="87"/>
              </w:rPr>
              <w:t>37.21</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27.91</w:t>
            </w:r>
          </w:p>
        </w:tc>
      </w:tr>
      <w:tr>
        <w:trPr>
          <w:trHeight w:val="250"/>
        </w:trPr>
        <w:tc>
          <w:tcPr>
            <w:tcW w:w="4060" w:type="dxa"/>
            <w:vAlign w:val="bottom"/>
          </w:tcPr>
          <w:p>
            <w:pPr>
              <w:spacing w:after="0"/>
              <w:rPr>
                <w:sz w:val="20"/>
                <w:szCs w:val="20"/>
                <w:color w:val="auto"/>
              </w:rPr>
            </w:pPr>
            <w:r>
              <w:rPr>
                <w:rFonts w:ascii="Arial" w:cs="Arial" w:eastAsia="Arial" w:hAnsi="Arial"/>
                <w:sz w:val="20"/>
                <w:szCs w:val="20"/>
                <w:color w:val="auto"/>
              </w:rPr>
              <w:t>Fourth Quarter</w:t>
            </w:r>
          </w:p>
        </w:tc>
        <w:tc>
          <w:tcPr>
            <w:tcW w:w="2440" w:type="dxa"/>
            <w:vAlign w:val="bottom"/>
          </w:tcPr>
          <w:p>
            <w:pPr>
              <w:jc w:val="right"/>
              <w:ind w:right="72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w w:val="87"/>
              </w:rPr>
              <w:t>39.38</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32.95</w:t>
            </w:r>
          </w:p>
        </w:tc>
      </w:tr>
      <w:tr>
        <w:trPr>
          <w:trHeight w:val="455"/>
        </w:trPr>
        <w:tc>
          <w:tcPr>
            <w:tcW w:w="4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Year Ended December 31, 2008</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High</w:t>
            </w: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Low</w:t>
            </w:r>
          </w:p>
        </w:tc>
      </w:tr>
      <w:tr>
        <w:trPr>
          <w:trHeight w:val="206"/>
        </w:trPr>
        <w:tc>
          <w:tcPr>
            <w:tcW w:w="4060" w:type="dxa"/>
            <w:vAlign w:val="bottom"/>
          </w:tcPr>
          <w:p>
            <w:pPr>
              <w:spacing w:after="0" w:line="207" w:lineRule="exact"/>
              <w:rPr>
                <w:sz w:val="20"/>
                <w:szCs w:val="20"/>
                <w:color w:val="auto"/>
              </w:rPr>
            </w:pPr>
            <w:r>
              <w:rPr>
                <w:rFonts w:ascii="Arial" w:cs="Arial" w:eastAsia="Arial" w:hAnsi="Arial"/>
                <w:sz w:val="20"/>
                <w:szCs w:val="20"/>
                <w:color w:val="auto"/>
              </w:rPr>
              <w:t>First Quarter</w:t>
            </w:r>
          </w:p>
        </w:tc>
        <w:tc>
          <w:tcPr>
            <w:tcW w:w="2440" w:type="dxa"/>
            <w:vAlign w:val="bottom"/>
          </w:tcPr>
          <w:p>
            <w:pPr>
              <w:jc w:val="right"/>
              <w:ind w:right="721"/>
              <w:spacing w:after="0" w:line="207" w:lineRule="exact"/>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line="207" w:lineRule="exact"/>
              <w:rPr>
                <w:sz w:val="20"/>
                <w:szCs w:val="20"/>
                <w:color w:val="auto"/>
              </w:rPr>
            </w:pPr>
            <w:r>
              <w:rPr>
                <w:rFonts w:ascii="Arial" w:cs="Arial" w:eastAsia="Arial" w:hAnsi="Arial"/>
                <w:sz w:val="20"/>
                <w:szCs w:val="20"/>
                <w:color w:val="auto"/>
                <w:w w:val="87"/>
              </w:rPr>
              <w:t>45.63</w:t>
            </w:r>
          </w:p>
        </w:tc>
        <w:tc>
          <w:tcPr>
            <w:tcW w:w="460" w:type="dxa"/>
            <w:vAlign w:val="bottom"/>
          </w:tcPr>
          <w:p>
            <w:pPr>
              <w:jc w:val="right"/>
              <w:ind w:right="12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34.44</w:t>
            </w:r>
          </w:p>
        </w:tc>
      </w:tr>
      <w:tr>
        <w:trPr>
          <w:trHeight w:val="230"/>
        </w:trPr>
        <w:tc>
          <w:tcPr>
            <w:tcW w:w="4060" w:type="dxa"/>
            <w:vAlign w:val="bottom"/>
          </w:tcPr>
          <w:p>
            <w:pPr>
              <w:spacing w:after="0"/>
              <w:rPr>
                <w:sz w:val="20"/>
                <w:szCs w:val="20"/>
                <w:color w:val="auto"/>
              </w:rPr>
            </w:pPr>
            <w:r>
              <w:rPr>
                <w:rFonts w:ascii="Arial" w:cs="Arial" w:eastAsia="Arial" w:hAnsi="Arial"/>
                <w:sz w:val="20"/>
                <w:szCs w:val="20"/>
                <w:color w:val="auto"/>
              </w:rPr>
              <w:t>Second Quarter</w:t>
            </w:r>
          </w:p>
        </w:tc>
        <w:tc>
          <w:tcPr>
            <w:tcW w:w="2440" w:type="dxa"/>
            <w:vAlign w:val="bottom"/>
          </w:tcPr>
          <w:p>
            <w:pPr>
              <w:jc w:val="right"/>
              <w:ind w:right="72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w w:val="87"/>
              </w:rPr>
              <w:t>39.77</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27.90</w:t>
            </w:r>
          </w:p>
        </w:tc>
      </w:tr>
      <w:tr>
        <w:trPr>
          <w:trHeight w:val="230"/>
        </w:trPr>
        <w:tc>
          <w:tcPr>
            <w:tcW w:w="4060" w:type="dxa"/>
            <w:vAlign w:val="bottom"/>
          </w:tcPr>
          <w:p>
            <w:pPr>
              <w:spacing w:after="0"/>
              <w:rPr>
                <w:sz w:val="20"/>
                <w:szCs w:val="20"/>
                <w:color w:val="auto"/>
              </w:rPr>
            </w:pPr>
            <w:r>
              <w:rPr>
                <w:rFonts w:ascii="Arial" w:cs="Arial" w:eastAsia="Arial" w:hAnsi="Arial"/>
                <w:sz w:val="20"/>
                <w:szCs w:val="20"/>
                <w:color w:val="auto"/>
              </w:rPr>
              <w:t>Third Quarter</w:t>
            </w:r>
          </w:p>
        </w:tc>
        <w:tc>
          <w:tcPr>
            <w:tcW w:w="2440" w:type="dxa"/>
            <w:vAlign w:val="bottom"/>
          </w:tcPr>
          <w:p>
            <w:pPr>
              <w:jc w:val="right"/>
              <w:ind w:right="72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w w:val="87"/>
              </w:rPr>
              <w:t>32.99</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20.67</w:t>
            </w:r>
          </w:p>
        </w:tc>
      </w:tr>
      <w:tr>
        <w:trPr>
          <w:trHeight w:val="250"/>
        </w:trPr>
        <w:tc>
          <w:tcPr>
            <w:tcW w:w="4060" w:type="dxa"/>
            <w:vAlign w:val="bottom"/>
          </w:tcPr>
          <w:p>
            <w:pPr>
              <w:spacing w:after="0"/>
              <w:rPr>
                <w:sz w:val="20"/>
                <w:szCs w:val="20"/>
                <w:color w:val="auto"/>
              </w:rPr>
            </w:pPr>
            <w:r>
              <w:rPr>
                <w:rFonts w:ascii="Arial" w:cs="Arial" w:eastAsia="Arial" w:hAnsi="Arial"/>
                <w:sz w:val="20"/>
                <w:szCs w:val="20"/>
                <w:color w:val="auto"/>
              </w:rPr>
              <w:t>Fourth Quarter</w:t>
            </w:r>
          </w:p>
        </w:tc>
        <w:tc>
          <w:tcPr>
            <w:tcW w:w="2440" w:type="dxa"/>
            <w:vAlign w:val="bottom"/>
          </w:tcPr>
          <w:p>
            <w:pPr>
              <w:jc w:val="right"/>
              <w:ind w:right="72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w w:val="87"/>
              </w:rPr>
              <w:t>34.79</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20.52</w:t>
            </w:r>
          </w:p>
        </w:tc>
      </w:tr>
    </w:tbl>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per share sales price of our common stock set forth above represent bid quotations between dealers, do not include retail markups, mark-downs or commissions and bid quotations may not necessarily represent actual transactions and “real time” sale prices. The source of the bid information is the NASDAQ Stock Market, Inc.</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not paid cash dividends to our stockholders since our inception and do not anticipate paying cash dividends in the foreseeable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future.</w:t>
      </w:r>
    </w:p>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April 25, 2008, our Board of Directors authorized the repurchase of up to $200.0 million of the Company’s common stock. During the years ended December 31, 2009 and 2008, we purchased 2.6 million and 3.9 million shares, respectively, of the Company’s common stock at an average purchase price of $33.10 per share and $26.77 per share, respectively, which the Company holds in treasury. No shares were purchased during the year ended December 31, 2007. As of December 31, 2009, approximately $10.2 million remained available under the plan for the repurchase of the Company’s common stock.</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tabular summary reflects our repurchase activity during the quarter ended December 31, 2009.</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jc w:val="center"/>
              <w:ind w:right="261"/>
              <w:spacing w:after="0"/>
              <w:rPr>
                <w:sz w:val="20"/>
                <w:szCs w:val="20"/>
                <w:color w:val="auto"/>
              </w:rPr>
            </w:pPr>
            <w:r>
              <w:rPr>
                <w:rFonts w:ascii="Arial" w:cs="Arial" w:eastAsia="Arial" w:hAnsi="Arial"/>
                <w:sz w:val="20"/>
                <w:szCs w:val="20"/>
                <w:color w:val="auto"/>
                <w:w w:val="93"/>
              </w:rPr>
              <w:t>Maximum Number (or</w:t>
            </w:r>
          </w:p>
        </w:tc>
      </w:tr>
      <w:tr>
        <w:trPr>
          <w:trHeight w:val="230"/>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jc w:val="center"/>
              <w:ind w:right="261"/>
              <w:spacing w:after="0"/>
              <w:rPr>
                <w:sz w:val="20"/>
                <w:szCs w:val="20"/>
                <w:color w:val="auto"/>
              </w:rPr>
            </w:pPr>
            <w:r>
              <w:rPr>
                <w:rFonts w:ascii="Arial" w:cs="Arial" w:eastAsia="Arial" w:hAnsi="Arial"/>
                <w:sz w:val="20"/>
                <w:szCs w:val="20"/>
                <w:color w:val="auto"/>
                <w:w w:val="94"/>
              </w:rPr>
              <w:t>Approximate Dollar</w:t>
            </w:r>
          </w:p>
        </w:tc>
      </w:tr>
      <w:tr>
        <w:trPr>
          <w:trHeight w:val="230"/>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2"/>
          </w:tcPr>
          <w:p>
            <w:pPr>
              <w:jc w:val="center"/>
              <w:ind w:right="300"/>
              <w:spacing w:after="0"/>
              <w:rPr>
                <w:sz w:val="20"/>
                <w:szCs w:val="20"/>
                <w:color w:val="auto"/>
              </w:rPr>
            </w:pPr>
            <w:r>
              <w:rPr>
                <w:rFonts w:ascii="Arial" w:cs="Arial" w:eastAsia="Arial" w:hAnsi="Arial"/>
                <w:sz w:val="20"/>
                <w:szCs w:val="20"/>
                <w:color w:val="auto"/>
                <w:w w:val="92"/>
              </w:rPr>
              <w:t>Total Number of</w:t>
            </w:r>
          </w:p>
        </w:tc>
        <w:tc>
          <w:tcPr>
            <w:tcW w:w="240" w:type="dxa"/>
            <w:vAlign w:val="bottom"/>
          </w:tcPr>
          <w:p>
            <w:pPr>
              <w:spacing w:after="0"/>
              <w:rPr>
                <w:sz w:val="19"/>
                <w:szCs w:val="19"/>
                <w:color w:val="auto"/>
              </w:rPr>
            </w:pPr>
          </w:p>
        </w:tc>
        <w:tc>
          <w:tcPr>
            <w:tcW w:w="2240" w:type="dxa"/>
            <w:vAlign w:val="bottom"/>
          </w:tcPr>
          <w:p>
            <w:pPr>
              <w:jc w:val="center"/>
              <w:ind w:right="241"/>
              <w:spacing w:after="0"/>
              <w:rPr>
                <w:sz w:val="20"/>
                <w:szCs w:val="20"/>
                <w:color w:val="auto"/>
              </w:rPr>
            </w:pPr>
            <w:r>
              <w:rPr>
                <w:rFonts w:ascii="Arial" w:cs="Arial" w:eastAsia="Arial" w:hAnsi="Arial"/>
                <w:sz w:val="20"/>
                <w:szCs w:val="20"/>
                <w:color w:val="auto"/>
                <w:w w:val="88"/>
              </w:rPr>
              <w:t>Value) of Shares that</w:t>
            </w:r>
          </w:p>
        </w:tc>
      </w:tr>
      <w:tr>
        <w:trPr>
          <w:trHeight w:val="230"/>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20"/>
                <w:szCs w:val="20"/>
                <w:color w:val="auto"/>
                <w:w w:val="83"/>
              </w:rPr>
              <w:t>Shares Purchased</w:t>
            </w:r>
          </w:p>
        </w:tc>
        <w:tc>
          <w:tcPr>
            <w:tcW w:w="240" w:type="dxa"/>
            <w:vAlign w:val="bottom"/>
          </w:tcPr>
          <w:p>
            <w:pPr>
              <w:spacing w:after="0"/>
              <w:rPr>
                <w:sz w:val="19"/>
                <w:szCs w:val="19"/>
                <w:color w:val="auto"/>
              </w:rPr>
            </w:pPr>
          </w:p>
        </w:tc>
        <w:tc>
          <w:tcPr>
            <w:tcW w:w="2240" w:type="dxa"/>
            <w:vAlign w:val="bottom"/>
          </w:tcPr>
          <w:p>
            <w:pPr>
              <w:jc w:val="center"/>
              <w:ind w:right="261"/>
              <w:spacing w:after="0"/>
              <w:rPr>
                <w:sz w:val="20"/>
                <w:szCs w:val="20"/>
                <w:color w:val="auto"/>
              </w:rPr>
            </w:pPr>
            <w:r>
              <w:rPr>
                <w:rFonts w:ascii="Arial" w:cs="Arial" w:eastAsia="Arial" w:hAnsi="Arial"/>
                <w:sz w:val="20"/>
                <w:szCs w:val="20"/>
                <w:color w:val="auto"/>
                <w:w w:val="87"/>
              </w:rPr>
              <w:t>May Yet Be Purchased</w:t>
            </w:r>
          </w:p>
        </w:tc>
      </w:tr>
      <w:tr>
        <w:trPr>
          <w:trHeight w:val="230"/>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0"/>
              </w:rPr>
              <w:t>Total Number</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20"/>
                <w:szCs w:val="20"/>
                <w:color w:val="auto"/>
                <w:w w:val="91"/>
              </w:rPr>
              <w:t>as Part of Publicly</w:t>
            </w:r>
          </w:p>
        </w:tc>
        <w:tc>
          <w:tcPr>
            <w:tcW w:w="240" w:type="dxa"/>
            <w:vAlign w:val="bottom"/>
          </w:tcPr>
          <w:p>
            <w:pPr>
              <w:spacing w:after="0"/>
              <w:rPr>
                <w:sz w:val="19"/>
                <w:szCs w:val="19"/>
                <w:color w:val="auto"/>
              </w:rPr>
            </w:pPr>
          </w:p>
        </w:tc>
        <w:tc>
          <w:tcPr>
            <w:tcW w:w="2240" w:type="dxa"/>
            <w:vAlign w:val="bottom"/>
          </w:tcPr>
          <w:p>
            <w:pPr>
              <w:jc w:val="center"/>
              <w:ind w:right="261"/>
              <w:spacing w:after="0"/>
              <w:rPr>
                <w:sz w:val="20"/>
                <w:szCs w:val="20"/>
                <w:color w:val="auto"/>
              </w:rPr>
            </w:pPr>
            <w:r>
              <w:rPr>
                <w:rFonts w:ascii="Arial" w:cs="Arial" w:eastAsia="Arial" w:hAnsi="Arial"/>
                <w:sz w:val="20"/>
                <w:szCs w:val="20"/>
                <w:color w:val="auto"/>
                <w:w w:val="88"/>
              </w:rPr>
              <w:t>Under the Plans or</w:t>
            </w:r>
          </w:p>
        </w:tc>
      </w:tr>
      <w:tr>
        <w:trPr>
          <w:trHeight w:val="230"/>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86"/>
              </w:rPr>
              <w:t>of Shares</w:t>
            </w:r>
          </w:p>
        </w:tc>
        <w:tc>
          <w:tcPr>
            <w:tcW w:w="300" w:type="dxa"/>
            <w:vAlign w:val="bottom"/>
          </w:tcPr>
          <w:p>
            <w:pPr>
              <w:spacing w:after="0"/>
              <w:rPr>
                <w:sz w:val="19"/>
                <w:szCs w:val="19"/>
                <w:color w:val="auto"/>
              </w:rPr>
            </w:pPr>
          </w:p>
        </w:tc>
        <w:tc>
          <w:tcPr>
            <w:tcW w:w="1760" w:type="dxa"/>
            <w:vAlign w:val="bottom"/>
            <w:gridSpan w:val="3"/>
          </w:tcPr>
          <w:p>
            <w:pPr>
              <w:jc w:val="center"/>
              <w:ind w:right="300"/>
              <w:spacing w:after="0"/>
              <w:rPr>
                <w:sz w:val="20"/>
                <w:szCs w:val="20"/>
                <w:color w:val="auto"/>
              </w:rPr>
            </w:pPr>
            <w:r>
              <w:rPr>
                <w:rFonts w:ascii="Arial" w:cs="Arial" w:eastAsia="Arial" w:hAnsi="Arial"/>
                <w:sz w:val="20"/>
                <w:szCs w:val="20"/>
                <w:color w:val="auto"/>
                <w:w w:val="87"/>
              </w:rPr>
              <w:t>Average Price</w:t>
            </w:r>
          </w:p>
        </w:tc>
        <w:tc>
          <w:tcPr>
            <w:tcW w:w="222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Announced Plans</w:t>
            </w:r>
          </w:p>
        </w:tc>
        <w:tc>
          <w:tcPr>
            <w:tcW w:w="240" w:type="dxa"/>
            <w:vAlign w:val="bottom"/>
          </w:tcPr>
          <w:p>
            <w:pPr>
              <w:spacing w:after="0"/>
              <w:rPr>
                <w:sz w:val="19"/>
                <w:szCs w:val="19"/>
                <w:color w:val="auto"/>
              </w:rPr>
            </w:pPr>
          </w:p>
        </w:tc>
        <w:tc>
          <w:tcPr>
            <w:tcW w:w="2240" w:type="dxa"/>
            <w:vAlign w:val="bottom"/>
          </w:tcPr>
          <w:p>
            <w:pPr>
              <w:jc w:val="center"/>
              <w:ind w:right="261"/>
              <w:spacing w:after="0"/>
              <w:rPr>
                <w:sz w:val="20"/>
                <w:szCs w:val="20"/>
                <w:color w:val="auto"/>
              </w:rPr>
            </w:pPr>
            <w:r>
              <w:rPr>
                <w:rFonts w:ascii="Arial" w:cs="Arial" w:eastAsia="Arial" w:hAnsi="Arial"/>
                <w:sz w:val="20"/>
                <w:szCs w:val="20"/>
                <w:color w:val="auto"/>
                <w:w w:val="89"/>
              </w:rPr>
              <w:t>Programs (In</w:t>
            </w:r>
          </w:p>
        </w:tc>
      </w:tr>
      <w:tr>
        <w:trPr>
          <w:trHeight w:val="246"/>
        </w:trPr>
        <w:tc>
          <w:tcPr>
            <w:tcW w:w="3280" w:type="dxa"/>
            <w:vAlign w:val="bottom"/>
            <w:gridSpan w:val="3"/>
          </w:tcPr>
          <w:p>
            <w:pPr>
              <w:spacing w:after="0"/>
              <w:rPr>
                <w:sz w:val="20"/>
                <w:szCs w:val="20"/>
                <w:color w:val="auto"/>
              </w:rPr>
            </w:pPr>
            <w:r>
              <w:rPr>
                <w:rFonts w:ascii="Arial" w:cs="Arial" w:eastAsia="Arial" w:hAnsi="Arial"/>
                <w:sz w:val="20"/>
                <w:szCs w:val="20"/>
                <w:color w:val="auto"/>
              </w:rPr>
              <w:t>Period</w:t>
            </w:r>
          </w:p>
        </w:tc>
        <w:tc>
          <w:tcPr>
            <w:tcW w:w="1380" w:type="dxa"/>
            <w:vAlign w:val="bottom"/>
          </w:tcPr>
          <w:p>
            <w:pPr>
              <w:jc w:val="center"/>
              <w:spacing w:after="0"/>
              <w:rPr>
                <w:sz w:val="20"/>
                <w:szCs w:val="20"/>
                <w:color w:val="auto"/>
              </w:rPr>
            </w:pPr>
            <w:r>
              <w:rPr>
                <w:rFonts w:ascii="Arial" w:cs="Arial" w:eastAsia="Arial" w:hAnsi="Arial"/>
                <w:sz w:val="20"/>
                <w:szCs w:val="20"/>
                <w:color w:val="auto"/>
                <w:w w:val="85"/>
              </w:rPr>
              <w:t>Purchased</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20"/>
                <w:szCs w:val="20"/>
                <w:color w:val="auto"/>
                <w:w w:val="86"/>
              </w:rPr>
              <w:t>per Share</w:t>
            </w:r>
          </w:p>
        </w:tc>
        <w:tc>
          <w:tcPr>
            <w:tcW w:w="222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or Programs</w:t>
            </w:r>
          </w:p>
        </w:tc>
        <w:tc>
          <w:tcPr>
            <w:tcW w:w="240" w:type="dxa"/>
            <w:vAlign w:val="bottom"/>
          </w:tcPr>
          <w:p>
            <w:pPr>
              <w:spacing w:after="0"/>
              <w:rPr>
                <w:sz w:val="21"/>
                <w:szCs w:val="21"/>
                <w:color w:val="auto"/>
              </w:rPr>
            </w:pPr>
          </w:p>
        </w:tc>
        <w:tc>
          <w:tcPr>
            <w:tcW w:w="2240" w:type="dxa"/>
            <w:vAlign w:val="bottom"/>
          </w:tcPr>
          <w:p>
            <w:pPr>
              <w:jc w:val="center"/>
              <w:ind w:right="241"/>
              <w:spacing w:after="0"/>
              <w:rPr>
                <w:sz w:val="20"/>
                <w:szCs w:val="20"/>
                <w:color w:val="auto"/>
              </w:rPr>
            </w:pPr>
            <w:r>
              <w:rPr>
                <w:rFonts w:ascii="Arial" w:cs="Arial" w:eastAsia="Arial" w:hAnsi="Arial"/>
                <w:sz w:val="20"/>
                <w:szCs w:val="20"/>
                <w:color w:val="auto"/>
                <w:w w:val="86"/>
              </w:rPr>
              <w:t>thousands)</w:t>
            </w:r>
          </w:p>
        </w:tc>
      </w:tr>
      <w:tr>
        <w:trPr>
          <w:trHeight w:val="206"/>
        </w:trPr>
        <w:tc>
          <w:tcPr>
            <w:tcW w:w="20" w:type="dxa"/>
            <w:vAlign w:val="bottom"/>
          </w:tcPr>
          <w:p>
            <w:pPr>
              <w:spacing w:after="0"/>
              <w:rPr>
                <w:sz w:val="17"/>
                <w:szCs w:val="17"/>
                <w:color w:val="auto"/>
              </w:rPr>
            </w:pPr>
          </w:p>
        </w:tc>
        <w:tc>
          <w:tcPr>
            <w:tcW w:w="29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Oct 1 - Oct 31</w:t>
            </w:r>
          </w:p>
        </w:tc>
        <w:tc>
          <w:tcPr>
            <w:tcW w:w="300" w:type="dxa"/>
            <w:vAlign w:val="bottom"/>
          </w:tcPr>
          <w:p>
            <w:pPr>
              <w:spacing w:after="0"/>
              <w:rPr>
                <w:sz w:val="17"/>
                <w:szCs w:val="17"/>
                <w:color w:val="auto"/>
              </w:rPr>
            </w:pPr>
          </w:p>
        </w:tc>
        <w:tc>
          <w:tcPr>
            <w:tcW w:w="13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300" w:type="dxa"/>
            <w:vAlign w:val="bottom"/>
          </w:tcPr>
          <w:p>
            <w:pPr>
              <w:spacing w:after="0"/>
              <w:rPr>
                <w:sz w:val="17"/>
                <w:szCs w:val="17"/>
                <w:color w:val="auto"/>
              </w:rPr>
            </w:pPr>
          </w:p>
        </w:tc>
        <w:tc>
          <w:tcPr>
            <w:tcW w:w="2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19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5,459,648</w:t>
            </w:r>
          </w:p>
        </w:tc>
        <w:tc>
          <w:tcPr>
            <w:tcW w:w="28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2240" w:type="dxa"/>
            <w:vAlign w:val="bottom"/>
            <w:tcBorders>
              <w:top w:val="single" w:sz="8" w:color="auto"/>
            </w:tcBorders>
          </w:tcPr>
          <w:p>
            <w:pPr>
              <w:jc w:val="right"/>
              <w:ind w:right="101"/>
              <w:spacing w:after="0" w:line="207" w:lineRule="exact"/>
              <w:rPr>
                <w:sz w:val="20"/>
                <w:szCs w:val="20"/>
                <w:color w:val="auto"/>
              </w:rPr>
            </w:pPr>
            <w:r>
              <w:rPr>
                <w:rFonts w:ascii="Arial" w:cs="Arial" w:eastAsia="Arial" w:hAnsi="Arial"/>
                <w:sz w:val="20"/>
                <w:szCs w:val="20"/>
                <w:color w:val="auto"/>
              </w:rPr>
              <w:t>45,467</w:t>
            </w:r>
          </w:p>
        </w:tc>
      </w:tr>
      <w:tr>
        <w:trPr>
          <w:trHeight w:val="230"/>
        </w:trPr>
        <w:tc>
          <w:tcPr>
            <w:tcW w:w="3280" w:type="dxa"/>
            <w:vAlign w:val="bottom"/>
            <w:gridSpan w:val="3"/>
          </w:tcPr>
          <w:p>
            <w:pPr>
              <w:spacing w:after="0"/>
              <w:rPr>
                <w:sz w:val="20"/>
                <w:szCs w:val="20"/>
                <w:color w:val="auto"/>
              </w:rPr>
            </w:pPr>
            <w:r>
              <w:rPr>
                <w:rFonts w:ascii="Arial" w:cs="Arial" w:eastAsia="Arial" w:hAnsi="Arial"/>
                <w:sz w:val="20"/>
                <w:szCs w:val="20"/>
                <w:color w:val="auto"/>
              </w:rPr>
              <w:t>Nov 1 - Nov 30</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852,043</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34.92</w:t>
            </w:r>
          </w:p>
        </w:tc>
        <w:tc>
          <w:tcPr>
            <w:tcW w:w="280" w:type="dxa"/>
            <w:vAlign w:val="bottom"/>
          </w:tcPr>
          <w:p>
            <w:pPr>
              <w:spacing w:after="0"/>
              <w:rPr>
                <w:sz w:val="19"/>
                <w:szCs w:val="19"/>
                <w:color w:val="auto"/>
              </w:rPr>
            </w:pPr>
          </w:p>
        </w:tc>
        <w:tc>
          <w:tcPr>
            <w:tcW w:w="1940" w:type="dxa"/>
            <w:vAlign w:val="bottom"/>
          </w:tcPr>
          <w:p>
            <w:pPr>
              <w:jc w:val="right"/>
              <w:ind w:right="1"/>
              <w:spacing w:after="0"/>
              <w:rPr>
                <w:sz w:val="20"/>
                <w:szCs w:val="20"/>
                <w:color w:val="auto"/>
              </w:rPr>
            </w:pPr>
            <w:r>
              <w:rPr>
                <w:rFonts w:ascii="Arial" w:cs="Arial" w:eastAsia="Arial" w:hAnsi="Arial"/>
                <w:sz w:val="20"/>
                <w:szCs w:val="20"/>
                <w:color w:val="auto"/>
              </w:rPr>
              <w:t>6,311,691</w:t>
            </w:r>
          </w:p>
        </w:tc>
        <w:tc>
          <w:tcPr>
            <w:tcW w:w="2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2240" w:type="dxa"/>
            <w:vAlign w:val="bottom"/>
          </w:tcPr>
          <w:p>
            <w:pPr>
              <w:jc w:val="right"/>
              <w:ind w:right="101"/>
              <w:spacing w:after="0"/>
              <w:rPr>
                <w:sz w:val="20"/>
                <w:szCs w:val="20"/>
                <w:color w:val="auto"/>
              </w:rPr>
            </w:pPr>
            <w:r>
              <w:rPr>
                <w:rFonts w:ascii="Arial" w:cs="Arial" w:eastAsia="Arial" w:hAnsi="Arial"/>
                <w:sz w:val="20"/>
                <w:szCs w:val="20"/>
                <w:color w:val="auto"/>
              </w:rPr>
              <w:t>15,698</w:t>
            </w:r>
          </w:p>
        </w:tc>
      </w:tr>
      <w:tr>
        <w:trPr>
          <w:trHeight w:val="246"/>
        </w:trPr>
        <w:tc>
          <w:tcPr>
            <w:tcW w:w="3280" w:type="dxa"/>
            <w:vAlign w:val="bottom"/>
            <w:gridSpan w:val="3"/>
          </w:tcPr>
          <w:p>
            <w:pPr>
              <w:spacing w:after="0"/>
              <w:rPr>
                <w:sz w:val="20"/>
                <w:szCs w:val="20"/>
                <w:color w:val="auto"/>
              </w:rPr>
            </w:pPr>
            <w:r>
              <w:rPr>
                <w:rFonts w:ascii="Arial" w:cs="Arial" w:eastAsia="Arial" w:hAnsi="Arial"/>
                <w:sz w:val="20"/>
                <w:szCs w:val="20"/>
                <w:color w:val="auto"/>
              </w:rPr>
              <w:t>Dec 1 - Dec 31</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156,686</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34.87</w:t>
            </w:r>
          </w:p>
        </w:tc>
        <w:tc>
          <w:tcPr>
            <w:tcW w:w="280" w:type="dxa"/>
            <w:vAlign w:val="bottom"/>
          </w:tcPr>
          <w:p>
            <w:pPr>
              <w:spacing w:after="0"/>
              <w:rPr>
                <w:sz w:val="21"/>
                <w:szCs w:val="21"/>
                <w:color w:val="auto"/>
              </w:rPr>
            </w:pPr>
          </w:p>
        </w:tc>
        <w:tc>
          <w:tcPr>
            <w:tcW w:w="1940" w:type="dxa"/>
            <w:vAlign w:val="bottom"/>
          </w:tcPr>
          <w:p>
            <w:pPr>
              <w:jc w:val="right"/>
              <w:ind w:right="1"/>
              <w:spacing w:after="0"/>
              <w:rPr>
                <w:sz w:val="20"/>
                <w:szCs w:val="20"/>
                <w:color w:val="auto"/>
              </w:rPr>
            </w:pPr>
            <w:r>
              <w:rPr>
                <w:rFonts w:ascii="Arial" w:cs="Arial" w:eastAsia="Arial" w:hAnsi="Arial"/>
                <w:sz w:val="20"/>
                <w:szCs w:val="20"/>
                <w:color w:val="auto"/>
              </w:rPr>
              <w:t>6,468,377</w:t>
            </w:r>
          </w:p>
        </w:tc>
        <w:tc>
          <w:tcPr>
            <w:tcW w:w="2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2240" w:type="dxa"/>
            <w:vAlign w:val="bottom"/>
          </w:tcPr>
          <w:p>
            <w:pPr>
              <w:jc w:val="right"/>
              <w:ind w:right="101"/>
              <w:spacing w:after="0"/>
              <w:rPr>
                <w:sz w:val="20"/>
                <w:szCs w:val="20"/>
                <w:color w:val="auto"/>
              </w:rPr>
            </w:pPr>
            <w:r>
              <w:rPr>
                <w:rFonts w:ascii="Arial" w:cs="Arial" w:eastAsia="Arial" w:hAnsi="Arial"/>
                <w:sz w:val="20"/>
                <w:szCs w:val="20"/>
                <w:color w:val="auto"/>
              </w:rPr>
              <w:t>10,231</w:t>
            </w:r>
          </w:p>
        </w:tc>
      </w:tr>
      <w:tr>
        <w:trPr>
          <w:trHeight w:val="223"/>
        </w:trPr>
        <w:tc>
          <w:tcPr>
            <w:tcW w:w="20" w:type="dxa"/>
            <w:vAlign w:val="bottom"/>
          </w:tcPr>
          <w:p>
            <w:pPr>
              <w:spacing w:after="0"/>
              <w:rPr>
                <w:sz w:val="19"/>
                <w:szCs w:val="19"/>
                <w:color w:val="auto"/>
              </w:rPr>
            </w:pPr>
          </w:p>
        </w:tc>
        <w:tc>
          <w:tcPr>
            <w:tcW w:w="3260" w:type="dxa"/>
            <w:vAlign w:val="bottom"/>
            <w:gridSpan w:val="2"/>
          </w:tcPr>
          <w:p>
            <w:pPr>
              <w:ind w:left="640"/>
              <w:spacing w:after="0" w:line="223" w:lineRule="exact"/>
              <w:rPr>
                <w:sz w:val="20"/>
                <w:szCs w:val="20"/>
                <w:color w:val="auto"/>
              </w:rPr>
            </w:pPr>
            <w:r>
              <w:rPr>
                <w:rFonts w:ascii="Arial" w:cs="Arial" w:eastAsia="Arial" w:hAnsi="Arial"/>
                <w:sz w:val="20"/>
                <w:szCs w:val="20"/>
                <w:color w:val="auto"/>
              </w:rPr>
              <w:t>Total</w:t>
            </w:r>
          </w:p>
        </w:tc>
        <w:tc>
          <w:tcPr>
            <w:tcW w:w="13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1,008,729</w:t>
            </w:r>
          </w:p>
        </w:tc>
        <w:tc>
          <w:tcPr>
            <w:tcW w:w="580" w:type="dxa"/>
            <w:vAlign w:val="bottom"/>
            <w:gridSpan w:val="2"/>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1"/>
              <w:spacing w:after="0" w:line="223" w:lineRule="exact"/>
              <w:rPr>
                <w:sz w:val="20"/>
                <w:szCs w:val="20"/>
                <w:color w:val="auto"/>
              </w:rPr>
            </w:pPr>
            <w:r>
              <w:rPr>
                <w:rFonts w:ascii="Arial" w:cs="Arial" w:eastAsia="Arial" w:hAnsi="Arial"/>
                <w:sz w:val="20"/>
                <w:szCs w:val="20"/>
                <w:color w:val="auto"/>
              </w:rPr>
              <w:t>34.91</w:t>
            </w: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table sets forth information as of December 31, 2009 with respect to shares of our common stock that may be issued under our equity compensation plans.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10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tcPr>
          <w:p>
            <w:pPr>
              <w:jc w:val="center"/>
              <w:spacing w:after="0" w:line="227" w:lineRule="exact"/>
              <w:rPr>
                <w:sz w:val="20"/>
                <w:szCs w:val="20"/>
                <w:color w:val="auto"/>
              </w:rPr>
            </w:pPr>
            <w:r>
              <w:rPr>
                <w:rFonts w:ascii="Arial" w:cs="Arial" w:eastAsia="Arial" w:hAnsi="Arial"/>
                <w:sz w:val="20"/>
                <w:szCs w:val="20"/>
                <w:color w:val="auto"/>
                <w:w w:val="90"/>
              </w:rPr>
              <w:t>Number of securities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240" w:type="dxa"/>
            <w:vAlign w:val="bottom"/>
          </w:tcPr>
          <w:p>
            <w:pPr>
              <w:jc w:val="center"/>
              <w:ind w:right="81"/>
              <w:spacing w:after="0"/>
              <w:rPr>
                <w:sz w:val="20"/>
                <w:szCs w:val="20"/>
                <w:color w:val="auto"/>
              </w:rPr>
            </w:pPr>
            <w:r>
              <w:rPr>
                <w:rFonts w:ascii="Arial" w:cs="Arial" w:eastAsia="Arial" w:hAnsi="Arial"/>
                <w:sz w:val="20"/>
                <w:szCs w:val="20"/>
                <w:color w:val="auto"/>
                <w:w w:val="90"/>
              </w:rPr>
              <w:t>Number of securities</w:t>
            </w:r>
          </w:p>
        </w:tc>
        <w:tc>
          <w:tcPr>
            <w:tcW w:w="2160" w:type="dxa"/>
            <w:vAlign w:val="bottom"/>
          </w:tcPr>
          <w:p>
            <w:pPr>
              <w:jc w:val="center"/>
              <w:spacing w:after="0"/>
              <w:rPr>
                <w:sz w:val="20"/>
                <w:szCs w:val="20"/>
                <w:color w:val="auto"/>
              </w:rPr>
            </w:pPr>
            <w:r>
              <w:rPr>
                <w:rFonts w:ascii="Arial" w:cs="Arial" w:eastAsia="Arial" w:hAnsi="Arial"/>
                <w:sz w:val="20"/>
                <w:szCs w:val="20"/>
                <w:color w:val="auto"/>
                <w:w w:val="88"/>
              </w:rPr>
              <w:t>Weighted-average</w:t>
            </w:r>
          </w:p>
        </w:tc>
        <w:tc>
          <w:tcPr>
            <w:tcW w:w="2780" w:type="dxa"/>
            <w:vAlign w:val="bottom"/>
          </w:tcPr>
          <w:p>
            <w:pPr>
              <w:jc w:val="center"/>
              <w:spacing w:after="0"/>
              <w:rPr>
                <w:sz w:val="20"/>
                <w:szCs w:val="20"/>
                <w:color w:val="auto"/>
              </w:rPr>
            </w:pPr>
            <w:r>
              <w:rPr>
                <w:rFonts w:ascii="Arial" w:cs="Arial" w:eastAsia="Arial" w:hAnsi="Arial"/>
                <w:sz w:val="20"/>
                <w:szCs w:val="20"/>
                <w:color w:val="auto"/>
                <w:w w:val="91"/>
              </w:rPr>
              <w:t>remaining available for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240" w:type="dxa"/>
            <w:vAlign w:val="bottom"/>
          </w:tcPr>
          <w:p>
            <w:pPr>
              <w:jc w:val="center"/>
              <w:ind w:right="81"/>
              <w:spacing w:after="0"/>
              <w:rPr>
                <w:sz w:val="20"/>
                <w:szCs w:val="20"/>
                <w:color w:val="auto"/>
              </w:rPr>
            </w:pPr>
            <w:r>
              <w:rPr>
                <w:rFonts w:ascii="Arial" w:cs="Arial" w:eastAsia="Arial" w:hAnsi="Arial"/>
                <w:sz w:val="20"/>
                <w:szCs w:val="20"/>
                <w:color w:val="auto"/>
                <w:w w:val="87"/>
              </w:rPr>
              <w:t>to be issued upon</w:t>
            </w:r>
          </w:p>
        </w:tc>
        <w:tc>
          <w:tcPr>
            <w:tcW w:w="2160" w:type="dxa"/>
            <w:vAlign w:val="bottom"/>
          </w:tcPr>
          <w:p>
            <w:pPr>
              <w:jc w:val="center"/>
              <w:spacing w:after="0"/>
              <w:rPr>
                <w:sz w:val="20"/>
                <w:szCs w:val="20"/>
                <w:color w:val="auto"/>
              </w:rPr>
            </w:pPr>
            <w:r>
              <w:rPr>
                <w:rFonts w:ascii="Arial" w:cs="Arial" w:eastAsia="Arial" w:hAnsi="Arial"/>
                <w:sz w:val="20"/>
                <w:szCs w:val="20"/>
                <w:color w:val="auto"/>
                <w:w w:val="89"/>
              </w:rPr>
              <w:t>exercise price of</w:t>
            </w:r>
          </w:p>
        </w:tc>
        <w:tc>
          <w:tcPr>
            <w:tcW w:w="2780" w:type="dxa"/>
            <w:vAlign w:val="bottom"/>
          </w:tcPr>
          <w:p>
            <w:pPr>
              <w:jc w:val="center"/>
              <w:spacing w:after="0"/>
              <w:rPr>
                <w:sz w:val="20"/>
                <w:szCs w:val="20"/>
                <w:color w:val="auto"/>
              </w:rPr>
            </w:pPr>
            <w:r>
              <w:rPr>
                <w:rFonts w:ascii="Arial" w:cs="Arial" w:eastAsia="Arial" w:hAnsi="Arial"/>
                <w:sz w:val="20"/>
                <w:szCs w:val="20"/>
                <w:color w:val="auto"/>
                <w:w w:val="87"/>
              </w:rPr>
              <w:t>future issuance under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240" w:type="dxa"/>
            <w:vAlign w:val="bottom"/>
          </w:tcPr>
          <w:p>
            <w:pPr>
              <w:jc w:val="center"/>
              <w:ind w:right="81"/>
              <w:spacing w:after="0"/>
              <w:rPr>
                <w:sz w:val="20"/>
                <w:szCs w:val="20"/>
                <w:color w:val="auto"/>
              </w:rPr>
            </w:pPr>
            <w:r>
              <w:rPr>
                <w:rFonts w:ascii="Arial" w:cs="Arial" w:eastAsia="Arial" w:hAnsi="Arial"/>
                <w:sz w:val="20"/>
                <w:szCs w:val="20"/>
                <w:color w:val="auto"/>
                <w:w w:val="88"/>
              </w:rPr>
              <w:t>exercise of</w:t>
            </w:r>
          </w:p>
        </w:tc>
        <w:tc>
          <w:tcPr>
            <w:tcW w:w="2160" w:type="dxa"/>
            <w:vAlign w:val="bottom"/>
          </w:tcPr>
          <w:p>
            <w:pPr>
              <w:jc w:val="center"/>
              <w:spacing w:after="0"/>
              <w:rPr>
                <w:sz w:val="20"/>
                <w:szCs w:val="20"/>
                <w:color w:val="auto"/>
              </w:rPr>
            </w:pPr>
            <w:r>
              <w:rPr>
                <w:rFonts w:ascii="Arial" w:cs="Arial" w:eastAsia="Arial" w:hAnsi="Arial"/>
                <w:sz w:val="20"/>
                <w:szCs w:val="20"/>
                <w:color w:val="auto"/>
                <w:w w:val="88"/>
              </w:rPr>
              <w:t>outstanding</w:t>
            </w:r>
          </w:p>
        </w:tc>
        <w:tc>
          <w:tcPr>
            <w:tcW w:w="2780" w:type="dxa"/>
            <w:vAlign w:val="bottom"/>
          </w:tcPr>
          <w:p>
            <w:pPr>
              <w:jc w:val="center"/>
              <w:spacing w:after="0"/>
              <w:rPr>
                <w:sz w:val="20"/>
                <w:szCs w:val="20"/>
                <w:color w:val="auto"/>
              </w:rPr>
            </w:pPr>
            <w:r>
              <w:rPr>
                <w:rFonts w:ascii="Arial" w:cs="Arial" w:eastAsia="Arial" w:hAnsi="Arial"/>
                <w:sz w:val="20"/>
                <w:szCs w:val="20"/>
                <w:color w:val="auto"/>
                <w:w w:val="89"/>
              </w:rPr>
              <w:t>equity compensation plans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240" w:type="dxa"/>
            <w:vAlign w:val="bottom"/>
          </w:tcPr>
          <w:p>
            <w:pPr>
              <w:jc w:val="center"/>
              <w:ind w:right="81"/>
              <w:spacing w:after="0"/>
              <w:rPr>
                <w:sz w:val="20"/>
                <w:szCs w:val="20"/>
                <w:color w:val="auto"/>
              </w:rPr>
            </w:pPr>
            <w:r>
              <w:rPr>
                <w:rFonts w:ascii="Arial" w:cs="Arial" w:eastAsia="Arial" w:hAnsi="Arial"/>
                <w:sz w:val="20"/>
                <w:szCs w:val="20"/>
                <w:color w:val="auto"/>
                <w:w w:val="90"/>
              </w:rPr>
              <w:t>outstanding options,</w:t>
            </w:r>
          </w:p>
        </w:tc>
        <w:tc>
          <w:tcPr>
            <w:tcW w:w="2160" w:type="dxa"/>
            <w:vAlign w:val="bottom"/>
          </w:tcPr>
          <w:p>
            <w:pPr>
              <w:jc w:val="center"/>
              <w:spacing w:after="0"/>
              <w:rPr>
                <w:sz w:val="20"/>
                <w:szCs w:val="20"/>
                <w:color w:val="auto"/>
              </w:rPr>
            </w:pPr>
            <w:r>
              <w:rPr>
                <w:rFonts w:ascii="Arial" w:cs="Arial" w:eastAsia="Arial" w:hAnsi="Arial"/>
                <w:sz w:val="20"/>
                <w:szCs w:val="20"/>
                <w:color w:val="auto"/>
                <w:w w:val="89"/>
              </w:rPr>
              <w:t>options, warrants</w:t>
            </w:r>
          </w:p>
        </w:tc>
        <w:tc>
          <w:tcPr>
            <w:tcW w:w="2780" w:type="dxa"/>
            <w:vAlign w:val="bottom"/>
          </w:tcPr>
          <w:p>
            <w:pPr>
              <w:jc w:val="center"/>
              <w:spacing w:after="0"/>
              <w:rPr>
                <w:sz w:val="20"/>
                <w:szCs w:val="20"/>
                <w:color w:val="auto"/>
              </w:rPr>
            </w:pPr>
            <w:r>
              <w:rPr>
                <w:rFonts w:ascii="Arial" w:cs="Arial" w:eastAsia="Arial" w:hAnsi="Arial"/>
                <w:sz w:val="20"/>
                <w:szCs w:val="20"/>
                <w:color w:val="auto"/>
                <w:w w:val="90"/>
              </w:rPr>
              <w:t>(excluding securities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240" w:type="dxa"/>
            <w:vAlign w:val="bottom"/>
          </w:tcPr>
          <w:p>
            <w:pPr>
              <w:jc w:val="center"/>
              <w:ind w:right="101"/>
              <w:spacing w:after="0"/>
              <w:rPr>
                <w:sz w:val="20"/>
                <w:szCs w:val="20"/>
                <w:color w:val="auto"/>
              </w:rPr>
            </w:pPr>
            <w:r>
              <w:rPr>
                <w:rFonts w:ascii="Arial" w:cs="Arial" w:eastAsia="Arial" w:hAnsi="Arial"/>
                <w:sz w:val="20"/>
                <w:szCs w:val="20"/>
                <w:color w:val="auto"/>
                <w:w w:val="89"/>
              </w:rPr>
              <w:t>warrants and rights</w:t>
            </w:r>
          </w:p>
        </w:tc>
        <w:tc>
          <w:tcPr>
            <w:tcW w:w="2160" w:type="dxa"/>
            <w:vAlign w:val="bottom"/>
          </w:tcPr>
          <w:p>
            <w:pPr>
              <w:jc w:val="center"/>
              <w:spacing w:after="0"/>
              <w:rPr>
                <w:sz w:val="20"/>
                <w:szCs w:val="20"/>
                <w:color w:val="auto"/>
              </w:rPr>
            </w:pPr>
            <w:r>
              <w:rPr>
                <w:rFonts w:ascii="Arial" w:cs="Arial" w:eastAsia="Arial" w:hAnsi="Arial"/>
                <w:sz w:val="20"/>
                <w:szCs w:val="20"/>
                <w:color w:val="auto"/>
                <w:w w:val="88"/>
              </w:rPr>
              <w:t>and rights</w:t>
            </w:r>
          </w:p>
        </w:tc>
        <w:tc>
          <w:tcPr>
            <w:tcW w:w="2780" w:type="dxa"/>
            <w:vAlign w:val="bottom"/>
          </w:tcPr>
          <w:p>
            <w:pPr>
              <w:jc w:val="center"/>
              <w:spacing w:after="0"/>
              <w:rPr>
                <w:sz w:val="20"/>
                <w:szCs w:val="20"/>
                <w:color w:val="auto"/>
              </w:rPr>
            </w:pPr>
            <w:r>
              <w:rPr>
                <w:rFonts w:ascii="Arial" w:cs="Arial" w:eastAsia="Arial" w:hAnsi="Arial"/>
                <w:sz w:val="20"/>
                <w:szCs w:val="20"/>
                <w:color w:val="auto"/>
                <w:w w:val="91"/>
              </w:rPr>
              <w:t>reflected in column (a))</w:t>
            </w:r>
          </w:p>
        </w:tc>
        <w:tc>
          <w:tcPr>
            <w:tcW w:w="0" w:type="dxa"/>
            <w:vAlign w:val="bottom"/>
          </w:tcPr>
          <w:p>
            <w:pPr>
              <w:spacing w:after="0"/>
              <w:rPr>
                <w:sz w:val="1"/>
                <w:szCs w:val="1"/>
                <w:color w:val="auto"/>
              </w:rPr>
            </w:pPr>
          </w:p>
        </w:tc>
      </w:tr>
      <w:tr>
        <w:trPr>
          <w:trHeight w:val="206"/>
        </w:trPr>
        <w:tc>
          <w:tcPr>
            <w:tcW w:w="1100" w:type="dxa"/>
            <w:vAlign w:val="bottom"/>
            <w:tcBorders>
              <w:bottom w:val="single" w:sz="8" w:color="auto"/>
            </w:tcBorders>
          </w:tcPr>
          <w:p>
            <w:pPr>
              <w:spacing w:after="0" w:line="206" w:lineRule="exact"/>
              <w:rPr>
                <w:sz w:val="20"/>
                <w:szCs w:val="20"/>
                <w:color w:val="auto"/>
              </w:rPr>
            </w:pPr>
            <w:r>
              <w:rPr>
                <w:rFonts w:ascii="Arial" w:cs="Arial" w:eastAsia="Arial" w:hAnsi="Arial"/>
                <w:sz w:val="20"/>
                <w:szCs w:val="20"/>
                <w:color w:val="auto"/>
                <w:w w:val="88"/>
              </w:rPr>
              <w:t>Plan category</w:t>
            </w:r>
          </w:p>
        </w:tc>
        <w:tc>
          <w:tcPr>
            <w:tcW w:w="3140" w:type="dxa"/>
            <w:vAlign w:val="bottom"/>
          </w:tcPr>
          <w:p>
            <w:pPr>
              <w:spacing w:after="0"/>
              <w:rPr>
                <w:sz w:val="17"/>
                <w:szCs w:val="17"/>
                <w:color w:val="auto"/>
              </w:rPr>
            </w:pPr>
          </w:p>
        </w:tc>
        <w:tc>
          <w:tcPr>
            <w:tcW w:w="2240" w:type="dxa"/>
            <w:vAlign w:val="bottom"/>
          </w:tcPr>
          <w:p>
            <w:pPr>
              <w:jc w:val="center"/>
              <w:ind w:right="81"/>
              <w:spacing w:after="0" w:line="206" w:lineRule="exact"/>
              <w:rPr>
                <w:sz w:val="20"/>
                <w:szCs w:val="20"/>
                <w:color w:val="auto"/>
              </w:rPr>
            </w:pPr>
            <w:r>
              <w:rPr>
                <w:rFonts w:ascii="Arial" w:cs="Arial" w:eastAsia="Arial" w:hAnsi="Arial"/>
                <w:sz w:val="20"/>
                <w:szCs w:val="20"/>
                <w:color w:val="auto"/>
                <w:w w:val="89"/>
              </w:rPr>
              <w:t>(a)</w:t>
            </w:r>
          </w:p>
        </w:tc>
        <w:tc>
          <w:tcPr>
            <w:tcW w:w="2160" w:type="dxa"/>
            <w:vAlign w:val="bottom"/>
          </w:tcPr>
          <w:p>
            <w:pPr>
              <w:jc w:val="center"/>
              <w:spacing w:after="0" w:line="206" w:lineRule="exact"/>
              <w:rPr>
                <w:sz w:val="20"/>
                <w:szCs w:val="20"/>
                <w:color w:val="auto"/>
              </w:rPr>
            </w:pPr>
            <w:r>
              <w:rPr>
                <w:rFonts w:ascii="Arial" w:cs="Arial" w:eastAsia="Arial" w:hAnsi="Arial"/>
                <w:sz w:val="20"/>
                <w:szCs w:val="20"/>
                <w:color w:val="auto"/>
                <w:w w:val="97"/>
              </w:rPr>
              <w:t>(b)</w:t>
            </w:r>
          </w:p>
        </w:tc>
        <w:tc>
          <w:tcPr>
            <w:tcW w:w="2780" w:type="dxa"/>
            <w:vAlign w:val="bottom"/>
          </w:tcPr>
          <w:p>
            <w:pPr>
              <w:jc w:val="center"/>
              <w:spacing w:after="0" w:line="206" w:lineRule="exact"/>
              <w:rPr>
                <w:sz w:val="20"/>
                <w:szCs w:val="20"/>
                <w:color w:val="auto"/>
              </w:rPr>
            </w:pPr>
            <w:r>
              <w:rPr>
                <w:rFonts w:ascii="Arial" w:cs="Arial" w:eastAsia="Arial" w:hAnsi="Arial"/>
                <w:sz w:val="20"/>
                <w:szCs w:val="20"/>
                <w:color w:val="auto"/>
                <w:w w:val="94"/>
              </w:rPr>
              <w:t>(c)</w:t>
            </w:r>
          </w:p>
        </w:tc>
        <w:tc>
          <w:tcPr>
            <w:tcW w:w="0" w:type="dxa"/>
            <w:vAlign w:val="bottom"/>
          </w:tcPr>
          <w:p>
            <w:pPr>
              <w:spacing w:after="0"/>
              <w:rPr>
                <w:sz w:val="1"/>
                <w:szCs w:val="1"/>
                <w:color w:val="auto"/>
              </w:rPr>
            </w:pPr>
          </w:p>
        </w:tc>
      </w:tr>
      <w:tr>
        <w:trPr>
          <w:trHeight w:val="21"/>
        </w:trPr>
        <w:tc>
          <w:tcPr>
            <w:tcW w:w="4240" w:type="dxa"/>
            <w:vAlign w:val="bottom"/>
            <w:gridSpan w:val="2"/>
            <w:vMerge w:val="restart"/>
          </w:tcPr>
          <w:p>
            <w:pPr>
              <w:spacing w:after="0"/>
              <w:rPr>
                <w:sz w:val="20"/>
                <w:szCs w:val="20"/>
                <w:color w:val="auto"/>
              </w:rPr>
            </w:pPr>
            <w:r>
              <w:rPr>
                <w:rFonts w:ascii="Arial" w:cs="Arial" w:eastAsia="Arial" w:hAnsi="Arial"/>
                <w:sz w:val="20"/>
                <w:szCs w:val="20"/>
                <w:color w:val="auto"/>
              </w:rPr>
              <w:t>Equity compensation plans approved by</w:t>
            </w:r>
          </w:p>
        </w:tc>
        <w:tc>
          <w:tcPr>
            <w:tcW w:w="2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6"/>
        </w:trPr>
        <w:tc>
          <w:tcPr>
            <w:tcW w:w="4240" w:type="dxa"/>
            <w:vAlign w:val="bottom"/>
            <w:gridSpan w:val="2"/>
            <w:vMerge w:val="continue"/>
          </w:tcPr>
          <w:p>
            <w:pPr>
              <w:spacing w:after="0"/>
              <w:rPr>
                <w:sz w:val="24"/>
                <w:szCs w:val="24"/>
                <w:color w:val="auto"/>
              </w:rPr>
            </w:pPr>
          </w:p>
        </w:tc>
        <w:tc>
          <w:tcPr>
            <w:tcW w:w="2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gridSpan w:val="2"/>
          </w:tcPr>
          <w:p>
            <w:pPr>
              <w:ind w:left="180"/>
              <w:spacing w:after="0"/>
              <w:rPr>
                <w:sz w:val="20"/>
                <w:szCs w:val="20"/>
                <w:color w:val="auto"/>
              </w:rPr>
            </w:pPr>
            <w:r>
              <w:rPr>
                <w:rFonts w:ascii="Arial" w:cs="Arial" w:eastAsia="Arial" w:hAnsi="Arial"/>
                <w:sz w:val="20"/>
                <w:szCs w:val="20"/>
                <w:color w:val="auto"/>
              </w:rPr>
              <w:t>stockholders</w:t>
            </w:r>
          </w:p>
        </w:tc>
        <w:tc>
          <w:tcPr>
            <w:tcW w:w="2240" w:type="dxa"/>
            <w:vAlign w:val="bottom"/>
          </w:tcPr>
          <w:p>
            <w:pPr>
              <w:jc w:val="center"/>
              <w:ind w:right="81"/>
              <w:spacing w:after="0"/>
              <w:rPr>
                <w:sz w:val="20"/>
                <w:szCs w:val="20"/>
                <w:color w:val="auto"/>
              </w:rPr>
            </w:pPr>
            <w:r>
              <w:rPr>
                <w:rFonts w:ascii="Arial" w:cs="Arial" w:eastAsia="Arial" w:hAnsi="Arial"/>
                <w:sz w:val="20"/>
                <w:szCs w:val="20"/>
                <w:color w:val="auto"/>
                <w:w w:val="89"/>
              </w:rPr>
              <w:t>10,705,471</w:t>
            </w:r>
          </w:p>
        </w:tc>
        <w:tc>
          <w:tcPr>
            <w:tcW w:w="2160" w:type="dxa"/>
            <w:vAlign w:val="bottom"/>
          </w:tcPr>
          <w:p>
            <w:pPr>
              <w:jc w:val="center"/>
              <w:spacing w:after="0"/>
              <w:rPr>
                <w:sz w:val="20"/>
                <w:szCs w:val="20"/>
                <w:color w:val="auto"/>
              </w:rPr>
            </w:pPr>
            <w:r>
              <w:rPr>
                <w:rFonts w:ascii="Arial" w:cs="Arial" w:eastAsia="Arial" w:hAnsi="Arial"/>
                <w:sz w:val="20"/>
                <w:szCs w:val="20"/>
                <w:color w:val="auto"/>
                <w:w w:val="88"/>
              </w:rPr>
              <w:t>$15.37</w:t>
            </w:r>
          </w:p>
        </w:tc>
        <w:tc>
          <w:tcPr>
            <w:tcW w:w="2780" w:type="dxa"/>
            <w:vAlign w:val="bottom"/>
          </w:tcPr>
          <w:p>
            <w:pPr>
              <w:jc w:val="center"/>
              <w:spacing w:after="0"/>
              <w:rPr>
                <w:sz w:val="20"/>
                <w:szCs w:val="20"/>
                <w:color w:val="auto"/>
              </w:rPr>
            </w:pPr>
            <w:r>
              <w:rPr>
                <w:rFonts w:ascii="Arial" w:cs="Arial" w:eastAsia="Arial" w:hAnsi="Arial"/>
                <w:sz w:val="20"/>
                <w:szCs w:val="20"/>
                <w:color w:val="auto"/>
                <w:w w:val="89"/>
              </w:rPr>
              <w:t>4,212,700</w:t>
            </w:r>
          </w:p>
        </w:tc>
        <w:tc>
          <w:tcPr>
            <w:tcW w:w="0" w:type="dxa"/>
            <w:vAlign w:val="bottom"/>
          </w:tcPr>
          <w:p>
            <w:pPr>
              <w:spacing w:after="0"/>
              <w:rPr>
                <w:sz w:val="1"/>
                <w:szCs w:val="1"/>
                <w:color w:val="auto"/>
              </w:rPr>
            </w:pPr>
          </w:p>
        </w:tc>
      </w:tr>
      <w:tr>
        <w:trPr>
          <w:trHeight w:val="438"/>
        </w:trPr>
        <w:tc>
          <w:tcPr>
            <w:tcW w:w="4240" w:type="dxa"/>
            <w:vAlign w:val="bottom"/>
            <w:gridSpan w:val="2"/>
          </w:tcPr>
          <w:p>
            <w:pPr>
              <w:spacing w:after="0"/>
              <w:rPr>
                <w:sz w:val="20"/>
                <w:szCs w:val="20"/>
                <w:color w:val="auto"/>
              </w:rPr>
            </w:pPr>
            <w:r>
              <w:rPr>
                <w:rFonts w:ascii="Arial" w:cs="Arial" w:eastAsia="Arial" w:hAnsi="Arial"/>
                <w:sz w:val="20"/>
                <w:szCs w:val="20"/>
                <w:color w:val="auto"/>
              </w:rPr>
              <w:t>Equity compensation plans not approved by</w:t>
            </w:r>
          </w:p>
        </w:tc>
        <w:tc>
          <w:tcPr>
            <w:tcW w:w="2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240" w:type="dxa"/>
            <w:vAlign w:val="bottom"/>
            <w:gridSpan w:val="2"/>
          </w:tcPr>
          <w:p>
            <w:pPr>
              <w:ind w:left="180"/>
              <w:spacing w:after="0"/>
              <w:rPr>
                <w:sz w:val="20"/>
                <w:szCs w:val="20"/>
                <w:color w:val="auto"/>
              </w:rPr>
            </w:pPr>
            <w:r>
              <w:rPr>
                <w:rFonts w:ascii="Arial" w:cs="Arial" w:eastAsia="Arial" w:hAnsi="Arial"/>
                <w:sz w:val="20"/>
                <w:szCs w:val="20"/>
                <w:color w:val="auto"/>
              </w:rPr>
              <w:t>stockholders</w:t>
            </w:r>
          </w:p>
        </w:tc>
        <w:tc>
          <w:tcPr>
            <w:tcW w:w="224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color w:val="auto"/>
                <w:w w:val="89"/>
              </w:rPr>
              <w:t>-</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57"/>
        </w:trPr>
        <w:tc>
          <w:tcPr>
            <w:tcW w:w="4240" w:type="dxa"/>
            <w:vAlign w:val="bottom"/>
            <w:gridSpan w:val="2"/>
          </w:tcPr>
          <w:p>
            <w:pPr>
              <w:ind w:left="360"/>
              <w:spacing w:after="0"/>
              <w:rPr>
                <w:sz w:val="20"/>
                <w:szCs w:val="20"/>
                <w:color w:val="auto"/>
              </w:rPr>
            </w:pPr>
            <w:r>
              <w:rPr>
                <w:rFonts w:ascii="Arial" w:cs="Arial" w:eastAsia="Arial" w:hAnsi="Arial"/>
                <w:sz w:val="20"/>
                <w:szCs w:val="20"/>
                <w:color w:val="auto"/>
              </w:rPr>
              <w:t>Total</w:t>
            </w:r>
          </w:p>
        </w:tc>
        <w:tc>
          <w:tcPr>
            <w:tcW w:w="2240" w:type="dxa"/>
            <w:vAlign w:val="bottom"/>
          </w:tcPr>
          <w:p>
            <w:pPr>
              <w:jc w:val="center"/>
              <w:ind w:right="81"/>
              <w:spacing w:after="0"/>
              <w:rPr>
                <w:sz w:val="20"/>
                <w:szCs w:val="20"/>
                <w:color w:val="auto"/>
              </w:rPr>
            </w:pPr>
            <w:r>
              <w:rPr>
                <w:rFonts w:ascii="Arial" w:cs="Arial" w:eastAsia="Arial" w:hAnsi="Arial"/>
                <w:sz w:val="20"/>
                <w:szCs w:val="20"/>
                <w:color w:val="auto"/>
                <w:w w:val="89"/>
              </w:rPr>
              <w:t>10,705,471</w:t>
            </w:r>
          </w:p>
        </w:tc>
        <w:tc>
          <w:tcPr>
            <w:tcW w:w="2160" w:type="dxa"/>
            <w:vAlign w:val="bottom"/>
          </w:tcPr>
          <w:p>
            <w:pPr>
              <w:jc w:val="center"/>
              <w:spacing w:after="0"/>
              <w:rPr>
                <w:sz w:val="20"/>
                <w:szCs w:val="20"/>
                <w:color w:val="auto"/>
              </w:rPr>
            </w:pPr>
            <w:r>
              <w:rPr>
                <w:rFonts w:ascii="Arial" w:cs="Arial" w:eastAsia="Arial" w:hAnsi="Arial"/>
                <w:sz w:val="20"/>
                <w:szCs w:val="20"/>
                <w:color w:val="auto"/>
                <w:w w:val="88"/>
              </w:rPr>
              <w:t>$15.37</w:t>
            </w:r>
          </w:p>
        </w:tc>
        <w:tc>
          <w:tcPr>
            <w:tcW w:w="2780" w:type="dxa"/>
            <w:vAlign w:val="bottom"/>
          </w:tcPr>
          <w:p>
            <w:pPr>
              <w:jc w:val="center"/>
              <w:spacing w:after="0"/>
              <w:rPr>
                <w:sz w:val="20"/>
                <w:szCs w:val="20"/>
                <w:color w:val="auto"/>
              </w:rPr>
            </w:pPr>
            <w:r>
              <w:rPr>
                <w:rFonts w:ascii="Arial" w:cs="Arial" w:eastAsia="Arial" w:hAnsi="Arial"/>
                <w:sz w:val="20"/>
                <w:szCs w:val="20"/>
                <w:color w:val="auto"/>
                <w:w w:val="89"/>
              </w:rPr>
              <w:t>4,212,700</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314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graph shows a five-year comparison of cumulative total returns:</w:t>
      </w:r>
      <w:r>
        <w:rPr>
          <w:rFonts w:ascii="Arial" w:cs="Arial" w:eastAsia="Arial" w:hAnsi="Arial"/>
          <w:sz w:val="12"/>
          <w:szCs w:val="12"/>
          <w:color w:val="auto"/>
        </w:rPr>
        <w:t>1</w:t>
      </w:r>
    </w:p>
    <w:p>
      <w:pPr>
        <w:sectPr>
          <w:pgSz w:w="11900" w:h="16838" w:orient="portrait"/>
          <w:cols w:equalWidth="0" w:num="1">
            <w:col w:w="11420"/>
          </w:cols>
          <w:pgMar w:left="240" w:top="121" w:right="239" w:bottom="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121" w:right="239" w:bottom="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2915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915920"/>
                    </a:xfrm>
                    <a:prstGeom prst="rect">
                      <a:avLst/>
                    </a:prstGeom>
                    <a:noFill/>
                  </pic:spPr>
                </pic:pic>
              </a:graphicData>
            </a:graphic>
          </wp:anchor>
        </w:drawing>
        <w:t>COMPARISON OF CUMULATIVE FIVE YEAR TOTAL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8"/>
        <w:spacing w:after="0" w:line="297" w:lineRule="auto"/>
        <w:tabs>
          <w:tab w:leader="none" w:pos="86" w:val="left"/>
        </w:tabs>
        <w:numPr>
          <w:ilvl w:val="0"/>
          <w:numId w:val="13"/>
        </w:numPr>
        <w:rPr>
          <w:rFonts w:ascii="Arial" w:cs="Arial" w:eastAsia="Arial" w:hAnsi="Arial"/>
          <w:sz w:val="10"/>
          <w:szCs w:val="10"/>
          <w:color w:val="auto"/>
        </w:rPr>
      </w:pPr>
      <w:r>
        <w:rPr>
          <w:rFonts w:ascii="Arial" w:cs="Arial" w:eastAsia="Arial" w:hAnsi="Arial"/>
          <w:sz w:val="15"/>
          <w:szCs w:val="15"/>
          <w:color w:val="auto"/>
        </w:rPr>
        <w:t>Annual return assumes reinvestment of dividends. Cumulative total return assumes an initial investment of $100 on December 31, 2004. The Company’s current self-selected peer group is comprised of the DPS Group, National Beverage Corporation, Clearly Canadian Beverage Company, Leading Brands, Inc., Jones Soda Company and Cott Corporation. The Company’s former self-selected peer group is comprised of National Beverage Corporation, Clearly Canadian Beverage Company, Leading Brands, Inc., Jones Soda Company and Cott Corporation (the DPS Group is included in 2009, which was its first full year of trading).</w:t>
      </w:r>
    </w:p>
    <w:p>
      <w:pPr>
        <w:spacing w:after="0" w:line="160"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SELECTED FINANCIAL DATA</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consolidated statements of operations data set forth below with respect to each of the fiscal years ended December 31, 2007 through 2009 and the balance sheet data as of December 31, 2009 and 2008, are derived from our audited consolidated financial statements included herein, and should be read in conjunction with those financial statements and notes thereto, and with Management’s Discussion and Analysis of Financial Condition and Results of Operations included as Part II, Item 7 of this Annual Report on Form 10-K. The consolidated statements of operations data for the fiscal years ended December 31, 2006 and 2005 and the balance sheet data as of December 31, 2007, 2006 and 2005 are derived from the Company’s audited consolidated financial statements not included herein.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gridSpan w:val="2"/>
          </w:tcPr>
          <w:p>
            <w:pPr>
              <w:spacing w:after="0"/>
              <w:rPr>
                <w:sz w:val="20"/>
                <w:szCs w:val="20"/>
                <w:color w:val="auto"/>
              </w:rPr>
            </w:pPr>
            <w:r>
              <w:rPr>
                <w:rFonts w:ascii="Arial" w:cs="Arial" w:eastAsia="Arial" w:hAnsi="Arial"/>
                <w:sz w:val="20"/>
                <w:szCs w:val="20"/>
                <w:b w:val="1"/>
                <w:bCs w:val="1"/>
                <w:color w:val="auto"/>
              </w:rPr>
              <w:t>(in thousands, except</w:t>
            </w: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80"/>
              <w:spacing w:after="0"/>
              <w:rPr>
                <w:sz w:val="20"/>
                <w:szCs w:val="20"/>
                <w:color w:val="auto"/>
              </w:rPr>
            </w:pPr>
            <w:r>
              <w:rPr>
                <w:rFonts w:ascii="Arial" w:cs="Arial" w:eastAsia="Arial" w:hAnsi="Arial"/>
                <w:sz w:val="20"/>
                <w:szCs w:val="20"/>
                <w:b w:val="1"/>
                <w:bCs w:val="1"/>
                <w:color w:val="auto"/>
              </w:rPr>
              <w:t>per share</w:t>
            </w: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2"/>
        </w:trPr>
        <w:tc>
          <w:tcPr>
            <w:tcW w:w="20" w:type="dxa"/>
            <w:vAlign w:val="bottom"/>
          </w:tcPr>
          <w:p>
            <w:pPr>
              <w:spacing w:after="0"/>
              <w:rPr>
                <w:sz w:val="21"/>
                <w:szCs w:val="21"/>
                <w:color w:val="auto"/>
              </w:rPr>
            </w:pPr>
          </w:p>
        </w:tc>
        <w:tc>
          <w:tcPr>
            <w:tcW w:w="380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auto"/>
              </w:rPr>
              <w:t>information)</w:t>
            </w:r>
          </w:p>
        </w:tc>
        <w:tc>
          <w:tcPr>
            <w:tcW w:w="8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2009</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2008</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2007</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2006</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b w:val="1"/>
                <w:bCs w:val="1"/>
                <w:color w:val="auto"/>
              </w:rPr>
              <w:t>2005</w:t>
            </w:r>
          </w:p>
        </w:tc>
      </w:tr>
      <w:tr>
        <w:trPr>
          <w:trHeight w:val="244"/>
        </w:trPr>
        <w:tc>
          <w:tcPr>
            <w:tcW w:w="2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20"/>
                <w:szCs w:val="20"/>
                <w:color w:val="auto"/>
              </w:rPr>
              <w:t>Gross sales*¹</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1,309,335</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1,182,876</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1,025,795</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696,322</w:t>
            </w: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415,417</w:t>
            </w:r>
          </w:p>
        </w:tc>
      </w:tr>
      <w:tr>
        <w:trPr>
          <w:trHeight w:val="442"/>
        </w:trPr>
        <w:tc>
          <w:tcPr>
            <w:tcW w:w="3820" w:type="dxa"/>
            <w:vAlign w:val="bottom"/>
            <w:gridSpan w:val="2"/>
          </w:tcPr>
          <w:p>
            <w:pPr>
              <w:spacing w:after="0"/>
              <w:rPr>
                <w:sz w:val="20"/>
                <w:szCs w:val="20"/>
                <w:color w:val="auto"/>
              </w:rPr>
            </w:pPr>
            <w:r>
              <w:rPr>
                <w:rFonts w:ascii="Arial" w:cs="Arial" w:eastAsia="Arial" w:hAnsi="Arial"/>
                <w:sz w:val="20"/>
                <w:szCs w:val="20"/>
                <w:color w:val="auto"/>
              </w:rPr>
              <w:t>Net sales¹</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1,143,299</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1,033,780</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904,465</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605,774</w:t>
            </w: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348,886</w:t>
            </w:r>
          </w:p>
        </w:tc>
      </w:tr>
      <w:tr>
        <w:trPr>
          <w:trHeight w:val="459"/>
        </w:trPr>
        <w:tc>
          <w:tcPr>
            <w:tcW w:w="3820" w:type="dxa"/>
            <w:vAlign w:val="bottom"/>
            <w:gridSpan w:val="2"/>
          </w:tcPr>
          <w:p>
            <w:pPr>
              <w:spacing w:after="0"/>
              <w:rPr>
                <w:sz w:val="20"/>
                <w:szCs w:val="20"/>
                <w:color w:val="auto"/>
              </w:rPr>
            </w:pPr>
            <w:r>
              <w:rPr>
                <w:rFonts w:ascii="Arial" w:cs="Arial" w:eastAsia="Arial" w:hAnsi="Arial"/>
                <w:sz w:val="20"/>
                <w:szCs w:val="20"/>
                <w:color w:val="auto"/>
              </w:rPr>
              <w:t>Gross profit¹</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612,316</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538,794</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468,013</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316,594</w:t>
            </w: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182,543</w:t>
            </w:r>
          </w:p>
        </w:tc>
      </w:tr>
      <w:tr>
        <w:trPr>
          <w:trHeight w:val="438"/>
        </w:trPr>
        <w:tc>
          <w:tcPr>
            <w:tcW w:w="3820" w:type="dxa"/>
            <w:vAlign w:val="bottom"/>
            <w:gridSpan w:val="2"/>
          </w:tcPr>
          <w:p>
            <w:pPr>
              <w:spacing w:after="0"/>
              <w:rPr>
                <w:sz w:val="20"/>
                <w:szCs w:val="20"/>
                <w:color w:val="auto"/>
              </w:rPr>
            </w:pPr>
            <w:r>
              <w:rPr>
                <w:rFonts w:ascii="Arial" w:cs="Arial" w:eastAsia="Arial" w:hAnsi="Arial"/>
                <w:sz w:val="20"/>
                <w:szCs w:val="20"/>
                <w:color w:val="auto"/>
              </w:rPr>
              <w:t>Gross profit as a percentage to net sales</w:t>
            </w:r>
          </w:p>
        </w:tc>
        <w:tc>
          <w:tcPr>
            <w:tcW w:w="880" w:type="dxa"/>
            <w:vAlign w:val="bottom"/>
          </w:tcPr>
          <w:p>
            <w:pPr>
              <w:spacing w:after="0"/>
              <w:rPr>
                <w:sz w:val="24"/>
                <w:szCs w:val="24"/>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53.6%</w:t>
            </w:r>
          </w:p>
        </w:tc>
        <w:tc>
          <w:tcPr>
            <w:tcW w:w="380" w:type="dxa"/>
            <w:vAlign w:val="bottom"/>
          </w:tcPr>
          <w:p>
            <w:pPr>
              <w:spacing w:after="0"/>
              <w:rPr>
                <w:sz w:val="24"/>
                <w:szCs w:val="24"/>
                <w:color w:val="auto"/>
              </w:rPr>
            </w:pP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52.1%</w:t>
            </w:r>
          </w:p>
        </w:tc>
        <w:tc>
          <w:tcPr>
            <w:tcW w:w="360" w:type="dxa"/>
            <w:vAlign w:val="bottom"/>
          </w:tcPr>
          <w:p>
            <w:pPr>
              <w:spacing w:after="0"/>
              <w:rPr>
                <w:sz w:val="24"/>
                <w:szCs w:val="24"/>
                <w:color w:val="auto"/>
              </w:rPr>
            </w:pP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51.7%</w:t>
            </w:r>
          </w:p>
        </w:tc>
        <w:tc>
          <w:tcPr>
            <w:tcW w:w="38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52.3%</w:t>
            </w:r>
          </w:p>
        </w:tc>
        <w:tc>
          <w:tcPr>
            <w:tcW w:w="38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52.3%</w:t>
            </w:r>
          </w:p>
        </w:tc>
      </w:tr>
      <w:tr>
        <w:trPr>
          <w:trHeight w:val="250"/>
        </w:trPr>
        <w:tc>
          <w:tcPr>
            <w:tcW w:w="3820" w:type="dxa"/>
            <w:vAlign w:val="bottom"/>
            <w:gridSpan w:val="2"/>
          </w:tcPr>
          <w:p>
            <w:pPr>
              <w:spacing w:after="0"/>
              <w:rPr>
                <w:sz w:val="20"/>
                <w:szCs w:val="20"/>
                <w:color w:val="auto"/>
              </w:rPr>
            </w:pPr>
            <w:r>
              <w:rPr>
                <w:rFonts w:ascii="Arial" w:cs="Arial" w:eastAsia="Arial" w:hAnsi="Arial"/>
                <w:sz w:val="20"/>
                <w:szCs w:val="20"/>
                <w:color w:val="auto"/>
              </w:rPr>
              <w:t>Operating income¹ ² ³</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337,309</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163,591</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230,986</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158,579</w:t>
            </w: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103,443</w:t>
            </w:r>
          </w:p>
        </w:tc>
      </w:tr>
      <w:tr>
        <w:trPr>
          <w:trHeight w:val="689"/>
        </w:trPr>
        <w:tc>
          <w:tcPr>
            <w:tcW w:w="3820" w:type="dxa"/>
            <w:vAlign w:val="bottom"/>
            <w:gridSpan w:val="2"/>
          </w:tcPr>
          <w:p>
            <w:pPr>
              <w:spacing w:after="0"/>
              <w:rPr>
                <w:sz w:val="20"/>
                <w:szCs w:val="20"/>
                <w:color w:val="auto"/>
              </w:rPr>
            </w:pPr>
            <w:r>
              <w:rPr>
                <w:rFonts w:ascii="Arial" w:cs="Arial" w:eastAsia="Arial" w:hAnsi="Arial"/>
                <w:sz w:val="20"/>
                <w:szCs w:val="20"/>
                <w:color w:val="auto"/>
              </w:rPr>
              <w:t>Net income</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208,716</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108,032</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149,406</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97,949</w:t>
            </w: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62,775</w:t>
            </w:r>
          </w:p>
        </w:tc>
      </w:tr>
      <w:tr>
        <w:trPr>
          <w:trHeight w:val="438"/>
        </w:trPr>
        <w:tc>
          <w:tcPr>
            <w:tcW w:w="3820" w:type="dxa"/>
            <w:vAlign w:val="bottom"/>
            <w:gridSpan w:val="2"/>
          </w:tcPr>
          <w:p>
            <w:pPr>
              <w:spacing w:after="0"/>
              <w:rPr>
                <w:sz w:val="20"/>
                <w:szCs w:val="20"/>
                <w:color w:val="auto"/>
              </w:rPr>
            </w:pPr>
            <w:r>
              <w:rPr>
                <w:rFonts w:ascii="Arial" w:cs="Arial" w:eastAsia="Arial" w:hAnsi="Arial"/>
                <w:sz w:val="20"/>
                <w:szCs w:val="20"/>
                <w:color w:val="auto"/>
              </w:rPr>
              <w:t>Net income per common share:</w:t>
            </w: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160"/>
              <w:spacing w:after="0"/>
              <w:rPr>
                <w:sz w:val="20"/>
                <w:szCs w:val="20"/>
                <w:color w:val="auto"/>
              </w:rPr>
            </w:pPr>
            <w:r>
              <w:rPr>
                <w:rFonts w:ascii="Arial" w:cs="Arial" w:eastAsia="Arial" w:hAnsi="Arial"/>
                <w:sz w:val="20"/>
                <w:szCs w:val="20"/>
                <w:color w:val="auto"/>
              </w:rPr>
              <w:t>Basic</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2.32</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1.17</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1.64</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1.09</w:t>
            </w: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0.71</w:t>
            </w:r>
          </w:p>
        </w:tc>
      </w:tr>
      <w:tr>
        <w:trPr>
          <w:trHeight w:val="250"/>
        </w:trPr>
        <w:tc>
          <w:tcPr>
            <w:tcW w:w="20" w:type="dxa"/>
            <w:vAlign w:val="bottom"/>
          </w:tcPr>
          <w:p>
            <w:pPr>
              <w:spacing w:after="0"/>
              <w:rPr>
                <w:sz w:val="21"/>
                <w:szCs w:val="21"/>
                <w:color w:val="auto"/>
              </w:rPr>
            </w:pPr>
          </w:p>
        </w:tc>
        <w:tc>
          <w:tcPr>
            <w:tcW w:w="3800" w:type="dxa"/>
            <w:vAlign w:val="bottom"/>
          </w:tcPr>
          <w:p>
            <w:pPr>
              <w:ind w:left="160"/>
              <w:spacing w:after="0"/>
              <w:rPr>
                <w:sz w:val="20"/>
                <w:szCs w:val="20"/>
                <w:color w:val="auto"/>
              </w:rPr>
            </w:pPr>
            <w:r>
              <w:rPr>
                <w:rFonts w:ascii="Arial" w:cs="Arial" w:eastAsia="Arial" w:hAnsi="Arial"/>
                <w:sz w:val="20"/>
                <w:szCs w:val="20"/>
                <w:color w:val="auto"/>
              </w:rPr>
              <w:t>Diluted</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2.21</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1.11</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1.51</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0.99</w:t>
            </w: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0.65</w:t>
            </w:r>
          </w:p>
        </w:tc>
      </w:tr>
      <w:tr>
        <w:trPr>
          <w:trHeight w:val="459"/>
        </w:trPr>
        <w:tc>
          <w:tcPr>
            <w:tcW w:w="3820" w:type="dxa"/>
            <w:vAlign w:val="bottom"/>
            <w:gridSpan w:val="2"/>
          </w:tcPr>
          <w:p>
            <w:pPr>
              <w:spacing w:after="0"/>
              <w:rPr>
                <w:sz w:val="20"/>
                <w:szCs w:val="20"/>
                <w:color w:val="auto"/>
              </w:rPr>
            </w:pPr>
            <w:r>
              <w:rPr>
                <w:rFonts w:ascii="Arial" w:cs="Arial" w:eastAsia="Arial" w:hAnsi="Arial"/>
                <w:sz w:val="20"/>
                <w:szCs w:val="20"/>
                <w:color w:val="auto"/>
              </w:rPr>
              <w:t>Cash, cash equivalents and investments</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427,672</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375,513</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302,650</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136,796</w:t>
            </w: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73,515</w:t>
            </w:r>
          </w:p>
        </w:tc>
      </w:tr>
      <w:tr>
        <w:trPr>
          <w:trHeight w:val="459"/>
        </w:trPr>
        <w:tc>
          <w:tcPr>
            <w:tcW w:w="3820" w:type="dxa"/>
            <w:vAlign w:val="bottom"/>
            <w:gridSpan w:val="2"/>
          </w:tcPr>
          <w:p>
            <w:pPr>
              <w:spacing w:after="0"/>
              <w:rPr>
                <w:sz w:val="20"/>
                <w:szCs w:val="20"/>
                <w:color w:val="auto"/>
              </w:rPr>
            </w:pPr>
            <w:r>
              <w:rPr>
                <w:rFonts w:ascii="Arial" w:cs="Arial" w:eastAsia="Arial" w:hAnsi="Arial"/>
                <w:sz w:val="20"/>
                <w:szCs w:val="20"/>
                <w:color w:val="auto"/>
              </w:rPr>
              <w:t>Total assets</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800,070</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761,837</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544,603</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308,372</w:t>
            </w: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163,890</w:t>
            </w:r>
          </w:p>
        </w:tc>
      </w:tr>
      <w:tr>
        <w:trPr>
          <w:trHeight w:val="459"/>
        </w:trPr>
        <w:tc>
          <w:tcPr>
            <w:tcW w:w="3820" w:type="dxa"/>
            <w:vAlign w:val="bottom"/>
            <w:gridSpan w:val="2"/>
          </w:tcPr>
          <w:p>
            <w:pPr>
              <w:spacing w:after="0"/>
              <w:rPr>
                <w:sz w:val="20"/>
                <w:szCs w:val="20"/>
                <w:color w:val="auto"/>
              </w:rPr>
            </w:pPr>
            <w:r>
              <w:rPr>
                <w:rFonts w:ascii="Arial" w:cs="Arial" w:eastAsia="Arial" w:hAnsi="Arial"/>
                <w:sz w:val="20"/>
                <w:szCs w:val="20"/>
                <w:color w:val="auto"/>
              </w:rPr>
              <w:t>Debt</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206</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959</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663</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303</w:t>
            </w: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525</w:t>
            </w:r>
          </w:p>
        </w:tc>
      </w:tr>
      <w:tr>
        <w:trPr>
          <w:trHeight w:val="459"/>
        </w:trPr>
        <w:tc>
          <w:tcPr>
            <w:tcW w:w="3820" w:type="dxa"/>
            <w:vAlign w:val="bottom"/>
            <w:gridSpan w:val="2"/>
          </w:tcPr>
          <w:p>
            <w:pPr>
              <w:spacing w:after="0"/>
              <w:rPr>
                <w:sz w:val="20"/>
                <w:szCs w:val="20"/>
                <w:color w:val="auto"/>
              </w:rPr>
            </w:pPr>
            <w:r>
              <w:rPr>
                <w:rFonts w:ascii="Arial" w:cs="Arial" w:eastAsia="Arial" w:hAnsi="Arial"/>
                <w:sz w:val="20"/>
                <w:szCs w:val="20"/>
                <w:color w:val="auto"/>
              </w:rPr>
              <w:t>Stockholders’ equity</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584,953</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436,316</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422,167</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225,084</w:t>
            </w: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125,509</w:t>
            </w:r>
          </w:p>
        </w:tc>
      </w:tr>
    </w:tbl>
    <w:p>
      <w:pPr>
        <w:spacing w:after="0" w:line="198"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color w:val="auto"/>
        </w:rPr>
        <w:t>¹Includes $8.2 million, $14.3 million, $1.9 million and $0.4 million for the years ended December 31, 2009, 2008, 2007 and 2006, respectively, related to the recognition of deferred revenue.</w:t>
      </w:r>
    </w:p>
    <w:p>
      <w:pPr>
        <w:sectPr>
          <w:pgSz w:w="11900" w:h="16838" w:orient="portrait"/>
          <w:cols w:equalWidth="0" w:num="1">
            <w:col w:w="11420"/>
          </w:cols>
          <w:pgMar w:left="240" w:top="967" w:right="239" w:bottom="31" w:gutter="0" w:footer="0" w:header="0"/>
        </w:sectPr>
      </w:pPr>
    </w:p>
    <w:bookmarkStart w:id="21" w:name="page22"/>
    <w:bookmarkEnd w:id="21"/>
    <w:p>
      <w:pPr>
        <w:spacing w:after="0" w:line="32" w:lineRule="exact"/>
        <w:rPr>
          <w:sz w:val="20"/>
          <w:szCs w:val="20"/>
          <w:color w:val="auto"/>
        </w:rPr>
      </w:pPr>
    </w:p>
    <w:p>
      <w:pPr>
        <w:jc w:val="both"/>
        <w:ind w:left="340" w:right="340"/>
        <w:spacing w:after="0" w:line="277" w:lineRule="auto"/>
        <w:rPr>
          <w:sz w:val="20"/>
          <w:szCs w:val="20"/>
          <w:color w:val="auto"/>
        </w:rPr>
      </w:pPr>
      <w:r>
        <w:rPr>
          <w:rFonts w:ascii="Arial" w:cs="Arial" w:eastAsia="Arial" w:hAnsi="Arial"/>
          <w:sz w:val="18"/>
          <w:szCs w:val="18"/>
          <w:color w:val="auto"/>
        </w:rPr>
        <w:t>²Includes $1.9 million, $118.1 million, $15.3 million and $12.7 million for the years ended December 31, 2009, 2008, 2007 and 2006, respectively, related to expenditures attributable to the costs associated with terminating existing distributors.</w:t>
      </w:r>
    </w:p>
    <w:p>
      <w:pPr>
        <w:spacing w:after="0" w:line="170" w:lineRule="exact"/>
        <w:rPr>
          <w:sz w:val="20"/>
          <w:szCs w:val="20"/>
          <w:color w:val="auto"/>
        </w:rPr>
      </w:pPr>
    </w:p>
    <w:p>
      <w:pPr>
        <w:jc w:val="both"/>
        <w:ind w:left="340" w:right="320"/>
        <w:spacing w:after="0" w:line="264" w:lineRule="auto"/>
        <w:rPr>
          <w:sz w:val="20"/>
          <w:szCs w:val="20"/>
          <w:color w:val="auto"/>
        </w:rPr>
      </w:pPr>
      <w:r>
        <w:rPr>
          <w:rFonts w:ascii="Arial" w:cs="Arial" w:eastAsia="Arial" w:hAnsi="Arial"/>
          <w:sz w:val="18"/>
          <w:szCs w:val="18"/>
          <w:color w:val="auto"/>
        </w:rPr>
        <w:t>³Includes ($4.7) million, ($0.2) million, $9.8 million and $3.8 million for the years ended December 31, 2009, 2008, 2007 and 2006, respectively, related to professional service fees, net of insurance proceeds, in connection with our special investigation of stock option grants and granting practices, related litigation and other related matters.</w:t>
      </w:r>
    </w:p>
    <w:p>
      <w:pPr>
        <w:spacing w:after="0" w:line="181" w:lineRule="exact"/>
        <w:rPr>
          <w:sz w:val="20"/>
          <w:szCs w:val="20"/>
          <w:color w:val="auto"/>
        </w:rPr>
      </w:pPr>
    </w:p>
    <w:p>
      <w:pPr>
        <w:jc w:val="both"/>
        <w:ind w:left="340" w:right="320"/>
        <w:spacing w:after="0" w:line="270" w:lineRule="auto"/>
        <w:rPr>
          <w:sz w:val="20"/>
          <w:szCs w:val="20"/>
          <w:color w:val="auto"/>
        </w:rPr>
      </w:pPr>
      <w:r>
        <w:rPr>
          <w:rFonts w:ascii="Arial" w:cs="Arial" w:eastAsia="Arial" w:hAnsi="Arial"/>
          <w:sz w:val="17"/>
          <w:szCs w:val="17"/>
          <w:i w:val="1"/>
          <w:iCs w:val="1"/>
          <w:color w:val="auto"/>
        </w:rPr>
        <w:t>*Gross sales, although used internally by management as an indicator of operating performance, should not be considered as an alternative to net sales, which is determined in accordance with generally accepted accounting principles in the United States of America (“GAAP”), and should not be used alone as an indicator of operating performance in place of net sales. Additionally, gross sales may not be comparable to similarly titled measures used by other companies as gross sales has been defined by our internal reporting requirements. However, gross sales is used by management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Management believes the presentation of gross sales allows a more comprehensive presentation of our operating performance. Gross sales may not be realized in the form of cash receipts as promotional payments and allowances may be deducted from payments received from customers (See “Part II, Item 7 –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5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following Management’s Discussion and Analysis of Financial Condition and Results of Operations (“MD&amp;A”) is provided as a supplement to –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overview provides our perspective on the individual sections of MD&amp;A. MD&amp;A includes the following sections:</w:t>
      </w:r>
    </w:p>
    <w:p>
      <w:pPr>
        <w:spacing w:after="0" w:line="229" w:lineRule="exact"/>
        <w:rPr>
          <w:sz w:val="20"/>
          <w:szCs w:val="20"/>
          <w:color w:val="auto"/>
        </w:rPr>
      </w:pPr>
    </w:p>
    <w:p>
      <w:pPr>
        <w:ind w:left="980" w:hanging="324"/>
        <w:spacing w:after="0" w:line="247" w:lineRule="auto"/>
        <w:tabs>
          <w:tab w:leader="none" w:pos="998"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Our Business </w:t>
      </w:r>
      <w:r>
        <w:rPr>
          <w:rFonts w:ascii="Arial" w:cs="Arial" w:eastAsia="Arial" w:hAnsi="Arial"/>
          <w:sz w:val="20"/>
          <w:szCs w:val="20"/>
          <w:color w:val="auto"/>
        </w:rPr>
        <w:t>– a general description of our business; the value drivers of our business; and opportunities and risks facing our</w:t>
      </w:r>
      <w:r>
        <w:rPr>
          <w:rFonts w:ascii="Arial" w:cs="Arial" w:eastAsia="Arial" w:hAnsi="Arial"/>
          <w:sz w:val="20"/>
          <w:szCs w:val="20"/>
          <w:i w:val="1"/>
          <w:iCs w:val="1"/>
          <w:color w:val="auto"/>
        </w:rPr>
        <w:t xml:space="preserve"> </w:t>
      </w:r>
      <w:r>
        <w:rPr>
          <w:rFonts w:ascii="Arial" w:cs="Arial" w:eastAsia="Arial" w:hAnsi="Arial"/>
          <w:sz w:val="20"/>
          <w:szCs w:val="20"/>
          <w:color w:val="auto"/>
        </w:rPr>
        <w:t>Company;</w:t>
      </w:r>
    </w:p>
    <w:p>
      <w:pPr>
        <w:spacing w:after="0" w:line="1" w:lineRule="exact"/>
        <w:rPr>
          <w:rFonts w:ascii="Arial" w:cs="Arial" w:eastAsia="Arial" w:hAnsi="Arial"/>
          <w:sz w:val="20"/>
          <w:szCs w:val="20"/>
          <w:color w:val="auto"/>
        </w:rPr>
      </w:pPr>
    </w:p>
    <w:p>
      <w:pPr>
        <w:ind w:left="900" w:hanging="244"/>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Results of Operations </w:t>
      </w:r>
      <w:r>
        <w:rPr>
          <w:rFonts w:ascii="Arial" w:cs="Arial" w:eastAsia="Arial" w:hAnsi="Arial"/>
          <w:sz w:val="16"/>
          <w:szCs w:val="16"/>
          <w:color w:val="auto"/>
        </w:rPr>
        <w:t>– an analysis of our consolidated results of operations for the three years presented in our financial statements;</w:t>
      </w:r>
    </w:p>
    <w:p>
      <w:pPr>
        <w:spacing w:after="0" w:line="45" w:lineRule="exact"/>
        <w:rPr>
          <w:rFonts w:ascii="Arial" w:cs="Arial" w:eastAsia="Arial" w:hAnsi="Arial"/>
          <w:sz w:val="16"/>
          <w:szCs w:val="16"/>
          <w:color w:val="auto"/>
        </w:rPr>
      </w:pPr>
    </w:p>
    <w:p>
      <w:pPr>
        <w:ind w:left="900" w:hanging="244"/>
        <w:spacing w:after="0"/>
        <w:tabs>
          <w:tab w:leader="none" w:pos="900"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Liquidity and Capital Resources </w:t>
      </w:r>
      <w:r>
        <w:rPr>
          <w:rFonts w:ascii="Arial" w:cs="Arial" w:eastAsia="Arial" w:hAnsi="Arial"/>
          <w:sz w:val="20"/>
          <w:szCs w:val="20"/>
          <w:color w:val="auto"/>
        </w:rPr>
        <w:t>– an analysis of our cash flows, sources and uses of cash and contractual obligations;</w:t>
      </w:r>
    </w:p>
    <w:p>
      <w:pPr>
        <w:ind w:left="980" w:right="20" w:hanging="324"/>
        <w:spacing w:after="0" w:line="239" w:lineRule="auto"/>
        <w:tabs>
          <w:tab w:leader="none" w:pos="1038"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Accounting Policies and Pronouncements </w:t>
      </w:r>
      <w:r>
        <w:rPr>
          <w:rFonts w:ascii="Arial" w:cs="Arial" w:eastAsia="Arial" w:hAnsi="Arial"/>
          <w:sz w:val="20"/>
          <w:szCs w:val="20"/>
          <w:color w:val="auto"/>
        </w:rPr>
        <w:t>– a discussion of accounting policies that require critical judgments and estimates</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newly issued accounting pronouncements;</w:t>
      </w:r>
    </w:p>
    <w:p>
      <w:pPr>
        <w:spacing w:after="0" w:line="1" w:lineRule="exact"/>
        <w:rPr>
          <w:rFonts w:ascii="Arial" w:cs="Arial" w:eastAsia="Arial" w:hAnsi="Arial"/>
          <w:sz w:val="20"/>
          <w:szCs w:val="20"/>
          <w:color w:val="auto"/>
        </w:rPr>
      </w:pPr>
    </w:p>
    <w:p>
      <w:pPr>
        <w:ind w:left="900" w:hanging="244"/>
        <w:spacing w:after="0"/>
        <w:tabs>
          <w:tab w:leader="none" w:pos="900"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Sales </w:t>
      </w:r>
      <w:r>
        <w:rPr>
          <w:rFonts w:ascii="Arial" w:cs="Arial" w:eastAsia="Arial" w:hAnsi="Arial"/>
          <w:sz w:val="20"/>
          <w:szCs w:val="20"/>
          <w:color w:val="auto"/>
        </w:rPr>
        <w:t>– details of our sales measured on a quarterly basis in both dollars and cases;</w:t>
      </w:r>
    </w:p>
    <w:p>
      <w:pPr>
        <w:ind w:left="900" w:hanging="244"/>
        <w:spacing w:after="0"/>
        <w:tabs>
          <w:tab w:leader="none" w:pos="900"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Inflation </w:t>
      </w:r>
      <w:r>
        <w:rPr>
          <w:rFonts w:ascii="Arial" w:cs="Arial" w:eastAsia="Arial" w:hAnsi="Arial"/>
          <w:sz w:val="20"/>
          <w:szCs w:val="20"/>
          <w:color w:val="auto"/>
        </w:rPr>
        <w:t>– information about the impact that inflation may or may not have on our results;</w:t>
      </w:r>
    </w:p>
    <w:p>
      <w:pPr>
        <w:jc w:val="both"/>
        <w:ind w:left="980" w:hanging="324"/>
        <w:spacing w:after="0" w:line="239" w:lineRule="auto"/>
        <w:tabs>
          <w:tab w:leader="none" w:pos="998"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Forward Looking Statements </w:t>
      </w:r>
      <w:r>
        <w:rPr>
          <w:rFonts w:ascii="Arial" w:cs="Arial" w:eastAsia="Arial" w:hAnsi="Arial"/>
          <w:sz w:val="20"/>
          <w:szCs w:val="20"/>
          <w:color w:val="auto"/>
        </w:rPr>
        <w:t>– cautionary information about forward looking statements and a description of certain risks and</w:t>
      </w:r>
      <w:r>
        <w:rPr>
          <w:rFonts w:ascii="Arial" w:cs="Arial" w:eastAsia="Arial" w:hAnsi="Arial"/>
          <w:sz w:val="20"/>
          <w:szCs w:val="20"/>
          <w:i w:val="1"/>
          <w:iCs w:val="1"/>
          <w:color w:val="auto"/>
        </w:rPr>
        <w:t xml:space="preserve"> </w:t>
      </w:r>
      <w:r>
        <w:rPr>
          <w:rFonts w:ascii="Arial" w:cs="Arial" w:eastAsia="Arial" w:hAnsi="Arial"/>
          <w:sz w:val="20"/>
          <w:szCs w:val="20"/>
          <w:color w:val="auto"/>
        </w:rPr>
        <w:t>uncertainties that could cause our actual results to differ materially from the Company’s historical results or our current expectations or projections; and</w:t>
      </w:r>
    </w:p>
    <w:p>
      <w:pPr>
        <w:spacing w:after="0" w:line="1" w:lineRule="exact"/>
        <w:rPr>
          <w:rFonts w:ascii="Arial" w:cs="Arial" w:eastAsia="Arial" w:hAnsi="Arial"/>
          <w:sz w:val="20"/>
          <w:szCs w:val="20"/>
          <w:color w:val="auto"/>
        </w:rPr>
      </w:pPr>
    </w:p>
    <w:p>
      <w:pPr>
        <w:ind w:left="980" w:hanging="324"/>
        <w:spacing w:after="0" w:line="244" w:lineRule="auto"/>
        <w:tabs>
          <w:tab w:leader="none" w:pos="930"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Market Risks </w:t>
      </w:r>
      <w:r>
        <w:rPr>
          <w:rFonts w:ascii="Arial" w:cs="Arial" w:eastAsia="Arial" w:hAnsi="Arial"/>
          <w:sz w:val="20"/>
          <w:szCs w:val="20"/>
          <w:color w:val="auto"/>
        </w:rPr>
        <w:t>– information about market risks and risk management. (See “</w:t>
      </w:r>
      <w:r>
        <w:rPr>
          <w:rFonts w:ascii="Arial" w:cs="Arial" w:eastAsia="Arial" w:hAnsi="Arial"/>
          <w:sz w:val="20"/>
          <w:szCs w:val="20"/>
          <w:i w:val="1"/>
          <w:iCs w:val="1"/>
          <w:color w:val="auto"/>
        </w:rPr>
        <w:t>Forward Looking Statements</w:t>
      </w:r>
      <w:r>
        <w:rPr>
          <w:rFonts w:ascii="Arial" w:cs="Arial" w:eastAsia="Arial" w:hAnsi="Arial"/>
          <w:sz w:val="20"/>
          <w:szCs w:val="20"/>
          <w:color w:val="auto"/>
        </w:rPr>
        <w:t>” and “Part II, Item 7A –</w:t>
      </w:r>
      <w:r>
        <w:rPr>
          <w:rFonts w:ascii="Arial" w:cs="Arial" w:eastAsia="Arial" w:hAnsi="Arial"/>
          <w:sz w:val="20"/>
          <w:szCs w:val="20"/>
          <w:i w:val="1"/>
          <w:iCs w:val="1"/>
          <w:color w:val="auto"/>
        </w:rPr>
        <w:t xml:space="preserve"> </w:t>
      </w:r>
      <w:r>
        <w:rPr>
          <w:rFonts w:ascii="Arial" w:cs="Arial" w:eastAsia="Arial" w:hAnsi="Arial"/>
          <w:sz w:val="20"/>
          <w:szCs w:val="20"/>
          <w:color w:val="auto"/>
        </w:rPr>
        <w:t>Qualitative and Quantitative Disclosures About Market Risks”).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develop, market, sell and distribute “alternative” beverage category natural sodas, fruit juices, juice blends, juice drinks, energy drinks and energy sports drinks, fruit juice smoothies and “functional” drinks, non-carbonated ready-to-drink iced teas, children’s multi-vitamin juice drinks, Junior Juice® juices, Junior Juice Water and flavored sparkling beverages under the Hansen’s® brand name. We develop, market, sell and distribute energy drinks under the following brand names: Monster Energy®, Monster Hitman Energy Shooter</w:t>
      </w:r>
      <w:r>
        <w:rPr>
          <w:rFonts w:ascii="Arial" w:cs="Arial" w:eastAsia="Arial" w:hAnsi="Arial"/>
          <w:sz w:val="11"/>
          <w:szCs w:val="11"/>
          <w:color w:val="auto"/>
        </w:rPr>
        <w:t>TM</w:t>
      </w:r>
      <w:r>
        <w:rPr>
          <w:rFonts w:ascii="Arial" w:cs="Arial" w:eastAsia="Arial" w:hAnsi="Arial"/>
          <w:sz w:val="19"/>
          <w:szCs w:val="19"/>
          <w:color w:val="auto"/>
        </w:rPr>
        <w:t xml:space="preserve"> and Lost® Energy</w:t>
      </w:r>
      <w:r>
        <w:rPr>
          <w:rFonts w:ascii="Arial" w:cs="Arial" w:eastAsia="Arial" w:hAnsi="Arial"/>
          <w:sz w:val="11"/>
          <w:szCs w:val="11"/>
          <w:color w:val="auto"/>
        </w:rPr>
        <w:t>TM</w:t>
      </w:r>
      <w:r>
        <w:rPr>
          <w:rFonts w:ascii="Arial" w:cs="Arial" w:eastAsia="Arial" w:hAnsi="Arial"/>
          <w:sz w:val="19"/>
          <w:szCs w:val="19"/>
          <w:color w:val="auto"/>
        </w:rPr>
        <w:t xml:space="preserve"> brand names as well as Rumba®, Samba and Tango brand energy juices. We market, sell and distribute the Java Monster</w:t>
      </w:r>
      <w:r>
        <w:rPr>
          <w:rFonts w:ascii="Arial" w:cs="Arial" w:eastAsia="Arial" w:hAnsi="Arial"/>
          <w:sz w:val="11"/>
          <w:szCs w:val="11"/>
          <w:color w:val="auto"/>
        </w:rPr>
        <w:t>TM</w:t>
      </w:r>
      <w:r>
        <w:rPr>
          <w:rFonts w:ascii="Arial" w:cs="Arial" w:eastAsia="Arial" w:hAnsi="Arial"/>
          <w:sz w:val="19"/>
          <w:szCs w:val="19"/>
          <w:color w:val="auto"/>
        </w:rPr>
        <w:t xml:space="preserve"> line of non-carbonated dairy based coffee + energy drinks. We market, sell and distribute natural sodas, premium natural sodas with supplements, organic natural sodas, seltzer waters, sports drinks and energy drinks under the Blue Sky® brand name. We market, sell and distribute enhanced water beverages under the Vidration</w:t>
      </w:r>
      <w:r>
        <w:rPr>
          <w:rFonts w:ascii="Arial" w:cs="Arial" w:eastAsia="Arial" w:hAnsi="Arial"/>
          <w:sz w:val="11"/>
          <w:szCs w:val="11"/>
          <w:color w:val="auto"/>
        </w:rPr>
        <w:t>TM</w:t>
      </w:r>
      <w:r>
        <w:rPr>
          <w:rFonts w:ascii="Arial" w:cs="Arial" w:eastAsia="Arial" w:hAnsi="Arial"/>
          <w:sz w:val="19"/>
          <w:szCs w:val="19"/>
          <w:color w:val="auto"/>
        </w:rPr>
        <w:t xml:space="preserve"> brand name.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In 2009 we introduced the following products:</w:t>
      </w:r>
    </w:p>
    <w:p>
      <w:pPr>
        <w:spacing w:after="0" w:line="229" w:lineRule="exact"/>
        <w:rPr>
          <w:sz w:val="20"/>
          <w:szCs w:val="20"/>
          <w:color w:val="auto"/>
        </w:rPr>
      </w:pPr>
    </w:p>
    <w:p>
      <w:pPr>
        <w:ind w:left="660" w:hanging="328"/>
        <w:spacing w:after="0" w:line="247" w:lineRule="auto"/>
        <w:tabs>
          <w:tab w:leader="none" w:pos="583" w:val="left"/>
        </w:tabs>
        <w:numPr>
          <w:ilvl w:val="0"/>
          <w:numId w:val="15"/>
        </w:numPr>
        <w:rPr>
          <w:rFonts w:ascii="Arial" w:cs="Arial" w:eastAsia="Arial" w:hAnsi="Arial"/>
          <w:sz w:val="20"/>
          <w:szCs w:val="20"/>
          <w:color w:val="auto"/>
        </w:rPr>
      </w:pPr>
      <w:r>
        <w:rPr>
          <w:rFonts w:ascii="Arial" w:cs="Arial" w:eastAsia="Arial" w:hAnsi="Arial"/>
          <w:sz w:val="20"/>
          <w:szCs w:val="20"/>
          <w:color w:val="auto"/>
        </w:rPr>
        <w:t>Monster Energy® Import energy drink, which is packaged in 550 ml BRE aluminum cans manufactured in Europe and imported into the United States (May 2009).</w:t>
      </w:r>
    </w:p>
    <w:p>
      <w:pPr>
        <w:spacing w:after="0" w:line="1" w:lineRule="exact"/>
        <w:rPr>
          <w:rFonts w:ascii="Arial" w:cs="Arial" w:eastAsia="Arial" w:hAnsi="Arial"/>
          <w:sz w:val="20"/>
          <w:szCs w:val="20"/>
          <w:color w:val="auto"/>
        </w:rPr>
      </w:pPr>
    </w:p>
    <w:p>
      <w:pPr>
        <w:ind w:left="660" w:right="100" w:hanging="328"/>
        <w:spacing w:after="0" w:line="244" w:lineRule="auto"/>
        <w:tabs>
          <w:tab w:leader="none" w:pos="583" w:val="left"/>
        </w:tabs>
        <w:numPr>
          <w:ilvl w:val="0"/>
          <w:numId w:val="15"/>
        </w:numPr>
        <w:rPr>
          <w:rFonts w:ascii="Arial" w:cs="Arial" w:eastAsia="Arial" w:hAnsi="Arial"/>
          <w:sz w:val="20"/>
          <w:szCs w:val="20"/>
          <w:color w:val="auto"/>
        </w:rPr>
      </w:pPr>
      <w:r>
        <w:rPr>
          <w:rFonts w:ascii="Arial" w:cs="Arial" w:eastAsia="Arial" w:hAnsi="Arial"/>
          <w:sz w:val="20"/>
          <w:szCs w:val="20"/>
          <w:color w:val="auto"/>
        </w:rPr>
        <w:t>X-Presso Monster</w:t>
      </w:r>
      <w:r>
        <w:rPr>
          <w:rFonts w:ascii="Arial" w:cs="Arial" w:eastAsia="Arial" w:hAnsi="Arial"/>
          <w:sz w:val="11"/>
          <w:szCs w:val="11"/>
          <w:color w:val="auto"/>
        </w:rPr>
        <w:t>TM</w:t>
      </w:r>
      <w:r>
        <w:rPr>
          <w:rFonts w:ascii="Arial" w:cs="Arial" w:eastAsia="Arial" w:hAnsi="Arial"/>
          <w:sz w:val="20"/>
          <w:szCs w:val="20"/>
          <w:color w:val="auto"/>
        </w:rPr>
        <w:t>-Hammer, a non-carbonated espresso energy drink packaged in 6.75-ounce aluminum cans manufactured in Europe and imported into the United States (June 2009).</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70"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right="160" w:hanging="328"/>
        <w:spacing w:after="0" w:line="247" w:lineRule="auto"/>
        <w:tabs>
          <w:tab w:leader="none" w:pos="583" w:val="left"/>
        </w:tabs>
        <w:numPr>
          <w:ilvl w:val="0"/>
          <w:numId w:val="16"/>
        </w:numPr>
        <w:rPr>
          <w:rFonts w:ascii="Arial" w:cs="Arial" w:eastAsia="Arial" w:hAnsi="Arial"/>
          <w:sz w:val="20"/>
          <w:szCs w:val="20"/>
          <w:color w:val="auto"/>
        </w:rPr>
      </w:pPr>
      <w:r>
        <w:rPr>
          <w:rFonts w:ascii="Arial" w:cs="Arial" w:eastAsia="Arial" w:hAnsi="Arial"/>
          <w:sz w:val="20"/>
          <w:szCs w:val="20"/>
          <w:color w:val="auto"/>
        </w:rPr>
        <w:t>Nitrous</w:t>
      </w:r>
      <w:r>
        <w:rPr>
          <w:rFonts w:ascii="Arial" w:cs="Arial" w:eastAsia="Arial" w:hAnsi="Arial"/>
          <w:sz w:val="11"/>
          <w:szCs w:val="11"/>
          <w:color w:val="auto"/>
        </w:rPr>
        <w:t>TM</w:t>
      </w:r>
      <w:r>
        <w:rPr>
          <w:rFonts w:ascii="Arial" w:cs="Arial" w:eastAsia="Arial" w:hAnsi="Arial"/>
          <w:sz w:val="20"/>
          <w:szCs w:val="20"/>
          <w:color w:val="auto"/>
        </w:rPr>
        <w:t xml:space="preserve"> Monster Energy®, a line of energy drinks which is carbonated and contains nitrous oxide, and is packaged in re-sealable 12-ounce sleek aluminum cap-cans, in three variants (July 2009).</w:t>
      </w:r>
    </w:p>
    <w:p>
      <w:pPr>
        <w:spacing w:after="0" w:line="1" w:lineRule="exact"/>
        <w:rPr>
          <w:rFonts w:ascii="Arial" w:cs="Arial" w:eastAsia="Arial" w:hAnsi="Arial"/>
          <w:sz w:val="20"/>
          <w:szCs w:val="20"/>
          <w:color w:val="auto"/>
        </w:rPr>
      </w:pPr>
    </w:p>
    <w:p>
      <w:pPr>
        <w:ind w:left="580" w:hanging="248"/>
        <w:spacing w:after="0"/>
        <w:tabs>
          <w:tab w:leader="none" w:pos="5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Monster Energy® “Dub Edition” energy drink, which is packaged in 32-ounce aluminum cans (October 2009).</w:t>
      </w:r>
    </w:p>
    <w:p>
      <w:pPr>
        <w:sectPr>
          <w:pgSz w:w="11900" w:h="16870" w:orient="portrait"/>
          <w:cols w:equalWidth="0" w:num="1">
            <w:col w:w="11420"/>
          </w:cols>
          <w:pgMar w:left="240" w:top="125" w:right="239" w:bottom="0" w:gutter="0" w:footer="0" w:header="0"/>
          <w:type w:val="continuous"/>
        </w:sectPr>
      </w:pPr>
    </w:p>
    <w:bookmarkStart w:id="22" w:name="page23"/>
    <w:bookmarkEnd w:id="22"/>
    <w:p>
      <w:pPr>
        <w:ind w:left="660" w:right="60" w:hanging="328"/>
        <w:spacing w:after="0" w:line="248" w:lineRule="auto"/>
        <w:tabs>
          <w:tab w:leader="none" w:pos="583" w:val="left"/>
        </w:tabs>
        <w:numPr>
          <w:ilvl w:val="0"/>
          <w:numId w:val="17"/>
        </w:numPr>
        <w:rPr>
          <w:rFonts w:ascii="Arial" w:cs="Arial" w:eastAsia="Arial" w:hAnsi="Arial"/>
          <w:sz w:val="20"/>
          <w:szCs w:val="20"/>
          <w:color w:val="auto"/>
        </w:rPr>
      </w:pPr>
      <w:r>
        <w:rPr>
          <w:rFonts w:ascii="Arial" w:cs="Arial" w:eastAsia="Arial" w:hAnsi="Arial"/>
          <w:sz w:val="20"/>
          <w:szCs w:val="20"/>
          <w:color w:val="auto"/>
        </w:rPr>
        <w:t>Hansen’s® Natural Lo-Cal, a new line of all natural, low calorie 64-ounce juice cocktails in four flavors (September 2009). The Lo-Cal juice cocktails are sweetened with Truvia</w:t>
      </w:r>
      <w:r>
        <w:rPr>
          <w:rFonts w:ascii="Arial" w:cs="Arial" w:eastAsia="Arial" w:hAnsi="Arial"/>
          <w:sz w:val="11"/>
          <w:szCs w:val="11"/>
          <w:color w:val="auto"/>
        </w:rPr>
        <w:t>TM</w:t>
      </w:r>
      <w:r>
        <w:rPr>
          <w:rFonts w:ascii="Arial" w:cs="Arial" w:eastAsia="Arial" w:hAnsi="Arial"/>
          <w:sz w:val="20"/>
          <w:szCs w:val="20"/>
          <w:color w:val="auto"/>
        </w:rPr>
        <w:t xml:space="preserve"> brand stevia extract, an all natural sweetener.</w:t>
      </w:r>
    </w:p>
    <w:p>
      <w:pPr>
        <w:spacing w:after="0" w:line="1" w:lineRule="exact"/>
        <w:rPr>
          <w:rFonts w:ascii="Arial" w:cs="Arial" w:eastAsia="Arial" w:hAnsi="Arial"/>
          <w:sz w:val="20"/>
          <w:szCs w:val="20"/>
          <w:color w:val="auto"/>
        </w:rPr>
      </w:pPr>
    </w:p>
    <w:p>
      <w:pPr>
        <w:ind w:left="660" w:right="140" w:hanging="328"/>
        <w:spacing w:after="0" w:line="239" w:lineRule="auto"/>
        <w:tabs>
          <w:tab w:leader="none" w:pos="583" w:val="left"/>
        </w:tabs>
        <w:numPr>
          <w:ilvl w:val="0"/>
          <w:numId w:val="17"/>
        </w:numPr>
        <w:rPr>
          <w:rFonts w:ascii="Arial" w:cs="Arial" w:eastAsia="Arial" w:hAnsi="Arial"/>
          <w:sz w:val="20"/>
          <w:szCs w:val="20"/>
          <w:color w:val="auto"/>
        </w:rPr>
      </w:pPr>
      <w:r>
        <w:rPr>
          <w:rFonts w:ascii="Arial" w:cs="Arial" w:eastAsia="Arial" w:hAnsi="Arial"/>
          <w:sz w:val="20"/>
          <w:szCs w:val="20"/>
          <w:color w:val="auto"/>
        </w:rPr>
        <w:t>SELF Beauty Elixir</w:t>
      </w:r>
      <w:r>
        <w:rPr>
          <w:rFonts w:ascii="Arial" w:cs="Arial" w:eastAsia="Arial" w:hAnsi="Arial"/>
          <w:sz w:val="11"/>
          <w:szCs w:val="11"/>
          <w:color w:val="auto"/>
        </w:rPr>
        <w:t>TM</w:t>
      </w:r>
      <w:r>
        <w:rPr>
          <w:rFonts w:ascii="Arial" w:cs="Arial" w:eastAsia="Arial" w:hAnsi="Arial"/>
          <w:sz w:val="20"/>
          <w:szCs w:val="20"/>
          <w:color w:val="auto"/>
        </w:rPr>
        <w:t xml:space="preserve"> by Hansen’s®, a new line of a low-calorie, functional, ready-to-drink beauty beverages infused with an essential blend of vitamins, minerals, natural fruit &amp; botanical extracts with antioxidants (August 2009).</w:t>
      </w:r>
    </w:p>
    <w:p>
      <w:pPr>
        <w:spacing w:after="0" w:line="1" w:lineRule="exact"/>
        <w:rPr>
          <w:rFonts w:ascii="Arial" w:cs="Arial" w:eastAsia="Arial" w:hAnsi="Arial"/>
          <w:sz w:val="20"/>
          <w:szCs w:val="20"/>
          <w:color w:val="auto"/>
        </w:rPr>
      </w:pPr>
    </w:p>
    <w:p>
      <w:pPr>
        <w:ind w:left="660" w:right="800" w:hanging="328"/>
        <w:spacing w:after="0" w:line="239" w:lineRule="auto"/>
        <w:tabs>
          <w:tab w:leader="none" w:pos="583" w:val="left"/>
        </w:tabs>
        <w:numPr>
          <w:ilvl w:val="0"/>
          <w:numId w:val="17"/>
        </w:numPr>
        <w:rPr>
          <w:rFonts w:ascii="Arial" w:cs="Arial" w:eastAsia="Arial" w:hAnsi="Arial"/>
          <w:sz w:val="20"/>
          <w:szCs w:val="20"/>
          <w:color w:val="auto"/>
        </w:rPr>
      </w:pPr>
      <w:r>
        <w:rPr>
          <w:rFonts w:ascii="Arial" w:cs="Arial" w:eastAsia="Arial" w:hAnsi="Arial"/>
          <w:sz w:val="20"/>
          <w:szCs w:val="20"/>
          <w:color w:val="auto"/>
        </w:rPr>
        <w:t>Blue Sky® Free Sodas, a new line of all natural, zero calorie sodas sweetened with Truvia</w:t>
      </w:r>
      <w:r>
        <w:rPr>
          <w:rFonts w:ascii="Arial" w:cs="Arial" w:eastAsia="Arial" w:hAnsi="Arial"/>
          <w:sz w:val="11"/>
          <w:szCs w:val="11"/>
          <w:color w:val="auto"/>
        </w:rPr>
        <w:t>TM</w:t>
      </w:r>
      <w:r>
        <w:rPr>
          <w:rFonts w:ascii="Arial" w:cs="Arial" w:eastAsia="Arial" w:hAnsi="Arial"/>
          <w:sz w:val="20"/>
          <w:szCs w:val="20"/>
          <w:color w:val="auto"/>
        </w:rPr>
        <w:t xml:space="preserve"> brand stevia extract, an all natural sweetener (September 2009).</w:t>
      </w:r>
    </w:p>
    <w:p>
      <w:pPr>
        <w:spacing w:after="0" w:line="1" w:lineRule="exact"/>
        <w:rPr>
          <w:rFonts w:ascii="Arial" w:cs="Arial" w:eastAsia="Arial" w:hAnsi="Arial"/>
          <w:sz w:val="20"/>
          <w:szCs w:val="20"/>
          <w:color w:val="auto"/>
        </w:rPr>
      </w:pPr>
    </w:p>
    <w:p>
      <w:pPr>
        <w:ind w:left="580" w:hanging="248"/>
        <w:spacing w:after="0"/>
        <w:tabs>
          <w:tab w:leader="none" w:pos="5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Peace Tea</w:t>
      </w:r>
      <w:r>
        <w:rPr>
          <w:rFonts w:ascii="Arial" w:cs="Arial" w:eastAsia="Arial" w:hAnsi="Arial"/>
          <w:sz w:val="11"/>
          <w:szCs w:val="11"/>
          <w:color w:val="auto"/>
        </w:rPr>
        <w:t>TM</w:t>
      </w:r>
      <w:r>
        <w:rPr>
          <w:rFonts w:ascii="Arial" w:cs="Arial" w:eastAsia="Arial" w:hAnsi="Arial"/>
          <w:sz w:val="20"/>
          <w:szCs w:val="20"/>
          <w:color w:val="auto"/>
        </w:rPr>
        <w:t>, a new line of ready-to-drink iced teas in 23-ounce aluminum cans (December 2009).</w:t>
      </w:r>
    </w:p>
    <w:p>
      <w:pPr>
        <w:spacing w:after="0" w:line="21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have two reportable segments, namely DSD, whose principal products comprise energy drinks, and Warehouse, whose principal products comprise juice 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the DSD or Warehouse segments specifically have been allocated to “Corporate &amp; Unallocated.”</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Monster Energy® brand energy drinks include Monster Energy® energy drinks, lo-carb Monster Energy® energy drinks, Monster Energy® Assault® energy drinks, Monster Energy® Khaos</w:t>
      </w:r>
      <w:r>
        <w:rPr>
          <w:rFonts w:ascii="Arial" w:cs="Arial" w:eastAsia="Arial" w:hAnsi="Arial"/>
          <w:sz w:val="11"/>
          <w:szCs w:val="11"/>
          <w:color w:val="auto"/>
        </w:rPr>
        <w:t>TM</w:t>
      </w:r>
      <w:r>
        <w:rPr>
          <w:rFonts w:ascii="Arial" w:cs="Arial" w:eastAsia="Arial" w:hAnsi="Arial"/>
          <w:sz w:val="20"/>
          <w:szCs w:val="20"/>
          <w:color w:val="auto"/>
        </w:rPr>
        <w:t xml:space="preserve"> energy drinks, Monster Energy® M-80</w:t>
      </w:r>
      <w:r>
        <w:rPr>
          <w:rFonts w:ascii="Arial" w:cs="Arial" w:eastAsia="Arial" w:hAnsi="Arial"/>
          <w:sz w:val="11"/>
          <w:szCs w:val="11"/>
          <w:color w:val="auto"/>
        </w:rPr>
        <w:t>TM</w:t>
      </w:r>
      <w:r>
        <w:rPr>
          <w:rFonts w:ascii="Arial" w:cs="Arial" w:eastAsia="Arial" w:hAnsi="Arial"/>
          <w:sz w:val="20"/>
          <w:szCs w:val="20"/>
          <w:color w:val="auto"/>
        </w:rPr>
        <w:t xml:space="preserve"> energy drinks (named “RIPPER” in certain countries), Monster Energy® Heavy Metal</w:t>
      </w:r>
      <w:r>
        <w:rPr>
          <w:rFonts w:ascii="Arial" w:cs="Arial" w:eastAsia="Arial" w:hAnsi="Arial"/>
          <w:sz w:val="11"/>
          <w:szCs w:val="11"/>
          <w:color w:val="auto"/>
        </w:rPr>
        <w:t>TM</w:t>
      </w:r>
      <w:r>
        <w:rPr>
          <w:rFonts w:ascii="Arial" w:cs="Arial" w:eastAsia="Arial" w:hAnsi="Arial"/>
          <w:sz w:val="20"/>
          <w:szCs w:val="20"/>
          <w:color w:val="auto"/>
        </w:rPr>
        <w:t xml:space="preserve"> energy drinks, Monster Energy® MIXXD</w:t>
      </w:r>
      <w:r>
        <w:rPr>
          <w:rFonts w:ascii="Arial" w:cs="Arial" w:eastAsia="Arial" w:hAnsi="Arial"/>
          <w:sz w:val="11"/>
          <w:szCs w:val="11"/>
          <w:color w:val="auto"/>
        </w:rPr>
        <w:t>TM</w:t>
      </w:r>
      <w:r>
        <w:rPr>
          <w:rFonts w:ascii="Arial" w:cs="Arial" w:eastAsia="Arial" w:hAnsi="Arial"/>
          <w:sz w:val="20"/>
          <w:szCs w:val="20"/>
          <w:color w:val="auto"/>
        </w:rPr>
        <w:t xml:space="preserve"> energy drinks, Monster Energy® Import energy drinks and Monster Energy® Dub Edition energy drinks.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Java Monster</w:t>
      </w:r>
      <w:r>
        <w:rPr>
          <w:rFonts w:ascii="Arial" w:cs="Arial" w:eastAsia="Arial" w:hAnsi="Arial"/>
          <w:sz w:val="11"/>
          <w:szCs w:val="11"/>
          <w:color w:val="auto"/>
        </w:rPr>
        <w:t>TM</w:t>
      </w:r>
      <w:r>
        <w:rPr>
          <w:rFonts w:ascii="Arial" w:cs="Arial" w:eastAsia="Arial" w:hAnsi="Arial"/>
          <w:sz w:val="20"/>
          <w:szCs w:val="20"/>
          <w:color w:val="auto"/>
        </w:rPr>
        <w:t xml:space="preserve"> line of non-carbonated dairy based coffee + energy drinks include Java Monster</w:t>
      </w:r>
      <w:r>
        <w:rPr>
          <w:rFonts w:ascii="Arial" w:cs="Arial" w:eastAsia="Arial" w:hAnsi="Arial"/>
          <w:sz w:val="11"/>
          <w:szCs w:val="11"/>
          <w:color w:val="auto"/>
        </w:rPr>
        <w:t>TM</w:t>
      </w:r>
      <w:r>
        <w:rPr>
          <w:rFonts w:ascii="Arial" w:cs="Arial" w:eastAsia="Arial" w:hAnsi="Arial"/>
          <w:sz w:val="20"/>
          <w:szCs w:val="20"/>
          <w:color w:val="auto"/>
        </w:rPr>
        <w:t xml:space="preserve"> Originale</w:t>
      </w:r>
      <w:r>
        <w:rPr>
          <w:rFonts w:ascii="Arial" w:cs="Arial" w:eastAsia="Arial" w:hAnsi="Arial"/>
          <w:sz w:val="11"/>
          <w:szCs w:val="11"/>
          <w:color w:val="auto"/>
        </w:rPr>
        <w:t>TM</w:t>
      </w:r>
      <w:r>
        <w:rPr>
          <w:rFonts w:ascii="Arial" w:cs="Arial" w:eastAsia="Arial" w:hAnsi="Arial"/>
          <w:sz w:val="20"/>
          <w:szCs w:val="20"/>
          <w:color w:val="auto"/>
        </w:rPr>
        <w:t>, Java Monster</w:t>
      </w:r>
      <w:r>
        <w:rPr>
          <w:rFonts w:ascii="Arial" w:cs="Arial" w:eastAsia="Arial" w:hAnsi="Arial"/>
          <w:sz w:val="11"/>
          <w:szCs w:val="11"/>
          <w:color w:val="auto"/>
        </w:rPr>
        <w:t>TM</w:t>
      </w:r>
      <w:r>
        <w:rPr>
          <w:rFonts w:ascii="Arial" w:cs="Arial" w:eastAsia="Arial" w:hAnsi="Arial"/>
          <w:sz w:val="20"/>
          <w:szCs w:val="20"/>
          <w:color w:val="auto"/>
        </w:rPr>
        <w:t xml:space="preserve"> Loca Moca®, Java Monster</w:t>
      </w:r>
      <w:r>
        <w:rPr>
          <w:rFonts w:ascii="Arial" w:cs="Arial" w:eastAsia="Arial" w:hAnsi="Arial"/>
          <w:sz w:val="11"/>
          <w:szCs w:val="11"/>
          <w:color w:val="auto"/>
        </w:rPr>
        <w:t>TM</w:t>
      </w:r>
      <w:r>
        <w:rPr>
          <w:rFonts w:ascii="Arial" w:cs="Arial" w:eastAsia="Arial" w:hAnsi="Arial"/>
          <w:sz w:val="20"/>
          <w:szCs w:val="20"/>
          <w:color w:val="auto"/>
        </w:rPr>
        <w:t xml:space="preserve"> Mean Bean®, Java Monster</w:t>
      </w:r>
      <w:r>
        <w:rPr>
          <w:rFonts w:ascii="Arial" w:cs="Arial" w:eastAsia="Arial" w:hAnsi="Arial"/>
          <w:sz w:val="11"/>
          <w:szCs w:val="11"/>
          <w:color w:val="auto"/>
        </w:rPr>
        <w:t>TM</w:t>
      </w:r>
      <w:r>
        <w:rPr>
          <w:rFonts w:ascii="Arial" w:cs="Arial" w:eastAsia="Arial" w:hAnsi="Arial"/>
          <w:sz w:val="20"/>
          <w:szCs w:val="20"/>
          <w:color w:val="auto"/>
        </w:rPr>
        <w:t xml:space="preserve"> Russian, Java Monster</w:t>
      </w:r>
      <w:r>
        <w:rPr>
          <w:rFonts w:ascii="Arial" w:cs="Arial" w:eastAsia="Arial" w:hAnsi="Arial"/>
          <w:sz w:val="11"/>
          <w:szCs w:val="11"/>
          <w:color w:val="auto"/>
        </w:rPr>
        <w:t>TM</w:t>
      </w:r>
      <w:r>
        <w:rPr>
          <w:rFonts w:ascii="Arial" w:cs="Arial" w:eastAsia="Arial" w:hAnsi="Arial"/>
          <w:sz w:val="20"/>
          <w:szCs w:val="20"/>
          <w:color w:val="auto"/>
        </w:rPr>
        <w:t xml:space="preserve"> Irish Blend</w:t>
      </w:r>
      <w:r>
        <w:rPr>
          <w:rFonts w:ascii="Arial" w:cs="Arial" w:eastAsia="Arial" w:hAnsi="Arial"/>
          <w:sz w:val="11"/>
          <w:szCs w:val="11"/>
          <w:color w:val="auto"/>
        </w:rPr>
        <w:t>TM</w:t>
      </w:r>
      <w:r>
        <w:rPr>
          <w:rFonts w:ascii="Arial" w:cs="Arial" w:eastAsia="Arial" w:hAnsi="Arial"/>
          <w:sz w:val="20"/>
          <w:szCs w:val="20"/>
          <w:color w:val="auto"/>
        </w:rPr>
        <w:t>, Java Monster</w:t>
      </w:r>
      <w:r>
        <w:rPr>
          <w:rFonts w:ascii="Arial" w:cs="Arial" w:eastAsia="Arial" w:hAnsi="Arial"/>
          <w:sz w:val="11"/>
          <w:szCs w:val="11"/>
          <w:color w:val="auto"/>
        </w:rPr>
        <w:t>TM</w:t>
      </w:r>
      <w:r>
        <w:rPr>
          <w:rFonts w:ascii="Arial" w:cs="Arial" w:eastAsia="Arial" w:hAnsi="Arial"/>
          <w:sz w:val="20"/>
          <w:szCs w:val="20"/>
          <w:color w:val="auto"/>
        </w:rPr>
        <w:t xml:space="preserve"> Chai Hai</w:t>
      </w:r>
      <w:r>
        <w:rPr>
          <w:rFonts w:ascii="Arial" w:cs="Arial" w:eastAsia="Arial" w:hAnsi="Arial"/>
          <w:sz w:val="11"/>
          <w:szCs w:val="11"/>
          <w:color w:val="auto"/>
        </w:rPr>
        <w:t>TM</w:t>
      </w:r>
      <w:r>
        <w:rPr>
          <w:rFonts w:ascii="Arial" w:cs="Arial" w:eastAsia="Arial" w:hAnsi="Arial"/>
          <w:sz w:val="20"/>
          <w:szCs w:val="20"/>
          <w:color w:val="auto"/>
        </w:rPr>
        <w:t>, Java Monster</w:t>
      </w:r>
      <w:r>
        <w:rPr>
          <w:rFonts w:ascii="Arial" w:cs="Arial" w:eastAsia="Arial" w:hAnsi="Arial"/>
          <w:sz w:val="11"/>
          <w:szCs w:val="11"/>
          <w:color w:val="auto"/>
        </w:rPr>
        <w:t>TM</w:t>
      </w:r>
      <w:r>
        <w:rPr>
          <w:rFonts w:ascii="Arial" w:cs="Arial" w:eastAsia="Arial" w:hAnsi="Arial"/>
          <w:sz w:val="20"/>
          <w:szCs w:val="20"/>
          <w:color w:val="auto"/>
        </w:rPr>
        <w:t xml:space="preserve"> Nut Up</w:t>
      </w:r>
      <w:r>
        <w:rPr>
          <w:rFonts w:ascii="Arial" w:cs="Arial" w:eastAsia="Arial" w:hAnsi="Arial"/>
          <w:sz w:val="11"/>
          <w:szCs w:val="11"/>
          <w:color w:val="auto"/>
        </w:rPr>
        <w:t>TM</w:t>
      </w:r>
      <w:r>
        <w:rPr>
          <w:rFonts w:ascii="Arial" w:cs="Arial" w:eastAsia="Arial" w:hAnsi="Arial"/>
          <w:sz w:val="20"/>
          <w:szCs w:val="20"/>
          <w:color w:val="auto"/>
        </w:rPr>
        <w:t xml:space="preserve"> and Java Monster</w:t>
      </w:r>
      <w:r>
        <w:rPr>
          <w:rFonts w:ascii="Arial" w:cs="Arial" w:eastAsia="Arial" w:hAnsi="Arial"/>
          <w:sz w:val="11"/>
          <w:szCs w:val="11"/>
          <w:color w:val="auto"/>
        </w:rPr>
        <w:t>TM</w:t>
      </w:r>
      <w:r>
        <w:rPr>
          <w:rFonts w:ascii="Arial" w:cs="Arial" w:eastAsia="Arial" w:hAnsi="Arial"/>
          <w:sz w:val="20"/>
          <w:szCs w:val="20"/>
          <w:color w:val="auto"/>
        </w:rPr>
        <w:t xml:space="preserve"> Lo-Ball as well as our X-Presso Monster</w:t>
      </w:r>
      <w:r>
        <w:rPr>
          <w:rFonts w:ascii="Arial" w:cs="Arial" w:eastAsia="Arial" w:hAnsi="Arial"/>
          <w:sz w:val="11"/>
          <w:szCs w:val="11"/>
          <w:color w:val="auto"/>
        </w:rPr>
        <w:t>TM</w:t>
      </w:r>
      <w:r>
        <w:rPr>
          <w:rFonts w:ascii="Arial" w:cs="Arial" w:eastAsia="Arial" w:hAnsi="Arial"/>
          <w:sz w:val="20"/>
          <w:szCs w:val="20"/>
          <w:color w:val="auto"/>
        </w:rPr>
        <w:t>-Hammer energy drink.</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 substantial portion of our gross sales are derived from our Monster Energy® brand energy drinks and our Java Monster</w:t>
      </w:r>
      <w:r>
        <w:rPr>
          <w:rFonts w:ascii="Arial" w:cs="Arial" w:eastAsia="Arial" w:hAnsi="Arial"/>
          <w:sz w:val="11"/>
          <w:szCs w:val="11"/>
          <w:color w:val="auto"/>
        </w:rPr>
        <w:t>TM</w:t>
      </w:r>
      <w:r>
        <w:rPr>
          <w:rFonts w:ascii="Arial" w:cs="Arial" w:eastAsia="Arial" w:hAnsi="Arial"/>
          <w:sz w:val="19"/>
          <w:szCs w:val="19"/>
          <w:color w:val="auto"/>
        </w:rPr>
        <w:t xml:space="preserve"> product line. Any decrease in sales of our Monster Energy® brand energy drinks and/or Java Monster</w:t>
      </w:r>
      <w:r>
        <w:rPr>
          <w:rFonts w:ascii="Arial" w:cs="Arial" w:eastAsia="Arial" w:hAnsi="Arial"/>
          <w:sz w:val="11"/>
          <w:szCs w:val="11"/>
          <w:color w:val="auto"/>
        </w:rPr>
        <w:t>TM</w:t>
      </w:r>
      <w:r>
        <w:rPr>
          <w:rFonts w:ascii="Arial" w:cs="Arial" w:eastAsia="Arial" w:hAnsi="Arial"/>
          <w:sz w:val="19"/>
          <w:szCs w:val="19"/>
          <w:color w:val="auto"/>
        </w:rPr>
        <w:t xml:space="preserve"> product line could cause a significant adverse effect on our future revenues and net income. Our DSD segment represented 91.9%, 90.7% and 89.5% of our consolidated net sales for the years ended December 31, 2009, 2008 and 2007, respectively. Our Warehouse segment represented 8.1%, 9.3% and 10.5% of our consolidated net sales for the years ended December 31, 2009, 2008 and 2007, respectively. Competitive pressure in the energy drink category could adversely affect our operating results (See “Part I, Item 1A – Risk Factors”).</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achieve maximum shelf and display space exposure in sales outlets and maximum demand from consumers for our products, including advertising, in-store promotions and in-store placement of point-of-sale materials, racks, coolers and barrel coolers. We also utilize prize promotions, price promotions, competitions, endorsements from selected public and extreme sports figures, personality endorsements, including from television and other well known sports personalities, coupons, sampling and sponsorship of selected causes, events, athletes and teams. In-store posters,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outdoor posters, print, radio and television advertising, together with price promotions and coupons, may also be used to promote our brands.</w:t>
      </w:r>
    </w:p>
    <w:p>
      <w:pPr>
        <w:spacing w:after="0" w:line="25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believe that one of the keys to success in the beverage industry is differentiation, such as making Hansen’s®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and we will continue to reevaluate the same from time to time.</w:t>
      </w:r>
    </w:p>
    <w:p>
      <w:pPr>
        <w:spacing w:after="0" w:line="20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During 2009, we continued to expand our existing product lines and further develop our distribution markets, both domestically and internationally. In particular, we continued to focus on developing and marketing beverages that fall within the category generally described as the “alternative” beverage category, with particular emphasis on energy type drinks.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of our beverage products are manufactured by various third party bottlers and co-packers situated throughout the United States and abroad, under separate arrangements with each party.</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During the second quarter of 2006, we entered into the Off-Premise Agreements with AB. Under the Off-Premise Agreements, select AB Distributors distribute and sell, in markets designated by HBC, HBC’s Monster Energy® and Lost® Energy</w:t>
      </w:r>
      <w:r>
        <w:rPr>
          <w:rFonts w:ascii="Arial" w:cs="Arial" w:eastAsia="Arial" w:hAnsi="Arial"/>
          <w:sz w:val="10"/>
          <w:szCs w:val="10"/>
          <w:color w:val="auto"/>
        </w:rPr>
        <w:t>TM</w:t>
      </w:r>
      <w:r>
        <w:rPr>
          <w:rFonts w:ascii="Arial" w:cs="Arial" w:eastAsia="Arial" w:hAnsi="Arial"/>
          <w:sz w:val="18"/>
          <w:szCs w:val="18"/>
          <w:color w:val="auto"/>
        </w:rPr>
        <w:t xml:space="preserve"> brands non-alcoholic energy drinks and Rumba®, Samba and Tango brand energy juice, as well as additional products that may be agreed between the parties.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During the fourth quarter of 2008, we entered into the TCCC North American Coordination Agreement with TCCC. Pursuant to the TCCC North American Coordination Agreement, we have designated, and in the future may designate, territories in which the TCCC North American Bottlers will distribute and sell primarily our Monster Energy® beverages (the “Products”) in the United States and Canada.</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During the fourth quarter of 2008, we entered into the Monster Energy Distribution Agreement with CCE pursuant to which CCE was appointed to distribute, directly and through certain sub-distributors, the Products in the U.S. Territories. We may designate additional territories within reasonable proximity to the U.S. Territories and CCE will use reasonable good faith efforts to add the additional territories. During the fourth quarter of 2008, we entered into the Monster Energy Canadian Distribution Agreement with CCBC, pursuant to which CCBC has been appointed to distribute, directly and through certain sub-distributors, the Products in Canada, with performance commencing on January 1, 2009. In addition, during the fourth quarter of 2008, we entered into distribution agreements with Consolidated, United and other TCCC North American Bottlers for the distribution of Products in various territories within the United States.</w:t>
      </w:r>
    </w:p>
    <w:p>
      <w:pPr>
        <w:sectPr>
          <w:pgSz w:w="11900" w:h="16838" w:orient="portrait"/>
          <w:cols w:equalWidth="0" w:num="1">
            <w:col w:w="11420"/>
          </w:cols>
          <w:pgMar w:left="240" w:top="121" w:right="239" w:bottom="0" w:gutter="0" w:footer="0" w:header="0"/>
        </w:sectPr>
      </w:pPr>
    </w:p>
    <w:bookmarkStart w:id="23" w:name="page24"/>
    <w:bookmarkEnd w:id="23"/>
    <w:p>
      <w:pPr>
        <w:spacing w:after="0" w:line="1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the fourth quarter of 2008, we entered into the TCCC International Coordination Agreement with TCCC. Pursuant to the TCCC International Coordination Agreement, we have designated, and in the future may designate, countries in which we wish to appoint TCCC distributors to distribute and sell the Products.</w:t>
      </w:r>
    </w:p>
    <w:p>
      <w:pPr>
        <w:spacing w:after="0" w:line="2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the fourth quarter of 2008, we entered into the Monster Energy International Distribution Agreement and the Monster Energy Belgium Distribution Agreement with CCE pursuant to which CCE has been appointed to distribute directly and through certain sub-distributors the Products in Great Britain, France, Belgium, the Netherlands, Luxembourg and Monaco.</w:t>
      </w:r>
    </w:p>
    <w:p>
      <w:pPr>
        <w:spacing w:after="0" w:line="20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During the fourth quarter of 2008, we entered into a distribution agreement with Comercializadora Eloro, S.A., a subsidiary of Grupo Jumex, for exclusive distribution throughout Mexico, excluding the Baja and Sonora regions, of our Monster Energy® and Monster Energy®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Khaos</w:t>
      </w:r>
      <w:r>
        <w:rPr>
          <w:rFonts w:ascii="Arial" w:cs="Arial" w:eastAsia="Arial" w:hAnsi="Arial"/>
          <w:sz w:val="10"/>
          <w:szCs w:val="10"/>
          <w:color w:val="auto"/>
        </w:rPr>
        <w:t>TM</w:t>
      </w:r>
      <w:r>
        <w:rPr>
          <w:rFonts w:ascii="Arial" w:cs="Arial" w:eastAsia="Arial" w:hAnsi="Arial"/>
          <w:sz w:val="18"/>
          <w:szCs w:val="18"/>
          <w:color w:val="auto"/>
        </w:rPr>
        <w:t xml:space="preserve"> energy drinks as well as select Java Monster</w:t>
      </w:r>
      <w:r>
        <w:rPr>
          <w:rFonts w:ascii="Arial" w:cs="Arial" w:eastAsia="Arial" w:hAnsi="Arial"/>
          <w:sz w:val="10"/>
          <w:szCs w:val="10"/>
          <w:color w:val="auto"/>
        </w:rPr>
        <w:t>TM</w:t>
      </w:r>
      <w:r>
        <w:rPr>
          <w:rFonts w:ascii="Arial" w:cs="Arial" w:eastAsia="Arial" w:hAnsi="Arial"/>
          <w:sz w:val="18"/>
          <w:szCs w:val="18"/>
          <w:color w:val="auto"/>
        </w:rPr>
        <w:t xml:space="preserve"> product line drinks. Distribution under this agreement commenced January 26, 2009.</w:t>
      </w:r>
    </w:p>
    <w:p>
      <w:pPr>
        <w:spacing w:after="0" w:line="25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During the second quarter of 2009, we entered into a distribution agreement with Schweppes Australia Pty Ltd. for exclusive distribution throughout Australia of certain of our Monster Energy® energy drinks. Distribution under this agreement commenced in July 2009.</w:t>
      </w:r>
    </w:p>
    <w:p>
      <w:pPr>
        <w:spacing w:after="0" w:line="14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Pursuant to the new and/or amended distribution agreements entered into with certain distributors, net amounts of $5.7 million and $113.0 million from such distributors, relating to the cost of terminating certain of our prior distributors, were recorded for the years ended December 31, 2009 and 2008, respectively. Such amounts have been accounted for as deferred revenue and will be recognized as revenue ratably over the anticipated life of the respective distribution agreements, generally 20 years. Distributor receivables related to these new and/or amended distribution agreements totaled $5.2 million and $90.7 million as of December 31, 2009 and 2008, respectively. Revenue recognized was $7.5 million, $14.3 million and $1.9 million for the years ended December 31, 2009, 2008 and 2007, respectively. Included in the $14.3 million of revenue recognized for the year ended December 31, 2008, is $11.6 million related to the acceleration of deferred revenue balances associated with certain of our prior distributors who were terminated in the fourth quarter of 2008.</w:t>
      </w:r>
    </w:p>
    <w:p>
      <w:pPr>
        <w:spacing w:after="0" w:line="18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incurred termination costs to certain of our prior distributors amounting to $1.9 million, $118.1 million and $15.3 million in aggregate for the years ended December 31, 2009, 2008 and 2007, respectively. Such termination costs have been expensed in full and are included in operating expenses for the years ended December 31, 2009, 2008 and 2007. Accrued distributor terminations as of December 31, 2009 and 2008 were $3.0 million and $102.3 million, respectively. In addition, inventory returned to us by certain of our terminated distributors resulted in a reduction of gross sales of approximately $9.7 million in the fourth quarter and year ended December 31, 2008.</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We again achieved record gross sales of $1,309.3 million for the year ended December 31, 2009. The increase in gross sales in 2009 was primarily attributable to increased sales of certain of our existing products, particularly our Monster Energy® brand energy drinks. Gross sales for the year ended December 31, 2009 were positively impacted by advance purchases made by our customers in the 2009 fourth quarter due to our announcement of a new per case marketing contribution program for our Monster Energy® distributors commencing January 1, 2010, as well as to avoid potential interruptions in product supply due to our announcement to transition our North American operations to the SAP enterprise resource planning system commencing January 2010. We estimate that approximately 1% of gross sales for the year ended December 31, 2009, were attributable to such advance purchases. We did not limit the amount of our customers’ purchases during the fourth quarter of 2009. Gross sales for the year ended December 31, 2008 were impacted by a price increase announced during the fourth quarter of 2007 for all of our Monster Energy® brand energy drinks in 16-ounce cans and our Java Monster</w:t>
      </w:r>
      <w:r>
        <w:rPr>
          <w:rFonts w:ascii="Arial" w:cs="Arial" w:eastAsia="Arial" w:hAnsi="Arial"/>
          <w:sz w:val="11"/>
          <w:szCs w:val="11"/>
          <w:color w:val="auto"/>
        </w:rPr>
        <w:t>TM</w:t>
      </w:r>
      <w:r>
        <w:rPr>
          <w:rFonts w:ascii="Arial" w:cs="Arial" w:eastAsia="Arial" w:hAnsi="Arial"/>
          <w:sz w:val="19"/>
          <w:szCs w:val="19"/>
          <w:color w:val="auto"/>
        </w:rPr>
        <w:t xml:space="preserve"> product line, effective January 1, 2008. We estimate that gross sales for the year ended December 31, 2008 were reduced by approximately 2% as a result of purchases made by our customers in advance of such price increases. We did not limit the amount of purchases our customers could execute at our then existing 2007 fourth quarter prices.</w:t>
      </w:r>
    </w:p>
    <w:p>
      <w:pPr>
        <w:spacing w:after="0" w:line="19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For the years ended December 31, 2009, 2008 and 2007, our percentage increase in gross sales was 10.7%, 15.3% and 47.3%, respectively. We believe the decrease in the year on year percentage growth rate was in part attributable to the decrease in the overall growth rates of the markets in which we operate, in particular of the energy drink category, to general economic conditions as well as higher overall comparable sales levels. Consumer spending habits, including spending for the merchandise that we sell, are affected by, among other things, prevailing economic conditions, inflation, levels of employment, salaries and wage rates, prevailing interest rates, housing costs, energy and gas costs, income tax rates and policies, consumer confidence and consumer perception of economic conditions.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addition, consumer purchasing patterns may be influenced by consumers’ disposable income, credit availability and debt levels. A continued or incremental slowdown in both the U.S. and international economies where we market and distribute our products, an uncertain economic outlook or prolonged credit crisis could continue to adversely affect consumer spending habits, which may result in lower than expected net sales and profits on a quarterly or annual basis. During 2009 and 2008, there was significant deterioration in the global and local financial markets and economic environments, real estate markets and construction industries, which we believe negatively impacted consumer spending at many retailers for our products. In response to this, we have taken steps to increase opportunities to profitably drive sales and to operate our business more efficiently. If these adverse economic trends worsen, or if our efforts to counteract the impacts of these trends are not sufficiently effective, there could be a negative impact on our financial performance and position in future fiscal periods. For further discussion of the risks to our Company posed by general economic conditions (See “Part I, Item 1A – Risk Factors”).</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growth strategy includes expanding our international business. Gross sales to customers outside the United States amounted to $168.0 million, $94.2 million and $53.9 million for the years ended December 31, 2009, 2008 and 2007, respectively. Such sales were approximately 12.8%, 8.0% and 5.2% of gross sales for the years ended December 31, 2009, 2008 and 2007, respectively. The reclassification</w:t>
      </w:r>
    </w:p>
    <w:p>
      <w:pPr>
        <w:sectPr>
          <w:pgSz w:w="11900" w:h="16945" w:orient="portrait"/>
          <w:cols w:equalWidth="0" w:num="1">
            <w:col w:w="11420"/>
          </w:cols>
          <w:pgMar w:left="240" w:top="121" w:right="239" w:bottom="0" w:gutter="0" w:footer="0" w:header="0"/>
        </w:sectPr>
      </w:pPr>
    </w:p>
    <w:bookmarkStart w:id="24" w:name="page25"/>
    <w:bookmarkEnd w:id="24"/>
    <w:p>
      <w:pPr>
        <w:spacing w:after="0" w:line="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of a portion of our gross sales to certain military customers to gross sales to customers within the United States from gross sales to customers outside the United States, resulted in a decrease in gross sales outside the United States of $2.1 million and $1.8 million for the years ended December 31, 2008 and 2007, respectively, over amounts previously reported.</w:t>
      </w:r>
    </w:p>
    <w:p>
      <w:pPr>
        <w:spacing w:after="0" w:line="20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Our customers are primarily full service beverage distributors, retail grocery and specialty chains, wholesalers, club stores, drug chains, mass merchandisers, convenience chains, health food distributors and food service customers. Gross sales to our various customer types for 2009, 2008 and 2007 are reflected below. Such information reflects sales made by us directly to the customer types concerned, which include our full service beverage distributors. Such full service beverage distributors in turn sell certain of our products to the customer types listed below. We do not have complete details of such full service distributors’ sales of our products to their respective customers and therefore limit our description of our customer types to include our sales to such full service distributors without reference to their sales to their own customers. The allocations below reflect changes made by us to the categories historically reported.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640" w:type="dxa"/>
            <w:vAlign w:val="bottom"/>
            <w:vMerge w:val="restart"/>
          </w:tcPr>
          <w:p>
            <w:pPr>
              <w:spacing w:after="0"/>
              <w:rPr>
                <w:sz w:val="20"/>
                <w:szCs w:val="20"/>
                <w:color w:val="auto"/>
              </w:rPr>
            </w:pPr>
            <w:r>
              <w:rPr>
                <w:rFonts w:ascii="Arial" w:cs="Arial" w:eastAsia="Arial" w:hAnsi="Arial"/>
                <w:sz w:val="20"/>
                <w:szCs w:val="20"/>
                <w:color w:val="auto"/>
              </w:rPr>
              <w:t>Full service distributors</w:t>
            </w:r>
          </w:p>
        </w:tc>
        <w:tc>
          <w:tcPr>
            <w:tcW w:w="152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color w:val="auto"/>
                <w:w w:val="85"/>
              </w:rPr>
              <w:t>2009</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2008</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2007</w:t>
            </w:r>
          </w:p>
        </w:tc>
        <w:tc>
          <w:tcPr>
            <w:tcW w:w="0" w:type="dxa"/>
            <w:vAlign w:val="bottom"/>
          </w:tcPr>
          <w:p>
            <w:pPr>
              <w:spacing w:after="0"/>
              <w:rPr>
                <w:sz w:val="1"/>
                <w:szCs w:val="1"/>
                <w:color w:val="auto"/>
              </w:rPr>
            </w:pPr>
          </w:p>
        </w:tc>
      </w:tr>
      <w:tr>
        <w:trPr>
          <w:trHeight w:val="206"/>
        </w:trPr>
        <w:tc>
          <w:tcPr>
            <w:tcW w:w="6640" w:type="dxa"/>
            <w:vAlign w:val="bottom"/>
            <w:vMerge w:val="continue"/>
          </w:tcPr>
          <w:p>
            <w:pPr>
              <w:spacing w:after="0"/>
              <w:rPr>
                <w:sz w:val="17"/>
                <w:szCs w:val="17"/>
                <w:color w:val="auto"/>
              </w:rPr>
            </w:pPr>
          </w:p>
        </w:tc>
        <w:tc>
          <w:tcPr>
            <w:tcW w:w="1520" w:type="dxa"/>
            <w:vAlign w:val="bottom"/>
          </w:tcPr>
          <w:p>
            <w:pPr>
              <w:jc w:val="center"/>
              <w:ind w:right="61"/>
              <w:spacing w:after="0" w:line="207" w:lineRule="exact"/>
              <w:rPr>
                <w:sz w:val="20"/>
                <w:szCs w:val="20"/>
                <w:color w:val="auto"/>
              </w:rPr>
            </w:pPr>
            <w:r>
              <w:rPr>
                <w:rFonts w:ascii="Arial" w:cs="Arial" w:eastAsia="Arial" w:hAnsi="Arial"/>
                <w:sz w:val="20"/>
                <w:szCs w:val="20"/>
                <w:color w:val="auto"/>
                <w:w w:val="89"/>
              </w:rPr>
              <w:t>66%</w:t>
            </w:r>
          </w:p>
        </w:tc>
        <w:tc>
          <w:tcPr>
            <w:tcW w:w="1640" w:type="dxa"/>
            <w:vAlign w:val="bottom"/>
          </w:tcPr>
          <w:p>
            <w:pPr>
              <w:jc w:val="center"/>
              <w:spacing w:after="0" w:line="207" w:lineRule="exact"/>
              <w:rPr>
                <w:sz w:val="20"/>
                <w:szCs w:val="20"/>
                <w:color w:val="auto"/>
              </w:rPr>
            </w:pPr>
            <w:r>
              <w:rPr>
                <w:rFonts w:ascii="Arial" w:cs="Arial" w:eastAsia="Arial" w:hAnsi="Arial"/>
                <w:sz w:val="20"/>
                <w:szCs w:val="20"/>
                <w:color w:val="auto"/>
                <w:w w:val="89"/>
              </w:rPr>
              <w:t>68%</w:t>
            </w:r>
          </w:p>
        </w:tc>
        <w:tc>
          <w:tcPr>
            <w:tcW w:w="1620" w:type="dxa"/>
            <w:vAlign w:val="bottom"/>
          </w:tcPr>
          <w:p>
            <w:pPr>
              <w:jc w:val="center"/>
              <w:spacing w:after="0" w:line="207" w:lineRule="exact"/>
              <w:rPr>
                <w:sz w:val="20"/>
                <w:szCs w:val="20"/>
                <w:color w:val="auto"/>
              </w:rPr>
            </w:pPr>
            <w:r>
              <w:rPr>
                <w:rFonts w:ascii="Arial" w:cs="Arial" w:eastAsia="Arial" w:hAnsi="Arial"/>
                <w:sz w:val="20"/>
                <w:szCs w:val="20"/>
                <w:color w:val="auto"/>
                <w:w w:val="94"/>
              </w:rPr>
              <w:t>69%</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1520" w:type="dxa"/>
            <w:vAlign w:val="bottom"/>
          </w:tcPr>
          <w:p>
            <w:pPr>
              <w:jc w:val="center"/>
              <w:ind w:right="61"/>
              <w:spacing w:after="0"/>
              <w:rPr>
                <w:sz w:val="20"/>
                <w:szCs w:val="20"/>
                <w:color w:val="auto"/>
              </w:rPr>
            </w:pPr>
            <w:r>
              <w:rPr>
                <w:rFonts w:ascii="Arial" w:cs="Arial" w:eastAsia="Arial" w:hAnsi="Arial"/>
                <w:sz w:val="20"/>
                <w:szCs w:val="20"/>
                <w:color w:val="auto"/>
                <w:w w:val="89"/>
              </w:rPr>
              <w:t>12%</w:t>
            </w: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14%</w:t>
            </w:r>
          </w:p>
        </w:tc>
        <w:tc>
          <w:tcPr>
            <w:tcW w:w="1620" w:type="dxa"/>
            <w:vAlign w:val="bottom"/>
          </w:tcPr>
          <w:p>
            <w:pPr>
              <w:jc w:val="center"/>
              <w:spacing w:after="0"/>
              <w:rPr>
                <w:sz w:val="20"/>
                <w:szCs w:val="20"/>
                <w:color w:val="auto"/>
              </w:rPr>
            </w:pPr>
            <w:r>
              <w:rPr>
                <w:rFonts w:ascii="Arial" w:cs="Arial" w:eastAsia="Arial" w:hAnsi="Arial"/>
                <w:sz w:val="20"/>
                <w:szCs w:val="20"/>
                <w:color w:val="auto"/>
                <w:w w:val="94"/>
              </w:rPr>
              <w:t>14%</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20"/>
                <w:szCs w:val="20"/>
                <w:color w:val="auto"/>
              </w:rPr>
              <w:t>Outside the U.S.</w:t>
            </w:r>
          </w:p>
        </w:tc>
        <w:tc>
          <w:tcPr>
            <w:tcW w:w="1520" w:type="dxa"/>
            <w:vAlign w:val="bottom"/>
          </w:tcPr>
          <w:p>
            <w:pPr>
              <w:jc w:val="center"/>
              <w:ind w:right="61"/>
              <w:spacing w:after="0"/>
              <w:rPr>
                <w:sz w:val="20"/>
                <w:szCs w:val="20"/>
                <w:color w:val="auto"/>
              </w:rPr>
            </w:pPr>
            <w:r>
              <w:rPr>
                <w:rFonts w:ascii="Arial" w:cs="Arial" w:eastAsia="Arial" w:hAnsi="Arial"/>
                <w:sz w:val="20"/>
                <w:szCs w:val="20"/>
                <w:color w:val="auto"/>
                <w:w w:val="89"/>
              </w:rPr>
              <w:t>13%</w:t>
            </w: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8%</w:t>
            </w:r>
          </w:p>
        </w:tc>
        <w:tc>
          <w:tcPr>
            <w:tcW w:w="1620" w:type="dxa"/>
            <w:vAlign w:val="bottom"/>
          </w:tcPr>
          <w:p>
            <w:pPr>
              <w:jc w:val="center"/>
              <w:spacing w:after="0"/>
              <w:rPr>
                <w:sz w:val="20"/>
                <w:szCs w:val="20"/>
                <w:color w:val="auto"/>
              </w:rPr>
            </w:pPr>
            <w:r>
              <w:rPr>
                <w:rFonts w:ascii="Arial" w:cs="Arial" w:eastAsia="Arial" w:hAnsi="Arial"/>
                <w:sz w:val="20"/>
                <w:szCs w:val="20"/>
                <w:color w:val="auto"/>
                <w:w w:val="89"/>
              </w:rPr>
              <w:t>5%</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1520" w:type="dxa"/>
            <w:vAlign w:val="bottom"/>
          </w:tcPr>
          <w:p>
            <w:pPr>
              <w:jc w:val="center"/>
              <w:ind w:right="41"/>
              <w:spacing w:after="0"/>
              <w:rPr>
                <w:sz w:val="20"/>
                <w:szCs w:val="20"/>
                <w:color w:val="auto"/>
              </w:rPr>
            </w:pPr>
            <w:r>
              <w:rPr>
                <w:rFonts w:ascii="Arial" w:cs="Arial" w:eastAsia="Arial" w:hAnsi="Arial"/>
                <w:sz w:val="20"/>
                <w:szCs w:val="20"/>
                <w:color w:val="auto"/>
                <w:w w:val="89"/>
              </w:rPr>
              <w:t>6%</w:t>
            </w: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8%</w:t>
            </w:r>
          </w:p>
        </w:tc>
        <w:tc>
          <w:tcPr>
            <w:tcW w:w="1620" w:type="dxa"/>
            <w:vAlign w:val="bottom"/>
          </w:tcPr>
          <w:p>
            <w:pPr>
              <w:jc w:val="center"/>
              <w:spacing w:after="0"/>
              <w:rPr>
                <w:sz w:val="20"/>
                <w:szCs w:val="20"/>
                <w:color w:val="auto"/>
              </w:rPr>
            </w:pPr>
            <w:r>
              <w:rPr>
                <w:rFonts w:ascii="Arial" w:cs="Arial" w:eastAsia="Arial" w:hAnsi="Arial"/>
                <w:sz w:val="20"/>
                <w:szCs w:val="20"/>
                <w:color w:val="auto"/>
                <w:w w:val="89"/>
              </w:rPr>
              <w:t>9%</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0"/>
                <w:szCs w:val="20"/>
                <w:color w:val="auto"/>
              </w:rPr>
            </w:pPr>
            <w:r>
              <w:rPr>
                <w:rFonts w:ascii="Arial" w:cs="Arial" w:eastAsia="Arial" w:hAnsi="Arial"/>
                <w:sz w:val="20"/>
                <w:szCs w:val="20"/>
                <w:color w:val="auto"/>
              </w:rPr>
              <w:t>Other</w:t>
            </w:r>
          </w:p>
        </w:tc>
        <w:tc>
          <w:tcPr>
            <w:tcW w:w="1520" w:type="dxa"/>
            <w:vAlign w:val="bottom"/>
          </w:tcPr>
          <w:p>
            <w:pPr>
              <w:jc w:val="center"/>
              <w:ind w:right="41"/>
              <w:spacing w:after="0"/>
              <w:rPr>
                <w:sz w:val="20"/>
                <w:szCs w:val="20"/>
                <w:color w:val="auto"/>
              </w:rPr>
            </w:pPr>
            <w:r>
              <w:rPr>
                <w:rFonts w:ascii="Arial" w:cs="Arial" w:eastAsia="Arial" w:hAnsi="Arial"/>
                <w:sz w:val="20"/>
                <w:szCs w:val="20"/>
                <w:color w:val="auto"/>
                <w:w w:val="89"/>
              </w:rPr>
              <w:t>3%</w:t>
            </w: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162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Our customers include CCE, CCBC, Consolidated, United and other TCCC North American Bottlers, Wal-Mart, Inc. (including Sam’s Club), AB Distributors, Kalil Bottling Group, Trader Joe’s, John Lenore &amp; Company, Pepsi Canada (terminated by us effective December 31, 2008), Swire Coca-Cola, Costco, The Kroger Co., Safeway, Inc. and SUPERVALU Inc. A decision by any large customer to decrease amounts purchased from the Company or to cease carrying our products could have a material negative effect on our financial condition and consolidated results of operations. CCE, a customer of the DSD segment with sales within specific markets in the United States, Canada, the United Kingdom and certain countries in Europe, accounted for approximately 27% of our consolidated net sales for the year ended December 31, 2009. The DPS Group, a former customer of the DSD division, accounted for approximately 13% and 16% of our consolidated net sales for the years ended December 31, 2008 and 2007, respectively. Our distribution agreement with the DPS Group was terminated by us effective November 9, 2008. The related terminated distributor territories are now serviced by a combination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386" w:lineRule="auto"/>
        <w:rPr>
          <w:sz w:val="20"/>
          <w:szCs w:val="20"/>
          <w:color w:val="auto"/>
        </w:rPr>
      </w:pPr>
      <w:r>
        <w:rPr>
          <w:rFonts w:ascii="Arial" w:cs="Arial" w:eastAsia="Arial" w:hAnsi="Arial"/>
          <w:sz w:val="16"/>
          <w:szCs w:val="16"/>
          <w:color w:val="auto"/>
        </w:rPr>
        <w:t>TCCC North American Bottlers and AB Distributors. Wal-Mart, Inc. (including Sam’s Club), a customer of both the DSD and Warehouse divisions, accounted for approximately 9%, 11% and 12% of our net sales for the years ended December 31, 2009, 2008 and 2007, respectively.</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continue to incur expenditures in connection with the development and introduction of new products and flavors.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Value Drivers of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that the key value drivers of our business include the following:</w:t>
      </w:r>
    </w:p>
    <w:p>
      <w:pPr>
        <w:spacing w:after="0" w:line="229" w:lineRule="exact"/>
        <w:rPr>
          <w:sz w:val="20"/>
          <w:szCs w:val="20"/>
          <w:color w:val="auto"/>
        </w:rPr>
      </w:pPr>
    </w:p>
    <w:p>
      <w:pPr>
        <w:jc w:val="both"/>
        <w:ind w:left="980" w:hanging="324"/>
        <w:spacing w:after="0" w:line="260" w:lineRule="auto"/>
        <w:tabs>
          <w:tab w:leader="none" w:pos="1083" w:val="left"/>
        </w:tabs>
        <w:numPr>
          <w:ilvl w:val="0"/>
          <w:numId w:val="18"/>
        </w:numPr>
        <w:rPr>
          <w:rFonts w:ascii="Arial" w:cs="Arial" w:eastAsia="Arial" w:hAnsi="Arial"/>
          <w:sz w:val="19"/>
          <w:szCs w:val="19"/>
          <w:color w:val="auto"/>
        </w:rPr>
      </w:pPr>
      <w:r>
        <w:rPr>
          <w:rFonts w:ascii="Arial" w:cs="Arial" w:eastAsia="Arial" w:hAnsi="Arial"/>
          <w:sz w:val="19"/>
          <w:szCs w:val="19"/>
          <w:i w:val="1"/>
          <w:iCs w:val="1"/>
          <w:color w:val="auto"/>
        </w:rPr>
        <w:t xml:space="preserve">Profitable Growth </w:t>
      </w:r>
      <w:r>
        <w:rPr>
          <w:rFonts w:ascii="Arial" w:cs="Arial" w:eastAsia="Arial" w:hAnsi="Arial"/>
          <w:sz w:val="19"/>
          <w:szCs w:val="19"/>
          <w:color w:val="auto"/>
        </w:rPr>
        <w:t>– We believe “functional”, “image based” or “better for you” brands properly supported by marketing and</w:t>
      </w:r>
      <w:r>
        <w:rPr>
          <w:rFonts w:ascii="Arial" w:cs="Arial" w:eastAsia="Arial" w:hAnsi="Arial"/>
          <w:sz w:val="19"/>
          <w:szCs w:val="19"/>
          <w:i w:val="1"/>
          <w:iCs w:val="1"/>
          <w:color w:val="auto"/>
        </w:rPr>
        <w:t xml:space="preserve"> </w:t>
      </w:r>
      <w:r>
        <w:rPr>
          <w:rFonts w:ascii="Arial" w:cs="Arial" w:eastAsia="Arial" w:hAnsi="Arial"/>
          <w:sz w:val="19"/>
          <w:szCs w:val="19"/>
          <w:color w:val="auto"/>
        </w:rPr>
        <w:t>innovation, targeted to a broad consumer base, drive profitable growth. We continue to broaden our family of brands. In particular, we are expanding our specialty beverages and energy drinks to provide more alternatives to consumers. We are focused on maintaining profit margins. We believe that tailored branding, packaging, pricing and channeling strategies help achieve profitable growth. We are implementing these strategies with a view to accelerating profitable growth.</w:t>
      </w:r>
    </w:p>
    <w:p>
      <w:pPr>
        <w:spacing w:after="0" w:line="194" w:lineRule="exact"/>
        <w:rPr>
          <w:rFonts w:ascii="Arial" w:cs="Arial" w:eastAsia="Arial" w:hAnsi="Arial"/>
          <w:sz w:val="19"/>
          <w:szCs w:val="19"/>
          <w:color w:val="auto"/>
        </w:rPr>
      </w:pPr>
    </w:p>
    <w:p>
      <w:pPr>
        <w:jc w:val="both"/>
        <w:ind w:left="980" w:hanging="324"/>
        <w:spacing w:after="0" w:line="250" w:lineRule="auto"/>
        <w:tabs>
          <w:tab w:leader="none" w:pos="989"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 xml:space="preserve">Cost Management </w:t>
      </w:r>
      <w:r>
        <w:rPr>
          <w:rFonts w:ascii="Arial" w:cs="Arial" w:eastAsia="Arial" w:hAnsi="Arial"/>
          <w:sz w:val="20"/>
          <w:szCs w:val="20"/>
          <w:color w:val="auto"/>
        </w:rPr>
        <w:t>– The principal focus of cost management will continue to be on supply and production costs. One key area of</w:t>
      </w:r>
      <w:r>
        <w:rPr>
          <w:rFonts w:ascii="Arial" w:cs="Arial" w:eastAsia="Arial" w:hAnsi="Arial"/>
          <w:sz w:val="20"/>
          <w:szCs w:val="20"/>
          <w:i w:val="1"/>
          <w:iCs w:val="1"/>
          <w:color w:val="auto"/>
        </w:rPr>
        <w:t xml:space="preserve"> </w:t>
      </w:r>
      <w:r>
        <w:rPr>
          <w:rFonts w:ascii="Arial" w:cs="Arial" w:eastAsia="Arial" w:hAnsi="Arial"/>
          <w:sz w:val="20"/>
          <w:szCs w:val="20"/>
          <w:color w:val="auto"/>
        </w:rPr>
        <w:t>focus is to decrease raw material costs, co-packing fees and general and administrative costs as a percentage of net operating revenues. Another key area of focus is the reduction of inventory days on hand.</w:t>
      </w:r>
    </w:p>
    <w:p>
      <w:pPr>
        <w:spacing w:after="0" w:line="199" w:lineRule="exact"/>
        <w:rPr>
          <w:rFonts w:ascii="Arial" w:cs="Arial" w:eastAsia="Arial" w:hAnsi="Arial"/>
          <w:sz w:val="20"/>
          <w:szCs w:val="20"/>
          <w:color w:val="auto"/>
        </w:rPr>
      </w:pPr>
    </w:p>
    <w:p>
      <w:pPr>
        <w:jc w:val="both"/>
        <w:ind w:left="980" w:right="20" w:hanging="324"/>
        <w:spacing w:after="0" w:line="250" w:lineRule="auto"/>
        <w:tabs>
          <w:tab w:leader="none" w:pos="1178"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 xml:space="preserve">Efficient Capital Structure </w:t>
      </w:r>
      <w:r>
        <w:rPr>
          <w:rFonts w:ascii="Arial" w:cs="Arial" w:eastAsia="Arial" w:hAnsi="Arial"/>
          <w:sz w:val="20"/>
          <w:szCs w:val="20"/>
          <w:color w:val="auto"/>
        </w:rPr>
        <w:t>– Our capital structure is intended to optimize our working capital to finance expansion, both</w:t>
      </w:r>
      <w:r>
        <w:rPr>
          <w:rFonts w:ascii="Arial" w:cs="Arial" w:eastAsia="Arial" w:hAnsi="Arial"/>
          <w:sz w:val="20"/>
          <w:szCs w:val="20"/>
          <w:i w:val="1"/>
          <w:iCs w:val="1"/>
          <w:color w:val="auto"/>
        </w:rPr>
        <w:t xml:space="preserve"> </w:t>
      </w:r>
      <w:r>
        <w:rPr>
          <w:rFonts w:ascii="Arial" w:cs="Arial" w:eastAsia="Arial" w:hAnsi="Arial"/>
          <w:sz w:val="20"/>
          <w:szCs w:val="20"/>
          <w:color w:val="auto"/>
        </w:rPr>
        <w:t>domestically and internationally. We believe our strong capital position, our ability to raise funds if necessary at low effective cost and low overall costs of borrowing provide a competitive advantage.</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believe that, subject to increases in the costs of certain raw materials being contained, these value drivers, when properly implemented, will result in: (1) maintaining our gross profit margin; (2) providing additional leverage over time through reduced expenses as a percentage of net operating revenues; and (3) optimizing our cost of capital. The ultimate measure of success is and will be reflected in our current and future results of operations.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Gross and net sales, gross profits, operating income, net income and net income per share represent key measurements of the above value drivers. These measurements will continue to be a key management focus in 2010 and beyond </w:t>
      </w:r>
      <w:r>
        <w:rPr>
          <w:rFonts w:ascii="Arial" w:cs="Arial" w:eastAsia="Arial" w:hAnsi="Arial"/>
          <w:sz w:val="20"/>
          <w:szCs w:val="20"/>
          <w:b w:val="1"/>
          <w:bCs w:val="1"/>
          <w:color w:val="auto"/>
        </w:rPr>
        <w:t>(</w:t>
      </w:r>
      <w:r>
        <w:rPr>
          <w:rFonts w:ascii="Arial" w:cs="Arial" w:eastAsia="Arial" w:hAnsi="Arial"/>
          <w:sz w:val="20"/>
          <w:szCs w:val="20"/>
          <w:color w:val="auto"/>
        </w:rPr>
        <w:t>See “Part II, Item 7 – Results of Operations for the Year Ended December 31, 2009 Compared to the Year Ended December 31, 2008”).</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As of December 31, 2009, the Company had working capital of $501.8 million compared to $374.0 million as of December 31, 2008. The increase in working capital was primarily attributable to an increase in trade accounts receivable, an increase in cash and cash equivalents and a decrease in accrued distributor terminations. For the year ended December 31, 2009, our net cash provided by operating activities was approximately $156.2 million as compared to $199.5 million for the year ended December 31, 2008. Principal uses of cash flows in 2009 were distributor termination fees, repurchases of our common stock, purchases of inventory, acquisition of property and equipment and acquisition of trademarks. Purchases of our common stock, purchases of inventory, payments of accounts payable and income taxes are expected to be and remain our principal recurring use of cash and working capital funds in the future (See “Part II, Item 7 – Liquidity and Capital Resources”).</w:t>
      </w:r>
    </w:p>
    <w:p>
      <w:pPr>
        <w:sectPr>
          <w:pgSz w:w="11900" w:h="16928" w:orient="portrait"/>
          <w:cols w:equalWidth="0" w:num="1">
            <w:col w:w="11420"/>
          </w:cols>
          <w:pgMar w:left="240" w:top="121" w:right="239" w:bottom="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Opportunities, Challenges and Risks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Looking forward, our management has identified certain challenges and risks that demand the attention of the beverage industry and our Company. Uncertainty and volatility in domestic and international economic markets could negatively affect both the stability of our industry and our Company. Our growth strategy includes expanding our international business which exposes us to risks inherent in conducting international operations (See “Part I, Item 1A – Risk Factors”). Decreased consumer discretionary spending represents a challenge to the successful marketing and purchase of our products. Increases in consumer and regulatory awareness of the health problems arising from obesity and inactive lifestyles continue to represent a challenge. We recognize that obesity is a complex and serious public health problem. Our commitment to consumers begins with our broad product line and a wide selection of diet, light and lo-carb beverages, juices and juice drinks, sports drinks and waters and energy drinks. We continuously strive to meet changing consumer needs through beverage innovation, choice and variety.</w:t>
      </w:r>
    </w:p>
    <w:p>
      <w:pPr>
        <w:spacing w:after="0" w:line="20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historical success is attributable, in part, to our introduction of different and innovative beverages. Our future success will depend, in part, upon our continued ability to develop and introduce different and innovative beverages, although there can be no assurance of our ability to do so. In order to retain and expand our market share, we must continue to develop and introduce different and innovative beverages and be competitive in the areas of quality, health, method of distribution, brand image and intellectual property protection. The beverage industry is subject to changing consumer preferences that may adversely affect us if we misjudge such preferences.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other key challenges and risks that could impact our Company’s future financial results include, but are not limited to:</w:t>
      </w:r>
    </w:p>
    <w:p>
      <w:pPr>
        <w:spacing w:after="0" w:line="252"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changes in consumer preferences and demand for our products;</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impact of the slowing economy in the United States and other countries in which we operate;</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potential impact of the consummation of the transactions between CCE and TCCC;</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risks associated with foreign currency exchange rate fluctuations;</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maintenance of our brand image and product quality;</w:t>
      </w:r>
    </w:p>
    <w:p>
      <w:pPr>
        <w:spacing w:after="0" w:line="229" w:lineRule="exact"/>
        <w:rPr>
          <w:rFonts w:ascii="Arial" w:cs="Arial" w:eastAsia="Arial" w:hAnsi="Arial"/>
          <w:sz w:val="20"/>
          <w:szCs w:val="20"/>
          <w:color w:val="auto"/>
        </w:rPr>
      </w:pPr>
    </w:p>
    <w:p>
      <w:pPr>
        <w:ind w:left="980" w:hanging="324"/>
        <w:spacing w:after="0" w:line="260" w:lineRule="auto"/>
        <w:tabs>
          <w:tab w:leader="none" w:pos="1124"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profitable expansion and growth of our family of brands in the competitive market place (See “Part I, Item 1 – Business - Competition and Sales and Marketing”);</w:t>
      </w:r>
    </w:p>
    <w:p>
      <w:pPr>
        <w:spacing w:after="0" w:line="190" w:lineRule="exact"/>
        <w:rPr>
          <w:rFonts w:ascii="Arial" w:cs="Arial" w:eastAsia="Arial" w:hAnsi="Arial"/>
          <w:sz w:val="20"/>
          <w:szCs w:val="20"/>
          <w:color w:val="auto"/>
        </w:rPr>
      </w:pP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costs of establishing and promoting our brands internationally;</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restrictions on imports and sources of supply; duties or tariffs; changes in government regulations;</w:t>
      </w:r>
    </w:p>
    <w:p>
      <w:pPr>
        <w:spacing w:after="0" w:line="229" w:lineRule="exact"/>
        <w:rPr>
          <w:rFonts w:ascii="Arial" w:cs="Arial" w:eastAsia="Arial" w:hAnsi="Arial"/>
          <w:sz w:val="20"/>
          <w:szCs w:val="20"/>
          <w:color w:val="auto"/>
        </w:rPr>
      </w:pPr>
    </w:p>
    <w:p>
      <w:pPr>
        <w:ind w:left="980" w:hanging="324"/>
        <w:spacing w:after="0" w:line="260" w:lineRule="auto"/>
        <w:tabs>
          <w:tab w:leader="none" w:pos="1029"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protection of our existing intellectual property portfolio of trademarks and copyrights and the continuous pursuit to develop and protect new and innovative trademarks and copyrights for our expanding product lines;</w:t>
      </w:r>
    </w:p>
    <w:p>
      <w:pPr>
        <w:spacing w:after="0" w:line="190" w:lineRule="exact"/>
        <w:rPr>
          <w:rFonts w:ascii="Arial" w:cs="Arial" w:eastAsia="Arial" w:hAnsi="Arial"/>
          <w:sz w:val="20"/>
          <w:szCs w:val="20"/>
          <w:color w:val="auto"/>
        </w:rPr>
      </w:pPr>
    </w:p>
    <w:p>
      <w:pPr>
        <w:ind w:left="980" w:hanging="324"/>
        <w:spacing w:after="0" w:line="260" w:lineRule="auto"/>
        <w:tabs>
          <w:tab w:leader="none" w:pos="962" w:val="left"/>
        </w:tabs>
        <w:numPr>
          <w:ilvl w:val="0"/>
          <w:numId w:val="19"/>
        </w:numPr>
        <w:rPr>
          <w:rFonts w:ascii="Arial" w:cs="Arial" w:eastAsia="Arial" w:hAnsi="Arial"/>
          <w:sz w:val="20"/>
          <w:szCs w:val="20"/>
          <w:color w:val="auto"/>
        </w:rPr>
      </w:pPr>
      <w:r>
        <w:rPr>
          <w:rFonts w:ascii="Arial" w:cs="Arial" w:eastAsia="Arial" w:hAnsi="Arial"/>
          <w:sz w:val="20"/>
          <w:szCs w:val="20"/>
          <w:color w:val="auto"/>
        </w:rPr>
        <w:t>limitations on available quantities of certain package containers such as the 12-ounce and 24-ounce cap can, the 32-ounce can, and co-packing availability;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80" w:hanging="324"/>
        <w:spacing w:after="0" w:line="260" w:lineRule="auto"/>
        <w:tabs>
          <w:tab w:leader="none" w:pos="111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imposition of additional regulatory restrictions, increasing concern over obesity and changes in regulation and consumer preferences.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color w:val="auto"/>
        </w:rPr>
        <w:t>See “Part I, Item 1A – Risk Factors” for additional information about risks and uncertainties facing our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that the following opportunities exist for us:</w:t>
      </w:r>
    </w:p>
    <w:p>
      <w:pPr>
        <w:spacing w:after="0" w:line="229" w:lineRule="exact"/>
        <w:rPr>
          <w:sz w:val="20"/>
          <w:szCs w:val="20"/>
          <w:color w:val="auto"/>
        </w:rPr>
      </w:pPr>
    </w:p>
    <w:p>
      <w:pPr>
        <w:ind w:left="980" w:hanging="324"/>
        <w:spacing w:after="0" w:line="260" w:lineRule="auto"/>
        <w:tabs>
          <w:tab w:leader="none" w:pos="1002" w:val="left"/>
        </w:tabs>
        <w:numPr>
          <w:ilvl w:val="0"/>
          <w:numId w:val="21"/>
        </w:numPr>
        <w:rPr>
          <w:rFonts w:ascii="Arial" w:cs="Arial" w:eastAsia="Arial" w:hAnsi="Arial"/>
          <w:sz w:val="20"/>
          <w:szCs w:val="20"/>
          <w:color w:val="auto"/>
        </w:rPr>
      </w:pPr>
      <w:r>
        <w:rPr>
          <w:rFonts w:ascii="Arial" w:cs="Arial" w:eastAsia="Arial" w:hAnsi="Arial"/>
          <w:sz w:val="20"/>
          <w:szCs w:val="20"/>
          <w:color w:val="auto"/>
        </w:rPr>
        <w:t>growth potential for the “alternative” beverage category including energy drinks, sparkling beverages, carbonated soft drinks and teas, juices and juice drinks and enhanced waters;</w:t>
      </w:r>
    </w:p>
    <w:p>
      <w:pPr>
        <w:spacing w:after="0" w:line="190" w:lineRule="exact"/>
        <w:rPr>
          <w:rFonts w:ascii="Arial" w:cs="Arial" w:eastAsia="Arial" w:hAnsi="Arial"/>
          <w:sz w:val="20"/>
          <w:szCs w:val="20"/>
          <w:color w:val="auto"/>
        </w:rPr>
      </w:pP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new product introductions intended to contribute to higher profitability;</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premium packages intended to generate strong revenue growth;</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significant package, pricing and channel opportunities to maximize profitable growth;</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proper positioning to capture industry growth; and</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broadening distribution/expansion opportunities in both domestic and international markets.</w:t>
      </w:r>
    </w:p>
    <w:p>
      <w:pPr>
        <w:sectPr>
          <w:pgSz w:w="11900" w:h="16838" w:orient="portrait"/>
          <w:cols w:equalWidth="0" w:num="1">
            <w:col w:w="11420"/>
          </w:cols>
          <w:pgMar w:left="240" w:top="359" w:right="239" w:bottom="0" w:gutter="0" w:footer="0" w:header="0"/>
        </w:sectPr>
      </w:pPr>
    </w:p>
    <w:bookmarkStart w:id="26" w:name="page27"/>
    <w:bookmarkEnd w:id="26"/>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Information)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2009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2008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vMerge w:val="restart"/>
          </w:tcPr>
          <w:p>
            <w:pPr>
              <w:jc w:val="right"/>
              <w:ind w:right="541"/>
              <w:spacing w:after="0"/>
              <w:rPr>
                <w:sz w:val="20"/>
                <w:szCs w:val="20"/>
                <w:color w:val="auto"/>
              </w:rPr>
            </w:pPr>
            <w:r>
              <w:rPr>
                <w:rFonts w:ascii="Arial" w:cs="Arial" w:eastAsia="Arial" w:hAnsi="Arial"/>
                <w:sz w:val="20"/>
                <w:szCs w:val="20"/>
                <w:b w:val="1"/>
                <w:bCs w:val="1"/>
                <w:color w:val="auto"/>
              </w:rPr>
              <w:t>2007</w:t>
            </w:r>
          </w:p>
        </w:tc>
        <w:tc>
          <w:tcPr>
            <w:tcW w:w="120" w:type="dxa"/>
            <w:vAlign w:val="bottom"/>
          </w:tcPr>
          <w:p>
            <w:pPr>
              <w:spacing w:after="0"/>
              <w:rPr>
                <w:sz w:val="21"/>
                <w:szCs w:val="21"/>
                <w:color w:val="auto"/>
              </w:rPr>
            </w:pPr>
          </w:p>
        </w:tc>
        <w:tc>
          <w:tcPr>
            <w:tcW w:w="264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20"/>
                <w:szCs w:val="20"/>
                <w:b w:val="1"/>
                <w:bCs w:val="1"/>
                <w:color w:val="auto"/>
              </w:rPr>
              <w:t>Percentage Change</w:t>
            </w:r>
          </w:p>
        </w:tc>
        <w:tc>
          <w:tcPr>
            <w:tcW w:w="0" w:type="dxa"/>
            <w:vAlign w:val="bottom"/>
          </w:tcPr>
          <w:p>
            <w:pPr>
              <w:spacing w:after="0"/>
              <w:rPr>
                <w:sz w:val="1"/>
                <w:szCs w:val="1"/>
                <w:color w:val="auto"/>
              </w:rPr>
            </w:pPr>
          </w:p>
        </w:tc>
      </w:tr>
      <w:tr>
        <w:trPr>
          <w:trHeight w:val="223"/>
        </w:trPr>
        <w:tc>
          <w:tcPr>
            <w:tcW w:w="3780" w:type="dxa"/>
            <w:vAlign w:val="bottom"/>
            <w:vMerge w:val="restart"/>
          </w:tcPr>
          <w:p>
            <w:pPr>
              <w:spacing w:after="0"/>
              <w:rPr>
                <w:sz w:val="20"/>
                <w:szCs w:val="20"/>
                <w:color w:val="auto"/>
              </w:rPr>
            </w:pPr>
            <w:r>
              <w:rPr>
                <w:rFonts w:ascii="Arial" w:cs="Arial" w:eastAsia="Arial" w:hAnsi="Arial"/>
                <w:sz w:val="20"/>
                <w:szCs w:val="20"/>
                <w:color w:val="auto"/>
              </w:rPr>
              <w:t>Gross sales, net of discounts &amp; returns*</w:t>
            </w:r>
          </w:p>
        </w:tc>
        <w:tc>
          <w:tcPr>
            <w:tcW w:w="3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220"/>
              <w:spacing w:after="0" w:line="223" w:lineRule="exact"/>
              <w:rPr>
                <w:sz w:val="20"/>
                <w:szCs w:val="20"/>
                <w:color w:val="auto"/>
              </w:rPr>
            </w:pPr>
            <w:r>
              <w:rPr>
                <w:rFonts w:ascii="Arial" w:cs="Arial" w:eastAsia="Arial" w:hAnsi="Arial"/>
                <w:sz w:val="20"/>
                <w:szCs w:val="20"/>
                <w:b w:val="1"/>
                <w:bCs w:val="1"/>
                <w:color w:val="auto"/>
              </w:rPr>
              <w:t>09 vs. 08</w:t>
            </w:r>
          </w:p>
        </w:tc>
        <w:tc>
          <w:tcPr>
            <w:tcW w:w="1220" w:type="dxa"/>
            <w:vAlign w:val="bottom"/>
          </w:tcPr>
          <w:p>
            <w:pPr>
              <w:jc w:val="right"/>
              <w:ind w:right="201"/>
              <w:spacing w:after="0" w:line="223" w:lineRule="exact"/>
              <w:rPr>
                <w:sz w:val="20"/>
                <w:szCs w:val="20"/>
                <w:color w:val="auto"/>
              </w:rPr>
            </w:pPr>
            <w:r>
              <w:rPr>
                <w:rFonts w:ascii="Arial" w:cs="Arial" w:eastAsia="Arial" w:hAnsi="Arial"/>
                <w:sz w:val="20"/>
                <w:szCs w:val="20"/>
                <w:b w:val="1"/>
                <w:bCs w:val="1"/>
                <w:color w:val="auto"/>
              </w:rPr>
              <w:t>08 vs. 07</w:t>
            </w:r>
          </w:p>
        </w:tc>
        <w:tc>
          <w:tcPr>
            <w:tcW w:w="0" w:type="dxa"/>
            <w:vAlign w:val="bottom"/>
          </w:tcPr>
          <w:p>
            <w:pPr>
              <w:spacing w:after="0"/>
              <w:rPr>
                <w:sz w:val="1"/>
                <w:szCs w:val="1"/>
                <w:color w:val="auto"/>
              </w:rPr>
            </w:pPr>
          </w:p>
        </w:tc>
      </w:tr>
      <w:tr>
        <w:trPr>
          <w:trHeight w:val="206"/>
        </w:trPr>
        <w:tc>
          <w:tcPr>
            <w:tcW w:w="3780" w:type="dxa"/>
            <w:vAlign w:val="bottom"/>
            <w:vMerge w:val="continue"/>
          </w:tcPr>
          <w:p>
            <w:pPr>
              <w:spacing w:after="0"/>
              <w:rPr>
                <w:sz w:val="17"/>
                <w:szCs w:val="17"/>
                <w:color w:val="auto"/>
              </w:rPr>
            </w:pPr>
          </w:p>
        </w:tc>
        <w:tc>
          <w:tcPr>
            <w:tcW w:w="3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1,309,335</w:t>
            </w:r>
          </w:p>
        </w:tc>
        <w:tc>
          <w:tcPr>
            <w:tcW w:w="140" w:type="dxa"/>
            <w:vAlign w:val="bottom"/>
          </w:tcPr>
          <w:p>
            <w:pPr>
              <w:spacing w:after="0"/>
              <w:rPr>
                <w:sz w:val="17"/>
                <w:szCs w:val="17"/>
                <w:color w:val="auto"/>
              </w:rPr>
            </w:pPr>
          </w:p>
        </w:tc>
        <w:tc>
          <w:tcPr>
            <w:tcW w:w="38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1,182,876</w:t>
            </w:r>
          </w:p>
        </w:tc>
        <w:tc>
          <w:tcPr>
            <w:tcW w:w="140" w:type="dxa"/>
            <w:vAlign w:val="bottom"/>
          </w:tcPr>
          <w:p>
            <w:pPr>
              <w:spacing w:after="0"/>
              <w:rPr>
                <w:sz w:val="17"/>
                <w:szCs w:val="17"/>
                <w:color w:val="auto"/>
              </w:rPr>
            </w:pPr>
          </w:p>
        </w:tc>
        <w:tc>
          <w:tcPr>
            <w:tcW w:w="3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1,025,795</w:t>
            </w:r>
          </w:p>
        </w:tc>
        <w:tc>
          <w:tcPr>
            <w:tcW w:w="120" w:type="dxa"/>
            <w:vAlign w:val="bottom"/>
          </w:tcPr>
          <w:p>
            <w:pPr>
              <w:spacing w:after="0"/>
              <w:rPr>
                <w:sz w:val="17"/>
                <w:szCs w:val="17"/>
                <w:color w:val="auto"/>
              </w:rPr>
            </w:pPr>
          </w:p>
        </w:tc>
        <w:tc>
          <w:tcPr>
            <w:tcW w:w="128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10.7%</w:t>
            </w:r>
          </w:p>
        </w:tc>
        <w:tc>
          <w:tcPr>
            <w:tcW w:w="140" w:type="dxa"/>
            <w:vAlign w:val="bottom"/>
          </w:tcPr>
          <w:p>
            <w:pPr>
              <w:spacing w:after="0"/>
              <w:rPr>
                <w:sz w:val="17"/>
                <w:szCs w:val="17"/>
                <w:color w:val="auto"/>
              </w:rPr>
            </w:pPr>
          </w:p>
        </w:tc>
        <w:tc>
          <w:tcPr>
            <w:tcW w:w="12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15.3%</w:t>
            </w:r>
          </w:p>
        </w:tc>
        <w:tc>
          <w:tcPr>
            <w:tcW w:w="0" w:type="dxa"/>
            <w:vAlign w:val="bottom"/>
          </w:tcPr>
          <w:p>
            <w:pPr>
              <w:spacing w:after="0"/>
              <w:rPr>
                <w:sz w:val="1"/>
                <w:szCs w:val="1"/>
                <w:color w:val="auto"/>
              </w:rPr>
            </w:pPr>
          </w:p>
        </w:tc>
      </w:tr>
      <w:tr>
        <w:trPr>
          <w:trHeight w:val="246"/>
        </w:trPr>
        <w:tc>
          <w:tcPr>
            <w:tcW w:w="3780" w:type="dxa"/>
            <w:vAlign w:val="bottom"/>
          </w:tcPr>
          <w:p>
            <w:pPr>
              <w:spacing w:after="0"/>
              <w:rPr>
                <w:sz w:val="20"/>
                <w:szCs w:val="20"/>
                <w:color w:val="auto"/>
              </w:rPr>
            </w:pPr>
            <w:r>
              <w:rPr>
                <w:rFonts w:ascii="Arial" w:cs="Arial" w:eastAsia="Arial" w:hAnsi="Arial"/>
                <w:sz w:val="20"/>
                <w:szCs w:val="20"/>
                <w:color w:val="auto"/>
              </w:rPr>
              <w:t>Less: Promotional and other allowances**</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166,036</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149,096</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121,330</w:t>
            </w:r>
          </w:p>
        </w:tc>
        <w:tc>
          <w:tcPr>
            <w:tcW w:w="120" w:type="dxa"/>
            <w:vAlign w:val="bottom"/>
          </w:tcPr>
          <w:p>
            <w:pPr>
              <w:spacing w:after="0"/>
              <w:rPr>
                <w:sz w:val="21"/>
                <w:szCs w:val="21"/>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11.4%</w:t>
            </w:r>
          </w:p>
        </w:tc>
        <w:tc>
          <w:tcPr>
            <w:tcW w:w="140" w:type="dxa"/>
            <w:vAlign w:val="bottom"/>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22.9%</w:t>
            </w:r>
          </w:p>
        </w:tc>
        <w:tc>
          <w:tcPr>
            <w:tcW w:w="0" w:type="dxa"/>
            <w:vAlign w:val="bottom"/>
          </w:tcPr>
          <w:p>
            <w:pPr>
              <w:spacing w:after="0"/>
              <w:rPr>
                <w:sz w:val="1"/>
                <w:szCs w:val="1"/>
                <w:color w:val="auto"/>
              </w:rPr>
            </w:pPr>
          </w:p>
        </w:tc>
      </w:tr>
      <w:tr>
        <w:trPr>
          <w:trHeight w:val="206"/>
        </w:trPr>
        <w:tc>
          <w:tcPr>
            <w:tcW w:w="3780" w:type="dxa"/>
            <w:vAlign w:val="bottom"/>
          </w:tcPr>
          <w:p>
            <w:pPr>
              <w:spacing w:after="0" w:line="207" w:lineRule="exact"/>
              <w:rPr>
                <w:sz w:val="20"/>
                <w:szCs w:val="20"/>
                <w:color w:val="auto"/>
              </w:rPr>
            </w:pPr>
            <w:r>
              <w:rPr>
                <w:rFonts w:ascii="Arial" w:cs="Arial" w:eastAsia="Arial" w:hAnsi="Arial"/>
                <w:sz w:val="20"/>
                <w:szCs w:val="20"/>
                <w:color w:val="auto"/>
              </w:rPr>
              <w:t>Net sales¹</w:t>
            </w:r>
          </w:p>
        </w:tc>
        <w:tc>
          <w:tcPr>
            <w:tcW w:w="380" w:type="dxa"/>
            <w:vAlign w:val="bottom"/>
          </w:tcPr>
          <w:p>
            <w:pPr>
              <w:spacing w:after="0"/>
              <w:rPr>
                <w:sz w:val="17"/>
                <w:szCs w:val="17"/>
                <w:color w:val="auto"/>
              </w:rPr>
            </w:pPr>
          </w:p>
        </w:tc>
        <w:tc>
          <w:tcPr>
            <w:tcW w:w="11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1,143,299</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1,033,780</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904,465</w:t>
            </w:r>
          </w:p>
        </w:tc>
        <w:tc>
          <w:tcPr>
            <w:tcW w:w="120" w:type="dxa"/>
            <w:vAlign w:val="bottom"/>
          </w:tcPr>
          <w:p>
            <w:pPr>
              <w:spacing w:after="0"/>
              <w:rPr>
                <w:sz w:val="17"/>
                <w:szCs w:val="17"/>
                <w:color w:val="auto"/>
              </w:rPr>
            </w:pPr>
          </w:p>
        </w:tc>
        <w:tc>
          <w:tcPr>
            <w:tcW w:w="12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10.6%</w:t>
            </w:r>
          </w:p>
        </w:tc>
        <w:tc>
          <w:tcPr>
            <w:tcW w:w="140" w:type="dxa"/>
            <w:vAlign w:val="bottom"/>
          </w:tcPr>
          <w:p>
            <w:pPr>
              <w:spacing w:after="0"/>
              <w:rPr>
                <w:sz w:val="17"/>
                <w:szCs w:val="17"/>
                <w:color w:val="auto"/>
              </w:rPr>
            </w:pPr>
          </w:p>
        </w:tc>
        <w:tc>
          <w:tcPr>
            <w:tcW w:w="1220" w:type="dxa"/>
            <w:vAlign w:val="bottom"/>
          </w:tcPr>
          <w:p>
            <w:pPr>
              <w:jc w:val="right"/>
              <w:ind w:right="1"/>
              <w:spacing w:after="0" w:line="207" w:lineRule="exact"/>
              <w:rPr>
                <w:sz w:val="20"/>
                <w:szCs w:val="20"/>
                <w:color w:val="auto"/>
              </w:rPr>
            </w:pPr>
            <w:r>
              <w:rPr>
                <w:rFonts w:ascii="Arial" w:cs="Arial" w:eastAsia="Arial" w:hAnsi="Arial"/>
                <w:sz w:val="20"/>
                <w:szCs w:val="20"/>
                <w:color w:val="auto"/>
              </w:rPr>
              <w:t>14.3%</w:t>
            </w:r>
          </w:p>
        </w:tc>
        <w:tc>
          <w:tcPr>
            <w:tcW w:w="0" w:type="dxa"/>
            <w:vAlign w:val="bottom"/>
          </w:tcPr>
          <w:p>
            <w:pPr>
              <w:spacing w:after="0"/>
              <w:rPr>
                <w:sz w:val="1"/>
                <w:szCs w:val="1"/>
                <w:color w:val="auto"/>
              </w:rPr>
            </w:pPr>
          </w:p>
        </w:tc>
      </w:tr>
      <w:tr>
        <w:trPr>
          <w:trHeight w:val="246"/>
        </w:trPr>
        <w:tc>
          <w:tcPr>
            <w:tcW w:w="3780" w:type="dxa"/>
            <w:vAlign w:val="bottom"/>
          </w:tcPr>
          <w:p>
            <w:pPr>
              <w:spacing w:after="0"/>
              <w:rPr>
                <w:sz w:val="20"/>
                <w:szCs w:val="20"/>
                <w:color w:val="auto"/>
              </w:rPr>
            </w:pPr>
            <w:r>
              <w:rPr>
                <w:rFonts w:ascii="Arial" w:cs="Arial" w:eastAsia="Arial" w:hAnsi="Arial"/>
                <w:sz w:val="20"/>
                <w:szCs w:val="20"/>
                <w:color w:val="auto"/>
              </w:rPr>
              <w:t>Cost of sales</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530,983</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494,986</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436,452</w:t>
            </w:r>
          </w:p>
        </w:tc>
        <w:tc>
          <w:tcPr>
            <w:tcW w:w="120" w:type="dxa"/>
            <w:vAlign w:val="bottom"/>
          </w:tcPr>
          <w:p>
            <w:pPr>
              <w:spacing w:after="0"/>
              <w:rPr>
                <w:sz w:val="21"/>
                <w:szCs w:val="21"/>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7.3%</w:t>
            </w:r>
          </w:p>
        </w:tc>
        <w:tc>
          <w:tcPr>
            <w:tcW w:w="140" w:type="dxa"/>
            <w:vAlign w:val="bottom"/>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13.4%</w:t>
            </w:r>
          </w:p>
        </w:tc>
        <w:tc>
          <w:tcPr>
            <w:tcW w:w="0" w:type="dxa"/>
            <w:vAlign w:val="bottom"/>
          </w:tcPr>
          <w:p>
            <w:pPr>
              <w:spacing w:after="0"/>
              <w:rPr>
                <w:sz w:val="1"/>
                <w:szCs w:val="1"/>
                <w:color w:val="auto"/>
              </w:rPr>
            </w:pPr>
          </w:p>
        </w:tc>
      </w:tr>
      <w:tr>
        <w:trPr>
          <w:trHeight w:val="206"/>
        </w:trPr>
        <w:tc>
          <w:tcPr>
            <w:tcW w:w="3780" w:type="dxa"/>
            <w:vAlign w:val="bottom"/>
          </w:tcPr>
          <w:p>
            <w:pPr>
              <w:spacing w:after="0" w:line="207" w:lineRule="exact"/>
              <w:rPr>
                <w:sz w:val="20"/>
                <w:szCs w:val="20"/>
                <w:color w:val="auto"/>
              </w:rPr>
            </w:pPr>
            <w:r>
              <w:rPr>
                <w:rFonts w:ascii="Arial" w:cs="Arial" w:eastAsia="Arial" w:hAnsi="Arial"/>
                <w:sz w:val="20"/>
                <w:szCs w:val="20"/>
                <w:color w:val="auto"/>
              </w:rPr>
              <w:t>Gross profit***¹</w:t>
            </w:r>
          </w:p>
        </w:tc>
        <w:tc>
          <w:tcPr>
            <w:tcW w:w="380" w:type="dxa"/>
            <w:vAlign w:val="bottom"/>
          </w:tcPr>
          <w:p>
            <w:pPr>
              <w:spacing w:after="0"/>
              <w:rPr>
                <w:sz w:val="17"/>
                <w:szCs w:val="17"/>
                <w:color w:val="auto"/>
              </w:rPr>
            </w:pPr>
          </w:p>
        </w:tc>
        <w:tc>
          <w:tcPr>
            <w:tcW w:w="11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612,316</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538,794</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468,013</w:t>
            </w:r>
          </w:p>
        </w:tc>
        <w:tc>
          <w:tcPr>
            <w:tcW w:w="120" w:type="dxa"/>
            <w:vAlign w:val="bottom"/>
          </w:tcPr>
          <w:p>
            <w:pPr>
              <w:spacing w:after="0"/>
              <w:rPr>
                <w:sz w:val="17"/>
                <w:szCs w:val="17"/>
                <w:color w:val="auto"/>
              </w:rPr>
            </w:pPr>
          </w:p>
        </w:tc>
        <w:tc>
          <w:tcPr>
            <w:tcW w:w="12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13.6%</w:t>
            </w:r>
          </w:p>
        </w:tc>
        <w:tc>
          <w:tcPr>
            <w:tcW w:w="140" w:type="dxa"/>
            <w:vAlign w:val="bottom"/>
          </w:tcPr>
          <w:p>
            <w:pPr>
              <w:spacing w:after="0"/>
              <w:rPr>
                <w:sz w:val="17"/>
                <w:szCs w:val="17"/>
                <w:color w:val="auto"/>
              </w:rPr>
            </w:pPr>
          </w:p>
        </w:tc>
        <w:tc>
          <w:tcPr>
            <w:tcW w:w="1220" w:type="dxa"/>
            <w:vAlign w:val="bottom"/>
          </w:tcPr>
          <w:p>
            <w:pPr>
              <w:jc w:val="right"/>
              <w:ind w:right="1"/>
              <w:spacing w:after="0" w:line="207" w:lineRule="exact"/>
              <w:rPr>
                <w:sz w:val="20"/>
                <w:szCs w:val="20"/>
                <w:color w:val="auto"/>
              </w:rPr>
            </w:pPr>
            <w:r>
              <w:rPr>
                <w:rFonts w:ascii="Arial" w:cs="Arial" w:eastAsia="Arial" w:hAnsi="Arial"/>
                <w:sz w:val="20"/>
                <w:szCs w:val="20"/>
                <w:color w:val="auto"/>
              </w:rPr>
              <w:t>15.1%</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20"/>
                <w:szCs w:val="20"/>
                <w:color w:val="auto"/>
              </w:rPr>
              <w:t>Gross profit margin as a percentage of net</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80" w:type="dxa"/>
            <w:vAlign w:val="bottom"/>
          </w:tcPr>
          <w:p>
            <w:pPr>
              <w:ind w:left="180"/>
              <w:spacing w:after="0"/>
              <w:rPr>
                <w:sz w:val="20"/>
                <w:szCs w:val="20"/>
                <w:color w:val="auto"/>
              </w:rPr>
            </w:pPr>
            <w:r>
              <w:rPr>
                <w:rFonts w:ascii="Arial" w:cs="Arial" w:eastAsia="Arial" w:hAnsi="Arial"/>
                <w:sz w:val="20"/>
                <w:szCs w:val="20"/>
                <w:color w:val="auto"/>
              </w:rPr>
              <w:t>sales</w:t>
            </w:r>
          </w:p>
        </w:tc>
        <w:tc>
          <w:tcPr>
            <w:tcW w:w="380" w:type="dxa"/>
            <w:vAlign w:val="bottom"/>
          </w:tcPr>
          <w:p>
            <w:pPr>
              <w:spacing w:after="0"/>
              <w:rPr>
                <w:sz w:val="21"/>
                <w:szCs w:val="21"/>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53.6%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52.1%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51.7%</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3780" w:type="dxa"/>
            <w:vAlign w:val="bottom"/>
          </w:tcPr>
          <w:p>
            <w:pPr>
              <w:spacing w:after="0"/>
              <w:rPr>
                <w:sz w:val="20"/>
                <w:szCs w:val="20"/>
                <w:color w:val="auto"/>
              </w:rPr>
            </w:pPr>
            <w:r>
              <w:rPr>
                <w:rFonts w:ascii="Arial" w:cs="Arial" w:eastAsia="Arial" w:hAnsi="Arial"/>
                <w:sz w:val="20"/>
                <w:szCs w:val="20"/>
                <w:color w:val="auto"/>
              </w:rPr>
              <w:t xml:space="preserve">Operating expenses </w:t>
            </w:r>
            <w:r>
              <w:rPr>
                <w:rFonts w:ascii="Arial" w:cs="Arial" w:eastAsia="Arial" w:hAnsi="Arial"/>
                <w:sz w:val="12"/>
                <w:szCs w:val="12"/>
                <w:color w:val="auto"/>
              </w:rPr>
              <w:t>2</w:t>
            </w:r>
          </w:p>
        </w:tc>
        <w:tc>
          <w:tcPr>
            <w:tcW w:w="380" w:type="dxa"/>
            <w:vAlign w:val="bottom"/>
          </w:tcPr>
          <w:p>
            <w:pPr>
              <w:spacing w:after="0"/>
              <w:rPr>
                <w:sz w:val="24"/>
                <w:szCs w:val="24"/>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275,007</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375,203</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237,027</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(26.7%)</w:t>
            </w:r>
          </w:p>
        </w:tc>
        <w:tc>
          <w:tcPr>
            <w:tcW w:w="14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58.3%</w:t>
            </w:r>
          </w:p>
        </w:tc>
        <w:tc>
          <w:tcPr>
            <w:tcW w:w="0" w:type="dxa"/>
            <w:vAlign w:val="bottom"/>
          </w:tcPr>
          <w:p>
            <w:pPr>
              <w:spacing w:after="0"/>
              <w:rPr>
                <w:sz w:val="1"/>
                <w:szCs w:val="1"/>
                <w:color w:val="auto"/>
              </w:rPr>
            </w:pPr>
          </w:p>
        </w:tc>
      </w:tr>
      <w:tr>
        <w:trPr>
          <w:trHeight w:val="438"/>
        </w:trPr>
        <w:tc>
          <w:tcPr>
            <w:tcW w:w="3780" w:type="dxa"/>
            <w:vAlign w:val="bottom"/>
          </w:tcPr>
          <w:p>
            <w:pPr>
              <w:spacing w:after="0"/>
              <w:rPr>
                <w:sz w:val="20"/>
                <w:szCs w:val="20"/>
                <w:color w:val="auto"/>
              </w:rPr>
            </w:pPr>
            <w:r>
              <w:rPr>
                <w:rFonts w:ascii="Arial" w:cs="Arial" w:eastAsia="Arial" w:hAnsi="Arial"/>
                <w:sz w:val="20"/>
                <w:szCs w:val="20"/>
                <w:color w:val="auto"/>
                <w:w w:val="98"/>
              </w:rPr>
              <w:t>Operating expenses as a percentage of net</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780" w:type="dxa"/>
            <w:vAlign w:val="bottom"/>
          </w:tcPr>
          <w:p>
            <w:pPr>
              <w:ind w:left="180"/>
              <w:spacing w:after="0"/>
              <w:rPr>
                <w:sz w:val="20"/>
                <w:szCs w:val="20"/>
                <w:color w:val="auto"/>
              </w:rPr>
            </w:pPr>
            <w:r>
              <w:rPr>
                <w:rFonts w:ascii="Arial" w:cs="Arial" w:eastAsia="Arial" w:hAnsi="Arial"/>
                <w:sz w:val="20"/>
                <w:szCs w:val="20"/>
                <w:color w:val="auto"/>
              </w:rPr>
              <w:t>sales</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24.1%</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36.3%</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26.2%</w:t>
            </w:r>
          </w:p>
        </w:tc>
        <w:tc>
          <w:tcPr>
            <w:tcW w:w="12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3780" w:type="dxa"/>
            <w:vAlign w:val="bottom"/>
          </w:tcPr>
          <w:p>
            <w:pPr>
              <w:spacing w:after="0"/>
              <w:rPr>
                <w:sz w:val="20"/>
                <w:szCs w:val="20"/>
                <w:color w:val="auto"/>
              </w:rPr>
            </w:pPr>
            <w:r>
              <w:rPr>
                <w:rFonts w:ascii="Arial" w:cs="Arial" w:eastAsia="Arial" w:hAnsi="Arial"/>
                <w:sz w:val="20"/>
                <w:szCs w:val="20"/>
                <w:color w:val="auto"/>
              </w:rPr>
              <w:t xml:space="preserve">Operating income </w:t>
            </w:r>
            <w:r>
              <w:rPr>
                <w:rFonts w:ascii="Arial" w:cs="Arial" w:eastAsia="Arial" w:hAnsi="Arial"/>
                <w:sz w:val="12"/>
                <w:szCs w:val="12"/>
                <w:color w:val="auto"/>
              </w:rPr>
              <w:t>1,2</w:t>
            </w:r>
          </w:p>
        </w:tc>
        <w:tc>
          <w:tcPr>
            <w:tcW w:w="380" w:type="dxa"/>
            <w:vAlign w:val="bottom"/>
          </w:tcPr>
          <w:p>
            <w:pPr>
              <w:spacing w:after="0"/>
              <w:rPr>
                <w:sz w:val="24"/>
                <w:szCs w:val="24"/>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337,309</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163,591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230,986</w:t>
            </w:r>
          </w:p>
        </w:tc>
        <w:tc>
          <w:tcPr>
            <w:tcW w:w="120" w:type="dxa"/>
            <w:vAlign w:val="bottom"/>
          </w:tcPr>
          <w:p>
            <w:pPr>
              <w:spacing w:after="0"/>
              <w:rPr>
                <w:sz w:val="24"/>
                <w:szCs w:val="24"/>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106.2%</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(29.2%)</w:t>
            </w: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0"/>
                <w:szCs w:val="20"/>
                <w:color w:val="auto"/>
              </w:rPr>
            </w:pPr>
            <w:r>
              <w:rPr>
                <w:rFonts w:ascii="Arial" w:cs="Arial" w:eastAsia="Arial" w:hAnsi="Arial"/>
                <w:sz w:val="20"/>
                <w:szCs w:val="20"/>
                <w:color w:val="auto"/>
                <w:w w:val="90"/>
              </w:rPr>
              <w:t>Operating income as a percentage of net sales</w:t>
            </w:r>
          </w:p>
        </w:tc>
        <w:tc>
          <w:tcPr>
            <w:tcW w:w="380" w:type="dxa"/>
            <w:vAlign w:val="bottom"/>
          </w:tcPr>
          <w:p>
            <w:pPr>
              <w:spacing w:after="0"/>
              <w:rPr>
                <w:sz w:val="21"/>
                <w:szCs w:val="21"/>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29.5%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15.8%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25.5%</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3780" w:type="dxa"/>
            <w:vAlign w:val="bottom"/>
          </w:tcPr>
          <w:p>
            <w:pPr>
              <w:spacing w:after="0"/>
              <w:rPr>
                <w:sz w:val="20"/>
                <w:szCs w:val="20"/>
                <w:color w:val="auto"/>
              </w:rPr>
            </w:pPr>
            <w:r>
              <w:rPr>
                <w:rFonts w:ascii="Arial" w:cs="Arial" w:eastAsia="Arial" w:hAnsi="Arial"/>
                <w:sz w:val="20"/>
                <w:szCs w:val="20"/>
                <w:color w:val="auto"/>
              </w:rPr>
              <w:t>Other income (expense):</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20"/>
                <w:szCs w:val="20"/>
                <w:color w:val="auto"/>
              </w:rPr>
              <w:t>Interest and other income, net</w:t>
            </w:r>
          </w:p>
        </w:tc>
        <w:tc>
          <w:tcPr>
            <w:tcW w:w="380" w:type="dxa"/>
            <w:vAlign w:val="bottom"/>
          </w:tcPr>
          <w:p>
            <w:pPr>
              <w:spacing w:after="0"/>
              <w:rPr>
                <w:sz w:val="19"/>
                <w:szCs w:val="19"/>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2,273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10,413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8,770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(78.2%)</w:t>
            </w:r>
          </w:p>
        </w:tc>
        <w:tc>
          <w:tcPr>
            <w:tcW w:w="14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18.7%</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20"/>
                <w:szCs w:val="20"/>
                <w:color w:val="auto"/>
              </w:rPr>
              <w:t>Other-than-temporary impairment of</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80" w:type="dxa"/>
            <w:vAlign w:val="bottom"/>
          </w:tcPr>
          <w:p>
            <w:pPr>
              <w:ind w:left="180"/>
              <w:spacing w:after="0"/>
              <w:rPr>
                <w:sz w:val="20"/>
                <w:szCs w:val="20"/>
                <w:color w:val="auto"/>
              </w:rPr>
            </w:pPr>
            <w:r>
              <w:rPr>
                <w:rFonts w:ascii="Arial" w:cs="Arial" w:eastAsia="Arial" w:hAnsi="Arial"/>
                <w:sz w:val="20"/>
                <w:szCs w:val="20"/>
                <w:color w:val="auto"/>
              </w:rPr>
              <w:t>investments</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(3,887)</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(527)</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637.6%</w:t>
            </w:r>
          </w:p>
        </w:tc>
        <w:tc>
          <w:tcPr>
            <w:tcW w:w="140" w:type="dxa"/>
            <w:vAlign w:val="bottom"/>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44"/>
        </w:trPr>
        <w:tc>
          <w:tcPr>
            <w:tcW w:w="3780" w:type="dxa"/>
            <w:vAlign w:val="bottom"/>
          </w:tcPr>
          <w:p>
            <w:pPr>
              <w:ind w:left="360"/>
              <w:spacing w:after="0"/>
              <w:rPr>
                <w:sz w:val="20"/>
                <w:szCs w:val="20"/>
                <w:color w:val="auto"/>
              </w:rPr>
            </w:pPr>
            <w:r>
              <w:rPr>
                <w:rFonts w:ascii="Arial" w:cs="Arial" w:eastAsia="Arial" w:hAnsi="Arial"/>
                <w:sz w:val="20"/>
                <w:szCs w:val="20"/>
                <w:color w:val="auto"/>
              </w:rPr>
              <w:t>Total other income (expense)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(1,614)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9,886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8,770</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2"/>
        </w:trPr>
        <w:tc>
          <w:tcPr>
            <w:tcW w:w="378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80" w:type="dxa"/>
            <w:vAlign w:val="bottom"/>
          </w:tcPr>
          <w:p>
            <w:pPr>
              <w:spacing w:after="0"/>
              <w:rPr>
                <w:sz w:val="24"/>
                <w:szCs w:val="24"/>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335,695</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173,477</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239,756</w:t>
            </w:r>
          </w:p>
        </w:tc>
        <w:tc>
          <w:tcPr>
            <w:tcW w:w="120" w:type="dxa"/>
            <w:vAlign w:val="bottom"/>
          </w:tcPr>
          <w:p>
            <w:pPr>
              <w:spacing w:after="0"/>
              <w:rPr>
                <w:sz w:val="24"/>
                <w:szCs w:val="24"/>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93.5%</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(27.6%)</w:t>
            </w:r>
          </w:p>
        </w:tc>
        <w:tc>
          <w:tcPr>
            <w:tcW w:w="0" w:type="dxa"/>
            <w:vAlign w:val="bottom"/>
          </w:tcPr>
          <w:p>
            <w:pPr>
              <w:spacing w:after="0"/>
              <w:rPr>
                <w:sz w:val="1"/>
                <w:szCs w:val="1"/>
                <w:color w:val="auto"/>
              </w:rPr>
            </w:pPr>
          </w:p>
        </w:tc>
      </w:tr>
      <w:tr>
        <w:trPr>
          <w:trHeight w:val="455"/>
        </w:trPr>
        <w:tc>
          <w:tcPr>
            <w:tcW w:w="3780" w:type="dxa"/>
            <w:vAlign w:val="bottom"/>
          </w:tcPr>
          <w:p>
            <w:pPr>
              <w:spacing w:after="0"/>
              <w:rPr>
                <w:sz w:val="20"/>
                <w:szCs w:val="20"/>
                <w:color w:val="auto"/>
              </w:rPr>
            </w:pPr>
            <w:r>
              <w:rPr>
                <w:rFonts w:ascii="Arial" w:cs="Arial" w:eastAsia="Arial" w:hAnsi="Arial"/>
                <w:sz w:val="20"/>
                <w:szCs w:val="20"/>
                <w:color w:val="auto"/>
              </w:rPr>
              <w:t>Provision for income taxes</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126,979</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65,445</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90,350</w:t>
            </w: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94.0%</w:t>
            </w:r>
          </w:p>
        </w:tc>
        <w:tc>
          <w:tcPr>
            <w:tcW w:w="14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(27.6%)</w:t>
            </w:r>
          </w:p>
        </w:tc>
        <w:tc>
          <w:tcPr>
            <w:tcW w:w="0" w:type="dxa"/>
            <w:vAlign w:val="bottom"/>
          </w:tcPr>
          <w:p>
            <w:pPr>
              <w:spacing w:after="0"/>
              <w:rPr>
                <w:sz w:val="1"/>
                <w:szCs w:val="1"/>
                <w:color w:val="auto"/>
              </w:rPr>
            </w:pPr>
          </w:p>
        </w:tc>
      </w:tr>
      <w:tr>
        <w:trPr>
          <w:trHeight w:val="453"/>
        </w:trPr>
        <w:tc>
          <w:tcPr>
            <w:tcW w:w="3780" w:type="dxa"/>
            <w:vAlign w:val="bottom"/>
          </w:tcPr>
          <w:p>
            <w:pPr>
              <w:spacing w:after="0"/>
              <w:rPr>
                <w:sz w:val="20"/>
                <w:szCs w:val="20"/>
                <w:color w:val="auto"/>
              </w:rPr>
            </w:pPr>
            <w:r>
              <w:rPr>
                <w:rFonts w:ascii="Arial" w:cs="Arial" w:eastAsia="Arial" w:hAnsi="Arial"/>
                <w:sz w:val="20"/>
                <w:szCs w:val="20"/>
                <w:color w:val="auto"/>
              </w:rPr>
              <w:t>Net income</w:t>
            </w: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208,716</w:t>
            </w:r>
          </w:p>
        </w:tc>
        <w:tc>
          <w:tcPr>
            <w:tcW w:w="140" w:type="dxa"/>
            <w:vAlign w:val="bottom"/>
          </w:tcPr>
          <w:p>
            <w:pPr>
              <w:spacing w:after="0"/>
              <w:rPr>
                <w:sz w:val="24"/>
                <w:szCs w:val="24"/>
                <w:color w:val="auto"/>
              </w:rPr>
            </w:pP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108,032</w:t>
            </w:r>
          </w:p>
        </w:tc>
        <w:tc>
          <w:tcPr>
            <w:tcW w:w="140" w:type="dxa"/>
            <w:vAlign w:val="bottom"/>
          </w:tcPr>
          <w:p>
            <w:pPr>
              <w:spacing w:after="0"/>
              <w:rPr>
                <w:sz w:val="24"/>
                <w:szCs w:val="24"/>
                <w:color w:val="auto"/>
              </w:rPr>
            </w:pPr>
          </w:p>
        </w:tc>
        <w:tc>
          <w:tcPr>
            <w:tcW w:w="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149,406</w:t>
            </w: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93.2%</w:t>
            </w:r>
          </w:p>
        </w:tc>
        <w:tc>
          <w:tcPr>
            <w:tcW w:w="14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(27.7%)</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20"/>
                <w:szCs w:val="20"/>
                <w:color w:val="auto"/>
              </w:rPr>
              <w:t>Net income as a percentage of net sales</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7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18.3%</w:t>
            </w:r>
          </w:p>
        </w:tc>
        <w:tc>
          <w:tcPr>
            <w:tcW w:w="1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10.5%</w:t>
            </w:r>
          </w:p>
        </w:tc>
        <w:tc>
          <w:tcPr>
            <w:tcW w:w="1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16.5%</w:t>
            </w:r>
          </w:p>
        </w:tc>
        <w:tc>
          <w:tcPr>
            <w:tcW w:w="1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3780" w:type="dxa"/>
            <w:vAlign w:val="bottom"/>
          </w:tcPr>
          <w:p>
            <w:pPr>
              <w:spacing w:after="0"/>
              <w:rPr>
                <w:sz w:val="20"/>
                <w:szCs w:val="20"/>
                <w:color w:val="auto"/>
              </w:rPr>
            </w:pPr>
            <w:r>
              <w:rPr>
                <w:rFonts w:ascii="Arial" w:cs="Arial" w:eastAsia="Arial" w:hAnsi="Arial"/>
                <w:sz w:val="20"/>
                <w:szCs w:val="20"/>
                <w:color w:val="auto"/>
              </w:rPr>
              <w:t>Net income per common share:</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20"/>
                <w:szCs w:val="20"/>
                <w:color w:val="auto"/>
              </w:rPr>
              <w:t>Basic</w:t>
            </w:r>
          </w:p>
        </w:tc>
        <w:tc>
          <w:tcPr>
            <w:tcW w:w="380" w:type="dxa"/>
            <w:vAlign w:val="bottom"/>
          </w:tcPr>
          <w:p>
            <w:pPr>
              <w:spacing w:after="0"/>
              <w:rPr>
                <w:sz w:val="19"/>
                <w:szCs w:val="19"/>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$2.32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$1.17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$1.64</w:t>
            </w:r>
          </w:p>
        </w:tc>
        <w:tc>
          <w:tcPr>
            <w:tcW w:w="12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98.7%</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(28.7%)</w:t>
            </w:r>
          </w:p>
        </w:tc>
        <w:tc>
          <w:tcPr>
            <w:tcW w:w="0" w:type="dxa"/>
            <w:vAlign w:val="bottom"/>
          </w:tcPr>
          <w:p>
            <w:pPr>
              <w:spacing w:after="0"/>
              <w:rPr>
                <w:sz w:val="1"/>
                <w:szCs w:val="1"/>
                <w:color w:val="auto"/>
              </w:rPr>
            </w:pPr>
          </w:p>
        </w:tc>
      </w:tr>
      <w:tr>
        <w:trPr>
          <w:trHeight w:val="250"/>
        </w:trPr>
        <w:tc>
          <w:tcPr>
            <w:tcW w:w="3780" w:type="dxa"/>
            <w:vAlign w:val="bottom"/>
          </w:tcPr>
          <w:p>
            <w:pPr>
              <w:ind w:left="180"/>
              <w:spacing w:after="0"/>
              <w:rPr>
                <w:sz w:val="20"/>
                <w:szCs w:val="20"/>
                <w:color w:val="auto"/>
              </w:rPr>
            </w:pPr>
            <w:r>
              <w:rPr>
                <w:rFonts w:ascii="Arial" w:cs="Arial" w:eastAsia="Arial" w:hAnsi="Arial"/>
                <w:sz w:val="20"/>
                <w:szCs w:val="20"/>
                <w:color w:val="auto"/>
              </w:rPr>
              <w:t>Diluted</w:t>
            </w:r>
          </w:p>
        </w:tc>
        <w:tc>
          <w:tcPr>
            <w:tcW w:w="380" w:type="dxa"/>
            <w:vAlign w:val="bottom"/>
          </w:tcPr>
          <w:p>
            <w:pPr>
              <w:spacing w:after="0"/>
              <w:rPr>
                <w:sz w:val="21"/>
                <w:szCs w:val="21"/>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$2.21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$1.11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$1.51</w:t>
            </w:r>
          </w:p>
        </w:tc>
        <w:tc>
          <w:tcPr>
            <w:tcW w:w="120" w:type="dxa"/>
            <w:vAlign w:val="bottom"/>
          </w:tcPr>
          <w:p>
            <w:pPr>
              <w:spacing w:after="0"/>
              <w:rPr>
                <w:sz w:val="21"/>
                <w:szCs w:val="21"/>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99.1%</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(26.7%)</w:t>
            </w:r>
          </w:p>
        </w:tc>
        <w:tc>
          <w:tcPr>
            <w:tcW w:w="0" w:type="dxa"/>
            <w:vAlign w:val="bottom"/>
          </w:tcPr>
          <w:p>
            <w:pPr>
              <w:spacing w:after="0"/>
              <w:rPr>
                <w:sz w:val="1"/>
                <w:szCs w:val="1"/>
                <w:color w:val="auto"/>
              </w:rPr>
            </w:pPr>
          </w:p>
        </w:tc>
      </w:tr>
      <w:tr>
        <w:trPr>
          <w:trHeight w:val="438"/>
        </w:trPr>
        <w:tc>
          <w:tcPr>
            <w:tcW w:w="5460" w:type="dxa"/>
            <w:vAlign w:val="bottom"/>
            <w:gridSpan w:val="4"/>
          </w:tcPr>
          <w:p>
            <w:pPr>
              <w:spacing w:after="0"/>
              <w:rPr>
                <w:sz w:val="20"/>
                <w:szCs w:val="20"/>
                <w:color w:val="auto"/>
              </w:rPr>
            </w:pPr>
            <w:r>
              <w:rPr>
                <w:rFonts w:ascii="Arial" w:cs="Arial" w:eastAsia="Arial" w:hAnsi="Arial"/>
                <w:sz w:val="20"/>
                <w:szCs w:val="20"/>
                <w:color w:val="auto"/>
              </w:rPr>
              <w:t>Case sales (in thousands) (in 192-ounce case equivalents)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109,985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102,659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98,453</w:t>
            </w:r>
          </w:p>
        </w:tc>
        <w:tc>
          <w:tcPr>
            <w:tcW w:w="120" w:type="dxa"/>
            <w:vAlign w:val="bottom"/>
          </w:tcPr>
          <w:p>
            <w:pPr>
              <w:spacing w:after="0"/>
              <w:rPr>
                <w:sz w:val="21"/>
                <w:szCs w:val="21"/>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7.1%</w:t>
            </w:r>
          </w:p>
        </w:tc>
        <w:tc>
          <w:tcPr>
            <w:tcW w:w="140" w:type="dxa"/>
            <w:vAlign w:val="bottom"/>
          </w:tcPr>
          <w:p>
            <w:pPr>
              <w:spacing w:after="0"/>
              <w:rPr>
                <w:sz w:val="21"/>
                <w:szCs w:val="21"/>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¹Includes $8.2 million, $14.3 million and $1.9 million for the years ended December 31, 2009, 2008 and 2007, respectively, related to the recognition of deferred revenue.</w:t>
      </w:r>
    </w:p>
    <w:p>
      <w:pPr>
        <w:spacing w:after="0" w:line="17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²Includes $1.9 million, $118.1 million and $15.3 million for the years ended December 31, 2009, 2008 and 2007, respectively, related to expenditures attributable to the costs associated with terminating existing distributors.</w:t>
      </w:r>
    </w:p>
    <w:p>
      <w:pPr>
        <w:spacing w:after="0" w:line="170" w:lineRule="exact"/>
        <w:rPr>
          <w:sz w:val="20"/>
          <w:szCs w:val="20"/>
          <w:color w:val="auto"/>
        </w:rPr>
      </w:pPr>
    </w:p>
    <w:p>
      <w:pPr>
        <w:jc w:val="both"/>
        <w:ind w:firstLine="8"/>
        <w:spacing w:after="0" w:line="286" w:lineRule="auto"/>
        <w:tabs>
          <w:tab w:leader="none" w:pos="148" w:val="left"/>
        </w:tabs>
        <w:numPr>
          <w:ilvl w:val="0"/>
          <w:numId w:val="22"/>
        </w:numPr>
        <w:rPr>
          <w:rFonts w:ascii="Arial" w:cs="Arial" w:eastAsia="Arial" w:hAnsi="Arial"/>
          <w:sz w:val="17"/>
          <w:szCs w:val="17"/>
          <w:b w:val="1"/>
          <w:bCs w:val="1"/>
          <w:color w:val="auto"/>
        </w:rPr>
      </w:pPr>
      <w:r>
        <w:rPr>
          <w:rFonts w:ascii="Arial" w:cs="Arial" w:eastAsia="Arial" w:hAnsi="Arial"/>
          <w:sz w:val="17"/>
          <w:szCs w:val="17"/>
          <w:i w:val="1"/>
          <w:iCs w:val="1"/>
          <w:color w:val="auto"/>
        </w:rPr>
        <w:t>Gross sales, although used internally by management as an indicator of operating performance,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reporting requirements. However, gross sales is used by management to monitor operating performance including sales performance of particular products, salesperson performance, product growth or declines and our overall performance. The use of gross sales allows evaluation of sales performance before the effect of any promotional items, which can mask certain performance issues. Management believes the presentation of gross sales allows a more comprehensive presentation of our operating performance. Gross sales may not be realized in the form of cash receipts as promotional payments and allowances may be deducted from payments received from customers. (See” Part II, Item 6 – Selected Financial Data”).</w:t>
      </w:r>
    </w:p>
    <w:p>
      <w:pPr>
        <w:spacing w:after="0" w:line="173" w:lineRule="exact"/>
        <w:rPr>
          <w:sz w:val="20"/>
          <w:szCs w:val="20"/>
          <w:color w:val="auto"/>
        </w:rPr>
      </w:pPr>
    </w:p>
    <w:p>
      <w:pPr>
        <w:jc w:val="both"/>
        <w:ind w:firstLine="8"/>
        <w:spacing w:after="0" w:line="257" w:lineRule="auto"/>
        <w:tabs>
          <w:tab w:leader="none" w:pos="225" w:val="left"/>
        </w:tabs>
        <w:numPr>
          <w:ilvl w:val="0"/>
          <w:numId w:val="23"/>
        </w:numPr>
        <w:rPr>
          <w:rFonts w:ascii="Arial" w:cs="Arial" w:eastAsia="Arial" w:hAnsi="Arial"/>
          <w:sz w:val="18"/>
          <w:szCs w:val="18"/>
          <w:b w:val="1"/>
          <w:bCs w:val="1"/>
          <w:color w:val="auto"/>
        </w:rPr>
      </w:pPr>
      <w:r>
        <w:rPr>
          <w:rFonts w:ascii="Arial" w:cs="Arial" w:eastAsia="Arial" w:hAnsi="Arial"/>
          <w:sz w:val="18"/>
          <w:szCs w:val="18"/>
          <w:i w:val="1"/>
          <w:iCs w:val="1"/>
          <w:color w:val="auto"/>
        </w:rPr>
        <w:t>Although the expenditures described in this line item are determined in accordance with GAAP and meet GAAP requirements, the disclosure thereof does not conform with GAAP presentation requirements. Additionally, the presentation of promotional and other allowances may not be comparable to similar items presented by other companies. The presentation of promotional and other allowances facilitates an evaluation of the impact thereof on the determination of net sales and illustrates the spending levels incurred to secure such sales. Promotional and other allowances constitute a material portion of our marketing activities.</w:t>
      </w:r>
    </w:p>
    <w:p>
      <w:pPr>
        <w:sectPr>
          <w:pgSz w:w="11900" w:h="16935" w:orient="portrait"/>
          <w:cols w:equalWidth="0" w:num="1">
            <w:col w:w="11420"/>
          </w:cols>
          <w:pgMar w:left="240" w:top="130" w:right="239" w:bottom="0" w:gutter="0" w:footer="0" w:header="0"/>
        </w:sectPr>
      </w:pPr>
    </w:p>
    <w:p>
      <w:pPr>
        <w:spacing w:after="0" w:line="188"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w:t>
      </w:r>
    </w:p>
    <w:p>
      <w:pPr>
        <w:sectPr>
          <w:pgSz w:w="11900" w:h="16935" w:orient="portrait"/>
          <w:cols w:equalWidth="0" w:num="1">
            <w:col w:w="11420"/>
          </w:cols>
          <w:pgMar w:left="240" w:top="130" w:right="239" w:bottom="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warehouse costs in operating expenses.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Year Ended December 31, 2009 Compared to the Year Ended December 31, 2008</w:t>
      </w:r>
    </w:p>
    <w:p>
      <w:pPr>
        <w:spacing w:after="0" w:line="22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i w:val="1"/>
          <w:iCs w:val="1"/>
          <w:color w:val="auto"/>
        </w:rPr>
        <w:t xml:space="preserve">Gross Sales.* </w:t>
      </w:r>
      <w:r>
        <w:rPr>
          <w:rFonts w:ascii="Arial" w:cs="Arial" w:eastAsia="Arial" w:hAnsi="Arial"/>
          <w:sz w:val="16"/>
          <w:szCs w:val="16"/>
          <w:color w:val="auto"/>
        </w:rPr>
        <w:t>Gross sales were $1,309.3 million for the year ended December 31, 2009, an increase of approximately $126.5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or 10.7% higher than gross sales of $1,182.9 million for the year ended December 31, 2008. The increase in gross sales was primarily attributable to increased sales by volume of our Monster Energy® brand energy drinks. To a lesser extent, the increase in gross sales was attributable to sales of certain new products such as our Monster Energy® Import energy drink, our Nitrous™ Monster Energy® product line and our X-Presso Monster™-Hammer energy drink, as well as increased sales by volume of our Monster Hitman Energy Shooter™ product line and our Hansen’s Natural Sodas®. The increase in gross sales was partially offset by decreased sales by volume of our Java Monster™ product line, our Lost Energy® brand energy drinks, apple juice and juice blends. Gross sales for the year ended December 31, 2009 were positively impacted by advance purchases made by our customers in the 2009 fourth quarter due to our announcement of a new per case marketing contribution program for our Monster Energy® distributors commencing January 1, 2010, as well as to avoid potential interruptions in product supply due to our announcement to transition our North American operations to the SAP enterprise resource planning system commencing January 2010. We estimate that approximately 1% of gross sales for the year ended December 31, 2009, were attributable to such advance purchases. We did not limit the amount of our customers’ purchases during the fourth quarter of 2009. Our gross sales for the year ended December 31, 2008 were impacted by a price increase announced during the fourth quarter of 2007 for our Monster Energy® brand energy drinks in 16-ounce cans and our Java Monster™ product line, effective January 1, 2008. We estimate that gross sales for the year ended December 31, 2008 were reduced by approximately 2% as a result of purchases made by our customers in advance of such price increases. We did not limit the amount of purchases our customers could execute at our then existing 2007 fourth quarter prices. Included in gross sales for the years ended December 31, 2009 and 2008, were $8.2 million and $14.3 million, respectively, related to the recognition of deferred revenue. Promotional and other allowances were $166.0 million for the year ended December 31, 2009, an increase of $16.9 million, or 11.4% higher than promotional and other allowances of $149.1 million for the year ended December 31, 2008. Promotional and other allowances as a percentage of gross sales increased to 12.7% from 12.6% for the years ended December 31, 2009 and 2008, respectively. As a result, the percentage increase in gross sales for year ended December 31, 2009 was slightly higher than the percentage increase in net sales.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sales – see definition above.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$1,143.3 million for the year ended December 31, 2009, an increase of approximately $109.5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10.6% higher than net sales of $1,033.8 million for the year ended December 31, 2008. The increase in net sales was primarily attributable to increased sales by volume of our Monster Energy® brand energy drinks. To a lesser extent, the increase in net sales was attributable to sales of certain new products such as our Monster Energy® Import energy drink, our Nitrous™ Monster Energy® product line and our X-Presso Monster™-Hammer energy drink as well as increased sales by volume of our Hansen’s Natural Sodas®. The increase in net sales was partially offset by decreased sales by volume of our Java Monster™ product line, our Lost Energy® brand energy drinks and apple juice. Net sales for the year ended December 31, 2009 were positively impacted by advance purchases made by our customers in the 2009 fourth quarter due to our announcement of a new per case marketing contribution program for our Monster Energy® distributors commencing January 1, 2010, as well as to avoid potential interruptions in product supply due to our announcement to transition our North American operations to the SAP enterprise resource planning system commencing January 2010. We estimate that approximately 1% of net sales for the year ended December 31, 2009, were attributable to such advance purchases. We did not limit the amount of our customers’ purchases during the fourth quarter of 2009. Our net sales for the year ended December 31, 2008 were impacted by a price increase announced during the fourth quarter of 2007 for our Monster Energy® brand energy drinks in 16-ounce cans and our Java Monster™ product line, effective January 1, 2008. We estimate that net sales for the year ended December 31, 2008 were reduced by approximately 2% as a result of purchases made by our then customers in advance of such price increases. We did not limit the amount of purchases our customers could execute at our then existing 2007 fourth quarter prices. Net sales for the years ended December 31, 2009 and 2008, included $8.2 million and $14.3 million, respectively, related to the recognition of deferred revenue.</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Case sales, in 192-ounce case equivalents, were 110.0 million cases for the year ended December 31, 2009, an increase of approximately 7.3 million cases or 7.1% higher than case sales of 102.7 million cases for the year ended December 31, 2008. The overall average net sales price per case increased to $10.40 for the year ended December 31, 2009 or 3.2% higher than the average net sales price per case of $10.07 for the year ended December 31, 2008. The increase in the average net sales price per case was attributable to an increase in the proportion of case sales derived from higher priced products.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Net sales for the DSD segment were $1,051.2 million for the year ended December 31, 2009, an increase of approximately $113.3 million, or 12.1% higher than net sales of $937.9 million for the year ended December 31, 2008. The increase in net sales for the DSD segment was primarily attributable to increased sales by volume of our Monster Energy® brand energy drinks. To a lesser extent, the increase in net sales for the DSD segment was attributable to sales of certain new products such as our Monster Energy® Import energy drink, our Nitrous™ Monster Energy® product line and our X-Presso Monster™-Hammer energy drink. The increase in net sales for the DSD segment was partially offset by decreased sales by volume of our Java Monster™ product line and our Lost Energy® brand energy drinks. Net sales for the DSD segment for the years ended December 31, 2009 and 2008, included $8.2 million and $14.3 million, respectively, related to the recognition of deferred revenue.</w:t>
      </w:r>
    </w:p>
    <w:p>
      <w:pPr>
        <w:spacing w:after="0" w:line="19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Net sales for the Warehouse segment were $92.1 million for the year ended December 31, 2009, a decrease of approximately $3.8 million, or 4.0% lower than net sales of $95.9 million for the year ended December 31, 2008. The decrease in net sales for the Warehouse segment was primarily attributable to decreased sales by volume of apple juice, juice blends, sports drinks and Junior Juice® aseptic juices. The decrease in net sales for the Warehouse segment was partially offset by increased sales by volume of Hansen’s Natural Sodas® and aseptic juice drinks as well as a decrease in promotional and other allowances as a percentage of gross sales.</w:t>
      </w:r>
    </w:p>
    <w:p>
      <w:pPr>
        <w:sectPr>
          <w:pgSz w:w="11900" w:h="16838" w:orient="portrait"/>
          <w:cols w:equalWidth="0" w:num="1">
            <w:col w:w="11420"/>
          </w:cols>
          <w:pgMar w:left="240" w:top="125" w:right="239" w:bottom="42" w:gutter="0" w:footer="0" w:header="0"/>
        </w:sectPr>
      </w:pPr>
    </w:p>
    <w:bookmarkStart w:id="28" w:name="page29"/>
    <w:bookmarkEnd w:id="28"/>
    <w:p>
      <w:pPr>
        <w:jc w:val="both"/>
        <w:ind w:firstLine="648"/>
        <w:spacing w:after="0" w:line="250" w:lineRule="auto"/>
        <w:rPr>
          <w:sz w:val="20"/>
          <w:szCs w:val="20"/>
          <w:color w:val="auto"/>
        </w:rPr>
      </w:pPr>
      <w:r>
        <w:rPr>
          <w:rFonts w:ascii="Arial" w:cs="Arial" w:eastAsia="Arial" w:hAnsi="Arial"/>
          <w:sz w:val="20"/>
          <w:szCs w:val="20"/>
          <w:i w:val="1"/>
          <w:iCs w:val="1"/>
          <w:color w:val="auto"/>
        </w:rPr>
        <w:t>Gross Profit.**</w:t>
      </w:r>
      <w:r>
        <w:rPr>
          <w:rFonts w:ascii="Arial" w:cs="Arial" w:eastAsia="Arial" w:hAnsi="Arial"/>
          <w:sz w:val="20"/>
          <w:szCs w:val="20"/>
          <w:color w:val="auto"/>
        </w:rPr>
        <w:t>* Gross profit was $612.3 million for the year ended December 31, 2009, an increase of approximately $73.5 million, or</w:t>
      </w:r>
      <w:r>
        <w:rPr>
          <w:rFonts w:ascii="Arial" w:cs="Arial" w:eastAsia="Arial" w:hAnsi="Arial"/>
          <w:sz w:val="20"/>
          <w:szCs w:val="20"/>
          <w:i w:val="1"/>
          <w:iCs w:val="1"/>
          <w:color w:val="auto"/>
        </w:rPr>
        <w:t xml:space="preserve"> </w:t>
      </w:r>
      <w:r>
        <w:rPr>
          <w:rFonts w:ascii="Arial" w:cs="Arial" w:eastAsia="Arial" w:hAnsi="Arial"/>
          <w:sz w:val="20"/>
          <w:szCs w:val="20"/>
          <w:color w:val="auto"/>
        </w:rPr>
        <w:t>13.6% higher than the gross profit of $538.8 million for the year ended December 31, 2008. Gross profit as a percentage of net sales increased to 53.6% for the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ended December 31, 2009 from 52.1% for the year ended December 31, 2008. The increase in net sales contributed to the increase in gross profit dollars. The increase in gross profit as a percentage of net sales was partially attributable to increased sales of DSD segment products, which have higher gross profit margins than those in the Warehouse segment, as well as a decrease in the percentage of sales within the DSD segment of the Java Monster™ product line, which have lower gross profit margins than our Monster Energy® brand energy drinks. In addition, the increase in gross profit as a percentage of net sales was attributable to a decrease in the cost of certain raw materials including certain containers and packaging materials and certain juice concentrates, particularly apple juice concentrate.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profit – see definition above.</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$275.0 million for the year ended December 31, 2009,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$100.2 million, or 26.7% lower than total operating expenses of $375.2 million for the year ended December 31, 2008. Total operating expenses as a percentage of net sales was 24.1% for the year ended December 31, 2009, compared to 36.3% for the year ended December 31, 2008. The decrease in operating expenses in dollars was primarily attributable to decreased expenditures of $116.2 million related to the costs associated with terminating existing distributors. To a lesser extent, the decrease in operating expenses was partially attributable to decreased expenditures of $5.4 million for out-bound freight, decreased expenditures of $3.6 million for merchandise displays, decreased expenditures of $2.5 million for professional service fees, including accounting and legal costs, decreased expenditures of $2.4 million for allocated trade development, decreased expenditures of $2.1 million for samples, decreased expenditures of $2.2 million for demos and decreased expenditures of $1.6 million for storage and warehouse costs. The decrease in operating expenses in dollars was partially offset by increased expenditures of $12.7 million for sponsorships and endorsements, increased payroll expenses of $9.6 million, increased expenditures of $3.5 million for commissions and royalties, increased expenditures of $2.8 million for travel expenses, $2.8 million of increased depreciation costs, and increased expenditures of $2.1 million for advertising. Total operating expenses include costs of $24.1 million, or 2.1% of net sales, and $10.7 million, or 1.0% of net sales, relating to the launch of the Monster Energy® brand in Europe for the years ended December 31, 2009 and 2008, respectively. Included in professional service fees are legal and accounting fees, net of insurance proceeds, of ($4.7) million and ($0.2) million, for the years ended December 31, 2009 and 2008, respectively, in connection with our special investigation of stock option grants and granting practices, related litigation and other related matters. Total operating expenses, exclusive of expenditures of: (i) $1.9 million and $118.1 million for the years ended December 31, 2009 and 2008, respectively, attributable to the costs associated with terminating existing distributors; and (ii) professional service fees, net of insurance proceeds, of ($4.7) million and ($0.2) million, for the years ended December 31, 2009 and 2008, respectively, in connection with our special investigation of stock option grants and granting practices, related litigation and other related matters, as a percentage of net sales, were 24.3% and 24.9% for the years ended December 31, 2009 and 2008, respectively.</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Contribution Margin. </w:t>
      </w:r>
      <w:r>
        <w:rPr>
          <w:rFonts w:ascii="Arial" w:cs="Arial" w:eastAsia="Arial" w:hAnsi="Arial"/>
          <w:sz w:val="19"/>
          <w:szCs w:val="19"/>
          <w:color w:val="auto"/>
        </w:rPr>
        <w:t>Contribution margin for the DSD segment was $389.3 million for the year ended December 31, 2009, an</w:t>
      </w:r>
      <w:r>
        <w:rPr>
          <w:rFonts w:ascii="Arial" w:cs="Arial" w:eastAsia="Arial" w:hAnsi="Arial"/>
          <w:sz w:val="19"/>
          <w:szCs w:val="19"/>
          <w:i w:val="1"/>
          <w:iCs w:val="1"/>
          <w:color w:val="auto"/>
        </w:rPr>
        <w:t xml:space="preserve"> </w:t>
      </w:r>
      <w:r>
        <w:rPr>
          <w:rFonts w:ascii="Arial" w:cs="Arial" w:eastAsia="Arial" w:hAnsi="Arial"/>
          <w:sz w:val="19"/>
          <w:szCs w:val="19"/>
          <w:color w:val="auto"/>
        </w:rPr>
        <w:t>increase of approximately $173.2 million, or 80.1% higher than contribution margin of $216.1 million for the year ended December 31, 2008. The increase in the contribution margin for the DSD segment was primarily due to increased sales of Monster Energy® brand energy drinks and to decreased expenditures of $116.2 million related to the costs associated with terminating existing distributors. To a lesser extent, the increase in contribution margin for the DSD segment was attributable to sales of certain new products such as our Monster Energy® Import energy drink, our Nitrous™ Monster Energy® product line and our X-Presso Monster™-Hammer energy drink. Contribution margin for the Warehouse segment was $6.1 million for the year ended December 31, 2009, approximately $5.5 million higher than contribution margin of $0.5 million for the year ended December 31, 2008. The increase in the contribution margin for the Warehouse segment was primarily attributable to an increase in gross margin as a result of decreases in the costs of certain raw materials, particularly apple juice concentrate, and by a reduction in sales rebates within our juice product line as a result of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termination of our exclusive contracts with the State of California Department of Health Services, Women, Infant and Children (“WIC”) Supplemental Nutrition Branch in April 2008. The WIC program continues on a non-exclusive basis in which we participate with certain of our 64-ounce juice products.</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$337.3 million for the year ended December 31, 2009, an increase of approximately $173.7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106.2% higher than operating income of $163.6 million for the year ended December 31, 2008. Operating income as a percentage of net sales increased to 29.5% for the year ended December 31, 2009 from 15.8% for the year ended December 31, 2008. The increases in operating income and operating income as a percentage of net sales were primarily due to a decrease in operating expenses of $100.2 million and an increase in gross profit of $73.5 million. Operating income exclusive of: (i) recognition of deferred revenue of $8.2 million and $14.3 million for the years ended December 31, 2009 and 2008, respectively; (ii) expenditures of $1.9 million and $118.1 million for the years ended December 31, 2009 and 2008, respectively, attributable to the costs associated with terminating existing distributors; and (iii) expenditures for professional service fees, net of insurance proceeds, in connection with our special investigation of stock option grants and granting practices, related litigation and other related matters, of ($4.7) million and ($0.2) million, for the years ended December 31, 2009 and 2008, respectively, as a percentage of net sales, was 28.5% and 25.8% for the years ended December 31, 2009 and 2008, respectively. Operating income included operating losses of $6.9 million and $10.9 million for the years ended December 31, 2009 and 2008, respectively, in relation to the operations of MEL, MEEL and MEAU. Operating income included operating losses of $4.0 million for the year ended December 31, 2009, in relation to the operations of X-Truck and EMF.</w:t>
      </w:r>
    </w:p>
    <w:p>
      <w:pPr>
        <w:sectPr>
          <w:pgSz w:w="11900" w:h="16838" w:orient="portrait"/>
          <w:cols w:equalWidth="0" w:num="1">
            <w:col w:w="11420"/>
          </w:cols>
          <w:pgMar w:left="240" w:top="121" w:right="239" w:bottom="0" w:gutter="0" w:footer="0" w:header="0"/>
        </w:sectPr>
      </w:pPr>
    </w:p>
    <w:bookmarkStart w:id="29" w:name="page30"/>
    <w:bookmarkEnd w:id="29"/>
    <w:p>
      <w:pPr>
        <w:jc w:val="both"/>
        <w:ind w:right="20" w:firstLine="648"/>
        <w:spacing w:after="0" w:line="343" w:lineRule="auto"/>
        <w:rPr>
          <w:sz w:val="20"/>
          <w:szCs w:val="20"/>
          <w:color w:val="auto"/>
        </w:rPr>
      </w:pPr>
      <w:r>
        <w:rPr>
          <w:rFonts w:ascii="Arial" w:cs="Arial" w:eastAsia="Arial" w:hAnsi="Arial"/>
          <w:sz w:val="16"/>
          <w:szCs w:val="16"/>
          <w:i w:val="1"/>
          <w:iCs w:val="1"/>
          <w:color w:val="auto"/>
        </w:rPr>
        <w:t>Other Income (Expense)</w:t>
      </w:r>
      <w:r>
        <w:rPr>
          <w:rFonts w:ascii="Arial" w:cs="Arial" w:eastAsia="Arial" w:hAnsi="Arial"/>
          <w:sz w:val="16"/>
          <w:szCs w:val="16"/>
          <w:color w:val="auto"/>
        </w:rPr>
        <w:t>. Other income (expense) was ($1.6) million for the year ended December 31, 2009, a decrease of $11.5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from $9.9 million for the year ended December 31, 2008. This decrease was primarily attributable to decreased interest revenue earned on our cash balances and short- and long-term investments as well as a $3.9 million other-than temporary impairment of long-term investments.</w:t>
      </w:r>
    </w:p>
    <w:p>
      <w:pPr>
        <w:spacing w:after="0" w:line="1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$127.0 million for the year ended December 31, 2009,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$61.5 million or 94.0% higher than the provision for income taxes of $65.4 million for the years ended December 31, 2008. The increase in the provision for income taxes was primarily due to increased operating income of $173.7 million. The effective combined federal and state tax rate was 37.8% and 37.7% for the years ended December 31, 2009 and 2008, respectively.</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Net Income</w:t>
      </w:r>
      <w:r>
        <w:rPr>
          <w:rFonts w:ascii="Arial" w:cs="Arial" w:eastAsia="Arial" w:hAnsi="Arial"/>
          <w:sz w:val="19"/>
          <w:szCs w:val="19"/>
          <w:color w:val="auto"/>
        </w:rPr>
        <w:t>. Net income was $208.7 million for the year ended December 31, 2009, an increase of $100.7 million or 93.2% higher</w:t>
      </w:r>
      <w:r>
        <w:rPr>
          <w:rFonts w:ascii="Arial" w:cs="Arial" w:eastAsia="Arial" w:hAnsi="Arial"/>
          <w:sz w:val="19"/>
          <w:szCs w:val="19"/>
          <w:i w:val="1"/>
          <w:iCs w:val="1"/>
          <w:color w:val="auto"/>
        </w:rPr>
        <w:t xml:space="preserve"> </w:t>
      </w:r>
      <w:r>
        <w:rPr>
          <w:rFonts w:ascii="Arial" w:cs="Arial" w:eastAsia="Arial" w:hAnsi="Arial"/>
          <w:sz w:val="19"/>
          <w:szCs w:val="19"/>
          <w:color w:val="auto"/>
        </w:rPr>
        <w:t>than net income of $108.0 million for the year ended December 31, 2008. The increase in net income was primarily attributable to a decrease in operating expenses of $100.2 million and an increase in gross profit of $73.5 million. This was partially offset by an increase in provision for income taxes of $61.5 million and a decrease in other income (expense) of $11.5 million.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Year Ended December 31, 2008 Compared to the Year Ended December 31, 2007</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$1,182.9 million for the year ended December 31, 2008, an increase of approximately $157.1 million,</w:t>
      </w:r>
      <w:r>
        <w:rPr>
          <w:rFonts w:ascii="Arial" w:cs="Arial" w:eastAsia="Arial" w:hAnsi="Arial"/>
          <w:sz w:val="19"/>
          <w:szCs w:val="19"/>
          <w:i w:val="1"/>
          <w:iCs w:val="1"/>
          <w:color w:val="auto"/>
        </w:rPr>
        <w:t xml:space="preserve"> </w:t>
      </w:r>
      <w:r>
        <w:rPr>
          <w:rFonts w:ascii="Arial" w:cs="Arial" w:eastAsia="Arial" w:hAnsi="Arial"/>
          <w:sz w:val="19"/>
          <w:szCs w:val="19"/>
          <w:color w:val="auto"/>
        </w:rPr>
        <w:t>or 15.3% higher than gross sales of $1,025.8 million for the year ended December 31, 2007. The increase in gross sales was primarily attributable to increased sales by volume and increased sales price per case for certain of our Monster Energy® brand energy drinks and our Java Monster™ line of non-carbonated dairy based coffee drinks (introduced in April 2007), as well as sales of certain new products such as Monster Hitman Energy Shooter™ (introduced in September 2008), Monster Energy® MIXXD™ energy drinks (introduced in December 2007) and Monster Energy® Heavy Metal™ energy drinks (introduced in November 2007). To a lesser extent, the increase in gross sales was attributable to increased sales by volume of apple juice, aseptic juices and sales of Vidration® vitamin enhanced water (introduced in July 2008). In addition, the increase in gross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sales was partially attributable to the recognition of $11.6 million of revenue related to the acceleration of the deferred revenue balance associated with certain of our prior distributors terminated in the fourth quarter of 2008. The increase in gross sales was partially offset by inventory returned to us by certain of our terminated distributors of approximately $9.7 million in the fourth quarter of 2008, decreased sales by volume of juice blends, Lost Energy® brand energy drinks (introduced in January 2004), iced teas, Unbound Energy® brand energy drinks (introduced in October 2006), Rumba® brand energy juice (introduced in December 2004), Hansen’s® energy drinks and smoothies in cans. Gross sales for the year ended December 31, 2008 were impacted by a price increase announced during the fourth quarter of 2007 for all of our Monster Energy® brand energy drinks in 16-ounce cans and our Java Monster™ line of non-carbonated dairy based coffee drinks, effective January 1, 2008. We estimate that gross sales for the year ended December 31, 2008 were reduced by approximately 2% as a result of purchases made by our customers in advance of such price increases. Promotional and other allowances were $149.1 million for the year ended December 31, 2008, an increase of $27.8 million, or 22.9% higher than promotional and other allowances of $121.3 million for the year ended December 31, 2007. Promotional and other allowances as a percentage of gross sales increased to 12.6% from 11.8% for the years ended December 31, 2008 and 2007, respectively. As a result, the percentage increase in gross sales for the year ended December 31, 2008 was higher than the percentage increase in net sales.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sales – see definition above.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$1,033.8 million for the year ended December 31, 2008, an increase of approximately $129.3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14.3% higher than net sales of $904.5 million for the year ended December 31, 2007. The increase in net sales was primarily attributable to increased sales by volume and increased sales price per case for certain of our Monster Energy® brand energy drinks and our Java Monster™ line of non-carbonated dairy based coffee drinks, as well as sales of certain new products such as Monster Hitman Energy Shooter</w:t>
      </w:r>
      <w:r>
        <w:rPr>
          <w:rFonts w:ascii="Arial" w:cs="Arial" w:eastAsia="Arial" w:hAnsi="Arial"/>
          <w:sz w:val="10"/>
          <w:szCs w:val="10"/>
          <w:color w:val="auto"/>
        </w:rPr>
        <w:t>TM</w:t>
      </w:r>
      <w:r>
        <w:rPr>
          <w:rFonts w:ascii="Arial" w:cs="Arial" w:eastAsia="Arial" w:hAnsi="Arial"/>
          <w:sz w:val="18"/>
          <w:szCs w:val="18"/>
          <w:color w:val="auto"/>
        </w:rPr>
        <w:t>, Monster Energy® MIXXD™ energy drinks and Monster Energy® Heavy Metal™ energy drinks. To a lesser extent, the increase in net sales was attributable to increased sales by volume of apple juice, aseptic juices and sales of Vidration® vitamin enhanced water. In addition, the increase in net sales was partially attributable to the recognition of $11.6 million of revenue related to the acceleration of the deferred revenue balance associated with certain of our prior distributors terminated in the fourth quarter of 2008. The increase in net sales was partially offset by decreased sales by volume of Lost Energy® brand energy drinks, juice blends, iced teas, Unbound Energy® brand energy drinks, Hansen’s® energy drinks and Rumba® brand energy juice. Net sales for the year ended December 31, 2008 were impacted by a price increase announced during the fourth quarter of 2007 for our Monster Energy® brand energy drinks in 16-ounce cans and our Java Monster™ line of non-carbonated dairy based coffee drinks, effective January 1, 2008. We estimate that net sales for the year ended December 31, 2008 were reduced by approximately 2% as a result of purchases made by our customers in advance of such price increases.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Case sales, in 192-ounce case equivalents, were 102.7 million cases for the year ended December 31, 2008, an increase of 4.2 million cases or 4.3% higher than case sales of 98.5 million cases for the year ended December 31, 2007. The overall average net sales price per case increased to $10.07 for the year ended December 31, 2008 or 9.6% higher than the average net sales price per case of $9.19 for the year ended December 31, 2007. The increase in the average net sales prices per case was attributable to an increase in the proportion of case sales derived from higher priced products as well as the price increases for our Monster Energy® brand energy drinks in 16-ounce cans effective January 1, 2008, price increases for our Monster Energy® brand energy drinks in 24-ounce cans effective July 1, 2007 and price increases in our Java Monster™ line of non-carbonated dairy based coffee drinks, effective January 1, 2008. In addition, the increase in the average net sales price per case was partially attributable to the recognition of $11.6 million of revenue related to the acceleration of the deferred revenue balance associated with certain of our prior distributors who were terminated in the fourth quarter of 2008.</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for the DSD segment were $937.9 million for the year ended December 31, 2008, an increase of approximately $128.1 million, or 15.8% higher than net sales of $809.8 million for the year</w:t>
      </w:r>
    </w:p>
    <w:p>
      <w:pPr>
        <w:sectPr>
          <w:pgSz w:w="11900" w:h="16838" w:orient="portrait"/>
          <w:cols w:equalWidth="0" w:num="1">
            <w:col w:w="11420"/>
          </w:cols>
          <w:pgMar w:left="240" w:top="121" w:right="239" w:bottom="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ended December 31, 2007. The increase in net sales was primarily attributable to increased sales by volume and increased sales price per case for certain of our Monster Energy® brand energy drinks and our Java Monster™ line of non-carbonated dairy based coffee drinks, as well as sales of certain new products such as Monster Hitman Energy Shooter™, Monster Energy® MIXXD™ energy drinks, Monster Energy® Heavy Metal™ energy drinks and Vidration® vitamin enhanced water. In addition, the increase in net sales for the DSD segment was partially attributable to the recognition of $11.6 million of revenue related to the acceleration of the deferred revenue balance associated with certain of our prior distributors terminated in the fourth quarter of 2008. The increase in net sales was partially offset by decreased sales by volume of Lost Energy® brand energy drinks, Unbound Energy® brand energy drinks and Rumba® brand energy juice.</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Net sales for the Warehouse segment were $95.9 million for the year ended December 31, 2008, an increase of approximately $1.2 million, or 1.3% higher than net sales of $94.7 million for the year ended December 31, 2007. The increase in net sales was primarily attributable to increased sales by volume of apple juice and aseptic juices. The increase in net sales was partially offset by decreased sales by volume of juice blends, iced teas and Hansen’s® energy drinks. Changes in pricing within the Warehouse segment did not have a material impact on net sales for the year ended December 31, 2008.</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was $538.8 million for the year ended December 31, 2008, an increase of approximately $70.8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15.1% higher than the gross profit of $468.0 million for the year ended December 31, 2007. Gross profit as a percentage of net sales increased slightly to 52.1% for the year ended December 31, 2008 from 51.7% for the year ended December 31, 2007. The increase in net sales contributed to the increase in gross profit dollars. The increase in gross profit as a percentage of net sales was partially attributable to the recognition of $11.6 million of revenue related to the acceleration of the deferred revenue balance associated with certain of our prior distributors terminated in the fourth quarter of 2008. The increase in gross profit as a percentage of net sales was also attributable to increased sales of DSD segment products which have higher gross profit margins than those in the Warehouse segment. Such increase in gross profit as a percentage of net sales was partially offset by an increase in the percentage of sales within the DSD segment of the Java Monster™ line of non-carbonated dairy based coffee drinks that have lower gross profit margins than our Monster Energy® brand energy drinks and to an increase in the cost of certain raw materials including certain sweeteners, certain containers and packaging materials and certain juice concentrates, particularly apple juice concentrate as well as increased trade marketing agreement costs.</w:t>
      </w:r>
    </w:p>
    <w:p>
      <w:pPr>
        <w:spacing w:after="0" w:line="18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$375.2 million for the year ended December 31, 2008,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$138.2 million, or 58.3% higher than total operating expenses of $237.0 million for the year ended December 31, 2007. Total operating expenses as a percentage of net sales was 36.3% for the year ended December 31, 2008, compared to 26.2% for year ended December 31, 2007. The increase in operating expenses in dollars was primarily due to increased expenditures of $102.9 million relating to the costs associated with terminating existing distributors. To a lesser extent, the increase in operating expenses was attributable to increased out-bound freight and warehouse costs of $5.9 million primarily due to increased volume of shipments and increased freight rates, increased expenditures of $17.9 million for sponsorships and endorsements, increased expenditures of $4.1 million for sampling programs, increased expenditures of $3.1 million for commissions and royalties, increased expenditures of $1.5 million for in-store demos and increased payroll expenses of $7.3 million (including a $3.7 million increase in stock-based compensation). The increase in operating expenses in dollars was partially offset by decreased expenditures of $6.3 million for professional services costs, including legal and accounting fees and decreased expenditures of $3.8 million for merchandise displays. The individual increases above include costs of $10.7 million, or 1.0% of net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sales, relating to the launch of the Monster Energy® brand in Europe for the year ended December 31, 2008. Included in legal and accounting fees are professional service fees, net of insurance proceeds, of ($0.2) million and $9.8 million, for the years ended December 31, 2008 and 2007, respectively, in connection with our special investigation of stock option grants and granting practices, related litigation and other related matters. Total operating expenses, exclusive of expenditures of: (i) $118.1 million and $15.3 million for the years ended December 31, 2008 and 2007, respectively, attributable to the costs associated with terminating existing distributors; and (ii) exclusive of professional service fees, net of insurance proceeds, of ($0.2) million and $9.8 million, for the years ended December 31, 2008 and 2007, respectively in connection with our special investigation of stock option grants and granting practices, related litigation and other related matters, as a percentage of net sales, were 24.9% and 23.4% for the years ended December 31, 2008 and 2007, respectively.</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Contribution margin for the DSD segment was $216.1 million for the year ended December 31, 2008,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approximately $65.5 million, or 23.3% lower than contribution margin of $281.6 million for the year ended December 31, 2007. The decrease in the contribution margin for the DSD segment was primarily due to increased expenditures of $102.9 million relating to the costs associated with terminating existing distributors. The decrease in the contribution margin for the DSD segment was offset by increased sales of our Java Monster™ line of non-carbonated dairy based coffee drinks, the increase in net sales of Monster Energy® brand energy drinks as well as sales of certain new products such as the Monster Hitman Energy Shooter™, Monster MIXXD</w:t>
      </w:r>
      <w:r>
        <w:rPr>
          <w:rFonts w:ascii="Arial" w:cs="Arial" w:eastAsia="Arial" w:hAnsi="Arial"/>
          <w:sz w:val="10"/>
          <w:szCs w:val="10"/>
          <w:color w:val="auto"/>
        </w:rPr>
        <w:t>TM</w:t>
      </w:r>
      <w:r>
        <w:rPr>
          <w:rFonts w:ascii="Arial" w:cs="Arial" w:eastAsia="Arial" w:hAnsi="Arial"/>
          <w:sz w:val="18"/>
          <w:szCs w:val="18"/>
          <w:color w:val="auto"/>
        </w:rPr>
        <w:t xml:space="preserve"> energy drinks and Monster Heavy Metal</w:t>
      </w:r>
      <w:r>
        <w:rPr>
          <w:rFonts w:ascii="Arial" w:cs="Arial" w:eastAsia="Arial" w:hAnsi="Arial"/>
          <w:sz w:val="10"/>
          <w:szCs w:val="10"/>
          <w:color w:val="auto"/>
        </w:rPr>
        <w:t>TM</w:t>
      </w:r>
      <w:r>
        <w:rPr>
          <w:rFonts w:ascii="Arial" w:cs="Arial" w:eastAsia="Arial" w:hAnsi="Arial"/>
          <w:sz w:val="18"/>
          <w:szCs w:val="18"/>
          <w:color w:val="auto"/>
        </w:rPr>
        <w:t xml:space="preserve"> energy drinks. Contribution margin for the Warehouse segment was $0.5 million for the year ended December 31, 2008, approximately $3.4 million lower than contribution margin of $3.9 million for the year ended December 31, 2007. The decrease in the contribution margin for the Warehouse segment was primarily attributable to a reduction in gross margin as a result of increases in the costs of certain raw materials, particularly apple juice concentrate, as well as a change from high fructose corn syrup to higher priced sugar, which additionally increased in price, for our soda lines. The decrease in the contribution margin for the Warehouse segment was partially offset by a reduction in sales rebates within our juice product line as a result of the termination of our exclusive contracts with the State of California Department of Health Services, Women, Infant and Children (“WIC”) Supplemental Nutrition Branch in April 2008. The WIC program</w:t>
      </w:r>
    </w:p>
    <w:p>
      <w:pPr>
        <w:sectPr>
          <w:pgSz w:w="11900" w:h="16838" w:orient="portrait"/>
          <w:cols w:equalWidth="0" w:num="1">
            <w:col w:w="11420"/>
          </w:cols>
          <w:pgMar w:left="240" w:top="130" w:right="239" w:bottom="0" w:gutter="0" w:footer="0" w:header="0"/>
        </w:sectPr>
      </w:pPr>
    </w:p>
    <w:bookmarkStart w:id="31" w:name="page32"/>
    <w:bookmarkEnd w:id="31"/>
    <w:p>
      <w:pPr>
        <w:spacing w:after="0" w:line="9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continues on a non-exclusive basis in which we participate with our apple, grape, white grape and pineapple 64-ounce juice products. Juice blends are not eligible under the new program.</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Operating Income. </w:t>
      </w:r>
      <w:r>
        <w:rPr>
          <w:rFonts w:ascii="Arial" w:cs="Arial" w:eastAsia="Arial" w:hAnsi="Arial"/>
          <w:sz w:val="19"/>
          <w:szCs w:val="19"/>
          <w:color w:val="auto"/>
        </w:rPr>
        <w:t>Operating income was $163.6 million for the year ended December 31, 2008, a decrease of approximately $67.4</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29.2% lower than operating income of $231.0 million for the year ended December 31, 2007. Operating income as a percentage of net sales decreased to 15.8% for the year ended December 31, 2008 from 25.5% for the year ended December 31, 2007. The decrease in operating income and operating income as a percentage of net sales was primarily due to an increase in operating expenses of $138.2 million. Operating income exclusive of: (i) recognition of deferred revenue of $14.3 million and $1.9 million for the years ended December 31, 2008 and 2007, respectively, attributable to new and/or amended distribution agreements entered into with certain distributors; (ii) exclusive of expenditures of $118.1 million and $15.3 million for the years ended December 31, 2008 and 2007, respectively, attributable to the costs associated with terminating existing distributors; and (iii) exclusive of professional service fees, net of insurance proceeds, in connection with our special investigation of stock option grants and granting practices, related litigation and other related matters, of ($0.2) million and $9.8 million, for the years ended December 31, 2008 and 2007, respectively, as a percentage of net sales, was 25.8% and 28.1% for the years ended December 31, 2008 and 2007,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Other Income (expense)</w:t>
      </w:r>
      <w:r>
        <w:rPr>
          <w:rFonts w:ascii="Arial" w:cs="Arial" w:eastAsia="Arial" w:hAnsi="Arial"/>
          <w:sz w:val="20"/>
          <w:szCs w:val="20"/>
          <w:color w:val="auto"/>
        </w:rPr>
        <w:t>. Other income (expense) was $9.9 million for the year ended December 31, 2008, an increase of $1.1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from $8.8 million for the year ended December 31, 2007. This increase was primarily attributable to increased interest revenue earned on our cash balances and short- and long-term investments, which have increased significantly over the prior year. This increase was partially offset by foreign currency transaction losses.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Provision for Income Taxes</w:t>
      </w:r>
      <w:r>
        <w:rPr>
          <w:rFonts w:ascii="Arial" w:cs="Arial" w:eastAsia="Arial" w:hAnsi="Arial"/>
          <w:sz w:val="20"/>
          <w:szCs w:val="20"/>
          <w:color w:val="auto"/>
        </w:rPr>
        <w:t>. Provision for income taxes for the year ended December 31, 2008 was $65.4 million, as compared to</w:t>
      </w:r>
      <w:r>
        <w:rPr>
          <w:rFonts w:ascii="Arial" w:cs="Arial" w:eastAsia="Arial" w:hAnsi="Arial"/>
          <w:sz w:val="20"/>
          <w:szCs w:val="20"/>
          <w:i w:val="1"/>
          <w:iCs w:val="1"/>
          <w:color w:val="auto"/>
        </w:rPr>
        <w:t xml:space="preserve"> </w:t>
      </w:r>
      <w:r>
        <w:rPr>
          <w:rFonts w:ascii="Arial" w:cs="Arial" w:eastAsia="Arial" w:hAnsi="Arial"/>
          <w:sz w:val="20"/>
          <w:szCs w:val="20"/>
          <w:color w:val="auto"/>
        </w:rPr>
        <w:t>$90.3 million for the year ended December 31, 2007. The effective combined federal and state tax rate was 37.7% for both the years ended December 31, 2008 and 2007.</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$108.0 million for the year ended December 31, 2008, a decrease of $41.4 million or 27.7% lower than</w:t>
      </w:r>
      <w:r>
        <w:rPr>
          <w:rFonts w:ascii="Arial" w:cs="Arial" w:eastAsia="Arial" w:hAnsi="Arial"/>
          <w:sz w:val="20"/>
          <w:szCs w:val="20"/>
          <w:i w:val="1"/>
          <w:iCs w:val="1"/>
          <w:color w:val="auto"/>
        </w:rPr>
        <w:t xml:space="preserve"> </w:t>
      </w:r>
      <w:r>
        <w:rPr>
          <w:rFonts w:ascii="Arial" w:cs="Arial" w:eastAsia="Arial" w:hAnsi="Arial"/>
          <w:sz w:val="20"/>
          <w:szCs w:val="20"/>
          <w:color w:val="auto"/>
        </w:rPr>
        <w:t>net income of $149.4 million for the year ended December 31, 2007. The decrease in net income was primarily attributable to an increase in operating expenses of $138.2 million due to the items identified above. This was partially offset by an increase in gross profit of $70.8 million and a decrease in provision for income taxes of $24.9 million.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Cash flows provided by operating activities – </w:t>
      </w:r>
      <w:r>
        <w:rPr>
          <w:rFonts w:ascii="Arial" w:cs="Arial" w:eastAsia="Arial" w:hAnsi="Arial"/>
          <w:sz w:val="18"/>
          <w:szCs w:val="18"/>
          <w:color w:val="auto"/>
        </w:rPr>
        <w:t>Net cash provided by operating activities was $156.2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2009, as compared with net cash provided by operating activities of $199.5 million for the year ended December 31, 2008. For the year ended December 31, 2009, cash provided by operating activities was primarily attributable to net income earned of $208.7 million and adjustments for certain non-cash expenses consisting of $14.0 million of stock-based compensation, $5.8 million of depreciation and other amortization, a $3.9 million impairment on investments and a $0.7 million provision for doubtful accounts. For the year ended December 31, 2009, cash provided by operations also increased due to an $86.0 million decrease in distributor receivables, a $9.3 million increase in accrued liabilities, an $8.5 million decrease in inventory, a $5.0 million decrease in prepaid income taxes, a $3.9 million increase in income taxes payable and a $0.8 million increase in accrued compensation. For the year ended December 31, 2009, cash provided by operating activities was reduced due to a $99.3 million decrease in accrued distributor terminations, a $59.4 million increase in accounts receivable, a $15.8 million decrease in accounts payable, a $6.8 million decrease in deferred revenue, a $2.9 million increase in prepaid expenses and other current assets and a $3.1 million increase in tax benefit from exercise of stock options.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i w:val="1"/>
          <w:iCs w:val="1"/>
          <w:color w:val="auto"/>
        </w:rPr>
        <w:t xml:space="preserve">Cash flows (used in) provided by investing activities – </w:t>
      </w:r>
      <w:r>
        <w:rPr>
          <w:rFonts w:ascii="Arial" w:cs="Arial" w:eastAsia="Arial" w:hAnsi="Arial"/>
          <w:sz w:val="19"/>
          <w:szCs w:val="19"/>
          <w:color w:val="auto"/>
        </w:rPr>
        <w:t>Net cash used in investing activities was $4.5 million for the year ended</w:t>
      </w:r>
      <w:r>
        <w:rPr>
          <w:rFonts w:ascii="Arial" w:cs="Arial" w:eastAsia="Arial" w:hAnsi="Arial"/>
          <w:sz w:val="19"/>
          <w:szCs w:val="19"/>
          <w:i w:val="1"/>
          <w:iCs w:val="1"/>
          <w:color w:val="auto"/>
        </w:rPr>
        <w:t xml:space="preserve"> </w:t>
      </w:r>
      <w:r>
        <w:rPr>
          <w:rFonts w:ascii="Arial" w:cs="Arial" w:eastAsia="Arial" w:hAnsi="Arial"/>
          <w:sz w:val="19"/>
          <w:szCs w:val="19"/>
          <w:color w:val="auto"/>
        </w:rPr>
        <w:t>December 31, 2009, as compared to net cash provided by investing activities of $144.0 million for the year ended December 31, 2008. For the year ended December 31, 2009, cash used in investing activities was primarily attributable to purchases of held-to-maturity investments and property and equipment. For the year ended December 31, 2008, cash used in investing activities was primarily attributable to purchases of short- and long-term investments, particularly available-for-sale investments. For the year ended December 31, 2009, cash provided by investing activities was primarily attributable to sales and maturities of held-to-maturity investments and available-for-sale investments. For both periods, cash used in investing activities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Management expects that the Company will continue to use a portion of its cash in excess of its requirements for operations for purchasing short- and long-term investments and for other corporate purposes. From time to time, management considers the acquisition of capital equipment, specifically items of production equipment required to produce certain of our products, storage racks, vans, trucks and promotional vehicles, coolers and other promotional equipment as well as the introduction of new product lines and businesses compatible with the image of our brands.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At December 31, 2009, we had $328.3 million in cash and cash equivalents and $99.3 million in short- and long-term investments. We have historically invested these amounts in U.S. Treasury bills, government agencies and municipal securities (which may have an auction reset feature), corporate notes and bonds, commercial paper and money market funds meeting certain criteria. Certain of these investments are subject to general credit, liquidity, market and interest rate risks, which may be exacerbated by the U.S. sub-prime mortgage defaults that have affected various sectors of the financial markets and caused credit and liquidity issues. These market risks associated with our investment portfolio may have an adverse effect on our future results of operations, liquidity and financial condition.</w:t>
      </w:r>
    </w:p>
    <w:p>
      <w:pPr>
        <w:sectPr>
          <w:pgSz w:w="11900" w:h="16931" w:orient="portrait"/>
          <w:cols w:equalWidth="0" w:num="1">
            <w:col w:w="11420"/>
          </w:cols>
          <w:pgMar w:left="240" w:top="121" w:right="239" w:bottom="0" w:gutter="0" w:footer="0" w:header="0"/>
        </w:sectPr>
      </w:pPr>
    </w:p>
    <w:bookmarkStart w:id="32" w:name="page33"/>
    <w:bookmarkEnd w:id="32"/>
    <w:p>
      <w:pPr>
        <w:jc w:val="both"/>
        <w:ind w:firstLine="506"/>
        <w:spacing w:after="0" w:line="255" w:lineRule="auto"/>
        <w:rPr>
          <w:sz w:val="20"/>
          <w:szCs w:val="20"/>
          <w:color w:val="auto"/>
        </w:rPr>
      </w:pPr>
      <w:r>
        <w:rPr>
          <w:rFonts w:ascii="Arial" w:cs="Arial" w:eastAsia="Arial" w:hAnsi="Arial"/>
          <w:sz w:val="19"/>
          <w:szCs w:val="19"/>
          <w:color w:val="auto"/>
        </w:rPr>
        <w:t>Our long-term investments are comprised of auction rate securities. The majority of these notes carry an investment grade or better credit rating and are additionally backed by various federal agencies and/or monoline insurance companies. The applicable interest rate is reset at pre-determined intervals, usually every 7 to 35 days. Liquidity for these auction rate securities was typically provided by an auction process which allowed holders to sell their notes at periodic auctions. During the years ended December 31, 2009 and 2008, the auctions for these auction rate securities failed, and there is no assurance that future auctions will succeed. The auction failures have been attributable to inadequate buyers and/or buying demand and/or the lack of support from financial advisors and sponsors. In the event that there is a failed auction, the indenture governing the security in some cases requires the issuer to pay interest at a default rate that may be above market rates for similar instruments. The securities for which auctions have failed will continue to accrue and/or pay interest at their pre-determined default rates and be auctioned every 7 to 35 days until their respective auction succeeds, the issuer calls the securities, they mature or we are able to sell the securities to third parties. As a result, our ability to liquidate and fully recover the carrying value of our auction rate securities in the near term may be limited.</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At December 31, 2009, the Company held auction rate securities with a face value of $96.4 million (amortized cost basis of $92.0 million). A Level 3 valuation was performed on the Company’s auction rate securities as of December 31, 2009, which indicated an impairment of $12.1 million, a decrease of $2.8 million from $14.9 million as of December 31, 2008, resulting in a fair value of $84.3 million, which is included in short- and long-term investments. This valuation utilized a mark to model approach which included estimates for interest rates, timing and amount of cash flows, credit and liquidity premiums, and expected holding periods for the auction rate securities. These assumptions are typically volatile and subject to change as the underlying data sources and market conditions evolve.</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On April 1, 2009, the Company adopted Financial Accounting Standards Board (“FASB”) FASB Accounting Standards Codification (“ASC”) ASC 320-10-65, which modifies the requirements for recognizing other-than-temporary impairment on debt securities and significantly changes the impairment model for such securities. Under ASC 320-10-65,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more likely than not will be required, to sell the security before recovery of the security’s amortized cost basis. If an other-than-temporary impairment exists, the charge to earnings is limited to the amount of Credit Loss if the investor does not intend to sell the security, and it is more likely than not that it will not be required to sell the security, before recovery of the security’s amortized cost basis. Any remaining difference between fair value and amortized cost is recognized in other comprehensive income, net of applicable taxes. Otherwise, the entire difference between fair value and amortized cost is charged to earnings.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Under ASC 320-10-65, an other-than-temporary impairment must be recognized through earnings if an investor has the intent to sell the debt security or if it is more likely than not that the investor will be required to sell the debt security before recovery of its amortized cost basis. However, even if an investor does not expect to sell a debt security, it must evaluate expected cash flows to be received and determine if a Credit Loss has occurred. In the event of a Credit Loss and absent the intent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or requirement to sell a debt security before recovery of its amortized cost, only the amount associated with the Credit Loss is recognized as loss in the income statement. The amount of loss relating to other factors is recorded in accumulated other comprehensive loss.</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Company determined that of the $12.1 million impairment of its auction rate securities at December 31, 2009, $7.7 million was temporary and $4.4 million was other-than-temporary. The other-than-temporary impairment was deemed Credit Loss related. The Company recorded $3.9 million of other-than-temporary impairment that was deemed Credit Loss related through earnings during the year ended December 31, 2009 ($0.5 million had been previously deemed other-than-temporary and was charged to interest and other income, net for the year ended December 31, 2008). At December 31, 2009, $7.7 million of temporary impairment has been recorded, less a tax benefit of $3.1 million, as a component of accumulated other comprehensive loss.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Based on our ability to access cash and other short-term investments and based on our expected operating cash flows, we do not anticipate that the current lack of liquidity of these investments will have a material effect on our liquidity or working capital. If uncertainties in the credit and capital markets continue or there are ratings downgrades on the auction rate securities held by us, we may be required to recognize additional impairments on these investments.</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Cash flows used in financing activities – </w:t>
      </w:r>
      <w:r>
        <w:rPr>
          <w:rFonts w:ascii="Arial" w:cs="Arial" w:eastAsia="Arial" w:hAnsi="Arial"/>
          <w:sz w:val="20"/>
          <w:szCs w:val="20"/>
          <w:color w:val="auto"/>
        </w:rPr>
        <w:t>Net cash used in financing activities was $82.1 million for the year ended December 31, 2009,</w:t>
      </w:r>
      <w:r>
        <w:rPr>
          <w:rFonts w:ascii="Arial" w:cs="Arial" w:eastAsia="Arial" w:hAnsi="Arial"/>
          <w:sz w:val="20"/>
          <w:szCs w:val="20"/>
          <w:i w:val="1"/>
          <w:iCs w:val="1"/>
          <w:color w:val="auto"/>
        </w:rPr>
        <w:t xml:space="preserve"> </w:t>
      </w:r>
      <w:r>
        <w:rPr>
          <w:rFonts w:ascii="Arial" w:cs="Arial" w:eastAsia="Arial" w:hAnsi="Arial"/>
          <w:sz w:val="20"/>
          <w:szCs w:val="20"/>
          <w:color w:val="auto"/>
        </w:rPr>
        <w:t>as compared to net cash used in financing activities of $98.0 million for the year ended December 31, 2008. For the year ended December 31, 2009, cash used in financing activities was primarily attributable to purchases of common stock held in treasury of $86.2 million. For the year ended December 31, 2009, cash provided by financing activities was primarily attributable to a $3.1 million tax benefit in connection with the exercise of certain stock options and proceeds of $2.5 million received from the issuance of common stock in connection with the exercise of certain stock options.</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Purchases of inventories, increases in accounts receivable and other assets, acquisition of property and equipment, acquisition and maintenance of trademarks, payments of accounts payable, income taxes payable and purchases of our common stock are expected to remain our principal recurring use of cash.</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April 25, 2008, our Board of Directors authorized the repurchase of up to $200 million of our common stock. During the years ended December 31, 2009 and 2008, we purchased 2.6 million and 3.9 million shares, respectively, of common stock at an average purchase price of $33.10 per share and $26.77 per share, respectively, which we hold in treasury. No shares were purchased during the year ended December 31, 2007. As of December 31, 2009, approximately $10.2 million remained available under the plan for the repurchase of the Company’s common stock.</w:t>
      </w:r>
    </w:p>
    <w:p>
      <w:pPr>
        <w:sectPr>
          <w:pgSz w:w="11900" w:h="16838" w:orient="portrait"/>
          <w:cols w:equalWidth="0" w:num="1">
            <w:col w:w="11420"/>
          </w:cols>
          <w:pgMar w:left="240" w:top="352" w:right="239" w:bottom="0" w:gutter="0" w:footer="0" w:header="0"/>
        </w:sectPr>
      </w:pPr>
    </w:p>
    <w:bookmarkStart w:id="33" w:name="page34"/>
    <w:bookmarkEnd w:id="33"/>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Debt and other obligations – </w:t>
      </w:r>
      <w:r>
        <w:rPr>
          <w:rFonts w:ascii="Arial" w:cs="Arial" w:eastAsia="Arial" w:hAnsi="Arial"/>
          <w:sz w:val="20"/>
          <w:szCs w:val="20"/>
          <w:color w:val="auto"/>
        </w:rPr>
        <w:t>We have a credit facility with Comerica Bank (“Comerica”) consisting of a revolving line of credit, which</w:t>
      </w:r>
      <w:r>
        <w:rPr>
          <w:rFonts w:ascii="Arial" w:cs="Arial" w:eastAsia="Arial" w:hAnsi="Arial"/>
          <w:sz w:val="20"/>
          <w:szCs w:val="20"/>
          <w:i w:val="1"/>
          <w:iCs w:val="1"/>
          <w:color w:val="auto"/>
        </w:rPr>
        <w:t xml:space="preserve"> </w:t>
      </w:r>
      <w:r>
        <w:rPr>
          <w:rFonts w:ascii="Arial" w:cs="Arial" w:eastAsia="Arial" w:hAnsi="Arial"/>
          <w:sz w:val="20"/>
          <w:szCs w:val="20"/>
          <w:color w:val="auto"/>
        </w:rPr>
        <w:t>was amended in May 2007. In accordance with the amended provisions of the credit facility, we increased our available borrowings under the revolving line of credit to $10.0 million of non-collateralized debt. The revolving line of credit is effective through June 1, 2010. Interest on borrowings under the line of credit is based on Comerica’s base (prime) rate minus up to 1.5%, or varying London Interbank Offered Rates up to 180 days, plus an additional percentage of up to 1.75%, depending upon certain financial ratios maintained by us. We had no outstanding borrowings on this line of credit at December 31, 2009. Letters of credit issued on our behalf, totaling $0.2 million under this credit facility, were outstanding as of December 31, 2009.</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December 31, 2009, we were in compliance with the terms of our line of credit, which contain certain financial covenants, including certain financial ratios. If any event of default shall occur for any reason, whether voluntary or involuntary, Comerica may declare all or any portion outstanding on the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line of credit immediately due and payable, exercise rights and remedies available to them, including instituting legal proceedings.</w:t>
      </w:r>
    </w:p>
    <w:p>
      <w:pPr>
        <w:spacing w:after="0" w:line="24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believe that cash available from operations, including our cash resources and the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or equipment, through at least the next 12 months. Based on our current plans, at this time we estimate that capital expenditures are likely to be less than $20.0 million through December 2010. However, future business opportunities may cause a change in this estimate.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obligations and related scheduled maturities as of December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2009:</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9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140" w:type="dxa"/>
            <w:vAlign w:val="bottom"/>
            <w:tcBorders>
              <w:bottom w:val="single" w:sz="8" w:color="auto"/>
            </w:tcBorders>
            <w:gridSpan w:val="8"/>
          </w:tcPr>
          <w:p>
            <w:pPr>
              <w:ind w:left="40"/>
              <w:spacing w:after="0"/>
              <w:rPr>
                <w:sz w:val="20"/>
                <w:szCs w:val="20"/>
                <w:color w:val="auto"/>
              </w:rPr>
            </w:pPr>
            <w:r>
              <w:rPr>
                <w:rFonts w:ascii="Arial" w:cs="Arial" w:eastAsia="Arial" w:hAnsi="Arial"/>
                <w:sz w:val="22"/>
                <w:szCs w:val="22"/>
                <w:color w:val="auto"/>
              </w:rPr>
              <w:t>Payments due by period (in thousands)</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215"/>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Less than</w:t>
            </w:r>
          </w:p>
        </w:tc>
        <w:tc>
          <w:tcPr>
            <w:tcW w:w="400" w:type="dxa"/>
            <w:vAlign w:val="bottom"/>
          </w:tcPr>
          <w:p>
            <w:pPr>
              <w:spacing w:after="0"/>
              <w:rPr>
                <w:sz w:val="18"/>
                <w:szCs w:val="18"/>
                <w:color w:val="auto"/>
              </w:rPr>
            </w:pPr>
          </w:p>
        </w:tc>
        <w:tc>
          <w:tcPr>
            <w:tcW w:w="920" w:type="dxa"/>
            <w:vAlign w:val="bottom"/>
          </w:tcPr>
          <w:p>
            <w:pPr>
              <w:jc w:val="right"/>
              <w:ind w:right="332"/>
              <w:spacing w:after="0" w:line="216" w:lineRule="exact"/>
              <w:rPr>
                <w:sz w:val="20"/>
                <w:szCs w:val="20"/>
                <w:color w:val="auto"/>
              </w:rPr>
            </w:pPr>
            <w:r>
              <w:rPr>
                <w:rFonts w:ascii="Arial" w:cs="Arial" w:eastAsia="Arial" w:hAnsi="Arial"/>
                <w:sz w:val="22"/>
                <w:szCs w:val="22"/>
                <w:color w:val="auto"/>
              </w:rPr>
              <w:t>1-3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ind w:right="292"/>
              <w:spacing w:after="0" w:line="216" w:lineRule="exact"/>
              <w:rPr>
                <w:sz w:val="20"/>
                <w:szCs w:val="20"/>
                <w:color w:val="auto"/>
              </w:rPr>
            </w:pPr>
            <w:r>
              <w:rPr>
                <w:rFonts w:ascii="Arial" w:cs="Arial" w:eastAsia="Arial" w:hAnsi="Arial"/>
                <w:sz w:val="22"/>
                <w:szCs w:val="22"/>
                <w:color w:val="auto"/>
              </w:rPr>
              <w:t>3-5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12"/>
              <w:spacing w:after="0" w:line="216" w:lineRule="exact"/>
              <w:rPr>
                <w:sz w:val="20"/>
                <w:szCs w:val="20"/>
                <w:color w:val="auto"/>
              </w:rPr>
            </w:pPr>
            <w:r>
              <w:rPr>
                <w:rFonts w:ascii="Arial" w:cs="Arial" w:eastAsia="Arial" w:hAnsi="Arial"/>
                <w:sz w:val="22"/>
                <w:szCs w:val="22"/>
                <w:color w:val="auto"/>
                <w:w w:val="88"/>
              </w:rPr>
              <w:t>More than</w:t>
            </w:r>
          </w:p>
        </w:tc>
      </w:tr>
      <w:tr>
        <w:trPr>
          <w:trHeight w:val="265"/>
        </w:trPr>
        <w:tc>
          <w:tcPr>
            <w:tcW w:w="4080" w:type="dxa"/>
            <w:vAlign w:val="bottom"/>
            <w:gridSpan w:val="2"/>
          </w:tcPr>
          <w:p>
            <w:pPr>
              <w:ind w:left="1440"/>
              <w:spacing w:after="0"/>
              <w:rPr>
                <w:sz w:val="20"/>
                <w:szCs w:val="20"/>
                <w:color w:val="auto"/>
              </w:rPr>
            </w:pPr>
            <w:r>
              <w:rPr>
                <w:rFonts w:ascii="Arial" w:cs="Arial" w:eastAsia="Arial" w:hAnsi="Arial"/>
                <w:sz w:val="22"/>
                <w:szCs w:val="22"/>
                <w:color w:val="auto"/>
              </w:rPr>
              <w:t>Obligations</w:t>
            </w:r>
          </w:p>
        </w:tc>
        <w:tc>
          <w:tcPr>
            <w:tcW w:w="400" w:type="dxa"/>
            <w:vAlign w:val="bottom"/>
          </w:tcPr>
          <w:p>
            <w:pPr>
              <w:spacing w:after="0"/>
              <w:rPr>
                <w:sz w:val="23"/>
                <w:szCs w:val="23"/>
                <w:color w:val="auto"/>
              </w:rPr>
            </w:pPr>
          </w:p>
        </w:tc>
        <w:tc>
          <w:tcPr>
            <w:tcW w:w="1100" w:type="dxa"/>
            <w:vAlign w:val="bottom"/>
            <w:gridSpan w:val="2"/>
          </w:tcPr>
          <w:p>
            <w:pPr>
              <w:ind w:left="120"/>
              <w:spacing w:after="0"/>
              <w:rPr>
                <w:sz w:val="20"/>
                <w:szCs w:val="20"/>
                <w:color w:val="auto"/>
              </w:rPr>
            </w:pPr>
            <w:r>
              <w:rPr>
                <w:rFonts w:ascii="Arial" w:cs="Arial" w:eastAsia="Arial" w:hAnsi="Arial"/>
                <w:sz w:val="22"/>
                <w:szCs w:val="22"/>
                <w:color w:val="auto"/>
              </w:rPr>
              <w:t>Total</w:t>
            </w:r>
          </w:p>
        </w:tc>
        <w:tc>
          <w:tcPr>
            <w:tcW w:w="300" w:type="dxa"/>
            <w:vAlign w:val="bottom"/>
          </w:tcPr>
          <w:p>
            <w:pPr>
              <w:spacing w:after="0"/>
              <w:rPr>
                <w:sz w:val="23"/>
                <w:szCs w:val="23"/>
                <w:color w:val="auto"/>
              </w:rPr>
            </w:pPr>
          </w:p>
        </w:tc>
        <w:tc>
          <w:tcPr>
            <w:tcW w:w="1200" w:type="dxa"/>
            <w:vAlign w:val="bottom"/>
            <w:gridSpan w:val="2"/>
          </w:tcPr>
          <w:p>
            <w:pPr>
              <w:ind w:left="180"/>
              <w:spacing w:after="0"/>
              <w:rPr>
                <w:sz w:val="20"/>
                <w:szCs w:val="20"/>
                <w:color w:val="auto"/>
              </w:rPr>
            </w:pPr>
            <w:r>
              <w:rPr>
                <w:rFonts w:ascii="Arial" w:cs="Arial" w:eastAsia="Arial" w:hAnsi="Arial"/>
                <w:sz w:val="22"/>
                <w:szCs w:val="22"/>
                <w:color w:val="auto"/>
              </w:rPr>
              <w:t>1 year</w:t>
            </w:r>
          </w:p>
        </w:tc>
        <w:tc>
          <w:tcPr>
            <w:tcW w:w="400" w:type="dxa"/>
            <w:vAlign w:val="bottom"/>
          </w:tcPr>
          <w:p>
            <w:pPr>
              <w:spacing w:after="0"/>
              <w:rPr>
                <w:sz w:val="23"/>
                <w:szCs w:val="23"/>
                <w:color w:val="auto"/>
              </w:rPr>
            </w:pPr>
          </w:p>
        </w:tc>
        <w:tc>
          <w:tcPr>
            <w:tcW w:w="1100" w:type="dxa"/>
            <w:vAlign w:val="bottom"/>
            <w:gridSpan w:val="2"/>
          </w:tcPr>
          <w:p>
            <w:pPr>
              <w:ind w:left="120"/>
              <w:spacing w:after="0"/>
              <w:rPr>
                <w:sz w:val="20"/>
                <w:szCs w:val="20"/>
                <w:color w:val="auto"/>
              </w:rPr>
            </w:pPr>
            <w:r>
              <w:rPr>
                <w:rFonts w:ascii="Arial" w:cs="Arial" w:eastAsia="Arial" w:hAnsi="Arial"/>
                <w:sz w:val="22"/>
                <w:szCs w:val="22"/>
                <w:color w:val="auto"/>
              </w:rPr>
              <w:t>years</w:t>
            </w:r>
          </w:p>
        </w:tc>
        <w:tc>
          <w:tcPr>
            <w:tcW w:w="380" w:type="dxa"/>
            <w:vAlign w:val="bottom"/>
          </w:tcPr>
          <w:p>
            <w:pPr>
              <w:spacing w:after="0"/>
              <w:rPr>
                <w:sz w:val="23"/>
                <w:szCs w:val="23"/>
                <w:color w:val="auto"/>
              </w:rPr>
            </w:pPr>
          </w:p>
        </w:tc>
        <w:tc>
          <w:tcPr>
            <w:tcW w:w="1060" w:type="dxa"/>
            <w:vAlign w:val="bottom"/>
            <w:gridSpan w:val="2"/>
          </w:tcPr>
          <w:p>
            <w:pPr>
              <w:ind w:left="120"/>
              <w:spacing w:after="0"/>
              <w:rPr>
                <w:sz w:val="20"/>
                <w:szCs w:val="20"/>
                <w:color w:val="auto"/>
              </w:rPr>
            </w:pPr>
            <w:r>
              <w:rPr>
                <w:rFonts w:ascii="Arial" w:cs="Arial" w:eastAsia="Arial" w:hAnsi="Arial"/>
                <w:sz w:val="22"/>
                <w:szCs w:val="22"/>
                <w:color w:val="auto"/>
              </w:rPr>
              <w:t>years</w:t>
            </w:r>
          </w:p>
        </w:tc>
        <w:tc>
          <w:tcPr>
            <w:tcW w:w="280" w:type="dxa"/>
            <w:vAlign w:val="bottom"/>
          </w:tcPr>
          <w:p>
            <w:pPr>
              <w:spacing w:after="0"/>
              <w:rPr>
                <w:sz w:val="23"/>
                <w:szCs w:val="23"/>
                <w:color w:val="auto"/>
              </w:rPr>
            </w:pPr>
          </w:p>
        </w:tc>
        <w:tc>
          <w:tcPr>
            <w:tcW w:w="1120" w:type="dxa"/>
            <w:vAlign w:val="bottom"/>
          </w:tcPr>
          <w:p>
            <w:pPr>
              <w:jc w:val="right"/>
              <w:ind w:right="252"/>
              <w:spacing w:after="0"/>
              <w:rPr>
                <w:sz w:val="20"/>
                <w:szCs w:val="20"/>
                <w:color w:val="auto"/>
              </w:rPr>
            </w:pPr>
            <w:r>
              <w:rPr>
                <w:rFonts w:ascii="Arial" w:cs="Arial" w:eastAsia="Arial" w:hAnsi="Arial"/>
                <w:sz w:val="22"/>
                <w:szCs w:val="22"/>
                <w:color w:val="auto"/>
              </w:rPr>
              <w:t>5 years</w:t>
            </w:r>
          </w:p>
        </w:tc>
      </w:tr>
      <w:tr>
        <w:trPr>
          <w:trHeight w:val="458"/>
        </w:trPr>
        <w:tc>
          <w:tcPr>
            <w:tcW w:w="408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Noncancelable Contracts</w:t>
            </w:r>
          </w:p>
        </w:tc>
        <w:tc>
          <w:tcPr>
            <w:tcW w:w="40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51,176</w:t>
            </w:r>
          </w:p>
        </w:tc>
        <w:tc>
          <w:tcPr>
            <w:tcW w:w="180" w:type="dxa"/>
            <w:vAlign w:val="bottom"/>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31,800</w:t>
            </w:r>
          </w:p>
        </w:tc>
        <w:tc>
          <w:tcPr>
            <w:tcW w:w="180" w:type="dxa"/>
            <w:vAlign w:val="bottom"/>
          </w:tcPr>
          <w:p>
            <w:pPr>
              <w:spacing w:after="0"/>
              <w:rPr>
                <w:sz w:val="24"/>
                <w:szCs w:val="24"/>
                <w:color w:val="auto"/>
              </w:rPr>
            </w:pPr>
          </w:p>
        </w:tc>
        <w:tc>
          <w:tcPr>
            <w:tcW w:w="40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19,376</w:t>
            </w:r>
          </w:p>
        </w:tc>
        <w:tc>
          <w:tcPr>
            <w:tcW w:w="180" w:type="dxa"/>
            <w:vAlign w:val="bottom"/>
          </w:tcPr>
          <w:p>
            <w:pPr>
              <w:spacing w:after="0"/>
              <w:rPr>
                <w:sz w:val="24"/>
                <w:szCs w:val="2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43"/>
        </w:trPr>
        <w:tc>
          <w:tcPr>
            <w:tcW w:w="4080" w:type="dxa"/>
            <w:vAlign w:val="bottom"/>
            <w:gridSpan w:val="2"/>
          </w:tcPr>
          <w:p>
            <w:pPr>
              <w:spacing w:after="0" w:line="243" w:lineRule="exact"/>
              <w:rPr>
                <w:sz w:val="20"/>
                <w:szCs w:val="20"/>
                <w:color w:val="auto"/>
              </w:rPr>
            </w:pPr>
            <w:r>
              <w:rPr>
                <w:rFonts w:ascii="Arial" w:cs="Arial" w:eastAsia="Arial" w:hAnsi="Arial"/>
                <w:sz w:val="22"/>
                <w:szCs w:val="22"/>
                <w:color w:val="auto"/>
              </w:rPr>
              <w:t>Capital Leases</w:t>
            </w:r>
          </w:p>
        </w:tc>
        <w:tc>
          <w:tcPr>
            <w:tcW w:w="4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206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206</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r>
      <w:tr>
        <w:trPr>
          <w:trHeight w:val="243"/>
        </w:trPr>
        <w:tc>
          <w:tcPr>
            <w:tcW w:w="4080" w:type="dxa"/>
            <w:vAlign w:val="bottom"/>
            <w:gridSpan w:val="2"/>
          </w:tcPr>
          <w:p>
            <w:pPr>
              <w:spacing w:after="0" w:line="243" w:lineRule="exact"/>
              <w:rPr>
                <w:sz w:val="20"/>
                <w:szCs w:val="20"/>
                <w:color w:val="auto"/>
              </w:rPr>
            </w:pPr>
            <w:r>
              <w:rPr>
                <w:rFonts w:ascii="Arial" w:cs="Arial" w:eastAsia="Arial" w:hAnsi="Arial"/>
                <w:sz w:val="22"/>
                <w:szCs w:val="22"/>
                <w:color w:val="auto"/>
              </w:rPr>
              <w:t>Operating Leases</w:t>
            </w:r>
          </w:p>
        </w:tc>
        <w:tc>
          <w:tcPr>
            <w:tcW w:w="4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19,338</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3,276</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7,548</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5,092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3,422</w:t>
            </w:r>
          </w:p>
        </w:tc>
      </w:tr>
      <w:tr>
        <w:trPr>
          <w:trHeight w:val="265"/>
        </w:trPr>
        <w:tc>
          <w:tcPr>
            <w:tcW w:w="4080" w:type="dxa"/>
            <w:vAlign w:val="bottom"/>
            <w:gridSpan w:val="2"/>
          </w:tcPr>
          <w:p>
            <w:pPr>
              <w:spacing w:after="0"/>
              <w:rPr>
                <w:sz w:val="20"/>
                <w:szCs w:val="20"/>
                <w:color w:val="auto"/>
              </w:rPr>
            </w:pPr>
            <w:r>
              <w:rPr>
                <w:rFonts w:ascii="Arial" w:cs="Arial" w:eastAsia="Arial" w:hAnsi="Arial"/>
                <w:sz w:val="22"/>
                <w:szCs w:val="22"/>
                <w:color w:val="auto"/>
              </w:rPr>
              <w:t>Purchase Commitments</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42,216</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42,216</w:t>
            </w:r>
          </w:p>
        </w:tc>
        <w:tc>
          <w:tcPr>
            <w:tcW w:w="1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37"/>
        </w:trPr>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112,936</w:t>
            </w:r>
          </w:p>
        </w:tc>
        <w:tc>
          <w:tcPr>
            <w:tcW w:w="180" w:type="dxa"/>
            <w:vAlign w:val="bottom"/>
          </w:tcPr>
          <w:p>
            <w:pPr>
              <w:spacing w:after="0"/>
              <w:rPr>
                <w:sz w:val="20"/>
                <w:szCs w:val="20"/>
                <w:color w:val="auto"/>
              </w:rPr>
            </w:pPr>
          </w:p>
        </w:tc>
        <w:tc>
          <w:tcPr>
            <w:tcW w:w="3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77,498</w:t>
            </w:r>
          </w:p>
        </w:tc>
        <w:tc>
          <w:tcPr>
            <w:tcW w:w="180" w:type="dxa"/>
            <w:vAlign w:val="bottom"/>
          </w:tcPr>
          <w:p>
            <w:pPr>
              <w:spacing w:after="0"/>
              <w:rPr>
                <w:sz w:val="20"/>
                <w:szCs w:val="20"/>
                <w:color w:val="auto"/>
              </w:rPr>
            </w:pPr>
          </w:p>
        </w:tc>
        <w:tc>
          <w:tcPr>
            <w:tcW w:w="40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26,924</w:t>
            </w:r>
          </w:p>
        </w:tc>
        <w:tc>
          <w:tcPr>
            <w:tcW w:w="180" w:type="dxa"/>
            <w:vAlign w:val="bottom"/>
          </w:tcPr>
          <w:p>
            <w:pPr>
              <w:spacing w:after="0"/>
              <w:rPr>
                <w:sz w:val="20"/>
                <w:szCs w:val="20"/>
                <w:color w:val="auto"/>
              </w:rPr>
            </w:pP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9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5,092</w:t>
            </w:r>
          </w:p>
        </w:tc>
        <w:tc>
          <w:tcPr>
            <w:tcW w:w="160" w:type="dxa"/>
            <w:vAlign w:val="bottom"/>
          </w:tcPr>
          <w:p>
            <w:pPr>
              <w:spacing w:after="0"/>
              <w:rPr>
                <w:sz w:val="20"/>
                <w:szCs w:val="20"/>
                <w:color w:val="auto"/>
              </w:rPr>
            </w:pPr>
          </w:p>
        </w:tc>
        <w:tc>
          <w:tcPr>
            <w:tcW w:w="2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3,422</w:t>
            </w:r>
          </w:p>
        </w:tc>
      </w:tr>
      <w:tr>
        <w:trPr>
          <w:trHeight w:val="20"/>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Noncancelable contractual obligations include our obligations related to sponsorships and other commitments.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Purchase commitments include obligations made by us and our subsidiaries to various suppliers for raw materials used in the manufacturing and packaging of our products. These obligations vary in terms.</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to the above purchase obligations, pursuant to a can supply agreement between the Company and Rexam Beverage Can Company (“Rexam”), the Company has undertaken to purchase a minimum volume of 24-ounce re-sealable aluminum beverage cans through December 31, 2010. The Company’s minimum purchase obligation under this agreement is approximately $27.3 million, subject to compliance by Rexam with certain conditions.</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to the above purchase obligations, approximately $0.4 million of recognized tax benefits have been recorded as liabilities as of December 31, 2009, and we are uncertain as to if or when such amounts may be settled. Related to the unrecognized tax benefits not included in the table above, we have also recorded a liability for potential penalties of $0.02 million and interest of $0.01 million as of December 31, 2009.</w:t>
      </w:r>
    </w:p>
    <w:p>
      <w:pPr>
        <w:spacing w:after="0" w:line="20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2008, we entered into licensing and programming agreements with SAP America, Inc. to use its global enterprise resource planning software initiative to replace our existing legacy software in North America. The Company also entered into agreements with Axon Solutions, Inc. and Vistex Inc. for the implementation and configuration of the SAP software. As of January 2010, we had completed our North American transition to the SAP enterprise resource planning system. It is our intention to complete the transition for our international operations within fiscal 2010. We estimate the remaining costs for implementation of the initiative will be approximately $0.8 million.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October 2006, we entered into a lease agreement pursuant to which we leased 346,495 square feet of warehouse and distribution space located in Corona, California. This lease commitment provides for minimum rental payments for 120 months, commencing March 2007, excluding renewal options. The monthly rental payments are $167,586 at the commencement of the lease and increase over the lease term by 7.5% at the end of each 30 month period. This warehouse and distribution space replaced our previous warehouse and distribution space also located in Corona, California. In September 2007, we relocated our corporate offices to newly leased offices in Corona, California</w:t>
      </w:r>
    </w:p>
    <w:p>
      <w:pPr>
        <w:sectPr>
          <w:pgSz w:w="11900" w:h="16838" w:orient="portrait"/>
          <w:cols w:equalWidth="0" w:num="1">
            <w:col w:w="11420"/>
          </w:cols>
          <w:pgMar w:left="240" w:top="121" w:right="239" w:bottom="29" w:gutter="0" w:footer="0" w:header="0"/>
        </w:sectPr>
      </w:pPr>
    </w:p>
    <w:bookmarkStart w:id="34" w:name="page35"/>
    <w:bookmarkEnd w:id="34"/>
    <w:p>
      <w:pPr>
        <w:jc w:val="both"/>
        <w:ind w:firstLine="648"/>
        <w:spacing w:after="0" w:line="247" w:lineRule="auto"/>
        <w:rPr>
          <w:sz w:val="20"/>
          <w:szCs w:val="20"/>
          <w:color w:val="auto"/>
        </w:rPr>
      </w:pPr>
      <w:r>
        <w:rPr>
          <w:rFonts w:ascii="Arial" w:cs="Arial" w:eastAsia="Arial" w:hAnsi="Arial"/>
          <w:sz w:val="20"/>
          <w:szCs w:val="20"/>
          <w:color w:val="auto"/>
        </w:rPr>
        <w:t>In August 2008, we completed the purchase of 1.09 acres of land for a purchase price of $1.4 million. In December 2009, we completed the purchase of an additional 2.12 acres of adjacent vacant land for a purchase price of $1.7 million. The properties are located adjacent to our leased warehouse and distribution space. We are reviewing the feasibility of constructing a new office building and parking lot on these combined parcels of land to replace our existing office space.</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have sublet a small portion of our previous office, warehouse and distribution space on a month to month basis. In addition, we continue to utilize the remaining portion of this space as additional warehousing to supplement our main warehouse. This lease expires in October 2010.</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Policies and Pronouncements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Critical Accounting Policies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consolidated financial statements are prepared in accordance with GAAP. GAAP requires us to make estimates and assumptions that affect the reported amounts in our consolidated financial statements. The following summarizes our most significant accounting and reporting policies and practices:</w:t>
      </w:r>
    </w:p>
    <w:p>
      <w:pPr>
        <w:spacing w:after="0" w:line="200" w:lineRule="exact"/>
        <w:rPr>
          <w:sz w:val="20"/>
          <w:szCs w:val="20"/>
          <w:color w:val="auto"/>
        </w:rPr>
      </w:pPr>
    </w:p>
    <w:p>
      <w:pPr>
        <w:jc w:val="both"/>
        <w:ind w:left="660"/>
        <w:spacing w:after="0" w:line="269"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Our investments in debt securities are classified as either held-to-maturity or available-for-sale,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Accounting Standards Board (the “FASB”) Accounting Standards Codification (“ASC”) ASC 320. Held-to-maturity securities are those securities that we have the positive intent and ability to hold until maturity. All other securities not included in the held-to-maturity category are classified as available-for-sale. No securities are held for speculative or trading purposes. Held-to-maturity securities are recorded at amortized cost which approximates fair market value. Available-for-sale securities are carried at fair value with unrealized gains and losses recorded within accumulated other comprehensive loss as a separate component of stockholders’ equity. Under ASC 320-10-65,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loss, net of applicable taxes. We evaluate whether the decline in fair value of its investments is other-than temporary at each quarter-end. This evaluation consists of a review by management, and includes market pricing information and maturity dates for the securities held, market and economic trends in the industry and information on the investee company’s 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issuer and our intent and ability to retain the investment for a reasonable period of time sufficient to allow for any anticipated recovery of fair value.</w:t>
      </w:r>
    </w:p>
    <w:p>
      <w:pPr>
        <w:spacing w:after="0" w:line="190"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i w:val="1"/>
          <w:iCs w:val="1"/>
          <w:color w:val="auto"/>
        </w:rPr>
        <w:t xml:space="preserve">Accounts Receivable </w:t>
      </w:r>
      <w:r>
        <w:rPr>
          <w:rFonts w:ascii="Arial" w:cs="Arial" w:eastAsia="Arial" w:hAnsi="Arial"/>
          <w:sz w:val="19"/>
          <w:szCs w:val="19"/>
          <w:color w:val="auto"/>
        </w:rPr>
        <w:t>– We evaluate the collectability of our trade accounts receivable based on a number of factors. In circumstances</w:t>
      </w:r>
      <w:r>
        <w:rPr>
          <w:rFonts w:ascii="Arial" w:cs="Arial" w:eastAsia="Arial" w:hAnsi="Arial"/>
          <w:sz w:val="19"/>
          <w:szCs w:val="19"/>
          <w:i w:val="1"/>
          <w:iCs w:val="1"/>
          <w:color w:val="auto"/>
        </w:rPr>
        <w:t xml:space="preserve"> </w:t>
      </w:r>
      <w:r>
        <w:rPr>
          <w:rFonts w:ascii="Arial" w:cs="Arial" w:eastAsia="Arial" w:hAnsi="Arial"/>
          <w:sz w:val="19"/>
          <w:szCs w:val="19"/>
          <w:color w:val="auto"/>
        </w:rPr>
        <w:t>where we become aware of a specific customer’s inability to meet its financial obligations to us, a specific reserve for bad debts is estimated and recorded, which reduces the recognized receivable to the estimated amount we believe will ultimately be collected. In addition to specific customer identification of potential bad debts, bad debt charges are recorded based on our recent loss history and an overall assessment of past due trade accounts receivable outstanding.</w:t>
      </w:r>
    </w:p>
    <w:p>
      <w:pPr>
        <w:spacing w:after="0" w:line="194"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i w:val="1"/>
          <w:iCs w:val="1"/>
          <w:color w:val="auto"/>
        </w:rPr>
        <w:t xml:space="preserve">Inventories </w:t>
      </w:r>
      <w:r>
        <w:rPr>
          <w:rFonts w:ascii="Arial" w:cs="Arial" w:eastAsia="Arial" w:hAnsi="Arial"/>
          <w:sz w:val="19"/>
          <w:szCs w:val="19"/>
          <w:color w:val="auto"/>
        </w:rPr>
        <w:t>– Inventories are stated at the lower of cost to purchase and/or manufacture the inventory or the current estimated market</w:t>
      </w:r>
      <w:r>
        <w:rPr>
          <w:rFonts w:ascii="Arial" w:cs="Arial" w:eastAsia="Arial" w:hAnsi="Arial"/>
          <w:sz w:val="19"/>
          <w:szCs w:val="19"/>
          <w:i w:val="1"/>
          <w:iCs w:val="1"/>
          <w:color w:val="auto"/>
        </w:rPr>
        <w:t xml:space="preserve"> </w:t>
      </w:r>
      <w:r>
        <w:rPr>
          <w:rFonts w:ascii="Arial" w:cs="Arial" w:eastAsia="Arial" w:hAnsi="Arial"/>
          <w:sz w:val="19"/>
          <w:szCs w:val="19"/>
          <w:color w:val="auto"/>
        </w:rPr>
        <w:t>value of the inventory. We regularly review our inventory quantities on hand and record a provision for excess and obsolete inventory based primarily on our estimated forecast of product demand, production availability and/or our ability to sell the product(s) concerned. Demand for our products can fluctuate significantly. Factors that could affect demand for our products include unanticipated changes in consumer preferences, general market and economic conditions or other factors that may result in cancellations of advance orders or reductions in the rate of reorders placed by customers and/or continued weakening of economic conditions. Additionally, management’s estimates of future product demand may be inaccurate, which could result in an understated or overstated provision required for excess and obsolete inventory.</w:t>
      </w:r>
    </w:p>
    <w:p>
      <w:pPr>
        <w:spacing w:after="0" w:line="195"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i w:val="1"/>
          <w:iCs w:val="1"/>
          <w:color w:val="auto"/>
        </w:rPr>
        <w:t xml:space="preserve">Long-Lived Assets </w:t>
      </w:r>
      <w:r>
        <w:rPr>
          <w:rFonts w:ascii="Arial" w:cs="Arial" w:eastAsia="Arial" w:hAnsi="Arial"/>
          <w:sz w:val="19"/>
          <w:szCs w:val="19"/>
          <w:color w:val="auto"/>
        </w:rPr>
        <w:t>– Management regularly reviews property and equipment and other long-lived assets, including certain definite-lived identifiable intangible assets, for possible impairment. This review occurs annually or more frequently if events or changes in circumstances indicate the carrying amount of the asset may not be recoverable. If there is indication of impairment of property and equipment or amortizable intangible assets, then management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at the present value of the future cash flows discounted at a rate commensurate with management’s estimates of the business risks. No impairments were identified as of December 31, 2009 or 2008.</w:t>
      </w:r>
    </w:p>
    <w:p>
      <w:pPr>
        <w:spacing w:after="0" w:line="19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Management believes that the accounting estimate related to impairment of its long lived assets, including its trademarks (as discussed below), is a “critical accounting estimate” because: (1) the estimate is highly susceptible to change from period to period because it requires company management to make assumptions about cash flows and discount rates; and (2) the impact that recognizing an impairment would have on the assets reported on our consolidated balance sheet, as well as net income, could be material.</w:t>
      </w:r>
    </w:p>
    <w:p>
      <w:pPr>
        <w:sectPr>
          <w:pgSz w:w="11900" w:h="16838" w:orient="portrait"/>
          <w:cols w:equalWidth="0" w:num="1">
            <w:col w:w="11420"/>
          </w:cols>
          <w:pgMar w:left="240" w:top="122" w:right="239" w:bottom="0" w:gutter="0" w:footer="0" w:header="0"/>
        </w:sectPr>
      </w:pPr>
    </w:p>
    <w:bookmarkStart w:id="35" w:name="page36"/>
    <w:bookmarkEnd w:id="35"/>
    <w:p>
      <w:pPr>
        <w:jc w:val="both"/>
        <w:spacing w:after="0" w:line="262" w:lineRule="auto"/>
        <w:rPr>
          <w:sz w:val="20"/>
          <w:szCs w:val="20"/>
          <w:color w:val="auto"/>
        </w:rPr>
      </w:pPr>
      <w:r>
        <w:rPr>
          <w:rFonts w:ascii="Arial" w:cs="Arial" w:eastAsia="Arial" w:hAnsi="Arial"/>
          <w:sz w:val="20"/>
          <w:szCs w:val="20"/>
          <w:color w:val="auto"/>
        </w:rPr>
        <w:t>Management’s assumptions about cash flows and discount rates require significant judgment because actual revenues and expenses have fluctuated in the past and are expected to continue to do so.</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Intangibles </w:t>
      </w:r>
      <w:r>
        <w:rPr>
          <w:rFonts w:ascii="Arial" w:cs="Arial" w:eastAsia="Arial" w:hAnsi="Arial"/>
          <w:sz w:val="18"/>
          <w:szCs w:val="18"/>
          <w:color w:val="auto"/>
        </w:rPr>
        <w:t>– Intangibles are comprised primarily of trademarks that represent our exclusive ownership of the Hansen’s® trademark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manufacture, sale and distribution of beverages, water, non-beverage products and the Monster Energy® trademark in connection with the manufacture, sale and distribution of supplements and beverages. We also own in our own right, a number of other trademarks in the United States, as well as in a number of countries around the world. We also own the Blue Sky® trademark, which was acquired in September 2000, and the Junior Juice® trademark, which was acquired in May 2001. During 2002, we adopted ASC 350. Under the provisions of ASC 350, we discontinued amortization on indefinite-</w:t>
      </w:r>
    </w:p>
    <w:p>
      <w:pPr>
        <w:spacing w:after="0" w:line="18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84455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lived trademarks while continuing to amortize remaining definite-lived trademarks over one to 25 years.</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In accordance with ASC 350, we evaluate our trademarks annually for impairment or earlier if there is an indication of impairment. If there is an indication of impairment of identified intangible assets not subject to amortization, management compares the estimated fair value with the carrying amount of the asset. An impairment loss is recognized to write down the intangible asset to its fair value if it is less than the carrying amount. The fair value is calculated using the income approach. However, preparation of estimated expected future cash flows is inherently subjective and is based on management’s best estimate of assumptions concerning expected future conditions. Based on management’s impairment analysis performed for the year ended December 31, 2009, the estimated fair values of trademarks exceeded the carrying values.</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estimating future revenues, we use internal budgets. Internal budgets are developed based on recent revenue data and future marketing plans for existing product lines and planned timing of future introductions of new products and their impact on our future cash flows.</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Revenue Recognition </w:t>
      </w:r>
      <w:r>
        <w:rPr>
          <w:rFonts w:ascii="Arial" w:cs="Arial" w:eastAsia="Arial" w:hAnsi="Arial"/>
          <w:sz w:val="20"/>
          <w:szCs w:val="20"/>
          <w:color w:val="auto"/>
        </w:rPr>
        <w:t>– We recognize revenue when persuasive evidence of an arrangement exists, delivery has occurred, the sales price</w:t>
      </w:r>
      <w:r>
        <w:rPr>
          <w:rFonts w:ascii="Arial" w:cs="Arial" w:eastAsia="Arial" w:hAnsi="Arial"/>
          <w:sz w:val="20"/>
          <w:szCs w:val="20"/>
          <w:i w:val="1"/>
          <w:iCs w:val="1"/>
          <w:color w:val="auto"/>
        </w:rPr>
        <w:t xml:space="preserve"> </w:t>
      </w:r>
      <w:r>
        <w:rPr>
          <w:rFonts w:ascii="Arial" w:cs="Arial" w:eastAsia="Arial" w:hAnsi="Arial"/>
          <w:sz w:val="20"/>
          <w:szCs w:val="20"/>
          <w:color w:val="auto"/>
        </w:rPr>
        <w:t>is fixed or determinable and collectability is reasonably assured. Generally, ownership of and title to our products pass to customers upon delivery of the products to customers. Certain of our distributors may also perform a separate function as a co-packer on our behalf. In such cases, ownership of and title to our products that are co-packed on our behalf by those co-packers who are also distributors, passes to such distributors when we are notified by them that they have taken transfer or possession of the relevant portion of our finished goods. Net sales have been determined after deduction of promotional and other allowances in accordance with ASC 605-50.</w:t>
      </w:r>
    </w:p>
    <w:p>
      <w:pPr>
        <w:spacing w:after="0" w:line="20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Management believes that adequate provision has been made for cash discounts, returns and spoilage based on our historical experience.</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Cost of Sales </w:t>
      </w:r>
      <w:r>
        <w:rPr>
          <w:rFonts w:ascii="Arial" w:cs="Arial" w:eastAsia="Arial" w:hAnsi="Arial"/>
          <w:sz w:val="20"/>
          <w:szCs w:val="20"/>
          <w:color w:val="auto"/>
        </w:rPr>
        <w:t>– Cost of sales consists of the costs of raw materials utilized in the manufacture of products, co-packing fees, repacking</w:t>
      </w:r>
      <w:r>
        <w:rPr>
          <w:rFonts w:ascii="Arial" w:cs="Arial" w:eastAsia="Arial" w:hAnsi="Arial"/>
          <w:sz w:val="20"/>
          <w:szCs w:val="20"/>
          <w:i w:val="1"/>
          <w:iCs w:val="1"/>
          <w:color w:val="auto"/>
        </w:rPr>
        <w:t xml:space="preserve"> </w:t>
      </w:r>
      <w:r>
        <w:rPr>
          <w:rFonts w:ascii="Arial" w:cs="Arial" w:eastAsia="Arial" w:hAnsi="Arial"/>
          <w:sz w:val="20"/>
          <w:szCs w:val="20"/>
          <w:color w:val="auto"/>
        </w:rPr>
        <w:t>fees, in-bound freight charges, as well as certain internal transfer costs, warehouse expenses incurred prior to the manufacture of our finished products and certain quality control costs. Raw materials account for the largest portion of the cost of sales. Raw materials include cans, bottles, other containers, ingredients and packaging materials.</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Operating Expenses </w:t>
      </w:r>
      <w:r>
        <w:rPr>
          <w:rFonts w:ascii="Arial" w:cs="Arial" w:eastAsia="Arial" w:hAnsi="Arial"/>
          <w:sz w:val="20"/>
          <w:szCs w:val="20"/>
          <w:color w:val="auto"/>
        </w:rPr>
        <w:t>– Operating expenses include selling expenses such as distribution expenses to transport products to customers and</w:t>
      </w:r>
      <w:r>
        <w:rPr>
          <w:rFonts w:ascii="Arial" w:cs="Arial" w:eastAsia="Arial" w:hAnsi="Arial"/>
          <w:sz w:val="20"/>
          <w:szCs w:val="20"/>
          <w:i w:val="1"/>
          <w:iCs w:val="1"/>
          <w:color w:val="auto"/>
        </w:rPr>
        <w:t xml:space="preserve"> </w:t>
      </w:r>
      <w:r>
        <w:rPr>
          <w:rFonts w:ascii="Arial" w:cs="Arial" w:eastAsia="Arial" w:hAnsi="Arial"/>
          <w:sz w:val="20"/>
          <w:szCs w:val="20"/>
          <w:color w:val="auto"/>
        </w:rPr>
        <w:t>warehousing expenses after manufacture, as well as expenses for advertising, commissions, sampling and in-store demonstration costs, costs for merchandise displays, point-of-sale materials and premium items, sponsorship expenses, other marketing expenses and design expenses. Operating expenses also include payroll costs, travel costs, professional service fees including legal fees, termination payments made to certain of our prior distributors, entertainment, insurance, postage, depreciation and other general and administrative costs.</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We account for share-based compensation arrangements in accordance with the provisions of ASC 718,</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requires the measurement and recognition of compensation expense for all share-based payment awards to employees and directors based on estimated fair values. We use the Black-Scholes-Merton option pricing formula to estimate the fair value of our stock options at the date of grant. The Black-Scholes-Merton option pricing formula was developed for use in estimating the fair value of traded options that have no vesting restrictions and are fully transferable. Our employee stock options, however, have characteristics significantly different from those of traded options. For example, employee stock options are</w:t>
      </w:r>
    </w:p>
    <w:p>
      <w:pPr>
        <w:spacing w:after="0" w:line="18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84455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generally subject to vesting restrictions and are generally not transferable. In addition, option valuation models require the input of highly subjective assumptions, including the expected stock price volatility, the expected life of an option and the number of awards ultimately expected to vest. Changes in subjective input assumptions can materially affect the fair value estimates of an option. Furthermore, the estimated fair value of an option does not necessarily represent the value that will ultimately be realized by an employee. We use historical data to estimate the expected price volatility, the expected option life and the expected forfeiture rate. The risk-free rate is based on the U.S. Treasury yield curve in effect at the time of grant for the estimated life of the option. If actual results are not consistent with our assumptions and judgments used in estimating the key assumptions, we may be required to increase or decrease compensation expense or income tax expense, which could be material to our results of operations.</w:t>
      </w:r>
    </w:p>
    <w:p>
      <w:pPr>
        <w:sectPr>
          <w:pgSz w:w="11900" w:h="16838" w:orient="portrait"/>
          <w:cols w:equalWidth="0" w:num="1">
            <w:col w:w="10760"/>
          </w:cols>
          <w:pgMar w:left="900" w:top="121" w:right="239" w:bottom="6" w:gutter="0" w:footer="0" w:header="0"/>
        </w:sectPr>
      </w:pPr>
    </w:p>
    <w:bookmarkStart w:id="36" w:name="page37"/>
    <w:bookmarkEnd w:id="36"/>
    <w:p>
      <w:pPr>
        <w:jc w:val="both"/>
        <w:ind w:left="660"/>
        <w:spacing w:after="0" w:line="27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Company utilizes the liability method of accounting for income taxes as set forth in ASC 740. Under the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184"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See Part II, Item 8 “Financial Statements and Supplementary Data – Note 1 – Organization and Summary of Significant Accounting Policies – Recently Issued Accounting Pronouncements” for a full description of recent accounting pronouncements including the respective expected dates of adoption and effects on the Company’s consolidated financial position, results of operations or liquidity.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table set forth below discloses selected quarterly data regarding sales for the past five years. Data from any one or more quarters is not necessarily indicative of annual results or continuing trends.</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Sales of beverages are expressed in unit case volume. A “unit case” means a unit of measurement equal to 192 U.S. fluid ounces of finished beverage (24 eight-ounce servings) or concentrate sold that will yield 192 U.S. fluid ounces of finished beverage. The Company defines unit case volume as the number of unit cases (or unit case equivalents) of beverages directly or indirectly sold by us.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quarterly results of operations reflect seasonal trends that are primarily the result of increased demand in the warmer months of the year. It has been our experience that beverage sales tend to be lower during the first and fourth quarters of each fiscal year. Because the primary historical market for our products is California, which has a year-long temperate climate, the effect of seasonal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fluctuations on quarterly results may have been mitigated; however, such fluctuations may be more pronounced as the distribution of our products expands outside of California. Our experience with our energy drink products suggests they are less seasonal than traditional beverages. As the percentage of our sales that are represented by such products continues to increase, seasonal fluctuations will be further mitigated. Quarterly fluctuations may also be affected by other factors including the introduction of new products, the opening of new markets where temperature fluctuations are more pronounced, the addition of new bottlers and distributors, changes in the mix of the sales of our finished products and changes in and/or increased advertising and promotional expenses. (See “Part I, Item 1 – Business – Seasonality”).</w:t>
      </w:r>
    </w:p>
    <w:p>
      <w:pPr>
        <w:spacing w:after="0" w:line="159" w:lineRule="exact"/>
        <w:rPr>
          <w:sz w:val="20"/>
          <w:szCs w:val="20"/>
          <w:color w:val="auto"/>
        </w:rPr>
      </w:pPr>
    </w:p>
    <w:tbl>
      <w:tblPr>
        <w:tblLayout w:type="fixed"/>
        <w:tblInd w:w="600" w:type="dxa"/>
        <w:tblCellMar>
          <w:top w:w="0" w:type="dxa"/>
          <w:left w:w="0" w:type="dxa"/>
          <w:bottom w:w="0" w:type="dxa"/>
          <w:right w:w="0" w:type="dxa"/>
        </w:tblCellMar>
      </w:tblPr>
      <w:tr>
        <w:trPr>
          <w:trHeight w:val="252"/>
        </w:trPr>
        <w:tc>
          <w:tcPr>
            <w:tcW w:w="2980" w:type="dxa"/>
            <w:vAlign w:val="bottom"/>
            <w:gridSpan w:val="3"/>
            <w:vMerge w:val="restart"/>
          </w:tcPr>
          <w:p>
            <w:pPr>
              <w:spacing w:after="0"/>
              <w:rPr>
                <w:sz w:val="20"/>
                <w:szCs w:val="20"/>
                <w:color w:val="auto"/>
              </w:rPr>
            </w:pPr>
            <w:r>
              <w:rPr>
                <w:rFonts w:ascii="Arial" w:cs="Arial" w:eastAsia="Arial" w:hAnsi="Arial"/>
                <w:sz w:val="20"/>
                <w:szCs w:val="20"/>
                <w:color w:val="auto"/>
                <w:w w:val="96"/>
              </w:rPr>
              <w:t>Unit Case Volume / Case Sales (in</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20"/>
                <w:szCs w:val="20"/>
                <w:b w:val="1"/>
                <w:bCs w:val="1"/>
                <w:color w:val="auto"/>
              </w:rPr>
              <w:t>2009</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2008</w:t>
            </w:r>
          </w:p>
        </w:tc>
        <w:tc>
          <w:tcPr>
            <w:tcW w:w="1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2007</w:t>
            </w:r>
          </w:p>
        </w:tc>
        <w:tc>
          <w:tcPr>
            <w:tcW w:w="1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2006</w:t>
            </w: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b w:val="1"/>
                <w:bCs w:val="1"/>
                <w:color w:val="auto"/>
              </w:rPr>
              <w:t>2005</w:t>
            </w:r>
          </w:p>
        </w:tc>
        <w:tc>
          <w:tcPr>
            <w:tcW w:w="0" w:type="dxa"/>
            <w:vAlign w:val="bottom"/>
          </w:tcPr>
          <w:p>
            <w:pPr>
              <w:spacing w:after="0"/>
              <w:rPr>
                <w:sz w:val="1"/>
                <w:szCs w:val="1"/>
                <w:color w:val="auto"/>
              </w:rPr>
            </w:pPr>
          </w:p>
        </w:tc>
      </w:tr>
      <w:tr>
        <w:trPr>
          <w:trHeight w:val="169"/>
        </w:trPr>
        <w:tc>
          <w:tcPr>
            <w:tcW w:w="2980" w:type="dxa"/>
            <w:vAlign w:val="bottom"/>
            <w:tcBorders>
              <w:bottom w:val="single" w:sz="8" w:color="auto"/>
            </w:tcBorders>
            <w:gridSpan w:val="3"/>
            <w:vMerge w:val="continue"/>
          </w:tcPr>
          <w:p>
            <w:pPr>
              <w:spacing w:after="0"/>
              <w:rPr>
                <w:sz w:val="14"/>
                <w:szCs w:val="14"/>
                <w:color w:val="auto"/>
              </w:rPr>
            </w:pPr>
          </w:p>
        </w:tc>
        <w:tc>
          <w:tcPr>
            <w:tcW w:w="72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8"/>
                <w:szCs w:val="18"/>
                <w:color w:val="auto"/>
                <w:w w:val="73"/>
              </w:rPr>
              <w:t>Thousands)</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80" w:type="dxa"/>
            <w:vAlign w:val="bottom"/>
            <w:gridSpan w:val="3"/>
          </w:tcPr>
          <w:p>
            <w:pPr>
              <w:spacing w:after="0"/>
              <w:rPr>
                <w:sz w:val="20"/>
                <w:szCs w:val="20"/>
                <w:color w:val="auto"/>
              </w:rPr>
            </w:pPr>
            <w:r>
              <w:rPr>
                <w:rFonts w:ascii="Arial" w:cs="Arial" w:eastAsia="Arial" w:hAnsi="Arial"/>
                <w:sz w:val="20"/>
                <w:szCs w:val="20"/>
                <w:color w:val="auto"/>
              </w:rPr>
              <w:t>Quarter 1</w:t>
            </w:r>
          </w:p>
        </w:tc>
        <w:tc>
          <w:tcPr>
            <w:tcW w:w="4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20"/>
                <w:szCs w:val="20"/>
                <w:color w:val="auto"/>
              </w:rPr>
              <w:t>23,468</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22,274</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19,396</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14,974</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9,295</w:t>
            </w:r>
          </w:p>
        </w:tc>
        <w:tc>
          <w:tcPr>
            <w:tcW w:w="0" w:type="dxa"/>
            <w:vAlign w:val="bottom"/>
          </w:tcPr>
          <w:p>
            <w:pPr>
              <w:spacing w:after="0"/>
              <w:rPr>
                <w:sz w:val="1"/>
                <w:szCs w:val="1"/>
                <w:color w:val="auto"/>
              </w:rPr>
            </w:pPr>
          </w:p>
        </w:tc>
      </w:tr>
      <w:tr>
        <w:trPr>
          <w:trHeight w:val="230"/>
        </w:trPr>
        <w:tc>
          <w:tcPr>
            <w:tcW w:w="2980" w:type="dxa"/>
            <w:vAlign w:val="bottom"/>
            <w:gridSpan w:val="3"/>
          </w:tcPr>
          <w:p>
            <w:pPr>
              <w:spacing w:after="0"/>
              <w:rPr>
                <w:sz w:val="20"/>
                <w:szCs w:val="20"/>
                <w:color w:val="auto"/>
              </w:rPr>
            </w:pPr>
            <w:r>
              <w:rPr>
                <w:rFonts w:ascii="Arial" w:cs="Arial" w:eastAsia="Arial" w:hAnsi="Arial"/>
                <w:sz w:val="20"/>
                <w:szCs w:val="20"/>
                <w:color w:val="auto"/>
              </w:rPr>
              <w:t>Quarter 2</w:t>
            </w: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20"/>
                <w:szCs w:val="20"/>
                <w:color w:val="auto"/>
              </w:rPr>
              <w:t>29,256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28,726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26,950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19,136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12,368</w:t>
            </w:r>
          </w:p>
        </w:tc>
        <w:tc>
          <w:tcPr>
            <w:tcW w:w="0" w:type="dxa"/>
            <w:vAlign w:val="bottom"/>
          </w:tcPr>
          <w:p>
            <w:pPr>
              <w:spacing w:after="0"/>
              <w:rPr>
                <w:sz w:val="1"/>
                <w:szCs w:val="1"/>
                <w:color w:val="auto"/>
              </w:rPr>
            </w:pPr>
          </w:p>
        </w:tc>
      </w:tr>
      <w:tr>
        <w:trPr>
          <w:trHeight w:val="230"/>
        </w:trPr>
        <w:tc>
          <w:tcPr>
            <w:tcW w:w="2980" w:type="dxa"/>
            <w:vAlign w:val="bottom"/>
            <w:gridSpan w:val="3"/>
          </w:tcPr>
          <w:p>
            <w:pPr>
              <w:spacing w:after="0"/>
              <w:rPr>
                <w:sz w:val="20"/>
                <w:szCs w:val="20"/>
                <w:color w:val="auto"/>
              </w:rPr>
            </w:pPr>
            <w:r>
              <w:rPr>
                <w:rFonts w:ascii="Arial" w:cs="Arial" w:eastAsia="Arial" w:hAnsi="Arial"/>
                <w:sz w:val="20"/>
                <w:szCs w:val="20"/>
                <w:color w:val="auto"/>
              </w:rPr>
              <w:t>Quarter 3</w:t>
            </w: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20"/>
                <w:szCs w:val="20"/>
                <w:color w:val="auto"/>
              </w:rPr>
              <w:t>29,800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28,009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26,450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21,176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13,983</w:t>
            </w:r>
          </w:p>
        </w:tc>
        <w:tc>
          <w:tcPr>
            <w:tcW w:w="0" w:type="dxa"/>
            <w:vAlign w:val="bottom"/>
          </w:tcPr>
          <w:p>
            <w:pPr>
              <w:spacing w:after="0"/>
              <w:rPr>
                <w:sz w:val="1"/>
                <w:szCs w:val="1"/>
                <w:color w:val="auto"/>
              </w:rPr>
            </w:pPr>
          </w:p>
        </w:tc>
      </w:tr>
      <w:tr>
        <w:trPr>
          <w:trHeight w:val="246"/>
        </w:trPr>
        <w:tc>
          <w:tcPr>
            <w:tcW w:w="2980" w:type="dxa"/>
            <w:vAlign w:val="bottom"/>
            <w:gridSpan w:val="3"/>
          </w:tcPr>
          <w:p>
            <w:pPr>
              <w:spacing w:after="0"/>
              <w:rPr>
                <w:sz w:val="20"/>
                <w:szCs w:val="20"/>
                <w:color w:val="auto"/>
              </w:rPr>
            </w:pPr>
            <w:r>
              <w:rPr>
                <w:rFonts w:ascii="Arial" w:cs="Arial" w:eastAsia="Arial" w:hAnsi="Arial"/>
                <w:sz w:val="20"/>
                <w:szCs w:val="20"/>
                <w:color w:val="auto"/>
              </w:rPr>
              <w:t>Quarter 4</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27,461</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23,650</w:t>
            </w:r>
          </w:p>
        </w:tc>
        <w:tc>
          <w:tcPr>
            <w:tcW w:w="1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25,657</w:t>
            </w:r>
          </w:p>
        </w:tc>
        <w:tc>
          <w:tcPr>
            <w:tcW w:w="1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17,454</w:t>
            </w: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12,568</w:t>
            </w:r>
          </w:p>
        </w:tc>
        <w:tc>
          <w:tcPr>
            <w:tcW w:w="0" w:type="dxa"/>
            <w:vAlign w:val="bottom"/>
          </w:tcPr>
          <w:p>
            <w:pPr>
              <w:spacing w:after="0"/>
              <w:rPr>
                <w:sz w:val="1"/>
                <w:szCs w:val="1"/>
                <w:color w:val="auto"/>
              </w:rPr>
            </w:pPr>
          </w:p>
        </w:tc>
      </w:tr>
      <w:tr>
        <w:trPr>
          <w:trHeight w:val="223"/>
        </w:trPr>
        <w:tc>
          <w:tcPr>
            <w:tcW w:w="2980" w:type="dxa"/>
            <w:vAlign w:val="bottom"/>
            <w:gridSpan w:val="3"/>
          </w:tcPr>
          <w:p>
            <w:pPr>
              <w:spacing w:after="0" w:line="223" w:lineRule="exact"/>
              <w:rPr>
                <w:sz w:val="20"/>
                <w:szCs w:val="20"/>
                <w:color w:val="auto"/>
              </w:rPr>
            </w:pPr>
            <w:r>
              <w:rPr>
                <w:rFonts w:ascii="Arial" w:cs="Arial" w:eastAsia="Arial" w:hAnsi="Arial"/>
                <w:sz w:val="20"/>
                <w:szCs w:val="20"/>
                <w:color w:val="auto"/>
              </w:rPr>
              <w:t>Total</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00"/>
              <w:spacing w:after="0" w:line="223" w:lineRule="exact"/>
              <w:rPr>
                <w:sz w:val="20"/>
                <w:szCs w:val="20"/>
                <w:color w:val="auto"/>
              </w:rPr>
            </w:pPr>
            <w:r>
              <w:rPr>
                <w:rFonts w:ascii="Arial" w:cs="Arial" w:eastAsia="Arial" w:hAnsi="Arial"/>
                <w:sz w:val="20"/>
                <w:szCs w:val="20"/>
                <w:color w:val="auto"/>
              </w:rPr>
              <w:t>109,985</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102,659</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98,453</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72,740</w:t>
            </w: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48,214</w:t>
            </w: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20"/>
                <w:szCs w:val="20"/>
                <w:color w:val="auto"/>
              </w:rPr>
              <w:t>Net Revenues (in Thousands)</w:t>
            </w: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98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3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Quarter 1</w:t>
            </w:r>
          </w:p>
        </w:tc>
        <w:tc>
          <w:tcPr>
            <w:tcW w:w="640" w:type="dxa"/>
            <w:vAlign w:val="bottom"/>
          </w:tcPr>
          <w:p>
            <w:pPr>
              <w:spacing w:after="0"/>
              <w:rPr>
                <w:sz w:val="20"/>
                <w:szCs w:val="20"/>
                <w:color w:val="auto"/>
              </w:rPr>
            </w:pPr>
          </w:p>
        </w:tc>
        <w:tc>
          <w:tcPr>
            <w:tcW w:w="400" w:type="dxa"/>
            <w:vAlign w:val="bottom"/>
          </w:tcPr>
          <w:p>
            <w:pPr>
              <w:jc w:val="right"/>
              <w:ind w:right="43"/>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20"/>
                <w:szCs w:val="20"/>
                <w:color w:val="auto"/>
              </w:rPr>
              <w:t>244,206</w:t>
            </w:r>
          </w:p>
        </w:tc>
        <w:tc>
          <w:tcPr>
            <w:tcW w:w="14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212,178</w:t>
            </w:r>
          </w:p>
        </w:tc>
        <w:tc>
          <w:tcPr>
            <w:tcW w:w="140" w:type="dxa"/>
            <w:vAlign w:val="bottom"/>
          </w:tcPr>
          <w:p>
            <w:pPr>
              <w:spacing w:after="0"/>
              <w:rPr>
                <w:sz w:val="20"/>
                <w:szCs w:val="20"/>
                <w:color w:val="auto"/>
              </w:rPr>
            </w:pP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165,853</w:t>
            </w:r>
          </w:p>
        </w:tc>
        <w:tc>
          <w:tcPr>
            <w:tcW w:w="140" w:type="dxa"/>
            <w:vAlign w:val="bottom"/>
          </w:tcPr>
          <w:p>
            <w:pPr>
              <w:spacing w:after="0"/>
              <w:rPr>
                <w:sz w:val="20"/>
                <w:szCs w:val="20"/>
                <w:color w:val="auto"/>
              </w:rPr>
            </w:pP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119,746</w:t>
            </w:r>
          </w:p>
        </w:tc>
        <w:tc>
          <w:tcPr>
            <w:tcW w:w="140" w:type="dxa"/>
            <w:vAlign w:val="bottom"/>
          </w:tcPr>
          <w:p>
            <w:pPr>
              <w:spacing w:after="0"/>
              <w:rPr>
                <w:sz w:val="20"/>
                <w:szCs w:val="20"/>
                <w:color w:val="auto"/>
              </w:rPr>
            </w:pPr>
          </w:p>
        </w:tc>
        <w:tc>
          <w:tcPr>
            <w:tcW w:w="4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60,014</w:t>
            </w:r>
          </w:p>
        </w:tc>
        <w:tc>
          <w:tcPr>
            <w:tcW w:w="0" w:type="dxa"/>
            <w:vAlign w:val="bottom"/>
          </w:tcPr>
          <w:p>
            <w:pPr>
              <w:spacing w:after="0"/>
              <w:rPr>
                <w:sz w:val="1"/>
                <w:szCs w:val="1"/>
                <w:color w:val="auto"/>
              </w:rPr>
            </w:pPr>
          </w:p>
        </w:tc>
      </w:tr>
      <w:tr>
        <w:trPr>
          <w:trHeight w:val="230"/>
        </w:trPr>
        <w:tc>
          <w:tcPr>
            <w:tcW w:w="2980" w:type="dxa"/>
            <w:vAlign w:val="bottom"/>
            <w:gridSpan w:val="3"/>
          </w:tcPr>
          <w:p>
            <w:pPr>
              <w:spacing w:after="0"/>
              <w:rPr>
                <w:sz w:val="20"/>
                <w:szCs w:val="20"/>
                <w:color w:val="auto"/>
              </w:rPr>
            </w:pPr>
            <w:r>
              <w:rPr>
                <w:rFonts w:ascii="Arial" w:cs="Arial" w:eastAsia="Arial" w:hAnsi="Arial"/>
                <w:sz w:val="20"/>
                <w:szCs w:val="20"/>
                <w:color w:val="auto"/>
              </w:rPr>
              <w:t>Quarter 2</w:t>
            </w: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20"/>
                <w:szCs w:val="20"/>
                <w:color w:val="auto"/>
              </w:rPr>
              <w:t>300,250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282,244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244,763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156,037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85,441</w:t>
            </w:r>
          </w:p>
        </w:tc>
        <w:tc>
          <w:tcPr>
            <w:tcW w:w="0" w:type="dxa"/>
            <w:vAlign w:val="bottom"/>
          </w:tcPr>
          <w:p>
            <w:pPr>
              <w:spacing w:after="0"/>
              <w:rPr>
                <w:sz w:val="1"/>
                <w:szCs w:val="1"/>
                <w:color w:val="auto"/>
              </w:rPr>
            </w:pPr>
          </w:p>
        </w:tc>
      </w:tr>
      <w:tr>
        <w:trPr>
          <w:trHeight w:val="230"/>
        </w:trPr>
        <w:tc>
          <w:tcPr>
            <w:tcW w:w="2980" w:type="dxa"/>
            <w:vAlign w:val="bottom"/>
            <w:gridSpan w:val="3"/>
          </w:tcPr>
          <w:p>
            <w:pPr>
              <w:spacing w:after="0"/>
              <w:rPr>
                <w:sz w:val="20"/>
                <w:szCs w:val="20"/>
                <w:color w:val="auto"/>
              </w:rPr>
            </w:pPr>
            <w:r>
              <w:rPr>
                <w:rFonts w:ascii="Arial" w:cs="Arial" w:eastAsia="Arial" w:hAnsi="Arial"/>
                <w:sz w:val="20"/>
                <w:szCs w:val="20"/>
                <w:color w:val="auto"/>
              </w:rPr>
              <w:t>Quarter 3</w:t>
            </w: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20"/>
                <w:szCs w:val="20"/>
                <w:color w:val="auto"/>
              </w:rPr>
              <w:t>307,929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284,986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247,211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178,647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105,421</w:t>
            </w:r>
          </w:p>
        </w:tc>
        <w:tc>
          <w:tcPr>
            <w:tcW w:w="0" w:type="dxa"/>
            <w:vAlign w:val="bottom"/>
          </w:tcPr>
          <w:p>
            <w:pPr>
              <w:spacing w:after="0"/>
              <w:rPr>
                <w:sz w:val="1"/>
                <w:szCs w:val="1"/>
                <w:color w:val="auto"/>
              </w:rPr>
            </w:pPr>
          </w:p>
        </w:tc>
      </w:tr>
      <w:tr>
        <w:trPr>
          <w:trHeight w:val="246"/>
        </w:trPr>
        <w:tc>
          <w:tcPr>
            <w:tcW w:w="2980" w:type="dxa"/>
            <w:vAlign w:val="bottom"/>
            <w:gridSpan w:val="3"/>
          </w:tcPr>
          <w:p>
            <w:pPr>
              <w:spacing w:after="0"/>
              <w:rPr>
                <w:sz w:val="20"/>
                <w:szCs w:val="20"/>
                <w:color w:val="auto"/>
              </w:rPr>
            </w:pPr>
            <w:r>
              <w:rPr>
                <w:rFonts w:ascii="Arial" w:cs="Arial" w:eastAsia="Arial" w:hAnsi="Arial"/>
                <w:sz w:val="20"/>
                <w:szCs w:val="20"/>
                <w:color w:val="auto"/>
              </w:rPr>
              <w:t>Quarter 4</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290,914</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254,372</w:t>
            </w:r>
          </w:p>
        </w:tc>
        <w:tc>
          <w:tcPr>
            <w:tcW w:w="140" w:type="dxa"/>
            <w:vAlign w:val="bottom"/>
          </w:tcPr>
          <w:p>
            <w:pPr>
              <w:jc w:val="right"/>
              <w:spacing w:after="0"/>
              <w:rPr>
                <w:sz w:val="20"/>
                <w:szCs w:val="20"/>
                <w:color w:val="auto"/>
              </w:rPr>
            </w:pPr>
            <w:r>
              <w:rPr>
                <w:rFonts w:ascii="Arial" w:cs="Arial" w:eastAsia="Arial" w:hAnsi="Arial"/>
                <w:sz w:val="20"/>
                <w:szCs w:val="20"/>
                <w:color w:val="auto"/>
              </w:rPr>
              <w:t>¹</w:t>
            </w: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246,638</w:t>
            </w:r>
          </w:p>
        </w:tc>
        <w:tc>
          <w:tcPr>
            <w:tcW w:w="1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151,344</w:t>
            </w: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98,010</w:t>
            </w:r>
          </w:p>
        </w:tc>
        <w:tc>
          <w:tcPr>
            <w:tcW w:w="0" w:type="dxa"/>
            <w:vAlign w:val="bottom"/>
          </w:tcPr>
          <w:p>
            <w:pPr>
              <w:spacing w:after="0"/>
              <w:rPr>
                <w:sz w:val="1"/>
                <w:szCs w:val="1"/>
                <w:color w:val="auto"/>
              </w:rPr>
            </w:pPr>
          </w:p>
        </w:tc>
      </w:tr>
      <w:tr>
        <w:trPr>
          <w:trHeight w:val="223"/>
        </w:trPr>
        <w:tc>
          <w:tcPr>
            <w:tcW w:w="2980" w:type="dxa"/>
            <w:vAlign w:val="bottom"/>
            <w:gridSpan w:val="3"/>
          </w:tcPr>
          <w:p>
            <w:pPr>
              <w:spacing w:after="0" w:line="223" w:lineRule="exact"/>
              <w:rPr>
                <w:sz w:val="20"/>
                <w:szCs w:val="20"/>
                <w:color w:val="auto"/>
              </w:rPr>
            </w:pPr>
            <w:r>
              <w:rPr>
                <w:rFonts w:ascii="Arial" w:cs="Arial" w:eastAsia="Arial" w:hAnsi="Arial"/>
                <w:sz w:val="20"/>
                <w:szCs w:val="20"/>
                <w:color w:val="auto"/>
              </w:rPr>
              <w:t>Total</w:t>
            </w:r>
          </w:p>
        </w:tc>
        <w:tc>
          <w:tcPr>
            <w:tcW w:w="400" w:type="dxa"/>
            <w:vAlign w:val="bottom"/>
            <w:tcBorders>
              <w:bottom w:val="single" w:sz="8" w:color="auto"/>
            </w:tcBorders>
          </w:tcPr>
          <w:p>
            <w:pPr>
              <w:jc w:val="right"/>
              <w:ind w:right="43"/>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gridSpan w:val="2"/>
          </w:tcPr>
          <w:p>
            <w:pPr>
              <w:jc w:val="right"/>
              <w:ind w:right="100"/>
              <w:spacing w:after="0" w:line="223" w:lineRule="exact"/>
              <w:rPr>
                <w:sz w:val="20"/>
                <w:szCs w:val="20"/>
                <w:color w:val="auto"/>
              </w:rPr>
            </w:pPr>
            <w:r>
              <w:rPr>
                <w:rFonts w:ascii="Arial" w:cs="Arial" w:eastAsia="Arial" w:hAnsi="Arial"/>
                <w:sz w:val="20"/>
                <w:szCs w:val="20"/>
                <w:color w:val="auto"/>
              </w:rPr>
              <w:t>1,143,299</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1,033,780</w:t>
            </w:r>
          </w:p>
        </w:tc>
        <w:tc>
          <w:tcPr>
            <w:tcW w:w="140" w:type="dxa"/>
            <w:vAlign w:val="bottom"/>
          </w:tcPr>
          <w:p>
            <w:pPr>
              <w:jc w:val="right"/>
              <w:spacing w:after="0" w:line="223" w:lineRule="exact"/>
              <w:rPr>
                <w:sz w:val="20"/>
                <w:szCs w:val="20"/>
                <w:color w:val="auto"/>
              </w:rPr>
            </w:pPr>
            <w:r>
              <w:rPr>
                <w:rFonts w:ascii="Arial" w:cs="Arial" w:eastAsia="Arial" w:hAnsi="Arial"/>
                <w:sz w:val="20"/>
                <w:szCs w:val="20"/>
                <w:color w:val="auto"/>
              </w:rPr>
              <w:t>¹</w:t>
            </w:r>
          </w:p>
        </w:tc>
        <w:tc>
          <w:tcPr>
            <w:tcW w:w="4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904,465</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605,774</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348,886</w:t>
            </w: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20"/>
                <w:szCs w:val="20"/>
                <w:color w:val="auto"/>
              </w:rPr>
              <w:t>Average Price per Case</w:t>
            </w: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98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Quarter 1</w:t>
            </w:r>
          </w:p>
        </w:tc>
        <w:tc>
          <w:tcPr>
            <w:tcW w:w="1140" w:type="dxa"/>
            <w:vAlign w:val="bottom"/>
            <w:gridSpan w:val="2"/>
          </w:tcPr>
          <w:p>
            <w:pPr>
              <w:spacing w:after="0"/>
              <w:rPr>
                <w:sz w:val="20"/>
                <w:szCs w:val="20"/>
                <w:color w:val="auto"/>
              </w:rPr>
            </w:pPr>
          </w:p>
        </w:tc>
        <w:tc>
          <w:tcPr>
            <w:tcW w:w="400" w:type="dxa"/>
            <w:vAlign w:val="bottom"/>
          </w:tcPr>
          <w:p>
            <w:pPr>
              <w:jc w:val="right"/>
              <w:ind w:right="43"/>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20"/>
                <w:szCs w:val="20"/>
                <w:color w:val="auto"/>
              </w:rPr>
              <w:t>10.41</w:t>
            </w:r>
          </w:p>
        </w:tc>
        <w:tc>
          <w:tcPr>
            <w:tcW w:w="14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9.53</w:t>
            </w:r>
          </w:p>
        </w:tc>
        <w:tc>
          <w:tcPr>
            <w:tcW w:w="140" w:type="dxa"/>
            <w:vAlign w:val="bottom"/>
          </w:tcPr>
          <w:p>
            <w:pPr>
              <w:spacing w:after="0"/>
              <w:rPr>
                <w:sz w:val="20"/>
                <w:szCs w:val="20"/>
                <w:color w:val="auto"/>
              </w:rPr>
            </w:pP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8.55</w:t>
            </w:r>
          </w:p>
        </w:tc>
        <w:tc>
          <w:tcPr>
            <w:tcW w:w="140" w:type="dxa"/>
            <w:vAlign w:val="bottom"/>
          </w:tcPr>
          <w:p>
            <w:pPr>
              <w:spacing w:after="0"/>
              <w:rPr>
                <w:sz w:val="20"/>
                <w:szCs w:val="20"/>
                <w:color w:val="auto"/>
              </w:rPr>
            </w:pP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8.00</w:t>
            </w:r>
          </w:p>
        </w:tc>
        <w:tc>
          <w:tcPr>
            <w:tcW w:w="140" w:type="dxa"/>
            <w:vAlign w:val="bottom"/>
          </w:tcPr>
          <w:p>
            <w:pPr>
              <w:spacing w:after="0"/>
              <w:rPr>
                <w:sz w:val="20"/>
                <w:szCs w:val="20"/>
                <w:color w:val="auto"/>
              </w:rPr>
            </w:pPr>
          </w:p>
        </w:tc>
        <w:tc>
          <w:tcPr>
            <w:tcW w:w="4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6.46</w:t>
            </w:r>
          </w:p>
        </w:tc>
        <w:tc>
          <w:tcPr>
            <w:tcW w:w="0" w:type="dxa"/>
            <w:vAlign w:val="bottom"/>
          </w:tcPr>
          <w:p>
            <w:pPr>
              <w:spacing w:after="0"/>
              <w:rPr>
                <w:sz w:val="1"/>
                <w:szCs w:val="1"/>
                <w:color w:val="auto"/>
              </w:rPr>
            </w:pPr>
          </w:p>
        </w:tc>
      </w:tr>
      <w:tr>
        <w:trPr>
          <w:trHeight w:val="230"/>
        </w:trPr>
        <w:tc>
          <w:tcPr>
            <w:tcW w:w="2980" w:type="dxa"/>
            <w:vAlign w:val="bottom"/>
            <w:gridSpan w:val="3"/>
          </w:tcPr>
          <w:p>
            <w:pPr>
              <w:spacing w:after="0"/>
              <w:rPr>
                <w:sz w:val="20"/>
                <w:szCs w:val="20"/>
                <w:color w:val="auto"/>
              </w:rPr>
            </w:pPr>
            <w:r>
              <w:rPr>
                <w:rFonts w:ascii="Arial" w:cs="Arial" w:eastAsia="Arial" w:hAnsi="Arial"/>
                <w:sz w:val="20"/>
                <w:szCs w:val="20"/>
                <w:color w:val="auto"/>
              </w:rPr>
              <w:t>Quarter 2</w:t>
            </w: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20"/>
                <w:szCs w:val="20"/>
                <w:color w:val="auto"/>
              </w:rPr>
              <w:t>10.26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9.83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9.08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8.15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6.91</w:t>
            </w:r>
          </w:p>
        </w:tc>
        <w:tc>
          <w:tcPr>
            <w:tcW w:w="0" w:type="dxa"/>
            <w:vAlign w:val="bottom"/>
          </w:tcPr>
          <w:p>
            <w:pPr>
              <w:spacing w:after="0"/>
              <w:rPr>
                <w:sz w:val="1"/>
                <w:szCs w:val="1"/>
                <w:color w:val="auto"/>
              </w:rPr>
            </w:pPr>
          </w:p>
        </w:tc>
      </w:tr>
      <w:tr>
        <w:trPr>
          <w:trHeight w:val="230"/>
        </w:trPr>
        <w:tc>
          <w:tcPr>
            <w:tcW w:w="2980" w:type="dxa"/>
            <w:vAlign w:val="bottom"/>
            <w:gridSpan w:val="3"/>
          </w:tcPr>
          <w:p>
            <w:pPr>
              <w:spacing w:after="0"/>
              <w:rPr>
                <w:sz w:val="20"/>
                <w:szCs w:val="20"/>
                <w:color w:val="auto"/>
              </w:rPr>
            </w:pPr>
            <w:r>
              <w:rPr>
                <w:rFonts w:ascii="Arial" w:cs="Arial" w:eastAsia="Arial" w:hAnsi="Arial"/>
                <w:sz w:val="20"/>
                <w:szCs w:val="20"/>
                <w:color w:val="auto"/>
              </w:rPr>
              <w:t>Quarter 3</w:t>
            </w: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20"/>
                <w:szCs w:val="20"/>
                <w:color w:val="auto"/>
              </w:rPr>
              <w:t>10.33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10.17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9.35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8.44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7.54</w:t>
            </w:r>
          </w:p>
        </w:tc>
        <w:tc>
          <w:tcPr>
            <w:tcW w:w="0" w:type="dxa"/>
            <w:vAlign w:val="bottom"/>
          </w:tcPr>
          <w:p>
            <w:pPr>
              <w:spacing w:after="0"/>
              <w:rPr>
                <w:sz w:val="1"/>
                <w:szCs w:val="1"/>
                <w:color w:val="auto"/>
              </w:rPr>
            </w:pPr>
          </w:p>
        </w:tc>
      </w:tr>
      <w:tr>
        <w:trPr>
          <w:trHeight w:val="240"/>
        </w:trPr>
        <w:tc>
          <w:tcPr>
            <w:tcW w:w="2980" w:type="dxa"/>
            <w:vAlign w:val="bottom"/>
            <w:gridSpan w:val="3"/>
          </w:tcPr>
          <w:p>
            <w:pPr>
              <w:spacing w:after="0"/>
              <w:rPr>
                <w:sz w:val="20"/>
                <w:szCs w:val="20"/>
                <w:color w:val="auto"/>
              </w:rPr>
            </w:pPr>
            <w:r>
              <w:rPr>
                <w:rFonts w:ascii="Arial" w:cs="Arial" w:eastAsia="Arial" w:hAnsi="Arial"/>
                <w:sz w:val="20"/>
                <w:szCs w:val="20"/>
                <w:color w:val="auto"/>
              </w:rPr>
              <w:t>Quarter 4</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10.59</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10.76</w:t>
            </w:r>
          </w:p>
        </w:tc>
        <w:tc>
          <w:tcPr>
            <w:tcW w:w="140" w:type="dxa"/>
            <w:vAlign w:val="bottom"/>
          </w:tcPr>
          <w:p>
            <w:pPr>
              <w:jc w:val="right"/>
              <w:spacing w:after="0"/>
              <w:rPr>
                <w:sz w:val="20"/>
                <w:szCs w:val="20"/>
                <w:color w:val="auto"/>
              </w:rPr>
            </w:pPr>
            <w:r>
              <w:rPr>
                <w:rFonts w:ascii="Arial" w:cs="Arial" w:eastAsia="Arial" w:hAnsi="Arial"/>
                <w:sz w:val="20"/>
                <w:szCs w:val="20"/>
                <w:color w:val="auto"/>
              </w:rPr>
              <w:t>¹</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9.61</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8.67</w:t>
            </w: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7.80</w:t>
            </w:r>
          </w:p>
        </w:tc>
        <w:tc>
          <w:tcPr>
            <w:tcW w:w="0" w:type="dxa"/>
            <w:vAlign w:val="bottom"/>
          </w:tcPr>
          <w:p>
            <w:pPr>
              <w:spacing w:after="0"/>
              <w:rPr>
                <w:sz w:val="1"/>
                <w:szCs w:val="1"/>
                <w:color w:val="auto"/>
              </w:rPr>
            </w:pPr>
          </w:p>
        </w:tc>
      </w:tr>
      <w:tr>
        <w:trPr>
          <w:trHeight w:val="243"/>
        </w:trPr>
        <w:tc>
          <w:tcPr>
            <w:tcW w:w="2980" w:type="dxa"/>
            <w:vAlign w:val="bottom"/>
            <w:gridSpan w:val="3"/>
          </w:tcPr>
          <w:p>
            <w:pPr>
              <w:spacing w:after="0"/>
              <w:rPr>
                <w:sz w:val="20"/>
                <w:szCs w:val="20"/>
                <w:color w:val="auto"/>
              </w:rPr>
            </w:pPr>
            <w:r>
              <w:rPr>
                <w:rFonts w:ascii="Arial" w:cs="Arial" w:eastAsia="Arial" w:hAnsi="Arial"/>
                <w:sz w:val="20"/>
                <w:szCs w:val="20"/>
                <w:color w:val="auto"/>
              </w:rPr>
              <w:t>Total</w:t>
            </w:r>
          </w:p>
        </w:tc>
        <w:tc>
          <w:tcPr>
            <w:tcW w:w="40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10.40</w:t>
            </w:r>
          </w:p>
        </w:tc>
        <w:tc>
          <w:tcPr>
            <w:tcW w:w="140" w:type="dxa"/>
            <w:vAlign w:val="bottom"/>
          </w:tcPr>
          <w:p>
            <w:pPr>
              <w:spacing w:after="0"/>
              <w:rPr>
                <w:sz w:val="21"/>
                <w:szCs w:val="21"/>
                <w:color w:val="auto"/>
              </w:rPr>
            </w:pP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10.07</w:t>
            </w:r>
          </w:p>
        </w:tc>
        <w:tc>
          <w:tcPr>
            <w:tcW w:w="140" w:type="dxa"/>
            <w:vAlign w:val="bottom"/>
          </w:tcPr>
          <w:p>
            <w:pPr>
              <w:jc w:val="right"/>
              <w:spacing w:after="0" w:line="220" w:lineRule="exact"/>
              <w:rPr>
                <w:sz w:val="20"/>
                <w:szCs w:val="20"/>
                <w:color w:val="auto"/>
              </w:rPr>
            </w:pPr>
            <w:r>
              <w:rPr>
                <w:rFonts w:ascii="Arial" w:cs="Arial" w:eastAsia="Arial" w:hAnsi="Arial"/>
                <w:sz w:val="20"/>
                <w:szCs w:val="20"/>
                <w:color w:val="auto"/>
              </w:rPr>
              <w:t>¹</w:t>
            </w:r>
          </w:p>
        </w:tc>
        <w:tc>
          <w:tcPr>
            <w:tcW w:w="4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9.19</w:t>
            </w:r>
          </w:p>
        </w:tc>
        <w:tc>
          <w:tcPr>
            <w:tcW w:w="140" w:type="dxa"/>
            <w:vAlign w:val="bottom"/>
          </w:tcPr>
          <w:p>
            <w:pPr>
              <w:spacing w:after="0"/>
              <w:rPr>
                <w:sz w:val="21"/>
                <w:szCs w:val="21"/>
                <w:color w:val="auto"/>
              </w:rPr>
            </w:pPr>
          </w:p>
        </w:tc>
        <w:tc>
          <w:tcPr>
            <w:tcW w:w="4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8.33</w:t>
            </w:r>
          </w:p>
        </w:tc>
        <w:tc>
          <w:tcPr>
            <w:tcW w:w="140" w:type="dxa"/>
            <w:vAlign w:val="bottom"/>
          </w:tcPr>
          <w:p>
            <w:pPr>
              <w:spacing w:after="0"/>
              <w:rPr>
                <w:sz w:val="21"/>
                <w:szCs w:val="21"/>
                <w:color w:val="auto"/>
              </w:rPr>
            </w:pPr>
          </w:p>
        </w:tc>
        <w:tc>
          <w:tcPr>
            <w:tcW w:w="4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7.24</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auto"/>
        </w:rPr>
        <w:t>¹</w:t>
      </w:r>
      <w:r>
        <w:rPr>
          <w:rFonts w:ascii="Arial" w:cs="Arial" w:eastAsia="Arial" w:hAnsi="Arial"/>
          <w:sz w:val="16"/>
          <w:szCs w:val="16"/>
          <w:color w:val="auto"/>
        </w:rPr>
        <w:t>Net Revenues for the fourth quarter of 2008 included the recognition of $11.6 million of revenue related to the acceleration of the deferred revenue balance associated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of our prior distributors terminated in the fourth quarter of 2008. Average price per case exclusive of this recognition was $10.26 and $9.96 for the three-months and year ended December 31, 2008, respectively.</w:t>
      </w:r>
    </w:p>
    <w:p>
      <w:pPr>
        <w:sectPr>
          <w:pgSz w:w="11900" w:h="16838" w:orient="portrait"/>
          <w:cols w:equalWidth="0" w:num="1">
            <w:col w:w="11420"/>
          </w:cols>
          <w:pgMar w:left="240" w:top="121" w:right="239" w:bottom="0" w:gutter="0" w:footer="0" w:header="0"/>
        </w:sectPr>
      </w:pPr>
    </w:p>
    <w:bookmarkStart w:id="37" w:name="page38"/>
    <w:bookmarkEnd w:id="37"/>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do not believe that inflation had a significant impact on our results of operations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(the “Securities Act”), and Section 21.E of the Exchange Act, as amended)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200"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current uncertainty and volatility in the national and global economy;</w:t>
      </w:r>
    </w:p>
    <w:p>
      <w:pPr>
        <w:spacing w:after="0" w:line="15" w:lineRule="exact"/>
        <w:rPr>
          <w:rFonts w:ascii="Arial" w:cs="Arial" w:eastAsia="Arial" w:hAnsi="Arial"/>
          <w:sz w:val="20"/>
          <w:szCs w:val="20"/>
          <w:color w:val="auto"/>
        </w:rPr>
      </w:pPr>
    </w:p>
    <w:p>
      <w:pPr>
        <w:jc w:val="both"/>
        <w:ind w:left="340" w:hanging="332"/>
        <w:spacing w:after="0" w:line="239" w:lineRule="auto"/>
        <w:tabs>
          <w:tab w:leader="none" w:pos="4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of distribution agreements with certain of our existing distributors and the appointment of select TCCC North American Bottlers and/or AB wholesalers as distributors for the territories of such terminated distributors;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impact of the acquisition of AB by InBev;</w:t>
      </w: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potential impact of the consummation of the transactions between CCE and TCCC;</w:t>
      </w: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Lack of anticipated demand for our products in international markets;</w:t>
      </w: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Unfavorable international regulations, including taxation requirements, tariffs or trade restrictions;</w:t>
      </w: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Losses arising from our operations outside the United States;</w:t>
      </w:r>
    </w:p>
    <w:p>
      <w:pPr>
        <w:ind w:left="340" w:right="20" w:hanging="332"/>
        <w:spacing w:after="0" w:line="239" w:lineRule="auto"/>
        <w:tabs>
          <w:tab w:leader="none" w:pos="4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spacing w:after="0" w:line="1" w:lineRule="exact"/>
        <w:rPr>
          <w:rFonts w:ascii="Arial" w:cs="Arial" w:eastAsia="Arial" w:hAnsi="Arial"/>
          <w:sz w:val="20"/>
          <w:szCs w:val="20"/>
          <w:color w:val="auto"/>
        </w:rPr>
      </w:pPr>
    </w:p>
    <w:p>
      <w:pPr>
        <w:ind w:left="340" w:hanging="332"/>
        <w:spacing w:after="0" w:line="239" w:lineRule="auto"/>
        <w:tabs>
          <w:tab w:leader="none" w:pos="362"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 or other governmental agencies;</w:t>
      </w:r>
    </w:p>
    <w:p>
      <w:pPr>
        <w:ind w:left="340" w:hanging="332"/>
        <w:spacing w:after="0" w:line="239" w:lineRule="auto"/>
        <w:tabs>
          <w:tab w:leader="none" w:pos="376"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outcome of the shareholder derivative actions and shareholder securities litigation filed against us and/or certain of our officers and directors, and the possibility of other private litigation;</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outcome of future auctions of auction rate securities and/or our ability to recover payment thereunder;</w:t>
      </w: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 over financial reporting;</w:t>
      </w: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generate sufficient cash flows to support capital expansion plans and general operating activities;</w:t>
      </w:r>
    </w:p>
    <w:p>
      <w:pPr>
        <w:ind w:left="340" w:hanging="332"/>
        <w:spacing w:after="0" w:line="239" w:lineRule="auto"/>
        <w:tabs>
          <w:tab w:leader="none" w:pos="376"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or from decreased consumer discretionary spending power;</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Changes in demand that are weather related, particularly in areas outside of California;</w:t>
      </w:r>
    </w:p>
    <w:p>
      <w:pPr>
        <w:ind w:left="340" w:hanging="332"/>
        <w:spacing w:after="0" w:line="239" w:lineRule="auto"/>
        <w:tabs>
          <w:tab w:leader="none" w:pos="308" w:val="left"/>
        </w:tabs>
        <w:numPr>
          <w:ilvl w:val="0"/>
          <w:numId w:val="24"/>
        </w:numPr>
        <w:rPr>
          <w:rFonts w:ascii="Arial" w:cs="Arial" w:eastAsia="Arial" w:hAnsi="Arial"/>
          <w:sz w:val="20"/>
          <w:szCs w:val="20"/>
          <w:color w:val="auto"/>
        </w:rPr>
      </w:pPr>
      <w:r>
        <w:rPr>
          <w:rFonts w:ascii="Arial" w:cs="Arial" w:eastAsia="Arial" w:hAnsi="Arial"/>
          <w:sz w:val="20"/>
          <w:szCs w:val="20"/>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introduction of new products;</w:t>
      </w: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340" w:hanging="332"/>
        <w:spacing w:after="0" w:line="239" w:lineRule="auto"/>
        <w:tabs>
          <w:tab w:leader="none" w:pos="443"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of our Monster Energy® brand energy drinks and/or our Java Monster</w:t>
      </w:r>
      <w:r>
        <w:rPr>
          <w:rFonts w:ascii="Arial" w:cs="Arial" w:eastAsia="Arial" w:hAnsi="Arial"/>
          <w:sz w:val="11"/>
          <w:szCs w:val="11"/>
          <w:color w:val="auto"/>
        </w:rPr>
        <w:t>TM</w:t>
      </w:r>
      <w:r>
        <w:rPr>
          <w:rFonts w:ascii="Arial" w:cs="Arial" w:eastAsia="Arial" w:hAnsi="Arial"/>
          <w:sz w:val="20"/>
          <w:szCs w:val="20"/>
          <w:color w:val="auto"/>
        </w:rPr>
        <w:t xml:space="preserve"> line of non-carbonated dairy based coffee + energy drinks and/or our Nitrous</w:t>
      </w:r>
      <w:r>
        <w:rPr>
          <w:rFonts w:ascii="Arial" w:cs="Arial" w:eastAsia="Arial" w:hAnsi="Arial"/>
          <w:sz w:val="11"/>
          <w:szCs w:val="11"/>
          <w:color w:val="auto"/>
        </w:rPr>
        <w:t>TM</w:t>
      </w:r>
      <w:r>
        <w:rPr>
          <w:rFonts w:ascii="Arial" w:cs="Arial" w:eastAsia="Arial" w:hAnsi="Arial"/>
          <w:sz w:val="20"/>
          <w:szCs w:val="20"/>
          <w:color w:val="auto"/>
        </w:rPr>
        <w:t xml:space="preserve"> Monster Energy® drinks;</w:t>
      </w:r>
    </w:p>
    <w:p>
      <w:pPr>
        <w:spacing w:after="0" w:line="1" w:lineRule="exact"/>
        <w:rPr>
          <w:rFonts w:ascii="Arial" w:cs="Arial" w:eastAsia="Arial" w:hAnsi="Arial"/>
          <w:sz w:val="20"/>
          <w:szCs w:val="20"/>
          <w:color w:val="auto"/>
        </w:rPr>
      </w:pPr>
    </w:p>
    <w:p>
      <w:pPr>
        <w:jc w:val="both"/>
        <w:ind w:left="340" w:hanging="332"/>
        <w:spacing w:after="0"/>
        <w:tabs>
          <w:tab w:leader="none" w:pos="322"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comply with existing foreign, national, state and local laws and regulations and/or any changes therein, including changes in accounting standards, taxation requirements (including tax rate changes, new tax laws and revised tax law interpretations) and environmental laws, as well as the Federal Food, Drug and Cosmetic Act, the Dietary Supplement Health and Education Act, and regulations made thereunder or in connection therewith, as well as changes in any other food and drug laws, especially those that may affect the way in which our products are marketed, and/or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340"/>
        <w:spacing w:after="0" w:line="245" w:lineRule="auto"/>
        <w:rPr>
          <w:sz w:val="20"/>
          <w:szCs w:val="20"/>
          <w:color w:val="auto"/>
        </w:rPr>
      </w:pPr>
      <w:r>
        <w:rPr>
          <w:rFonts w:ascii="Arial" w:cs="Arial" w:eastAsia="Arial" w:hAnsi="Arial"/>
          <w:sz w:val="20"/>
          <w:szCs w:val="20"/>
          <w:color w:val="auto"/>
        </w:rPr>
        <w:t>labeled, and/or sold, including the contents thereof, as well as laws and regulations or rules made or enforced by the Food and Drug Administration, and/or the Bureau of Alcohol, Tobacco and Firearms and Explosives, and/or the Federal Trade Commission and/or certain state regulatory agencies and/or any other countries in which we decide to sell our products;</w:t>
      </w:r>
    </w:p>
    <w:p>
      <w:pPr>
        <w:ind w:left="340" w:hanging="332"/>
        <w:spacing w:after="0" w:line="266" w:lineRule="auto"/>
        <w:tabs>
          <w:tab w:leader="none" w:pos="3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cost and availability of containers, packaging materials, raw materials and juice concentrates, and the ability to maintain favorable supply arrangements and relationships and procure timely and/or adequate production of all or any of our products;</w:t>
      </w:r>
    </w:p>
    <w:p>
      <w:pPr>
        <w:ind w:left="340" w:hanging="332"/>
        <w:spacing w:after="0" w:line="266" w:lineRule="auto"/>
        <w:tabs>
          <w:tab w:leader="none" w:pos="322"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achieve earnings forecasts, which may be based on projected volumes and sales of many product types and/or new products, certain of which are more profitable than others; there can be no assurance that we will achieve projected levels or mixes of product sales;</w:t>
      </w:r>
    </w:p>
    <w:p>
      <w:pPr>
        <w:ind w:left="280" w:hanging="272"/>
        <w:spacing w:after="0"/>
        <w:tabs>
          <w:tab w:leader="none" w:pos="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penetrate new domestic or international markets;</w:t>
      </w:r>
    </w:p>
    <w:p>
      <w:pPr>
        <w:sectPr>
          <w:pgSz w:w="11900" w:h="16870" w:orient="portrait"/>
          <w:cols w:equalWidth="0" w:num="1">
            <w:col w:w="11420"/>
          </w:cols>
          <w:pgMar w:left="240" w:top="116" w:right="239" w:bottom="0" w:gutter="0" w:footer="0" w:header="0"/>
        </w:sectPr>
      </w:pPr>
    </w:p>
    <w:bookmarkStart w:id="38" w:name="page39"/>
    <w:bookmarkEnd w:id="38"/>
    <w:p>
      <w:pPr>
        <w:spacing w:after="0" w:line="92" w:lineRule="exact"/>
        <w:rPr>
          <w:sz w:val="20"/>
          <w:szCs w:val="20"/>
          <w:color w:val="auto"/>
        </w:rPr>
      </w:pPr>
    </w:p>
    <w:p>
      <w:pPr>
        <w:ind w:left="280" w:hanging="272"/>
        <w:spacing w:after="0"/>
        <w:tabs>
          <w:tab w:leader="none" w:pos="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gain approval or mitigate the delay in securing approval for the sale of our products in various countries;</w:t>
      </w:r>
    </w:p>
    <w:p>
      <w:pPr>
        <w:spacing w:after="0" w:line="16" w:lineRule="exact"/>
        <w:rPr>
          <w:rFonts w:ascii="Arial" w:cs="Arial" w:eastAsia="Arial" w:hAnsi="Arial"/>
          <w:sz w:val="20"/>
          <w:szCs w:val="20"/>
          <w:color w:val="auto"/>
        </w:rPr>
      </w:pPr>
    </w:p>
    <w:p>
      <w:pPr>
        <w:ind w:left="280" w:hanging="272"/>
        <w:spacing w:after="0"/>
        <w:tabs>
          <w:tab w:leader="none" w:pos="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280" w:hanging="272"/>
        <w:spacing w:after="0"/>
        <w:tabs>
          <w:tab w:leader="none" w:pos="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secure competent and/or effective distributors internationally;</w:t>
      </w:r>
    </w:p>
    <w:p>
      <w:pPr>
        <w:ind w:left="280" w:hanging="272"/>
        <w:spacing w:after="0"/>
        <w:tabs>
          <w:tab w:leader="none" w:pos="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marketing efforts of distributors of our products, most of which distribute products that are competitive with our products;</w:t>
      </w:r>
    </w:p>
    <w:p>
      <w:pPr>
        <w:ind w:left="340" w:hanging="332"/>
        <w:spacing w:after="0" w:line="239" w:lineRule="auto"/>
        <w:tabs>
          <w:tab w:leader="none" w:pos="524" w:val="left"/>
        </w:tabs>
        <w:numPr>
          <w:ilvl w:val="0"/>
          <w:numId w:val="26"/>
        </w:numPr>
        <w:rPr>
          <w:rFonts w:ascii="Arial" w:cs="Arial" w:eastAsia="Arial" w:hAnsi="Arial"/>
          <w:sz w:val="20"/>
          <w:szCs w:val="20"/>
          <w:color w:val="auto"/>
        </w:rPr>
      </w:pPr>
      <w:r>
        <w:rPr>
          <w:rFonts w:ascii="Arial" w:cs="Arial" w:eastAsia="Arial" w:hAnsi="Arial"/>
          <w:sz w:val="20"/>
          <w:szCs w:val="20"/>
          <w:color w:val="auto"/>
        </w:rPr>
        <w:t>Unilateral decisions by distributors, convenience chains, grocery chains, specialty chain stores, club stores and other customers to discontinue carrying all or any of our products that they are carrying at any time;</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terms and/or availability of our credit facility and the actions of our creditors;</w:t>
      </w:r>
    </w:p>
    <w:p>
      <w:pPr>
        <w:ind w:left="280" w:hanging="272"/>
        <w:spacing w:after="0"/>
        <w:tabs>
          <w:tab w:leader="none" w:pos="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effectiveness of our advertising, marketing and promotional programs;</w:t>
      </w:r>
    </w:p>
    <w:p>
      <w:pPr>
        <w:ind w:left="280" w:hanging="272"/>
        <w:spacing w:after="0"/>
        <w:tabs>
          <w:tab w:leader="none" w:pos="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Changes in product category consumption;</w:t>
      </w:r>
    </w:p>
    <w:p>
      <w:pPr>
        <w:ind w:left="280" w:hanging="272"/>
        <w:spacing w:after="0"/>
        <w:tabs>
          <w:tab w:leader="none" w:pos="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Unforeseen economic and political changes;</w:t>
      </w:r>
    </w:p>
    <w:p>
      <w:pPr>
        <w:ind w:left="280" w:hanging="272"/>
        <w:spacing w:after="0"/>
        <w:tabs>
          <w:tab w:leader="none" w:pos="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Possible recalls of our products;</w:t>
      </w:r>
    </w:p>
    <w:p>
      <w:pPr>
        <w:ind w:left="280" w:hanging="272"/>
        <w:spacing w:after="0"/>
        <w:tabs>
          <w:tab w:leader="none" w:pos="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co-packing of any of our products;</w:t>
      </w:r>
    </w:p>
    <w:p>
      <w:pPr>
        <w:ind w:left="280" w:hanging="272"/>
        <w:spacing w:after="0"/>
        <w:tabs>
          <w:tab w:leader="none" w:pos="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Inability to protect and/or the loss of our intellectual property rights;</w:t>
      </w:r>
    </w:p>
    <w:p>
      <w:pPr>
        <w:ind w:left="280" w:hanging="272"/>
        <w:spacing w:after="0"/>
        <w:tabs>
          <w:tab w:leader="none" w:pos="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or other opportunities;</w:t>
      </w:r>
    </w:p>
    <w:p>
      <w:pPr>
        <w:ind w:left="340" w:hanging="332"/>
        <w:spacing w:after="0" w:line="239" w:lineRule="auto"/>
        <w:tabs>
          <w:tab w:leader="none" w:pos="308" w:val="left"/>
        </w:tabs>
        <w:numPr>
          <w:ilvl w:val="0"/>
          <w:numId w:val="26"/>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ability of our bottlers and contract packers to manufacture our products;</w:t>
      </w:r>
    </w:p>
    <w:p>
      <w:pPr>
        <w:ind w:left="280" w:hanging="272"/>
        <w:spacing w:after="0"/>
        <w:tabs>
          <w:tab w:leader="none" w:pos="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340" w:right="20" w:hanging="332"/>
        <w:spacing w:after="0" w:line="239" w:lineRule="auto"/>
        <w:tabs>
          <w:tab w:leader="none" w:pos="378" w:val="left"/>
        </w:tabs>
        <w:numPr>
          <w:ilvl w:val="0"/>
          <w:numId w:val="26"/>
        </w:numPr>
        <w:rPr>
          <w:rFonts w:ascii="Arial" w:cs="Arial" w:eastAsia="Arial" w:hAnsi="Arial"/>
          <w:sz w:val="20"/>
          <w:szCs w:val="20"/>
          <w:color w:val="auto"/>
        </w:rPr>
      </w:pPr>
      <w:r>
        <w:rPr>
          <w:rFonts w:ascii="Arial" w:cs="Arial" w:eastAsia="Arial" w:hAnsi="Arial"/>
          <w:sz w:val="20"/>
          <w:szCs w:val="20"/>
          <w:color w:val="auto"/>
        </w:rPr>
        <w:t>Stabilization of the SAP system which could disrupt the Company’s business, negatively impact customer relationships and negatively impact the Company’s operations and abilities to operate efficiently and measure performance;</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Recruitment and retention of senior management and other key employees.</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foregoing list of important factors and other risks detailed from time to time in our reports filed with the Securities and Exchange Commission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20"/>
          <w:szCs w:val="20"/>
          <w:b w:val="1"/>
          <w:bCs w:val="1"/>
          <w:color w:val="auto"/>
        </w:rPr>
        <w:t>QUANTITATIVE AND QUALITATIVE DISCLOSURES ABOUT MARKET RISK</w:t>
      </w:r>
    </w:p>
    <w:p>
      <w:pPr>
        <w:spacing w:after="0" w:line="23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In the normal course of business, our financial position is routinely subject to a variety of risks. The principal market risks (i.e., the risk of loss arising from adverse changes in market rates and prices) to which we are exposed are fluctuations in energy and fuel prices, commodity prices affecting the costs of juice concentrates and other raw materials (including, but not limited to, increases in the price of aluminum for cans, resin for PET plastic bottles, as well as cane sugar, glucose, sucrose and milk and cream, which are used in many of our products) and limited availability of certain raw materials. We are also subject to market risks with respect to the cost of commodities because our ability to recover increased costs through higher pricing is limited by the competitive environment in which we operate. In addition, we are subject to other risks associated with the business environment in which we operate, including the collectability of accounts receivable.</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do not use derivative financial instruments to protect ourselves from fluctuations in interest rates and do not hedge against fluctuations in commodity prices. We do not use hedging agreements or alternative instruments to manage the risks associated with securing sufficient ingredients or raw materials.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Our gross sales to customers outside of the United States were approximately 12.8% and 8.0% of consolidated gross sales for the years ended December 31, 2009 and 2008, respectively. Our growth strategy includes expanding our international business. As a result, we are subject to risks from changes in foreign exchange rates. These changes result in cumulative translation adjustments, which are included in accumulated other comprehensive income (loss). We do not consider the potential loss resulting from a hypothetical 10% adverse change in quoted foreign currency exchange rates as of December 31, 2009 to be significant. For the year ended December 31, 2009 we did not use derivative financial instruments to reduce our net exposure to currency fluctuations.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are primarily exposed to market risks from fluctuations in interest rates and the effects of those fluctuations on the market values of our short-term and long-term investments. Certain of our short-term and long-term investments are subject to interest rate risk because these investments generally include a fixed interest rate. As a result, the market values of these investments are affected by changes in prevailing interest rates.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At December 31, 2009, we had $328.3 million in cash and cash equivalents and $99.3 million in short- and long-term investments. We have historically invested these amounts in U.S. government agencies, municipal securities or notes (which may have an auction reset feature), corporate notes and bonds, commercial paper and money market funds meeting certain criteria. Certain of these investments are subject to general credit, liquidity, market and interest rate risks, which may be exacerbated by U.S. sub-prime mortgage defaults, which have affected various sectors of the financial markets and caused credit and liquidity issues. At the current time, we are not increasing our investments in auction rate securities nor investing in corporate bonds.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applicable interest rate on auction rate securities is reset at pre-determined intervals, usually every 7 to 35 days. Liquidity for auction rate securities was typically provided by an auction process which allowed holders to sell their notes. During the years ended</w:t>
      </w:r>
    </w:p>
    <w:p>
      <w:pPr>
        <w:sectPr>
          <w:pgSz w:w="11900" w:h="16930" w:orient="portrait"/>
          <w:cols w:equalWidth="0" w:num="1">
            <w:col w:w="11420"/>
          </w:cols>
          <w:pgMar w:left="240" w:top="122" w:right="239" w:bottom="0" w:gutter="0" w:footer="0" w:header="0"/>
        </w:sectPr>
      </w:pPr>
    </w:p>
    <w:bookmarkStart w:id="39" w:name="page40"/>
    <w:bookmarkEnd w:id="39"/>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December 31, 2009 and 2008, the auctions for these auction rate securities failed. Based on an assessment of fair value as of December 31, 2009, we determined that there was a decline in fair value of our auction rate securities of $12.1 million. We determined that of the $12.1 million decline in fair value of our auction rate securities at December 31, 2009, $7.7 million was deemed temporary. This amount has been recorded less a tax benefit of $3.1 million, as a component of other comprehensive loss at December 31, 2009. In addition, we determined that the remaining $3.9 million was an other-than-temporary Credit Loss and recorded a charge in other income (expense) for the year ended December 31, 2009 ($0.5 million had been previously deemed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other-than-temporary and was charged to interest and other income, net for the year ended December 31, 2008). There is no assurance that future auctions of any auction rate securities in our investment portfolio will succeed. These market risks associated with our investment portfolio may have an adverse effect on our future results of operations, liquidity and financial condition. (See “Part I, Item 1A Risk Factors – </w:t>
      </w:r>
      <w:r>
        <w:rPr>
          <w:rFonts w:ascii="Arial" w:cs="Arial" w:eastAsia="Arial" w:hAnsi="Arial"/>
          <w:sz w:val="18"/>
          <w:szCs w:val="18"/>
          <w:i w:val="1"/>
          <w:iCs w:val="1"/>
          <w:color w:val="auto"/>
        </w:rPr>
        <w:t xml:space="preserve">Our investments in marketable debt securities are subject to risks which may cause losses and affect the liquidity of these investments”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color w:val="auto"/>
        </w:rPr>
        <w:t>“Part I, Item 7 – Management’s Discussion and Analysis of Financial Condition and Results of Operations – Liquidity and Capital Resources”).</w:t>
      </w:r>
    </w:p>
    <w:p>
      <w:pPr>
        <w:spacing w:after="0" w:line="173"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The information required to be furnished in response to this ITEM 8 follows the signature page hereto at pages 73 through 111.</w:t>
      </w:r>
    </w:p>
    <w:p>
      <w:pPr>
        <w:spacing w:after="0" w:line="223" w:lineRule="exact"/>
        <w:rPr>
          <w:sz w:val="20"/>
          <w:szCs w:val="20"/>
          <w:color w:val="auto"/>
        </w:rPr>
      </w:pPr>
    </w:p>
    <w:p>
      <w:pPr>
        <w:jc w:val="both"/>
        <w:ind w:left="1540" w:hanging="1525"/>
        <w:spacing w:after="0" w:line="267" w:lineRule="auto"/>
        <w:tabs>
          <w:tab w:leader="none" w:pos="152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20"/>
          <w:szCs w:val="20"/>
          <w:b w:val="1"/>
          <w:bCs w:val="1"/>
          <w:color w:val="auto"/>
        </w:rPr>
        <w:t>CHANGES IN AND DISAGREEMENTS WITH ACCOUNTANTS ON ACCOUNTING AND FINANCIAL DISCLOSURE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Evaluation of Disclosure Controls and Procedures </w:t>
      </w:r>
      <w:r>
        <w:rPr>
          <w:rFonts w:ascii="Arial" w:cs="Arial" w:eastAsia="Arial" w:hAnsi="Arial"/>
          <w:sz w:val="19"/>
          <w:szCs w:val="19"/>
          <w:color w:val="auto"/>
        </w:rPr>
        <w:t>– Under the supervision and with the participation of the Company’s management,</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Securities Exchange Commission (the “SEC”) and (2) is accumulated and communicated to our management, including its principal executive and principal financial officers as appropriate to allow timely decisions regarding required disclosures.</w:t>
      </w:r>
    </w:p>
    <w:p>
      <w:pPr>
        <w:spacing w:after="0" w:line="19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Management’s Report on Internal Control Over Financial Reporting </w:t>
      </w:r>
      <w:r>
        <w:rPr>
          <w:rFonts w:ascii="Arial" w:cs="Arial" w:eastAsia="Arial" w:hAnsi="Arial"/>
          <w:sz w:val="19"/>
          <w:szCs w:val="19"/>
          <w:color w:val="auto"/>
        </w:rPr>
        <w:t>– Our management is responsible for establishing and maintaining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adequate internal control over financial reporting, as defined in Exchange Act Rules 13a-15(f) and 15d-15(f). Under the supervision and with the participation of our management, including our Chief Executive Officer and Chief Financial Officer, our management conducted an evaluation of the effectiveness of our internal control over financial reporting as of December 31, 2009, based on the framework in </w:t>
      </w:r>
      <w:r>
        <w:rPr>
          <w:rFonts w:ascii="Arial" w:cs="Arial" w:eastAsia="Arial" w:hAnsi="Arial"/>
          <w:sz w:val="19"/>
          <w:szCs w:val="19"/>
          <w:i w:val="1"/>
          <w:iCs w:val="1"/>
          <w:color w:val="auto"/>
        </w:rPr>
        <w:t>Internal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Control – Integrated Framework </w:t>
      </w:r>
      <w:r>
        <w:rPr>
          <w:rFonts w:ascii="Arial" w:cs="Arial" w:eastAsia="Arial" w:hAnsi="Arial"/>
          <w:sz w:val="19"/>
          <w:szCs w:val="19"/>
          <w:color w:val="auto"/>
        </w:rPr>
        <w:t>issued by the Committee of Sponsoring Organizations of the Treadway Commission. Based on our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management’s evaluation under the framework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our management concluded that our internal control over financial reporting was effective as of December 31, 2009.</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internal control over financial reporting as of December 31, 2009, has been audited by Deloitte &amp; Touche LLP, an independent registered public accounting firm, as stated in their attestation report, which is included herein.</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internal control over financial reporting that</w:t>
      </w:r>
      <w:r>
        <w:rPr>
          <w:rFonts w:ascii="Arial" w:cs="Arial" w:eastAsia="Arial" w:hAnsi="Arial"/>
          <w:sz w:val="20"/>
          <w:szCs w:val="20"/>
          <w:i w:val="1"/>
          <w:iCs w:val="1"/>
          <w:color w:val="auto"/>
        </w:rPr>
        <w:t xml:space="preserve"> </w:t>
      </w:r>
      <w:r>
        <w:rPr>
          <w:rFonts w:ascii="Arial" w:cs="Arial" w:eastAsia="Arial" w:hAnsi="Arial"/>
          <w:sz w:val="20"/>
          <w:szCs w:val="20"/>
          <w:color w:val="auto"/>
        </w:rPr>
        <w:t>occurred during the quarter ended December 31, 2009 that have materially affected, or are reasonably likely to materially affect, our internal control over financial reporting.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Hansen Natural Corporation</w:t>
      </w:r>
    </w:p>
    <w:p>
      <w:pPr>
        <w:spacing w:after="0"/>
        <w:rPr>
          <w:sz w:val="20"/>
          <w:szCs w:val="20"/>
          <w:color w:val="auto"/>
        </w:rPr>
      </w:pPr>
      <w:r>
        <w:rPr>
          <w:rFonts w:ascii="Arial" w:cs="Arial" w:eastAsia="Arial" w:hAnsi="Arial"/>
          <w:sz w:val="20"/>
          <w:szCs w:val="20"/>
          <w:color w:val="auto"/>
        </w:rPr>
        <w:t>Corona, California</w:t>
      </w:r>
    </w:p>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We have audited the internal control over financial reporting of Hansen Natural Corporation and subsidiaries (the “Company”) as of December 31, 2009, based on criteria established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w:t>
      </w:r>
    </w:p>
    <w:p>
      <w:pPr>
        <w:sectPr>
          <w:pgSz w:w="11900" w:h="16978" w:orient="portrait"/>
          <w:cols w:equalWidth="0" w:num="1">
            <w:col w:w="11420"/>
          </w:cols>
          <w:pgMar w:left="240" w:top="122" w:right="239" w:bottom="0" w:gutter="0" w:footer="0" w:header="0"/>
        </w:sectPr>
      </w:pPr>
    </w:p>
    <w:bookmarkStart w:id="40" w:name="page41"/>
    <w:bookmarkEnd w:id="40"/>
    <w:p>
      <w:pPr>
        <w:jc w:val="both"/>
        <w:spacing w:after="0" w:line="250" w:lineRule="auto"/>
        <w:rPr>
          <w:sz w:val="20"/>
          <w:szCs w:val="20"/>
          <w:color w:val="auto"/>
        </w:rPr>
      </w:pPr>
      <w:r>
        <w:rPr>
          <w:rFonts w:ascii="Arial" w:cs="Arial" w:eastAsia="Arial" w:hAnsi="Arial"/>
          <w:sz w:val="20"/>
          <w:szCs w:val="20"/>
          <w:color w:val="auto"/>
        </w:rPr>
        <w:t>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In our opinion, the Company maintained, in all material respects, effective internal control over financial reporting as of December 31, 2009, based on the criteria established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issued by the Committee of Sponsoring Organizations of the Treadway Commission.</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also audited, in accordance with the standards of the Public Company Accounting Oversight Board (United States), the consolidated financial statements and financial statement schedule as of and for the year ended December 31, 2009 of the Company and our report dated March 1, 2010 expressed an unqualified opinion on those financial statements and financial statement schedule.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Costa Mesa,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1, 2010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20"/>
          <w:szCs w:val="20"/>
          <w:b w:val="1"/>
          <w:bCs w:val="1"/>
          <w:color w:val="auto"/>
        </w:rPr>
        <w:t>OTHER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III</w:t>
      </w:r>
    </w:p>
    <w:p>
      <w:pPr>
        <w:spacing w:after="0" w:line="229"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by this item regarding our directors is included under the caption “Proposal One – Election of Directors” in our Proxy Statement for our 2010 Annual Meeting of Stockholders to be filed with the SEC within 120 days after the end of the fiscal year ended December 31, 2009 (the “2010 Proxy Statement”) and is incorporated herein by reference.</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Information concerning compliance with Section 16(a) of the Exchange Act is included under the caption “Section 16(a) Beneficial Ownership Reporting Compliance” in our 2010 Proxy Statement and is incorporated herein by reference.</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Information concerning the Audit Committee and the Audit Committee Financial expert is reported under the caption “Audit Committee; Report of the Audit Committee; Duties and Responsibilities” in our 2010 Proxy Statement and is incorporated herein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Business Conduct and Ethics</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We have adopted a Code of Business Conduct and Ethics that applies to all our directors, officers (including our principal executive officer, principal financial officer, principal accounting officer and controllers) and employees and is available at </w:t>
      </w:r>
      <w:r>
        <w:rPr>
          <w:rFonts w:ascii="Arial" w:cs="Arial" w:eastAsia="Arial" w:hAnsi="Arial"/>
          <w:sz w:val="20"/>
          <w:szCs w:val="20"/>
          <w:u w:val="single" w:color="auto"/>
          <w:color w:val="auto"/>
        </w:rPr>
        <w:t>http://investor.hansens.com/documents.cfm</w:t>
      </w:r>
      <w:r>
        <w:rPr>
          <w:rFonts w:ascii="Arial" w:cs="Arial" w:eastAsia="Arial" w:hAnsi="Arial"/>
          <w:sz w:val="20"/>
          <w:szCs w:val="20"/>
          <w:color w:val="auto"/>
        </w:rPr>
        <w:t>. The Code of Business Conduct and Ethics and any amendment thereto, as well as any waivers that are required to be disclosed by the rules of the SEC or NASDAQ may be obtained at no cost to you by writing or telephoning us at the following address or telephone number: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Hansen Natural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550 Monica Circle, Suite 201</w:t>
      </w:r>
    </w:p>
    <w:p>
      <w:pPr>
        <w:jc w:val="center"/>
        <w:spacing w:after="0"/>
        <w:rPr>
          <w:sz w:val="20"/>
          <w:szCs w:val="20"/>
          <w:color w:val="auto"/>
        </w:rPr>
      </w:pPr>
      <w:r>
        <w:rPr>
          <w:rFonts w:ascii="Arial" w:cs="Arial" w:eastAsia="Arial" w:hAnsi="Arial"/>
          <w:sz w:val="20"/>
          <w:szCs w:val="20"/>
          <w:color w:val="auto"/>
        </w:rPr>
        <w:t>Corona, CA 92880</w:t>
      </w:r>
    </w:p>
    <w:p>
      <w:pPr>
        <w:ind w:left="5580" w:hanging="484"/>
        <w:spacing w:after="0"/>
        <w:tabs>
          <w:tab w:leader="none" w:pos="5580" w:val="left"/>
        </w:tabs>
        <w:numPr>
          <w:ilvl w:val="1"/>
          <w:numId w:val="27"/>
        </w:numPr>
        <w:rPr>
          <w:rFonts w:ascii="Arial" w:cs="Arial" w:eastAsia="Arial" w:hAnsi="Arial"/>
          <w:sz w:val="20"/>
          <w:szCs w:val="20"/>
          <w:color w:val="auto"/>
        </w:rPr>
      </w:pPr>
      <w:r>
        <w:rPr>
          <w:rFonts w:ascii="Arial" w:cs="Arial" w:eastAsia="Arial" w:hAnsi="Arial"/>
          <w:sz w:val="20"/>
          <w:szCs w:val="20"/>
          <w:color w:val="auto"/>
        </w:rPr>
        <w:t>739-6200</w:t>
      </w:r>
    </w:p>
    <w:p>
      <w:pPr>
        <w:ind w:left="5500" w:hanging="482"/>
        <w:spacing w:after="0"/>
        <w:tabs>
          <w:tab w:leader="none" w:pos="55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HANSENS</w:t>
      </w:r>
    </w:p>
    <w:p>
      <w:pPr>
        <w:ind w:left="5580" w:hanging="484"/>
        <w:spacing w:after="0"/>
        <w:tabs>
          <w:tab w:leader="none" w:pos="5580" w:val="left"/>
        </w:tabs>
        <w:numPr>
          <w:ilvl w:val="1"/>
          <w:numId w:val="28"/>
        </w:numPr>
        <w:rPr>
          <w:rFonts w:ascii="Arial" w:cs="Arial" w:eastAsia="Arial" w:hAnsi="Arial"/>
          <w:sz w:val="20"/>
          <w:szCs w:val="20"/>
          <w:color w:val="auto"/>
        </w:rPr>
      </w:pPr>
      <w:r>
        <w:rPr>
          <w:rFonts w:ascii="Arial" w:cs="Arial" w:eastAsia="Arial" w:hAnsi="Arial"/>
          <w:sz w:val="20"/>
          <w:szCs w:val="20"/>
          <w:color w:val="auto"/>
        </w:rPr>
        <w:t>426-7367</w:t>
      </w:r>
    </w:p>
    <w:p>
      <w:pPr>
        <w:spacing w:after="0" w:line="207"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20"/>
          <w:szCs w:val="20"/>
          <w:b w:val="1"/>
          <w:bCs w:val="1"/>
          <w:color w:val="auto"/>
        </w:rPr>
        <w:t>EXECUTIVE COMPENSATION</w:t>
      </w:r>
    </w:p>
    <w:p>
      <w:pPr>
        <w:sectPr>
          <w:pgSz w:w="11900" w:h="16838" w:orient="portrait"/>
          <w:cols w:equalWidth="0" w:num="1">
            <w:col w:w="11420"/>
          </w:cols>
          <w:pgMar w:left="240" w:top="122" w:right="239" w:bottom="0" w:gutter="0" w:footer="0" w:header="0"/>
        </w:sectPr>
      </w:pPr>
    </w:p>
    <w:bookmarkStart w:id="41" w:name="page42"/>
    <w:bookmarkEnd w:id="41"/>
    <w:p>
      <w:pPr>
        <w:jc w:val="both"/>
        <w:ind w:firstLine="648"/>
        <w:spacing w:after="0" w:line="250" w:lineRule="auto"/>
        <w:rPr>
          <w:sz w:val="20"/>
          <w:szCs w:val="20"/>
          <w:color w:val="auto"/>
        </w:rPr>
      </w:pPr>
      <w:r>
        <w:rPr>
          <w:rFonts w:ascii="Arial" w:cs="Arial" w:eastAsia="Arial" w:hAnsi="Arial"/>
          <w:sz w:val="20"/>
          <w:szCs w:val="20"/>
          <w:color w:val="auto"/>
        </w:rPr>
        <w:t>Information concerning the compensation of our directors and executive officers and Compensation Committee Interlocks and Insider Participation is reported under the captions “Compensation Discussion and Analysis,” and “Compensation Committee,” respectively, in our 2010 Proxy Statement and is incorporated herein by reference.</w:t>
      </w:r>
    </w:p>
    <w:p>
      <w:pPr>
        <w:spacing w:after="0" w:line="195" w:lineRule="exact"/>
        <w:rPr>
          <w:sz w:val="20"/>
          <w:szCs w:val="20"/>
          <w:color w:val="auto"/>
        </w:rPr>
      </w:pPr>
    </w:p>
    <w:p>
      <w:pPr>
        <w:ind w:right="920"/>
        <w:spacing w:after="0" w:line="267"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disclosure set forth in Item 5, “Market for the Registrant’s Common Equity, Related Stockholder Matters and Issuer Repurchases of Equity Securities”, of this report is incorporated herein.</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Information concerning the beneficial ownership of the Company’s Common Stock of (a) those persons known to the Company to be the beneficial owners of more than 5% of the Company’s common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stock; (b) each of the Company’s directors and nominees for director; and (c) the Company’s executive officers and all of the Company’s current directors and executive officers as a group is reported under the caption “Principal Stockholders and Security Ownership of Management” in our 2010 Proxy Statement and is incorporated herein by reference.</w:t>
      </w:r>
    </w:p>
    <w:p>
      <w:pPr>
        <w:spacing w:after="0" w:line="194"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 AND DIRECTOR INDEPENDENCE</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Information concerning certain relationships and related transactions is reported under the caption “Certain Relationships and Related Transactions and Director Independence” in our 2010 Proxy Statement and is incorporated herein by reference.</w:t>
      </w:r>
    </w:p>
    <w:p>
      <w:pPr>
        <w:spacing w:after="0" w:line="184"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9"/>
          <w:szCs w:val="19"/>
          <w:b w:val="1"/>
          <w:bCs w:val="1"/>
          <w:color w:val="auto"/>
        </w:rPr>
        <w:t>PRINCIPAL ACCOUNTANT FEES AND SERVICES</w:t>
      </w:r>
    </w:p>
    <w:p>
      <w:pPr>
        <w:spacing w:after="0" w:line="23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Information concerning our accountant fees and our Audit Committee’s pre-approval of audit and permissible non-audit services of independent auditors is reported under the captions “Principal Accounting Firm Fees” and “Pre-Approval of Audit and Non-Audit Services,” respectively, in our 2010 Proxy Statement and is incorporated herein by reference.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80" w:type="dxa"/>
            <w:vAlign w:val="bottom"/>
          </w:tcPr>
          <w:p>
            <w:pPr>
              <w:spacing w:after="0"/>
              <w:rPr>
                <w:sz w:val="20"/>
                <w:szCs w:val="20"/>
                <w:color w:val="auto"/>
              </w:rPr>
            </w:pPr>
            <w:r>
              <w:rPr>
                <w:rFonts w:ascii="Arial" w:cs="Arial" w:eastAsia="Arial" w:hAnsi="Arial"/>
                <w:sz w:val="20"/>
                <w:szCs w:val="20"/>
                <w:b w:val="1"/>
                <w:bCs w:val="1"/>
                <w:color w:val="auto"/>
              </w:rPr>
              <w:t>PART IV</w:t>
            </w:r>
          </w:p>
        </w:tc>
        <w:tc>
          <w:tcPr>
            <w:tcW w:w="2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59"/>
        </w:trPr>
        <w:tc>
          <w:tcPr>
            <w:tcW w:w="880" w:type="dxa"/>
            <w:vAlign w:val="bottom"/>
          </w:tcPr>
          <w:p>
            <w:pPr>
              <w:spacing w:after="0"/>
              <w:rPr>
                <w:sz w:val="20"/>
                <w:szCs w:val="20"/>
                <w:color w:val="auto"/>
              </w:rPr>
            </w:pPr>
            <w:r>
              <w:rPr>
                <w:rFonts w:ascii="Arial" w:cs="Arial" w:eastAsia="Arial" w:hAnsi="Arial"/>
                <w:sz w:val="20"/>
                <w:szCs w:val="20"/>
                <w:b w:val="1"/>
                <w:bCs w:val="1"/>
                <w:color w:val="auto"/>
              </w:rPr>
              <w:t>ITEM 15.</w:t>
            </w:r>
          </w:p>
        </w:tc>
        <w:tc>
          <w:tcPr>
            <w:tcW w:w="240" w:type="dxa"/>
            <w:vAlign w:val="bottom"/>
          </w:tcPr>
          <w:p>
            <w:pPr>
              <w:spacing w:after="0"/>
              <w:rPr>
                <w:sz w:val="24"/>
                <w:szCs w:val="24"/>
                <w:color w:val="auto"/>
              </w:rPr>
            </w:pPr>
          </w:p>
        </w:tc>
        <w:tc>
          <w:tcPr>
            <w:tcW w:w="9280" w:type="dxa"/>
            <w:vAlign w:val="bottom"/>
            <w:gridSpan w:val="8"/>
          </w:tcPr>
          <w:p>
            <w:pPr>
              <w:ind w:left="420"/>
              <w:spacing w:after="0"/>
              <w:rPr>
                <w:sz w:val="20"/>
                <w:szCs w:val="20"/>
                <w:color w:val="auto"/>
              </w:rPr>
            </w:pPr>
            <w:r>
              <w:rPr>
                <w:rFonts w:ascii="Arial" w:cs="Arial" w:eastAsia="Arial" w:hAnsi="Arial"/>
                <w:sz w:val="20"/>
                <w:szCs w:val="20"/>
                <w:b w:val="1"/>
                <w:bCs w:val="1"/>
                <w:color w:val="auto"/>
              </w:rPr>
              <w:t>EXHIBITS, FINANCIAL STATEMENT SCHEDULES</w:t>
            </w:r>
          </w:p>
        </w:tc>
        <w:tc>
          <w:tcPr>
            <w:tcW w:w="1020" w:type="dxa"/>
            <w:vAlign w:val="bottom"/>
          </w:tcPr>
          <w:p>
            <w:pPr>
              <w:spacing w:after="0"/>
              <w:rPr>
                <w:sz w:val="24"/>
                <w:szCs w:val="24"/>
                <w:color w:val="auto"/>
              </w:rPr>
            </w:pPr>
          </w:p>
        </w:tc>
      </w:tr>
      <w:tr>
        <w:trPr>
          <w:trHeight w:val="459"/>
        </w:trPr>
        <w:tc>
          <w:tcPr>
            <w:tcW w:w="880" w:type="dxa"/>
            <w:vAlign w:val="bottom"/>
          </w:tcPr>
          <w:p>
            <w:pPr>
              <w:ind w:left="180"/>
              <w:spacing w:after="0"/>
              <w:rPr>
                <w:sz w:val="20"/>
                <w:szCs w:val="20"/>
                <w:color w:val="auto"/>
              </w:rPr>
            </w:pPr>
            <w:r>
              <w:rPr>
                <w:rFonts w:ascii="Arial" w:cs="Arial" w:eastAsia="Arial" w:hAnsi="Arial"/>
                <w:sz w:val="20"/>
                <w:szCs w:val="20"/>
                <w:color w:val="auto"/>
              </w:rPr>
              <w:t>(a)</w:t>
            </w:r>
          </w:p>
        </w:tc>
        <w:tc>
          <w:tcPr>
            <w:tcW w:w="9520" w:type="dxa"/>
            <w:vAlign w:val="bottom"/>
            <w:gridSpan w:val="9"/>
          </w:tcPr>
          <w:p>
            <w:pPr>
              <w:spacing w:after="0"/>
              <w:rPr>
                <w:sz w:val="20"/>
                <w:szCs w:val="20"/>
                <w:color w:val="auto"/>
              </w:rPr>
            </w:pPr>
            <w:r>
              <w:rPr>
                <w:rFonts w:ascii="Arial" w:cs="Arial" w:eastAsia="Arial" w:hAnsi="Arial"/>
                <w:sz w:val="20"/>
                <w:szCs w:val="20"/>
                <w:color w:val="auto"/>
              </w:rPr>
              <w:t>The following documents are filed as a part of this Form 10-K:</w:t>
            </w:r>
          </w:p>
        </w:tc>
        <w:tc>
          <w:tcPr>
            <w:tcW w:w="1020" w:type="dxa"/>
            <w:vAlign w:val="bottom"/>
          </w:tcPr>
          <w:p>
            <w:pPr>
              <w:spacing w:after="0"/>
              <w:rPr>
                <w:sz w:val="24"/>
                <w:szCs w:val="24"/>
                <w:color w:val="auto"/>
              </w:rPr>
            </w:pPr>
          </w:p>
        </w:tc>
      </w:tr>
      <w:tr>
        <w:trPr>
          <w:trHeight w:val="604"/>
        </w:trPr>
        <w:tc>
          <w:tcPr>
            <w:tcW w:w="880" w:type="dxa"/>
            <w:vAlign w:val="bottom"/>
          </w:tcPr>
          <w:p>
            <w:pPr>
              <w:spacing w:after="0"/>
              <w:rPr>
                <w:sz w:val="24"/>
                <w:szCs w:val="24"/>
                <w:color w:val="auto"/>
              </w:rPr>
            </w:pPr>
          </w:p>
        </w:tc>
        <w:tc>
          <w:tcPr>
            <w:tcW w:w="9520" w:type="dxa"/>
            <w:vAlign w:val="bottom"/>
            <w:gridSpan w:val="9"/>
          </w:tcPr>
          <w:p>
            <w:pPr>
              <w:spacing w:after="0"/>
              <w:rPr>
                <w:rFonts w:ascii="Arial" w:cs="Arial" w:eastAsia="Arial" w:hAnsi="Arial"/>
                <w:sz w:val="20"/>
                <w:szCs w:val="20"/>
                <w:color w:val="0000EE"/>
              </w:rPr>
            </w:pPr>
            <w:hyperlink w:anchor="page46">
              <w:r>
                <w:rPr>
                  <w:rFonts w:ascii="Arial" w:cs="Arial" w:eastAsia="Arial" w:hAnsi="Arial"/>
                  <w:sz w:val="20"/>
                  <w:szCs w:val="20"/>
                  <w:color w:val="0000EE"/>
                </w:rPr>
                <w:t>Report of Independent Registered Public Accounting Firm</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673"/>
        </w:trPr>
        <w:tc>
          <w:tcPr>
            <w:tcW w:w="880" w:type="dxa"/>
            <w:vAlign w:val="bottom"/>
          </w:tcPr>
          <w:p>
            <w:pPr>
              <w:spacing w:after="0"/>
              <w:rPr>
                <w:sz w:val="24"/>
                <w:szCs w:val="24"/>
                <w:color w:val="auto"/>
              </w:rPr>
            </w:pPr>
          </w:p>
        </w:tc>
        <w:tc>
          <w:tcPr>
            <w:tcW w:w="4640" w:type="dxa"/>
            <w:vAlign w:val="bottom"/>
            <w:tcBorders>
              <w:top w:val="single" w:sz="8" w:color="0000EE"/>
            </w:tcBorders>
            <w:gridSpan w:val="3"/>
          </w:tcPr>
          <w:p>
            <w:pPr>
              <w:spacing w:after="0"/>
              <w:rPr>
                <w:sz w:val="20"/>
                <w:szCs w:val="20"/>
                <w:color w:val="auto"/>
              </w:rPr>
            </w:pPr>
            <w:r>
              <w:rPr>
                <w:rFonts w:ascii="Arial" w:cs="Arial" w:eastAsia="Arial" w:hAnsi="Arial"/>
                <w:sz w:val="20"/>
                <w:szCs w:val="20"/>
                <w:color w:val="auto"/>
              </w:rPr>
              <w:t>Financial Statements:</w:t>
            </w:r>
          </w:p>
        </w:tc>
        <w:tc>
          <w:tcPr>
            <w:tcW w:w="488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20" w:type="dxa"/>
            <w:vAlign w:val="bottom"/>
            <w:tcBorders>
              <w:bottom w:val="single" w:sz="8" w:color="0000EE"/>
            </w:tcBorders>
            <w:gridSpan w:val="3"/>
          </w:tcPr>
          <w:p>
            <w:pPr>
              <w:spacing w:after="0"/>
              <w:rPr>
                <w:rFonts w:ascii="Arial" w:cs="Arial" w:eastAsia="Arial" w:hAnsi="Arial"/>
                <w:sz w:val="20"/>
                <w:szCs w:val="20"/>
                <w:color w:val="0000EE"/>
                <w:w w:val="87"/>
              </w:rPr>
            </w:pPr>
            <w:hyperlink w:anchor="page46">
              <w:r>
                <w:rPr>
                  <w:rFonts w:ascii="Arial" w:cs="Arial" w:eastAsia="Arial" w:hAnsi="Arial"/>
                  <w:sz w:val="20"/>
                  <w:szCs w:val="20"/>
                  <w:color w:val="0000EE"/>
                  <w:w w:val="87"/>
                </w:rPr>
                <w:t>Consolidated Balance Sheets as of December 31, 2009 and 2008</w:t>
              </w:r>
            </w:hyperlink>
          </w:p>
        </w:tc>
        <w:tc>
          <w:tcPr>
            <w:tcW w:w="4160" w:type="dxa"/>
            <w:vAlign w:val="bottom"/>
            <w:gridSpan w:val="5"/>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04"/>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80" w:type="dxa"/>
            <w:vAlign w:val="bottom"/>
            <w:gridSpan w:val="8"/>
          </w:tcPr>
          <w:p>
            <w:pPr>
              <w:spacing w:after="0"/>
              <w:rPr>
                <w:rFonts w:ascii="Arial" w:cs="Arial" w:eastAsia="Arial" w:hAnsi="Arial"/>
                <w:sz w:val="20"/>
                <w:szCs w:val="20"/>
                <w:color w:val="0000EE"/>
              </w:rPr>
            </w:pPr>
            <w:hyperlink w:anchor="page47">
              <w:r>
                <w:rPr>
                  <w:rFonts w:ascii="Arial" w:cs="Arial" w:eastAsia="Arial" w:hAnsi="Arial"/>
                  <w:sz w:val="20"/>
                  <w:szCs w:val="20"/>
                  <w:color w:val="0000EE"/>
                </w:rPr>
                <w:t>Consolidated Statements of Income for the years ended December 31, 2009, 2008 and 2007</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80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80" w:type="dxa"/>
            <w:vAlign w:val="bottom"/>
            <w:gridSpan w:val="8"/>
          </w:tcPr>
          <w:p>
            <w:pPr>
              <w:spacing w:after="0"/>
              <w:rPr>
                <w:rFonts w:ascii="Arial" w:cs="Arial" w:eastAsia="Arial" w:hAnsi="Arial"/>
                <w:sz w:val="20"/>
                <w:szCs w:val="20"/>
                <w:color w:val="0000EE"/>
                <w:w w:val="98"/>
              </w:rPr>
            </w:pPr>
            <w:hyperlink w:anchor="page48">
              <w:r>
                <w:rPr>
                  <w:rFonts w:ascii="Arial" w:cs="Arial" w:eastAsia="Arial" w:hAnsi="Arial"/>
                  <w:sz w:val="20"/>
                  <w:szCs w:val="20"/>
                  <w:color w:val="0000EE"/>
                  <w:w w:val="98"/>
                </w:rPr>
                <w:t>Consolidated Statements of Stockholders’ Equity for the years ended December 31, 2009, 2008 and 2007</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80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560" w:type="dxa"/>
            <w:vAlign w:val="bottom"/>
            <w:tcBorders>
              <w:bottom w:val="single" w:sz="8" w:color="0000EE"/>
            </w:tcBorders>
            <w:gridSpan w:val="7"/>
          </w:tcPr>
          <w:p>
            <w:pPr>
              <w:spacing w:after="0"/>
              <w:rPr>
                <w:rFonts w:ascii="Arial" w:cs="Arial" w:eastAsia="Arial" w:hAnsi="Arial"/>
                <w:sz w:val="20"/>
                <w:szCs w:val="20"/>
                <w:color w:val="0000EE"/>
                <w:w w:val="88"/>
              </w:rPr>
            </w:pPr>
            <w:hyperlink w:anchor="page48">
              <w:r>
                <w:rPr>
                  <w:rFonts w:ascii="Arial" w:cs="Arial" w:eastAsia="Arial" w:hAnsi="Arial"/>
                  <w:sz w:val="20"/>
                  <w:szCs w:val="20"/>
                  <w:color w:val="0000EE"/>
                  <w:w w:val="88"/>
                </w:rPr>
                <w:t>Consolidated Statements of Comprehensive Income for the years ended December 31, 2009, 2008 and 2007</w:t>
              </w:r>
            </w:hyperlink>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304"/>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0" w:type="dxa"/>
            <w:vAlign w:val="bottom"/>
            <w:tcBorders>
              <w:bottom w:val="single" w:sz="8" w:color="0000EE"/>
            </w:tcBorders>
            <w:gridSpan w:val="5"/>
          </w:tcPr>
          <w:p>
            <w:pPr>
              <w:spacing w:after="0"/>
              <w:rPr>
                <w:rFonts w:ascii="Arial" w:cs="Arial" w:eastAsia="Arial" w:hAnsi="Arial"/>
                <w:sz w:val="20"/>
                <w:szCs w:val="20"/>
                <w:color w:val="0000EE"/>
                <w:w w:val="88"/>
              </w:rPr>
            </w:pPr>
            <w:hyperlink w:anchor="page49">
              <w:r>
                <w:rPr>
                  <w:rFonts w:ascii="Arial" w:cs="Arial" w:eastAsia="Arial" w:hAnsi="Arial"/>
                  <w:sz w:val="20"/>
                  <w:szCs w:val="20"/>
                  <w:color w:val="0000EE"/>
                  <w:w w:val="88"/>
                </w:rPr>
                <w:t>Consolidated Statements of Cash Flows for the years ended December 31, 2009, 2008 and 2007</w:t>
              </w:r>
            </w:hyperlink>
          </w:p>
        </w:tc>
        <w:tc>
          <w:tcPr>
            <w:tcW w:w="1680" w:type="dxa"/>
            <w:vAlign w:val="bottom"/>
            <w:gridSpan w:val="3"/>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304"/>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80" w:type="dxa"/>
            <w:vAlign w:val="bottom"/>
            <w:gridSpan w:val="8"/>
          </w:tcPr>
          <w:p>
            <w:pPr>
              <w:spacing w:after="0"/>
              <w:rPr>
                <w:rFonts w:ascii="Arial" w:cs="Arial" w:eastAsia="Arial" w:hAnsi="Arial"/>
                <w:sz w:val="20"/>
                <w:szCs w:val="20"/>
                <w:color w:val="0000EE"/>
              </w:rPr>
            </w:pPr>
            <w:hyperlink w:anchor="page50">
              <w:r>
                <w:rPr>
                  <w:rFonts w:ascii="Arial" w:cs="Arial" w:eastAsia="Arial" w:hAnsi="Arial"/>
                  <w:sz w:val="20"/>
                  <w:szCs w:val="20"/>
                  <w:color w:val="0000EE"/>
                </w:rPr>
                <w:t>Notes to Consolidated Financial Statements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808"/>
        </w:trPr>
        <w:tc>
          <w:tcPr>
            <w:tcW w:w="880" w:type="dxa"/>
            <w:vAlign w:val="bottom"/>
          </w:tcPr>
          <w:p>
            <w:pPr>
              <w:spacing w:after="0"/>
              <w:rPr>
                <w:sz w:val="24"/>
                <w:szCs w:val="24"/>
                <w:color w:val="auto"/>
              </w:rPr>
            </w:pPr>
          </w:p>
        </w:tc>
        <w:tc>
          <w:tcPr>
            <w:tcW w:w="9520" w:type="dxa"/>
            <w:vAlign w:val="bottom"/>
            <w:gridSpan w:val="9"/>
          </w:tcPr>
          <w:p>
            <w:pPr>
              <w:spacing w:after="0"/>
              <w:rPr>
                <w:sz w:val="20"/>
                <w:szCs w:val="20"/>
                <w:color w:val="auto"/>
              </w:rPr>
            </w:pPr>
            <w:r>
              <w:rPr>
                <w:rFonts w:ascii="Arial" w:cs="Arial" w:eastAsia="Arial" w:hAnsi="Arial"/>
                <w:sz w:val="20"/>
                <w:szCs w:val="20"/>
                <w:color w:val="auto"/>
              </w:rPr>
              <w:t>Financial Statement Schedule:</w:t>
            </w:r>
          </w:p>
        </w:tc>
        <w:tc>
          <w:tcPr>
            <w:tcW w:w="1020" w:type="dxa"/>
            <w:vAlign w:val="bottom"/>
          </w:tcPr>
          <w:p>
            <w:pPr>
              <w:spacing w:after="0"/>
              <w:rPr>
                <w:sz w:val="24"/>
                <w:szCs w:val="24"/>
                <w:color w:val="auto"/>
              </w:rPr>
            </w:pPr>
          </w:p>
        </w:tc>
      </w:tr>
      <w:tr>
        <w:trPr>
          <w:trHeight w:val="280"/>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60" w:type="dxa"/>
            <w:vAlign w:val="bottom"/>
            <w:tcBorders>
              <w:bottom w:val="single" w:sz="8" w:color="0000EE"/>
            </w:tcBorders>
            <w:gridSpan w:val="4"/>
          </w:tcPr>
          <w:p>
            <w:pPr>
              <w:spacing w:after="0"/>
              <w:rPr>
                <w:rFonts w:ascii="Arial" w:cs="Arial" w:eastAsia="Arial" w:hAnsi="Arial"/>
                <w:sz w:val="20"/>
                <w:szCs w:val="20"/>
                <w:color w:val="0000EE"/>
                <w:w w:val="89"/>
              </w:rPr>
            </w:pPr>
            <w:hyperlink w:anchor="page70">
              <w:r>
                <w:rPr>
                  <w:rFonts w:ascii="Arial" w:cs="Arial" w:eastAsia="Arial" w:hAnsi="Arial"/>
                  <w:sz w:val="20"/>
                  <w:szCs w:val="20"/>
                  <w:color w:val="0000EE"/>
                  <w:w w:val="89"/>
                </w:rPr>
                <w:t>Valuation and Qualifying Accounts for the years ended December 31, 2009, 2008 and 2007</w:t>
              </w:r>
            </w:hyperlink>
          </w:p>
        </w:tc>
        <w:tc>
          <w:tcPr>
            <w:tcW w:w="2020" w:type="dxa"/>
            <w:vAlign w:val="bottom"/>
            <w:gridSpan w:val="4"/>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110</w:t>
            </w:r>
          </w:p>
        </w:tc>
      </w:tr>
    </w:tbl>
    <w:p>
      <w:pPr>
        <w:spacing w:after="0" w:line="200" w:lineRule="exact"/>
        <w:rPr>
          <w:sz w:val="20"/>
          <w:szCs w:val="20"/>
          <w:color w:val="auto"/>
        </w:rPr>
      </w:pPr>
    </w:p>
    <w:p>
      <w:pPr>
        <w:spacing w:after="0" w:line="22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Exhibits:</w:t>
      </w:r>
    </w:p>
    <w:p>
      <w:pPr>
        <w:spacing w:after="0" w:line="94" w:lineRule="exact"/>
        <w:rPr>
          <w:sz w:val="20"/>
          <w:szCs w:val="20"/>
          <w:color w:val="auto"/>
        </w:rPr>
      </w:pPr>
    </w:p>
    <w:p>
      <w:pPr>
        <w:ind w:left="1120" w:right="1780"/>
        <w:spacing w:after="0" w:line="260" w:lineRule="auto"/>
        <w:rPr>
          <w:sz w:val="20"/>
          <w:szCs w:val="20"/>
          <w:color w:val="auto"/>
        </w:rPr>
      </w:pPr>
      <w:r>
        <w:rPr>
          <w:rFonts w:ascii="Arial" w:cs="Arial" w:eastAsia="Arial" w:hAnsi="Arial"/>
          <w:sz w:val="20"/>
          <w:szCs w:val="20"/>
          <w:color w:val="auto"/>
        </w:rPr>
        <w:t>The Exhibits listed in the Index of Exhibits, which appears immediately following the signature page and is incorporated herein by reference, as filed as part of this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Pursuant to the requirements of Sections 13 or 15(d) of the Securities Exchange Act of 1934, as amended, the registrant has duly caused this report to be signed on its behalf by the undersigned, thereunto duly authorized.</w:t>
      </w:r>
    </w:p>
    <w:p>
      <w:pPr>
        <w:sectPr>
          <w:pgSz w:w="11900" w:h="16838" w:orient="portrait"/>
          <w:cols w:equalWidth="0" w:num="1">
            <w:col w:w="11420"/>
          </w:cols>
          <w:pgMar w:left="240" w:top="122" w:right="239" w:bottom="0" w:gutter="0" w:footer="0" w:header="0"/>
        </w:sectPr>
      </w:pPr>
    </w:p>
    <w:bookmarkStart w:id="42" w:name="page43"/>
    <w:bookmarkEnd w:id="4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920" w:type="dxa"/>
            <w:vAlign w:val="bottom"/>
            <w:gridSpan w:val="2"/>
          </w:tcPr>
          <w:p>
            <w:pPr>
              <w:spacing w:after="0"/>
              <w:rPr>
                <w:sz w:val="20"/>
                <w:szCs w:val="20"/>
                <w:color w:val="auto"/>
              </w:rPr>
            </w:pPr>
            <w:r>
              <w:rPr>
                <w:rFonts w:ascii="Arial" w:cs="Arial" w:eastAsia="Arial" w:hAnsi="Arial"/>
                <w:sz w:val="20"/>
                <w:szCs w:val="20"/>
                <w:b w:val="1"/>
                <w:bCs w:val="1"/>
                <w:color w:val="auto"/>
              </w:rPr>
              <w:t>HANSEN NATURAL CORPORATION</w:t>
            </w:r>
          </w:p>
        </w:tc>
        <w:tc>
          <w:tcPr>
            <w:tcW w:w="3600" w:type="dxa"/>
            <w:vAlign w:val="bottom"/>
          </w:tcPr>
          <w:p>
            <w:pPr>
              <w:spacing w:after="0"/>
              <w:rPr>
                <w:sz w:val="22"/>
                <w:szCs w:val="22"/>
                <w:color w:val="auto"/>
              </w:rPr>
            </w:pPr>
          </w:p>
        </w:tc>
        <w:tc>
          <w:tcPr>
            <w:tcW w:w="3160" w:type="dxa"/>
            <w:vAlign w:val="bottom"/>
          </w:tcPr>
          <w:p>
            <w:pPr>
              <w:spacing w:after="0"/>
              <w:rPr>
                <w:sz w:val="22"/>
                <w:szCs w:val="22"/>
                <w:color w:val="auto"/>
              </w:rPr>
            </w:pPr>
          </w:p>
        </w:tc>
      </w:tr>
      <w:tr>
        <w:trPr>
          <w:trHeight w:val="415"/>
        </w:trPr>
        <w:tc>
          <w:tcPr>
            <w:tcW w:w="3920" w:type="dxa"/>
            <w:vAlign w:val="bottom"/>
            <w:gridSpan w:val="2"/>
          </w:tcPr>
          <w:p>
            <w:pPr>
              <w:spacing w:after="0"/>
              <w:rPr>
                <w:sz w:val="20"/>
                <w:szCs w:val="20"/>
                <w:color w:val="auto"/>
              </w:rPr>
            </w:pPr>
            <w:r>
              <w:rPr>
                <w:rFonts w:ascii="Arial" w:cs="Arial" w:eastAsia="Arial" w:hAnsi="Arial"/>
                <w:sz w:val="20"/>
                <w:szCs w:val="20"/>
                <w:color w:val="auto"/>
              </w:rPr>
              <w:t>/s/ RODNEY C. SACKS</w:t>
            </w:r>
          </w:p>
        </w:tc>
        <w:tc>
          <w:tcPr>
            <w:tcW w:w="3600" w:type="dxa"/>
            <w:vAlign w:val="bottom"/>
          </w:tcPr>
          <w:p>
            <w:pPr>
              <w:ind w:left="540"/>
              <w:spacing w:after="0"/>
              <w:rPr>
                <w:sz w:val="20"/>
                <w:szCs w:val="20"/>
                <w:color w:val="auto"/>
              </w:rPr>
            </w:pPr>
            <w:r>
              <w:rPr>
                <w:rFonts w:ascii="Arial" w:cs="Arial" w:eastAsia="Arial" w:hAnsi="Arial"/>
                <w:sz w:val="20"/>
                <w:szCs w:val="20"/>
                <w:color w:val="auto"/>
              </w:rPr>
              <w:t>Rodney C. Sacks</w:t>
            </w:r>
          </w:p>
        </w:tc>
        <w:tc>
          <w:tcPr>
            <w:tcW w:w="3160" w:type="dxa"/>
            <w:vAlign w:val="bottom"/>
          </w:tcPr>
          <w:p>
            <w:pPr>
              <w:ind w:left="1260"/>
              <w:spacing w:after="0"/>
              <w:rPr>
                <w:sz w:val="20"/>
                <w:szCs w:val="20"/>
                <w:color w:val="auto"/>
              </w:rPr>
            </w:pPr>
            <w:r>
              <w:rPr>
                <w:rFonts w:ascii="Arial" w:cs="Arial" w:eastAsia="Arial" w:hAnsi="Arial"/>
                <w:sz w:val="20"/>
                <w:szCs w:val="20"/>
                <w:color w:val="auto"/>
                <w:w w:val="97"/>
              </w:rPr>
              <w:t>Date:   March 1, 2010</w:t>
            </w:r>
          </w:p>
        </w:tc>
      </w:tr>
      <w:tr>
        <w:trPr>
          <w:trHeight w:val="254"/>
        </w:trPr>
        <w:tc>
          <w:tcPr>
            <w:tcW w:w="1980" w:type="dxa"/>
            <w:vAlign w:val="bottom"/>
            <w:tcBorders>
              <w:top w:val="single" w:sz="8" w:color="auto"/>
            </w:tcBorders>
          </w:tcPr>
          <w:p>
            <w:pPr>
              <w:spacing w:after="0"/>
              <w:rPr>
                <w:sz w:val="22"/>
                <w:szCs w:val="22"/>
                <w:color w:val="auto"/>
              </w:rPr>
            </w:pPr>
          </w:p>
        </w:tc>
        <w:tc>
          <w:tcPr>
            <w:tcW w:w="1940" w:type="dxa"/>
            <w:vAlign w:val="bottom"/>
          </w:tcPr>
          <w:p>
            <w:pPr>
              <w:spacing w:after="0"/>
              <w:rPr>
                <w:sz w:val="22"/>
                <w:szCs w:val="22"/>
                <w:color w:val="auto"/>
              </w:rPr>
            </w:pPr>
          </w:p>
        </w:tc>
        <w:tc>
          <w:tcPr>
            <w:tcW w:w="3600" w:type="dxa"/>
            <w:vAlign w:val="bottom"/>
          </w:tcPr>
          <w:p>
            <w:pPr>
              <w:ind w:left="540"/>
              <w:spacing w:after="0"/>
              <w:rPr>
                <w:sz w:val="20"/>
                <w:szCs w:val="20"/>
                <w:color w:val="auto"/>
              </w:rPr>
            </w:pPr>
            <w:r>
              <w:rPr>
                <w:rFonts w:ascii="Arial" w:cs="Arial" w:eastAsia="Arial" w:hAnsi="Arial"/>
                <w:sz w:val="20"/>
                <w:szCs w:val="20"/>
                <w:color w:val="auto"/>
              </w:rPr>
              <w:t>Chairman of the Board</w:t>
            </w:r>
          </w:p>
        </w:tc>
        <w:tc>
          <w:tcPr>
            <w:tcW w:w="3160" w:type="dxa"/>
            <w:vAlign w:val="bottom"/>
          </w:tcPr>
          <w:p>
            <w:pPr>
              <w:spacing w:after="0"/>
              <w:rPr>
                <w:sz w:val="22"/>
                <w:szCs w:val="22"/>
                <w:color w:val="auto"/>
              </w:rPr>
            </w:pPr>
          </w:p>
        </w:tc>
      </w:tr>
    </w:tbl>
    <w:p>
      <w:pPr>
        <w:spacing w:after="0" w:line="20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20"/>
                <w:szCs w:val="20"/>
                <w:color w:val="auto"/>
              </w:rPr>
              <w:t>Signature</w:t>
            </w:r>
          </w:p>
        </w:tc>
        <w:tc>
          <w:tcPr>
            <w:tcW w:w="38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20"/>
                <w:szCs w:val="20"/>
                <w:color w:val="auto"/>
              </w:rPr>
              <w:t>Title</w:t>
            </w:r>
          </w:p>
        </w:tc>
        <w:tc>
          <w:tcPr>
            <w:tcW w:w="2620" w:type="dxa"/>
            <w:vAlign w:val="bottom"/>
            <w:gridSpan w:val="3"/>
          </w:tcPr>
          <w:p>
            <w:pPr>
              <w:ind w:left="960"/>
              <w:spacing w:after="0"/>
              <w:rPr>
                <w:sz w:val="20"/>
                <w:szCs w:val="20"/>
                <w:color w:val="auto"/>
              </w:rPr>
            </w:pPr>
            <w:r>
              <w:rPr>
                <w:rFonts w:ascii="Arial" w:cs="Arial" w:eastAsia="Arial" w:hAnsi="Arial"/>
                <w:sz w:val="20"/>
                <w:szCs w:val="20"/>
                <w:color w:val="auto"/>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7"/>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RODNEY C. SACKS</w:t>
            </w:r>
          </w:p>
        </w:tc>
        <w:tc>
          <w:tcPr>
            <w:tcW w:w="38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20"/>
                <w:szCs w:val="20"/>
                <w:color w:val="auto"/>
              </w:rPr>
              <w:t>Chairman of the Board of</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20"/>
                <w:szCs w:val="20"/>
                <w:color w:val="auto"/>
                <w:w w:val="89"/>
              </w:rPr>
              <w:t>March 1, 2010</w:t>
            </w:r>
          </w:p>
        </w:tc>
      </w:tr>
      <w:tr>
        <w:trPr>
          <w:trHeight w:val="199"/>
        </w:trPr>
        <w:tc>
          <w:tcPr>
            <w:tcW w:w="4200" w:type="dxa"/>
            <w:vAlign w:val="bottom"/>
            <w:gridSpan w:val="2"/>
          </w:tcPr>
          <w:p>
            <w:pPr>
              <w:spacing w:after="0" w:line="199" w:lineRule="exact"/>
              <w:rPr>
                <w:sz w:val="20"/>
                <w:szCs w:val="20"/>
                <w:color w:val="auto"/>
              </w:rPr>
            </w:pPr>
            <w:r>
              <w:rPr>
                <w:rFonts w:ascii="Arial" w:cs="Arial" w:eastAsia="Arial" w:hAnsi="Arial"/>
                <w:sz w:val="20"/>
                <w:szCs w:val="20"/>
                <w:color w:val="auto"/>
              </w:rPr>
              <w:t>Rodney C. Sacks</w:t>
            </w:r>
          </w:p>
        </w:tc>
        <w:tc>
          <w:tcPr>
            <w:tcW w:w="380" w:type="dxa"/>
            <w:vAlign w:val="bottom"/>
          </w:tcPr>
          <w:p>
            <w:pPr>
              <w:spacing w:after="0"/>
              <w:rPr>
                <w:sz w:val="17"/>
                <w:szCs w:val="17"/>
                <w:color w:val="auto"/>
              </w:rPr>
            </w:pPr>
          </w:p>
        </w:tc>
        <w:tc>
          <w:tcPr>
            <w:tcW w:w="3360" w:type="dxa"/>
            <w:vAlign w:val="bottom"/>
            <w:gridSpan w:val="2"/>
          </w:tcPr>
          <w:p>
            <w:pPr>
              <w:spacing w:after="0" w:line="199" w:lineRule="exact"/>
              <w:rPr>
                <w:sz w:val="20"/>
                <w:szCs w:val="20"/>
                <w:color w:val="auto"/>
              </w:rPr>
            </w:pPr>
            <w:r>
              <w:rPr>
                <w:rFonts w:ascii="Arial" w:cs="Arial" w:eastAsia="Arial" w:hAnsi="Arial"/>
                <w:sz w:val="20"/>
                <w:szCs w:val="20"/>
                <w:color w:val="auto"/>
              </w:rPr>
              <w:t>Directors and Chief Executive</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7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20"/>
                <w:szCs w:val="20"/>
                <w:color w:val="auto"/>
              </w:rPr>
              <w:t>Officer (principal executive</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0"/>
        </w:trPr>
        <w:tc>
          <w:tcPr>
            <w:tcW w:w="76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60" w:type="dxa"/>
            <w:vAlign w:val="bottom"/>
            <w:gridSpan w:val="2"/>
          </w:tcPr>
          <w:p>
            <w:pPr>
              <w:spacing w:after="0"/>
              <w:rPr>
                <w:sz w:val="20"/>
                <w:szCs w:val="20"/>
                <w:color w:val="auto"/>
              </w:rPr>
            </w:pPr>
            <w:r>
              <w:rPr>
                <w:rFonts w:ascii="Arial" w:cs="Arial" w:eastAsia="Arial" w:hAnsi="Arial"/>
                <w:sz w:val="20"/>
                <w:szCs w:val="20"/>
                <w:color w:val="auto"/>
              </w:rPr>
              <w:t>officer)</w:t>
            </w: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spacing w:after="0" w:line="200" w:lineRule="exact"/>
        <w:rPr>
          <w:sz w:val="20"/>
          <w:szCs w:val="20"/>
          <w:color w:val="auto"/>
        </w:rPr>
      </w:pPr>
    </w:p>
    <w:p>
      <w:pPr>
        <w:sectPr>
          <w:pgSz w:w="11900" w:h="16900" w:orient="portrait"/>
          <w:cols w:equalWidth="0" w:num="1">
            <w:col w:w="11420"/>
          </w:cols>
          <w:pgMar w:left="240" w:top="118" w:right="239" w:bottom="0" w:gutter="0" w:footer="0" w:header="0"/>
        </w:sectPr>
      </w:pPr>
    </w:p>
    <w:p>
      <w:pPr>
        <w:spacing w:after="0" w:line="9" w:lineRule="exact"/>
        <w:rPr>
          <w:sz w:val="20"/>
          <w:szCs w:val="20"/>
          <w:color w:val="auto"/>
        </w:rPr>
      </w:pPr>
    </w:p>
    <w:p>
      <w:pPr>
        <w:ind w:right="1320"/>
        <w:spacing w:after="0" w:line="347" w:lineRule="auto"/>
        <w:rPr>
          <w:sz w:val="20"/>
          <w:szCs w:val="20"/>
          <w:color w:val="auto"/>
        </w:rPr>
      </w:pPr>
      <w:r>
        <w:rPr>
          <w:rFonts w:ascii="Arial" w:cs="Arial" w:eastAsia="Arial" w:hAnsi="Arial"/>
          <w:sz w:val="18"/>
          <w:szCs w:val="18"/>
          <w:color w:val="auto"/>
        </w:rPr>
        <w:t>/s/ HILTON H. SCHLOSBERG Hilton H.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26587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587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/s/ NORMAN C.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6587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Norman C. Epstein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BENJAMIN M. POLK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65874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Benjamin M. Polk</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SYDNEY SELATI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6587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5874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Sydney Selati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HAROLD C. TABER,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65874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5874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Harold C. Taber, Jr.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MARK S. VIDERGAUZ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6587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5874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Mark S. Vidergauz</w:t>
      </w:r>
    </w:p>
    <w:p>
      <w:pPr>
        <w:spacing w:after="0" w:line="20" w:lineRule="exact"/>
        <w:rPr>
          <w:sz w:val="20"/>
          <w:szCs w:val="20"/>
          <w:color w:val="auto"/>
        </w:rPr>
      </w:pPr>
      <w:r>
        <w:rPr>
          <w:sz w:val="20"/>
          <w:szCs w:val="20"/>
          <w:color w:val="auto"/>
        </w:rPr>
        <w:br w:type="column"/>
      </w:r>
    </w:p>
    <w:p>
      <w:pPr>
        <w:spacing w:after="0"/>
        <w:tabs>
          <w:tab w:leader="none" w:pos="4800" w:val="left"/>
        </w:tabs>
        <w:rPr>
          <w:sz w:val="20"/>
          <w:szCs w:val="20"/>
          <w:color w:val="auto"/>
        </w:rPr>
      </w:pPr>
      <w:r>
        <w:rPr>
          <w:rFonts w:ascii="Arial" w:cs="Arial" w:eastAsia="Arial" w:hAnsi="Arial"/>
          <w:sz w:val="20"/>
          <w:szCs w:val="20"/>
          <w:color w:val="auto"/>
        </w:rPr>
        <w:t>Vice Chairman of the Board of</w:t>
      </w:r>
      <w:r>
        <w:rPr>
          <w:sz w:val="20"/>
          <w:szCs w:val="20"/>
          <w:color w:val="auto"/>
        </w:rPr>
        <w:tab/>
      </w:r>
      <w:r>
        <w:rPr>
          <w:rFonts w:ascii="Arial" w:cs="Arial" w:eastAsia="Arial" w:hAnsi="Arial"/>
          <w:sz w:val="18"/>
          <w:szCs w:val="18"/>
          <w:color w:val="auto"/>
        </w:rPr>
        <w:t>March 1, 2010</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Directors, President, Chief</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Operating Officer, Chief</w:t>
      </w:r>
    </w:p>
    <w:p>
      <w:pPr>
        <w:spacing w:after="0"/>
        <w:rPr>
          <w:sz w:val="20"/>
          <w:szCs w:val="20"/>
          <w:color w:val="auto"/>
        </w:rPr>
      </w:pPr>
      <w:r>
        <w:rPr>
          <w:rFonts w:ascii="Arial" w:cs="Arial" w:eastAsia="Arial" w:hAnsi="Arial"/>
          <w:sz w:val="20"/>
          <w:szCs w:val="20"/>
          <w:color w:val="auto"/>
        </w:rPr>
        <w:t>Financial Officer and Secretary</w:t>
      </w:r>
    </w:p>
    <w:p>
      <w:pPr>
        <w:spacing w:after="0"/>
        <w:rPr>
          <w:sz w:val="20"/>
          <w:szCs w:val="20"/>
          <w:color w:val="auto"/>
        </w:rPr>
      </w:pPr>
      <w:r>
        <w:rPr>
          <w:rFonts w:ascii="Arial" w:cs="Arial" w:eastAsia="Arial" w:hAnsi="Arial"/>
          <w:sz w:val="20"/>
          <w:szCs w:val="20"/>
          <w:color w:val="auto"/>
        </w:rPr>
        <w:t>(principal financial officer,</w:t>
      </w:r>
    </w:p>
    <w:p>
      <w:pPr>
        <w:spacing w:after="0"/>
        <w:rPr>
          <w:sz w:val="20"/>
          <w:szCs w:val="20"/>
          <w:color w:val="auto"/>
        </w:rPr>
      </w:pPr>
      <w:r>
        <w:rPr>
          <w:rFonts w:ascii="Arial" w:cs="Arial" w:eastAsia="Arial" w:hAnsi="Arial"/>
          <w:sz w:val="20"/>
          <w:szCs w:val="20"/>
          <w:color w:val="auto"/>
        </w:rPr>
        <w:t>controller and principal</w:t>
      </w:r>
    </w:p>
    <w:p>
      <w:pPr>
        <w:spacing w:after="0"/>
        <w:rPr>
          <w:sz w:val="20"/>
          <w:szCs w:val="20"/>
          <w:color w:val="auto"/>
        </w:rPr>
      </w:pPr>
      <w:r>
        <w:rPr>
          <w:rFonts w:ascii="Arial" w:cs="Arial" w:eastAsia="Arial" w:hAnsi="Arial"/>
          <w:sz w:val="20"/>
          <w:szCs w:val="20"/>
          <w:color w:val="auto"/>
        </w:rPr>
        <w:t>accounting officer)</w:t>
      </w:r>
    </w:p>
    <w:p>
      <w:pPr>
        <w:spacing w:after="0" w:line="213"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March 1, 2010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March 1, 2010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March 1, 2010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March 1, 2010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March 1, 2010</w:t>
      </w:r>
    </w:p>
    <w:p>
      <w:pPr>
        <w:spacing w:after="0" w:line="200" w:lineRule="exact"/>
        <w:rPr>
          <w:sz w:val="20"/>
          <w:szCs w:val="20"/>
          <w:color w:val="auto"/>
        </w:rPr>
      </w:pPr>
    </w:p>
    <w:p>
      <w:pPr>
        <w:spacing w:after="0" w:line="31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84455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860" w:space="720"/>
            <w:col w:w="6840"/>
          </w:cols>
          <w:pgMar w:left="240" w:top="118" w:right="239" w:bottom="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EXHIBITS</w:t>
      </w:r>
    </w:p>
    <w:p>
      <w:pPr>
        <w:spacing w:after="0" w:line="2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The following designated exhibits, as indicated below, are either filed or furnished, as applicable herewith or have heretofore been filed or furnished with the Securities and Exchange Commission under the Securities Act of 1933, as amended, or the Securities Exchange Act of 1934, as amended, as indicated by footnote.</w:t>
      </w:r>
    </w:p>
    <w:tbl>
      <w:tblPr>
        <w:tblLayout w:type="fixed"/>
        <w:tblInd w:w="10" w:type="dxa"/>
        <w:tblCellMar>
          <w:top w:w="0" w:type="dxa"/>
          <w:left w:w="0" w:type="dxa"/>
          <w:bottom w:w="0" w:type="dxa"/>
          <w:right w:w="0" w:type="dxa"/>
        </w:tblCellMar>
      </w:tblPr>
      <w:tr>
        <w:trPr>
          <w:trHeight w:val="216"/>
        </w:trPr>
        <w:tc>
          <w:tcPr>
            <w:tcW w:w="13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0120" w:type="dxa"/>
            <w:vAlign w:val="bottom"/>
            <w:tcBorders>
              <w:top w:val="single" w:sz="8" w:color="auto"/>
              <w:bottom w:val="single" w:sz="8" w:color="auto"/>
              <w:right w:val="single" w:sz="8" w:color="auto"/>
            </w:tcBorders>
          </w:tcPr>
          <w:p>
            <w:pPr>
              <w:spacing w:after="0"/>
              <w:rPr>
                <w:sz w:val="18"/>
                <w:szCs w:val="18"/>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3.1*</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1"/>
              </w:rPr>
              <w:t>Certificate of Incorporation of Unipac Corporation (previously filed as an exhibit to our Registration Statement on Form S-3,</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File No. 33-35796)</w:t>
            </w: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3.2</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3"/>
              </w:rPr>
              <w:t>Certificate of Amendment of Certificate of Incorporation of Unipac Corporation (previously filed as an exhibit to our Proxy</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Statement dated October 21, 1992)</w:t>
            </w: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3.3</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6"/>
              </w:rPr>
              <w:t>Certificate of Amendment of Certificate of Incorporation of Hansen Natural Corporation (incorporated by reference to</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Exhibit A to our Proxy Statement dated April 19, 2006)</w:t>
            </w: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3.4</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2"/>
              </w:rPr>
              <w:t>Amended and Restated Bylaws of Hansen Natural Corporation (incorporated by reference to Exhibit 3.1 to our Form 10-Q</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dated November 9, 2007).</w:t>
            </w: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10.1</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2"/>
              </w:rPr>
              <w:t>Amended and Restated Monster Beverages Off-Premise Distribution Coordination Agreement between Hansen Beverage</w:t>
            </w: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Company and Anheuser-Busch, Incorporated (incorporated by reference to Exhibit 10.01 to our Form 8-K dated August 11,</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2006).</w:t>
            </w: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10.2</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1"/>
              </w:rPr>
              <w:t>On-Premise Distribution Coordination Agreement between Hansen Beverage Company and Anheuser-Busch, Incorporated</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10.1 to our Form 8-K dated February 12, 2007).</w:t>
            </w: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10.3+</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3"/>
              </w:rPr>
              <w:t>Form of Amendment to Stock Option Agreement (relating to the amendment of certain stock option agreements between</w:t>
            </w: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6"/>
              </w:rPr>
              <w:t>Hansen Natural Corporation and its executive officers and directors) (incorporated by reference to Exhibit 10.1 to our</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Form 8-K dated January 8, 2007).</w:t>
            </w: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10.4</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7"/>
              </w:rPr>
              <w:t>Form of Indemnification Agreement (to be provided by Hansen Natural Corporation to its directors) (incorporated by</w:t>
            </w: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reference to Exhibit 10.1 to our Form 8-K dated November 14, 2005).</w:t>
            </w:r>
          </w:p>
        </w:tc>
      </w:tr>
      <w:tr>
        <w:trPr>
          <w:trHeight w:val="172"/>
        </w:trPr>
        <w:tc>
          <w:tcPr>
            <w:tcW w:w="1300" w:type="dxa"/>
            <w:vAlign w:val="bottom"/>
            <w:tcBorders>
              <w:left w:val="single" w:sz="8" w:color="auto"/>
              <w:right w:val="single" w:sz="8" w:color="auto"/>
            </w:tcBorders>
          </w:tcPr>
          <w:p>
            <w:pPr>
              <w:spacing w:after="0"/>
              <w:rPr>
                <w:sz w:val="14"/>
                <w:szCs w:val="14"/>
                <w:color w:val="auto"/>
              </w:rPr>
            </w:pPr>
          </w:p>
        </w:tc>
        <w:tc>
          <w:tcPr>
            <w:tcW w:w="10120" w:type="dxa"/>
            <w:vAlign w:val="bottom"/>
            <w:tcBorders>
              <w:right w:val="single" w:sz="8" w:color="auto"/>
            </w:tcBorders>
          </w:tcPr>
          <w:p>
            <w:pPr>
              <w:spacing w:after="0"/>
              <w:rPr>
                <w:sz w:val="14"/>
                <w:szCs w:val="14"/>
                <w:color w:val="auto"/>
              </w:rPr>
            </w:pPr>
          </w:p>
        </w:tc>
      </w:tr>
    </w:tbl>
    <w:p>
      <w:pPr>
        <w:sectPr>
          <w:pgSz w:w="11900" w:h="16900" w:orient="portrait"/>
          <w:cols w:equalWidth="0" w:num="1">
            <w:col w:w="11420"/>
          </w:cols>
          <w:pgMar w:left="240" w:top="118" w:right="239" w:bottom="0" w:gutter="0" w:footer="0" w:header="0"/>
          <w:type w:val="continuous"/>
        </w:sectPr>
      </w:pPr>
    </w:p>
    <w:bookmarkStart w:id="43" w:name="page44"/>
    <w:bookmarkEnd w:id="43"/>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10.5</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4"/>
              </w:rPr>
              <w:t>Amended and Restated Allied Products Distribution Coordination Agreement between Hansen Beverage Company and</w:t>
            </w:r>
          </w:p>
        </w:tc>
        <w:tc>
          <w:tcPr>
            <w:tcW w:w="40" w:type="dxa"/>
            <w:vAlign w:val="bottom"/>
          </w:tcPr>
          <w:p>
            <w:pPr>
              <w:spacing w:after="0"/>
              <w:rPr>
                <w:sz w:val="19"/>
                <w:szCs w:val="19"/>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8"/>
              </w:rPr>
              <w:t>Anheuser-Busch, Incorporated (incorporated by reference to Exhibit 10.2 to our Form 8-K dated August 11, 2006).</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10.6+</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8"/>
              </w:rPr>
              <w:t>Employment Agreement between Hansen Natural Corporation and Rodney C. Sacks (incorporated by reference to</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Exhibit 10.1 to our Form 8-K dated March 11, 2009).</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10.7+</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5"/>
              </w:rPr>
              <w:t>Employment Agreement between Hansen Natural Corporation and Hilton H. Schlosberg (incorporated by reference to</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Exhibit 10.2 to our Form 8-K dated March 11, 2009).</w:t>
            </w:r>
          </w:p>
        </w:tc>
        <w:tc>
          <w:tcPr>
            <w:tcW w:w="40" w:type="dxa"/>
            <w:vAlign w:val="bottom"/>
          </w:tcPr>
          <w:p>
            <w:pPr>
              <w:spacing w:after="0"/>
              <w:rPr>
                <w:sz w:val="21"/>
                <w:szCs w:val="21"/>
                <w:color w:val="auto"/>
              </w:rPr>
            </w:pPr>
          </w:p>
        </w:tc>
      </w:tr>
      <w:tr>
        <w:trPr>
          <w:trHeight w:val="223"/>
        </w:trPr>
        <w:tc>
          <w:tcPr>
            <w:tcW w:w="130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Arial" w:cs="Arial" w:eastAsia="Arial" w:hAnsi="Arial"/>
                <w:sz w:val="20"/>
                <w:szCs w:val="20"/>
                <w:color w:val="auto"/>
              </w:rPr>
              <w:t>10.8*+</w:t>
            </w:r>
          </w:p>
        </w:tc>
        <w:tc>
          <w:tcPr>
            <w:tcW w:w="10120" w:type="dxa"/>
            <w:vAlign w:val="bottom"/>
            <w:tcBorders>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w w:val="99"/>
              </w:rPr>
              <w:t>Employment Agreement between Hansen Natural Corporation and Nick R. Gagliardi (made as of June 29, 2009).</w:t>
            </w:r>
          </w:p>
        </w:tc>
        <w:tc>
          <w:tcPr>
            <w:tcW w:w="40" w:type="dxa"/>
            <w:vAlign w:val="bottom"/>
          </w:tcPr>
          <w:p>
            <w:pPr>
              <w:spacing w:after="0"/>
              <w:rPr>
                <w:sz w:val="19"/>
                <w:szCs w:val="19"/>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10.9+</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9"/>
              </w:rPr>
              <w:t>Stock Option Agreement between Hansen Natural Corporation and Rodney C. Sacks (made as of May 28, 2003)</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10.21 to our Form 10-K dated March 30, 2004).</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10.10+</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7"/>
              </w:rPr>
              <w:t>Stock Option Agreement between Hansen Natural Corporation and Hilton H. Schlosberg (made as of May 28, 2003)</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10.22 to our Form 10-K dated March 30, 2004).</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10.11+</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0"/>
              </w:rPr>
              <w:t>Stock Option Agreement between Hansen Natural Corporation and Mark J. Hall (made as of January 15, 2004) (incorporated</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by reference to Exhibit 10.23 to our Form 10-K dated March 16, 2005).</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10.12+</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7"/>
              </w:rPr>
              <w:t>Stock Option Agreement between Hansen Natural Corporation and Thomas J. Kelly (made as of January 15, 2004)</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10.26 to our Form 10-K dated March 16, 2005).</w:t>
            </w:r>
          </w:p>
        </w:tc>
        <w:tc>
          <w:tcPr>
            <w:tcW w:w="40" w:type="dxa"/>
            <w:vAlign w:val="bottom"/>
          </w:tcPr>
          <w:p>
            <w:pPr>
              <w:spacing w:after="0"/>
              <w:rPr>
                <w:sz w:val="21"/>
                <w:szCs w:val="21"/>
                <w:color w:val="auto"/>
              </w:rPr>
            </w:pPr>
          </w:p>
        </w:tc>
      </w:tr>
      <w:tr>
        <w:trPr>
          <w:trHeight w:val="223"/>
        </w:trPr>
        <w:tc>
          <w:tcPr>
            <w:tcW w:w="130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Arial" w:cs="Arial" w:eastAsia="Arial" w:hAnsi="Arial"/>
                <w:sz w:val="20"/>
                <w:szCs w:val="20"/>
                <w:color w:val="auto"/>
              </w:rPr>
              <w:t>10.13</w:t>
            </w:r>
          </w:p>
        </w:tc>
        <w:tc>
          <w:tcPr>
            <w:tcW w:w="10120" w:type="dxa"/>
            <w:vAlign w:val="bottom"/>
            <w:tcBorders>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Contract Manufacturing and Packaging Agreement between Hansen Beverage Company</w:t>
            </w:r>
          </w:p>
        </w:tc>
        <w:tc>
          <w:tcPr>
            <w:tcW w:w="40" w:type="dxa"/>
            <w:vAlign w:val="bottom"/>
          </w:tcPr>
          <w:p>
            <w:pPr>
              <w:spacing w:after="0"/>
              <w:rPr>
                <w:sz w:val="19"/>
                <w:szCs w:val="19"/>
                <w:color w:val="auto"/>
              </w:rPr>
            </w:pPr>
          </w:p>
        </w:tc>
      </w:tr>
      <w:tr>
        <w:trPr>
          <w:trHeight w:val="406"/>
        </w:trPr>
        <w:tc>
          <w:tcPr>
            <w:tcW w:w="1300" w:type="dxa"/>
            <w:vAlign w:val="bottom"/>
          </w:tcPr>
          <w:p>
            <w:pPr>
              <w:spacing w:after="0"/>
              <w:rPr>
                <w:sz w:val="24"/>
                <w:szCs w:val="24"/>
                <w:color w:val="auto"/>
              </w:rPr>
            </w:pPr>
          </w:p>
        </w:tc>
        <w:tc>
          <w:tcPr>
            <w:tcW w:w="10120" w:type="dxa"/>
            <w:vAlign w:val="bottom"/>
          </w:tcPr>
          <w:p>
            <w:pPr>
              <w:ind w:left="4340"/>
              <w:spacing w:after="0"/>
              <w:rPr>
                <w:sz w:val="20"/>
                <w:szCs w:val="20"/>
                <w:color w:val="auto"/>
              </w:rPr>
            </w:pPr>
            <w:r>
              <w:rPr>
                <w:rFonts w:ascii="Arial" w:cs="Arial" w:eastAsia="Arial" w:hAnsi="Arial"/>
                <w:sz w:val="16"/>
                <w:szCs w:val="16"/>
                <w:color w:val="auto"/>
              </w:rPr>
              <w:t>67</w:t>
            </w:r>
          </w:p>
        </w:tc>
        <w:tc>
          <w:tcPr>
            <w:tcW w:w="40" w:type="dxa"/>
            <w:vAlign w:val="bottom"/>
          </w:tcPr>
          <w:p>
            <w:pPr>
              <w:spacing w:after="0"/>
              <w:rPr>
                <w:sz w:val="24"/>
                <w:szCs w:val="24"/>
                <w:color w:val="auto"/>
              </w:rPr>
            </w:pPr>
          </w:p>
        </w:tc>
      </w:tr>
      <w:tr>
        <w:trPr>
          <w:trHeight w:val="138"/>
        </w:trPr>
        <w:tc>
          <w:tcPr>
            <w:tcW w:w="1300" w:type="dxa"/>
            <w:vAlign w:val="bottom"/>
            <w:tcBorders>
              <w:bottom w:val="single" w:sz="8" w:color="010101"/>
            </w:tcBorders>
          </w:tcPr>
          <w:p>
            <w:pPr>
              <w:spacing w:after="0"/>
              <w:rPr>
                <w:sz w:val="11"/>
                <w:szCs w:val="11"/>
                <w:color w:val="auto"/>
              </w:rPr>
            </w:pPr>
          </w:p>
        </w:tc>
        <w:tc>
          <w:tcPr>
            <w:tcW w:w="10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64"/>
        </w:trPr>
        <w:tc>
          <w:tcPr>
            <w:tcW w:w="130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10120" w:type="dxa"/>
            <w:vAlign w:val="bottom"/>
            <w:tcBorders>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w w:val="96"/>
              </w:rPr>
              <w:t>and Nor-Cal Beverage Co., Inc. (incorporated by reference to Exhibit 10.28 to our Form 10-K dated March 16, 2005).</w:t>
            </w:r>
          </w:p>
        </w:tc>
        <w:tc>
          <w:tcPr>
            <w:tcW w:w="40" w:type="dxa"/>
            <w:vAlign w:val="bottom"/>
          </w:tcPr>
          <w:p>
            <w:pPr>
              <w:spacing w:after="0"/>
              <w:rPr>
                <w:sz w:val="19"/>
                <w:szCs w:val="19"/>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10.14</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1"/>
              </w:rPr>
              <w:t>Product Manufacture and Supply Agreement between Hansen Beverage Company and Seven-Up/RC Bottling Company of</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Southern California, Inc. (incorporated by reference to Exhibit 10.29 to our Form 10-K dated March 16, 2005).</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10.15</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0"/>
              </w:rPr>
              <w:t>Manufacturing Contract between Hansen Beverage Company and Pri-Pak, Inc. (incorporated by reference to Exhibit 10.32 to</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our Form 10-K dated March 16, 2005).</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10.16+</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8"/>
              </w:rPr>
              <w:t>Stock Option Agreement between Hansen Natural Corporation and Rodney C. Sacks (made as of March 23, 2005)</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10.36 to our Form 10-K dated March 15, 2006).</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10.17+</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5"/>
              </w:rPr>
              <w:t>Stock Option Agreement between Hansen Natural Corporation and Hilton H. Schlosberg (made as of March 23, 2005)</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10.37 to our Form 10-K dated March 15, 2006).</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10.18+</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1"/>
              </w:rPr>
              <w:t>Stock Option Agreement between Hansen Natural Corporation and Mark J. Hall (made as of March 23, 2005) (incorporated</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by reference to Exhibit 10.38 to our Form 10-K dated March 15, 2006).</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10.19+</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8"/>
              </w:rPr>
              <w:t>Stock Option Agreement between Hansen Natural Corporation and Mark J. Hall (made as of September 28, 2005)</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10.40 to our Form 10-K dated March 15, 2006).</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10.20+</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8"/>
              </w:rPr>
              <w:t>Stock Option Agreement between Hansen Natural Corporation and Harold Taber (made as of November 11, 2005)</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10.42 to our Form 10-K dated March 15, 2006).</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10.21+</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5"/>
              </w:rPr>
              <w:t>Stock Option Agreement between Hansen Natural Corporation and Norman Epstein (made as of November 11, 2005)</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10.43 to our Form 10-K dated March 15, 2006).</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10.22+</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6"/>
              </w:rPr>
              <w:t>Stock Option Agreement between Hansen Natural Corporation and Mark Vidergauz (made as of November 11, 2005)</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10.44 to our Form 10-K dated March 15, 2006).</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10.23+</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7"/>
              </w:rPr>
              <w:t>Stock Option Agreement between Hansen Natural Corporation and Benjamin Polk (made as of November 11, 2005)</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10.45 to our Form 10-K dated March 15, 2006).</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10.24+</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2"/>
              </w:rPr>
              <w:t>Stock Option Agreement between Hansen Natural Corporation and Hilton H. Schlosberg (made as of November 11, 2005)</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10.46 to our Form 10-K dated March 15, 2006).</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10.25+</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4"/>
              </w:rPr>
              <w:t>Stock Option Agreement between Hansen Natural Corporation and Rodney C. Sacks (made as of November 11, 2005)</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10.47 to our Form 10-K dated March 15, 2006).</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10.26+</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9"/>
              </w:rPr>
              <w:t>Stock Option Agreement between Hansen Natural Corporation and Mark J. Hall (made as of November 11, 2005)</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10.48 to our Form 10-K dated March 15, 2006).</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10.27+</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5"/>
              </w:rPr>
              <w:t>Stock Option Agreement between Hansen Natural Corporation and Thomas J. Kelly (made as of November 11, 2005)</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10.50 to our Form 10-K dated March 15, 2006).</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10.28+</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88"/>
              </w:rPr>
              <w:t>Severance and Consulting Agreement by and among Hansen Beverage Company, Hansen Natural Corporation, and Harold C.</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Taber, Jr. (incorporated by reference to Exhibit 10(YY) to our Form 10-Q dated November 12, 1997).</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10.29+</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4"/>
              </w:rPr>
              <w:t>Stock Repurchase Agreement between Hansen Natural Corporation and Rodney C. Sacks (dated as of August 3, 1998)</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(incorporated by reference to Exhibit 10(JJJ) to our Form 10-Q dated August 16, 1999).</w:t>
            </w:r>
          </w:p>
        </w:tc>
        <w:tc>
          <w:tcPr>
            <w:tcW w:w="40" w:type="dxa"/>
            <w:vAlign w:val="bottom"/>
          </w:tcPr>
          <w:p>
            <w:pPr>
              <w:spacing w:after="0"/>
              <w:rPr>
                <w:sz w:val="21"/>
                <w:szCs w:val="21"/>
                <w:color w:val="auto"/>
              </w:rPr>
            </w:pPr>
          </w:p>
        </w:tc>
      </w:tr>
      <w:tr>
        <w:trPr>
          <w:trHeight w:val="223"/>
        </w:trPr>
        <w:tc>
          <w:tcPr>
            <w:tcW w:w="130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Arial" w:cs="Arial" w:eastAsia="Arial" w:hAnsi="Arial"/>
                <w:sz w:val="20"/>
                <w:szCs w:val="20"/>
                <w:color w:val="auto"/>
              </w:rPr>
              <w:t>10.30+</w:t>
            </w:r>
          </w:p>
        </w:tc>
        <w:tc>
          <w:tcPr>
            <w:tcW w:w="10120" w:type="dxa"/>
            <w:vAlign w:val="bottom"/>
            <w:tcBorders>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Stock Repurchase Agreement between Hansen Natural Corporation and Hilton H.</w:t>
            </w:r>
          </w:p>
        </w:tc>
        <w:tc>
          <w:tcPr>
            <w:tcW w:w="40" w:type="dxa"/>
            <w:vAlign w:val="bottom"/>
          </w:tcPr>
          <w:p>
            <w:pPr>
              <w:spacing w:after="0"/>
              <w:rPr>
                <w:sz w:val="19"/>
                <w:szCs w:val="19"/>
                <w:color w:val="auto"/>
              </w:rPr>
            </w:pPr>
          </w:p>
        </w:tc>
      </w:tr>
      <w:tr>
        <w:trPr>
          <w:trHeight w:val="406"/>
        </w:trPr>
        <w:tc>
          <w:tcPr>
            <w:tcW w:w="1300" w:type="dxa"/>
            <w:vAlign w:val="bottom"/>
          </w:tcPr>
          <w:p>
            <w:pPr>
              <w:spacing w:after="0"/>
              <w:rPr>
                <w:sz w:val="24"/>
                <w:szCs w:val="24"/>
                <w:color w:val="auto"/>
              </w:rPr>
            </w:pPr>
          </w:p>
        </w:tc>
        <w:tc>
          <w:tcPr>
            <w:tcW w:w="10120" w:type="dxa"/>
            <w:vAlign w:val="bottom"/>
          </w:tcPr>
          <w:p>
            <w:pPr>
              <w:ind w:left="4340"/>
              <w:spacing w:after="0"/>
              <w:rPr>
                <w:sz w:val="20"/>
                <w:szCs w:val="20"/>
                <w:color w:val="auto"/>
              </w:rPr>
            </w:pPr>
            <w:r>
              <w:rPr>
                <w:rFonts w:ascii="Arial" w:cs="Arial" w:eastAsia="Arial" w:hAnsi="Arial"/>
                <w:sz w:val="16"/>
                <w:szCs w:val="16"/>
                <w:color w:val="auto"/>
              </w:rPr>
              <w:t>68</w:t>
            </w:r>
          </w:p>
        </w:tc>
        <w:tc>
          <w:tcPr>
            <w:tcW w:w="40" w:type="dxa"/>
            <w:vAlign w:val="bottom"/>
          </w:tcPr>
          <w:p>
            <w:pPr>
              <w:spacing w:after="0"/>
              <w:rPr>
                <w:sz w:val="24"/>
                <w:szCs w:val="24"/>
                <w:color w:val="auto"/>
              </w:rPr>
            </w:pPr>
          </w:p>
        </w:tc>
      </w:tr>
      <w:tr>
        <w:trPr>
          <w:trHeight w:val="138"/>
        </w:trPr>
        <w:tc>
          <w:tcPr>
            <w:tcW w:w="1300" w:type="dxa"/>
            <w:vAlign w:val="bottom"/>
            <w:tcBorders>
              <w:bottom w:val="single" w:sz="8" w:color="010101"/>
            </w:tcBorders>
          </w:tcPr>
          <w:p>
            <w:pPr>
              <w:spacing w:after="0"/>
              <w:rPr>
                <w:sz w:val="11"/>
                <w:szCs w:val="11"/>
                <w:color w:val="auto"/>
              </w:rPr>
            </w:pPr>
          </w:p>
        </w:tc>
        <w:tc>
          <w:tcPr>
            <w:tcW w:w="10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64"/>
        </w:trPr>
        <w:tc>
          <w:tcPr>
            <w:tcW w:w="130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1300" w:type="dxa"/>
            <w:vAlign w:val="bottom"/>
            <w:tcBorders>
              <w:left w:val="single" w:sz="8" w:color="auto"/>
              <w:right w:val="single" w:sz="8" w:color="auto"/>
            </w:tcBorders>
          </w:tcPr>
          <w:p>
            <w:pPr>
              <w:spacing w:after="0"/>
              <w:rPr>
                <w:sz w:val="17"/>
                <w:szCs w:val="17"/>
                <w:color w:val="auto"/>
              </w:rPr>
            </w:pP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1"/>
              </w:rPr>
              <w:t>Schlosberg (dated as of August 3, 1998) (incorporated by reference to Exhibit 10(KKK) to our Form 10-Q dated August 16,</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1999).</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10.31+</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87"/>
              </w:rPr>
              <w:t>Settlement Agreement dated as of September 1999 between Hansen Beverage Company and Rodney C. Sacks as sole Trustee</w:t>
            </w:r>
          </w:p>
        </w:tc>
        <w:tc>
          <w:tcPr>
            <w:tcW w:w="40" w:type="dxa"/>
            <w:vAlign w:val="bottom"/>
          </w:tcPr>
          <w:p>
            <w:pPr>
              <w:spacing w:after="0"/>
              <w:rPr>
                <w:sz w:val="17"/>
                <w:szCs w:val="17"/>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6"/>
              </w:rPr>
              <w:t>of the Hansen’s Trust and Hansen Beverage Company, The Fresh Juice Company of California, Inc. (incorporated by</w:t>
            </w:r>
          </w:p>
        </w:tc>
        <w:tc>
          <w:tcPr>
            <w:tcW w:w="40" w:type="dxa"/>
            <w:vAlign w:val="bottom"/>
          </w:tcPr>
          <w:p>
            <w:pPr>
              <w:spacing w:after="0"/>
              <w:rPr>
                <w:sz w:val="19"/>
                <w:szCs w:val="19"/>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reference to Exhibit 10 to our Form 10-Q dated November 15, 1999).</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10.32+</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7"/>
              </w:rPr>
              <w:t>Settlement Agreement September 3, 1999 by and between The Fresh Juice Company of California, Inc., The Fresh</w:t>
            </w:r>
          </w:p>
        </w:tc>
        <w:tc>
          <w:tcPr>
            <w:tcW w:w="40" w:type="dxa"/>
            <w:vAlign w:val="bottom"/>
          </w:tcPr>
          <w:p>
            <w:pPr>
              <w:spacing w:after="0"/>
              <w:rPr>
                <w:sz w:val="17"/>
                <w:szCs w:val="17"/>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Smoothie Company, LLC, Barry Lublin, Hansen’s Juice Creations, LLC, Harvey Laderman and Hansen Beverage Company</w:t>
            </w:r>
          </w:p>
        </w:tc>
        <w:tc>
          <w:tcPr>
            <w:tcW w:w="40" w:type="dxa"/>
            <w:vAlign w:val="bottom"/>
          </w:tcPr>
          <w:p>
            <w:pPr>
              <w:spacing w:after="0"/>
              <w:rPr>
                <w:sz w:val="19"/>
                <w:szCs w:val="19"/>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2"/>
              </w:rPr>
              <w:t>and Rodney C. Sacks, as Trustee of The Hansen’s Trust (incorporated by reference to Exhibit 10 to our Form 10-Q dated</w:t>
            </w:r>
          </w:p>
        </w:tc>
        <w:tc>
          <w:tcPr>
            <w:tcW w:w="40" w:type="dxa"/>
            <w:vAlign w:val="bottom"/>
          </w:tcPr>
          <w:p>
            <w:pPr>
              <w:spacing w:after="0"/>
              <w:rPr>
                <w:sz w:val="19"/>
                <w:szCs w:val="19"/>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November 15, 1999).</w:t>
            </w:r>
          </w:p>
        </w:tc>
        <w:tc>
          <w:tcPr>
            <w:tcW w:w="40" w:type="dxa"/>
            <w:vAlign w:val="bottom"/>
          </w:tcPr>
          <w:p>
            <w:pPr>
              <w:spacing w:after="0"/>
              <w:rPr>
                <w:sz w:val="21"/>
                <w:szCs w:val="21"/>
                <w:color w:val="auto"/>
              </w:rPr>
            </w:pPr>
          </w:p>
        </w:tc>
      </w:tr>
      <w:tr>
        <w:trPr>
          <w:trHeight w:val="244"/>
        </w:trPr>
        <w:tc>
          <w:tcPr>
            <w:tcW w:w="1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10.33</w:t>
            </w: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2"/>
              </w:rPr>
              <w:t>Single Tenant Industrial Lease, made and entered into as of October 13, 2006 by and between Watson Land Company, a</w:t>
            </w:r>
          </w:p>
        </w:tc>
        <w:tc>
          <w:tcPr>
            <w:tcW w:w="40" w:type="dxa"/>
            <w:vAlign w:val="bottom"/>
          </w:tcPr>
          <w:p>
            <w:pPr>
              <w:spacing w:after="0"/>
              <w:rPr>
                <w:sz w:val="21"/>
                <w:szCs w:val="21"/>
                <w:color w:val="auto"/>
              </w:rPr>
            </w:pPr>
          </w:p>
        </w:tc>
      </w:tr>
      <w:tr>
        <w:trPr>
          <w:trHeight w:val="63"/>
        </w:trPr>
        <w:tc>
          <w:tcPr>
            <w:tcW w:w="1300" w:type="dxa"/>
            <w:vAlign w:val="bottom"/>
            <w:tcBorders>
              <w:left w:val="single" w:sz="8" w:color="auto"/>
              <w:right w:val="single" w:sz="8" w:color="auto"/>
            </w:tcBorders>
          </w:tcPr>
          <w:p>
            <w:pPr>
              <w:spacing w:after="0"/>
              <w:rPr>
                <w:sz w:val="5"/>
                <w:szCs w:val="5"/>
                <w:color w:val="auto"/>
              </w:rPr>
            </w:pPr>
          </w:p>
        </w:tc>
        <w:tc>
          <w:tcPr>
            <w:tcW w:w="10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-7772400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-7772400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-1932305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-1932305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2" w:right="199" w:bottom="0" w:gutter="0" w:footer="0" w:header="0"/>
        </w:sectPr>
      </w:pPr>
    </w:p>
    <w:bookmarkStart w:id="44" w:name="page45"/>
    <w:bookmarkEnd w:id="44"/>
    <w:tbl>
      <w:tblPr>
        <w:tblLayout w:type="fixed"/>
        <w:tblInd w:w="10" w:type="dxa"/>
        <w:tblCellMar>
          <w:top w:w="0" w:type="dxa"/>
          <w:left w:w="0" w:type="dxa"/>
          <w:bottom w:w="0" w:type="dxa"/>
          <w:right w:w="0" w:type="dxa"/>
        </w:tblCellMar>
      </w:tblP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California Corporation, and Hansen Beverage Company, a Delaware Corporation (incorporated by reference to exhibit 10 to</w:t>
            </w:r>
          </w:p>
        </w:tc>
        <w:tc>
          <w:tcPr>
            <w:tcW w:w="40" w:type="dxa"/>
            <w:vAlign w:val="bottom"/>
          </w:tcPr>
          <w:p>
            <w:pPr>
              <w:spacing w:after="0"/>
              <w:rPr>
                <w:sz w:val="19"/>
                <w:szCs w:val="19"/>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our Form 10-K dated June 6, 2007).</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10.34+</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1"/>
              </w:rPr>
              <w:t>Hansen Natural Corporation 2001 Amended and Restated Stock Option Plan (incorporated by reference to Exhibit A to our</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Proxy Statement dated September 25, 2007).</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10.35</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8"/>
              </w:rPr>
              <w:t>Business Loan Agreement between Hansen Beverage Company and Comerica Bank (incorporated by reference to</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Exhibit 10.1 to our Form 10-Q dated August 9, 2007).</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10.36</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3"/>
              </w:rPr>
              <w:t>Letter Agreement between Anheuser-Busch, Inc. and Hansen Beverage Company, dated March 6, 2007, amending and</w:t>
            </w:r>
          </w:p>
        </w:tc>
        <w:tc>
          <w:tcPr>
            <w:tcW w:w="40" w:type="dxa"/>
            <w:vAlign w:val="bottom"/>
          </w:tcPr>
          <w:p>
            <w:pPr>
              <w:spacing w:after="0"/>
              <w:rPr>
                <w:sz w:val="17"/>
                <w:szCs w:val="17"/>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clarifying certain terms of the Amended and Restated Allied Products Distribution Coordination Agreement between Hansen</w:t>
            </w:r>
          </w:p>
        </w:tc>
        <w:tc>
          <w:tcPr>
            <w:tcW w:w="40" w:type="dxa"/>
            <w:vAlign w:val="bottom"/>
          </w:tcPr>
          <w:p>
            <w:pPr>
              <w:spacing w:after="0"/>
              <w:rPr>
                <w:sz w:val="19"/>
                <w:szCs w:val="19"/>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2"/>
              </w:rPr>
              <w:t>Beverage Company and Anheuser-Busch (incorporated by reference to exhibit 10.62 to our Form 10-K dated February 29,</w:t>
            </w:r>
          </w:p>
        </w:tc>
        <w:tc>
          <w:tcPr>
            <w:tcW w:w="40" w:type="dxa"/>
            <w:vAlign w:val="bottom"/>
          </w:tcPr>
          <w:p>
            <w:pPr>
              <w:spacing w:after="0"/>
              <w:rPr>
                <w:sz w:val="19"/>
                <w:szCs w:val="19"/>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2008).</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10.37</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3"/>
              </w:rPr>
              <w:t>Letter Agreement between Anheuser-Busch, Inc. and Hansen Beverage Company, dated March 6, 2007, amending and</w:t>
            </w:r>
          </w:p>
        </w:tc>
        <w:tc>
          <w:tcPr>
            <w:tcW w:w="40" w:type="dxa"/>
            <w:vAlign w:val="bottom"/>
          </w:tcPr>
          <w:p>
            <w:pPr>
              <w:spacing w:after="0"/>
              <w:rPr>
                <w:sz w:val="17"/>
                <w:szCs w:val="17"/>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1"/>
              </w:rPr>
              <w:t>clarifying certain terms of the Amended and Restated Monster Beverages Off-Premise Distribution Coordination Agreement</w:t>
            </w:r>
          </w:p>
        </w:tc>
        <w:tc>
          <w:tcPr>
            <w:tcW w:w="40" w:type="dxa"/>
            <w:vAlign w:val="bottom"/>
          </w:tcPr>
          <w:p>
            <w:pPr>
              <w:spacing w:after="0"/>
              <w:rPr>
                <w:sz w:val="19"/>
                <w:szCs w:val="19"/>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3"/>
              </w:rPr>
              <w:t>between Hansen Beverage Company and Anheuser-Busch (incorporated by reference to exhibit 10.63 to our Form 10-K</w:t>
            </w:r>
          </w:p>
        </w:tc>
        <w:tc>
          <w:tcPr>
            <w:tcW w:w="40" w:type="dxa"/>
            <w:vAlign w:val="bottom"/>
          </w:tcPr>
          <w:p>
            <w:pPr>
              <w:spacing w:after="0"/>
              <w:rPr>
                <w:sz w:val="19"/>
                <w:szCs w:val="19"/>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dated February 29, 2008).</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10.38</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0"/>
              </w:rPr>
              <w:t>Monster Energy Distribution Coordination Agreement, dated October 3, 2008, between Hansen Beverage Company and The</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Coca Cola Company (incorporated by reference to exhibit 10.1 to our Form 10-Q dated November 10, 2008).</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10.39</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0"/>
              </w:rPr>
              <w:t>Monster Energy International Distribution Coordination Agreement, dated October 3, 2008, between Tauranga Ltd, trading as</w:t>
            </w:r>
          </w:p>
        </w:tc>
        <w:tc>
          <w:tcPr>
            <w:tcW w:w="40" w:type="dxa"/>
            <w:vAlign w:val="bottom"/>
          </w:tcPr>
          <w:p>
            <w:pPr>
              <w:spacing w:after="0"/>
              <w:rPr>
                <w:sz w:val="17"/>
                <w:szCs w:val="17"/>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8"/>
              </w:rPr>
              <w:t>Monster Energy, and Coca-Cola Enterprises Inc. (incorporated by reference to exhibit 10.2 to our Form 10-Q dated</w:t>
            </w:r>
          </w:p>
        </w:tc>
        <w:tc>
          <w:tcPr>
            <w:tcW w:w="40" w:type="dxa"/>
            <w:vAlign w:val="bottom"/>
          </w:tcPr>
          <w:p>
            <w:pPr>
              <w:spacing w:after="0"/>
              <w:rPr>
                <w:sz w:val="19"/>
                <w:szCs w:val="19"/>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November 10, 2008).</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10.40</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5"/>
              </w:rPr>
              <w:t>Monster Energy Distribution Agreement, dated October 3, 2008, between Hansen Beverage Company and Coca-Cola</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Enterprises, Inc. (incorporated by reference to exhibit 10.3 to our Form 10-Q dated November 10, 2008).</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10.41</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1"/>
              </w:rPr>
              <w:t>Monster Energy Canadian Distribution Agreement, dated October 3, 2008, between Hansen Beverage Company and Coca-</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Cola Bottling Company. (incorporated by reference to exhibit 10.4 to our Form 10-Q dated November 10, 2008).</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10.42</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3"/>
              </w:rPr>
              <w:t>Monster Energy International Distribution Agreement, dated October 3, 2008, between Tauranga Ltd, trading as Monster</w:t>
            </w:r>
          </w:p>
        </w:tc>
        <w:tc>
          <w:tcPr>
            <w:tcW w:w="40" w:type="dxa"/>
            <w:vAlign w:val="bottom"/>
          </w:tcPr>
          <w:p>
            <w:pPr>
              <w:spacing w:after="0"/>
              <w:rPr>
                <w:sz w:val="17"/>
                <w:szCs w:val="17"/>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3"/>
              </w:rPr>
              <w:t>Energy, and Coca-Cola Enterprises Inc. (incorporated by reference to exhibit 10.5 to our Form 10-Q dated November 10,</w:t>
            </w:r>
          </w:p>
        </w:tc>
        <w:tc>
          <w:tcPr>
            <w:tcW w:w="40" w:type="dxa"/>
            <w:vAlign w:val="bottom"/>
          </w:tcPr>
          <w:p>
            <w:pPr>
              <w:spacing w:after="0"/>
              <w:rPr>
                <w:sz w:val="19"/>
                <w:szCs w:val="19"/>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2008).</w:t>
            </w:r>
          </w:p>
        </w:tc>
        <w:tc>
          <w:tcPr>
            <w:tcW w:w="40" w:type="dxa"/>
            <w:vAlign w:val="bottom"/>
          </w:tcPr>
          <w:p>
            <w:pPr>
              <w:spacing w:after="0"/>
              <w:rPr>
                <w:sz w:val="21"/>
                <w:szCs w:val="21"/>
                <w:color w:val="auto"/>
              </w:rPr>
            </w:pPr>
          </w:p>
        </w:tc>
      </w:tr>
      <w:tr>
        <w:trPr>
          <w:trHeight w:val="206"/>
        </w:trPr>
        <w:tc>
          <w:tcPr>
            <w:tcW w:w="13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10.43</w:t>
            </w:r>
          </w:p>
        </w:tc>
        <w:tc>
          <w:tcPr>
            <w:tcW w:w="1012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w w:val="90"/>
              </w:rPr>
              <w:t>Monster Energy Belgium Distribution Agreement, dated October 3, 2008, between Tauranga Ltd, trading as Monster Energy,</w:t>
            </w:r>
          </w:p>
        </w:tc>
        <w:tc>
          <w:tcPr>
            <w:tcW w:w="40" w:type="dxa"/>
            <w:vAlign w:val="bottom"/>
          </w:tcPr>
          <w:p>
            <w:pPr>
              <w:spacing w:after="0"/>
              <w:rPr>
                <w:sz w:val="17"/>
                <w:szCs w:val="17"/>
                <w:color w:val="auto"/>
              </w:rPr>
            </w:pPr>
          </w:p>
        </w:tc>
      </w:tr>
      <w:tr>
        <w:trPr>
          <w:trHeight w:val="246"/>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4"/>
              </w:rPr>
              <w:t>and Coca-Cola Enterprises Inc. (incorporated by reference to exhibit 10.6 to our Form 10-Q dated November 10, 2008).</w:t>
            </w:r>
          </w:p>
        </w:tc>
        <w:tc>
          <w:tcPr>
            <w:tcW w:w="40" w:type="dxa"/>
            <w:vAlign w:val="bottom"/>
          </w:tcPr>
          <w:p>
            <w:pPr>
              <w:spacing w:after="0"/>
              <w:rPr>
                <w:sz w:val="21"/>
                <w:szCs w:val="21"/>
                <w:color w:val="auto"/>
              </w:rPr>
            </w:pPr>
          </w:p>
        </w:tc>
      </w:tr>
      <w:tr>
        <w:trPr>
          <w:trHeight w:val="223"/>
        </w:trPr>
        <w:tc>
          <w:tcPr>
            <w:tcW w:w="130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Arial" w:cs="Arial" w:eastAsia="Arial" w:hAnsi="Arial"/>
                <w:sz w:val="20"/>
                <w:szCs w:val="20"/>
                <w:color w:val="auto"/>
              </w:rPr>
              <w:t>10.44*+</w:t>
            </w:r>
          </w:p>
        </w:tc>
        <w:tc>
          <w:tcPr>
            <w:tcW w:w="10120" w:type="dxa"/>
            <w:vAlign w:val="bottom"/>
            <w:tcBorders>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w w:val="99"/>
              </w:rPr>
              <w:t>Stock Option Agreement between Hansen Natural Corporation and Rodney C. Sacks (made as of June 2, 2008).</w:t>
            </w:r>
          </w:p>
        </w:tc>
        <w:tc>
          <w:tcPr>
            <w:tcW w:w="40" w:type="dxa"/>
            <w:vAlign w:val="bottom"/>
          </w:tcPr>
          <w:p>
            <w:pPr>
              <w:spacing w:after="0"/>
              <w:rPr>
                <w:sz w:val="19"/>
                <w:szCs w:val="19"/>
                <w:color w:val="auto"/>
              </w:rPr>
            </w:pPr>
          </w:p>
        </w:tc>
      </w:tr>
      <w:tr>
        <w:trPr>
          <w:trHeight w:val="223"/>
        </w:trPr>
        <w:tc>
          <w:tcPr>
            <w:tcW w:w="130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Arial" w:cs="Arial" w:eastAsia="Arial" w:hAnsi="Arial"/>
                <w:sz w:val="20"/>
                <w:szCs w:val="20"/>
                <w:color w:val="auto"/>
              </w:rPr>
              <w:t>10.44A*+</w:t>
            </w:r>
          </w:p>
        </w:tc>
        <w:tc>
          <w:tcPr>
            <w:tcW w:w="10120" w:type="dxa"/>
            <w:vAlign w:val="bottom"/>
            <w:tcBorders>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Amendment to Stock Option Agreement between Hansen Natural Corporation and Rodney</w:t>
            </w:r>
          </w:p>
        </w:tc>
        <w:tc>
          <w:tcPr>
            <w:tcW w:w="40" w:type="dxa"/>
            <w:vAlign w:val="bottom"/>
          </w:tcPr>
          <w:p>
            <w:pPr>
              <w:spacing w:after="0"/>
              <w:rPr>
                <w:sz w:val="19"/>
                <w:szCs w:val="19"/>
                <w:color w:val="auto"/>
              </w:rPr>
            </w:pPr>
          </w:p>
        </w:tc>
      </w:tr>
      <w:tr>
        <w:trPr>
          <w:trHeight w:val="406"/>
        </w:trPr>
        <w:tc>
          <w:tcPr>
            <w:tcW w:w="1300" w:type="dxa"/>
            <w:vAlign w:val="bottom"/>
          </w:tcPr>
          <w:p>
            <w:pPr>
              <w:spacing w:after="0"/>
              <w:rPr>
                <w:sz w:val="24"/>
                <w:szCs w:val="24"/>
                <w:color w:val="auto"/>
              </w:rPr>
            </w:pPr>
          </w:p>
        </w:tc>
        <w:tc>
          <w:tcPr>
            <w:tcW w:w="10120" w:type="dxa"/>
            <w:vAlign w:val="bottom"/>
          </w:tcPr>
          <w:p>
            <w:pPr>
              <w:ind w:left="4340"/>
              <w:spacing w:after="0"/>
              <w:rPr>
                <w:sz w:val="20"/>
                <w:szCs w:val="20"/>
                <w:color w:val="auto"/>
              </w:rPr>
            </w:pPr>
            <w:r>
              <w:rPr>
                <w:rFonts w:ascii="Arial" w:cs="Arial" w:eastAsia="Arial" w:hAnsi="Arial"/>
                <w:sz w:val="16"/>
                <w:szCs w:val="16"/>
                <w:color w:val="auto"/>
              </w:rPr>
              <w:t>69</w:t>
            </w:r>
          </w:p>
        </w:tc>
        <w:tc>
          <w:tcPr>
            <w:tcW w:w="40" w:type="dxa"/>
            <w:vAlign w:val="bottom"/>
          </w:tcPr>
          <w:p>
            <w:pPr>
              <w:spacing w:after="0"/>
              <w:rPr>
                <w:sz w:val="24"/>
                <w:szCs w:val="24"/>
                <w:color w:val="auto"/>
              </w:rPr>
            </w:pPr>
          </w:p>
        </w:tc>
      </w:tr>
      <w:tr>
        <w:trPr>
          <w:trHeight w:val="138"/>
        </w:trPr>
        <w:tc>
          <w:tcPr>
            <w:tcW w:w="1300" w:type="dxa"/>
            <w:vAlign w:val="bottom"/>
            <w:tcBorders>
              <w:bottom w:val="single" w:sz="8" w:color="010101"/>
            </w:tcBorders>
          </w:tcPr>
          <w:p>
            <w:pPr>
              <w:spacing w:after="0"/>
              <w:rPr>
                <w:sz w:val="11"/>
                <w:szCs w:val="11"/>
                <w:color w:val="auto"/>
              </w:rPr>
            </w:pPr>
          </w:p>
        </w:tc>
        <w:tc>
          <w:tcPr>
            <w:tcW w:w="10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64"/>
        </w:trPr>
        <w:tc>
          <w:tcPr>
            <w:tcW w:w="130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1300" w:type="dxa"/>
            <w:vAlign w:val="bottom"/>
            <w:tcBorders>
              <w:bottom w:val="single" w:sz="8" w:color="auto"/>
            </w:tcBorders>
          </w:tcPr>
          <w:p>
            <w:pPr>
              <w:spacing w:after="0"/>
              <w:rPr>
                <w:sz w:val="19"/>
                <w:szCs w:val="19"/>
                <w:color w:val="auto"/>
              </w:rPr>
            </w:pPr>
          </w:p>
        </w:tc>
        <w:tc>
          <w:tcPr>
            <w:tcW w:w="101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C. Sacks (made as of August 2, 2008).</w:t>
            </w:r>
          </w:p>
        </w:tc>
        <w:tc>
          <w:tcPr>
            <w:tcW w:w="40" w:type="dxa"/>
            <w:vAlign w:val="bottom"/>
          </w:tcPr>
          <w:p>
            <w:pPr>
              <w:spacing w:after="0"/>
              <w:rPr>
                <w:sz w:val="19"/>
                <w:szCs w:val="19"/>
                <w:color w:val="auto"/>
              </w:rPr>
            </w:pPr>
          </w:p>
        </w:tc>
      </w:tr>
      <w:tr>
        <w:trPr>
          <w:trHeight w:val="223"/>
        </w:trPr>
        <w:tc>
          <w:tcPr>
            <w:tcW w:w="130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0"/>
                <w:szCs w:val="20"/>
                <w:color w:val="auto"/>
              </w:rPr>
              <w:t>10.45*+</w:t>
            </w:r>
          </w:p>
        </w:tc>
        <w:tc>
          <w:tcPr>
            <w:tcW w:w="101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w w:val="97"/>
              </w:rPr>
              <w:t>Stock Option Agreement between Hansen Natural Corporation and Hilton H. Schlosberg (made as of June 2, 2008).</w:t>
            </w:r>
          </w:p>
        </w:tc>
        <w:tc>
          <w:tcPr>
            <w:tcW w:w="40" w:type="dxa"/>
            <w:vAlign w:val="bottom"/>
          </w:tcPr>
          <w:p>
            <w:pPr>
              <w:spacing w:after="0"/>
              <w:rPr>
                <w:sz w:val="19"/>
                <w:szCs w:val="19"/>
                <w:color w:val="auto"/>
              </w:rPr>
            </w:pPr>
          </w:p>
        </w:tc>
      </w:tr>
      <w:tr>
        <w:trPr>
          <w:trHeight w:val="206"/>
        </w:trPr>
        <w:tc>
          <w:tcPr>
            <w:tcW w:w="1300" w:type="dxa"/>
            <w:vAlign w:val="bottom"/>
          </w:tcPr>
          <w:p>
            <w:pPr>
              <w:ind w:left="160"/>
              <w:spacing w:after="0" w:line="207" w:lineRule="exact"/>
              <w:rPr>
                <w:sz w:val="20"/>
                <w:szCs w:val="20"/>
                <w:color w:val="auto"/>
              </w:rPr>
            </w:pPr>
            <w:r>
              <w:rPr>
                <w:rFonts w:ascii="Arial" w:cs="Arial" w:eastAsia="Arial" w:hAnsi="Arial"/>
                <w:sz w:val="20"/>
                <w:szCs w:val="20"/>
                <w:color w:val="auto"/>
              </w:rPr>
              <w:t>10.45A*+</w:t>
            </w:r>
          </w:p>
        </w:tc>
        <w:tc>
          <w:tcPr>
            <w:tcW w:w="10120" w:type="dxa"/>
            <w:vAlign w:val="bottom"/>
          </w:tcPr>
          <w:p>
            <w:pPr>
              <w:ind w:left="120"/>
              <w:spacing w:after="0" w:line="207" w:lineRule="exact"/>
              <w:rPr>
                <w:sz w:val="20"/>
                <w:szCs w:val="20"/>
                <w:color w:val="auto"/>
              </w:rPr>
            </w:pPr>
            <w:r>
              <w:rPr>
                <w:rFonts w:ascii="Arial" w:cs="Arial" w:eastAsia="Arial" w:hAnsi="Arial"/>
                <w:sz w:val="20"/>
                <w:szCs w:val="20"/>
                <w:color w:val="auto"/>
                <w:w w:val="96"/>
              </w:rPr>
              <w:t>Amendment to Stock Option Agreement between Hansen Natural Corporation and Hilton H. Schlosberg (made as of</w:t>
            </w:r>
          </w:p>
        </w:tc>
        <w:tc>
          <w:tcPr>
            <w:tcW w:w="40" w:type="dxa"/>
            <w:vAlign w:val="bottom"/>
          </w:tcPr>
          <w:p>
            <w:pPr>
              <w:spacing w:after="0"/>
              <w:rPr>
                <w:sz w:val="17"/>
                <w:szCs w:val="17"/>
                <w:color w:val="auto"/>
              </w:rPr>
            </w:pPr>
          </w:p>
        </w:tc>
      </w:tr>
      <w:tr>
        <w:trPr>
          <w:trHeight w:val="246"/>
        </w:trPr>
        <w:tc>
          <w:tcPr>
            <w:tcW w:w="1300" w:type="dxa"/>
            <w:vAlign w:val="bottom"/>
            <w:tcBorders>
              <w:bottom w:val="single" w:sz="8" w:color="auto"/>
            </w:tcBorders>
          </w:tcPr>
          <w:p>
            <w:pPr>
              <w:spacing w:after="0"/>
              <w:rPr>
                <w:sz w:val="21"/>
                <w:szCs w:val="21"/>
                <w:color w:val="auto"/>
              </w:rPr>
            </w:pPr>
          </w:p>
        </w:tc>
        <w:tc>
          <w:tcPr>
            <w:tcW w:w="1012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August 2, 2008).</w:t>
            </w:r>
          </w:p>
        </w:tc>
        <w:tc>
          <w:tcPr>
            <w:tcW w:w="40" w:type="dxa"/>
            <w:vAlign w:val="bottom"/>
          </w:tcPr>
          <w:p>
            <w:pPr>
              <w:spacing w:after="0"/>
              <w:rPr>
                <w:sz w:val="21"/>
                <w:szCs w:val="21"/>
                <w:color w:val="auto"/>
              </w:rPr>
            </w:pPr>
          </w:p>
        </w:tc>
      </w:tr>
      <w:tr>
        <w:trPr>
          <w:trHeight w:val="223"/>
        </w:trPr>
        <w:tc>
          <w:tcPr>
            <w:tcW w:w="130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0"/>
                <w:szCs w:val="20"/>
                <w:color w:val="auto"/>
              </w:rPr>
              <w:t>10.46*+</w:t>
            </w:r>
          </w:p>
        </w:tc>
        <w:tc>
          <w:tcPr>
            <w:tcW w:w="101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Stock Option Agreement between Hansen Natural Corporation and Mark J. Hall (made as of June 2, 2008).</w:t>
            </w:r>
          </w:p>
        </w:tc>
        <w:tc>
          <w:tcPr>
            <w:tcW w:w="40" w:type="dxa"/>
            <w:vAlign w:val="bottom"/>
          </w:tcPr>
          <w:p>
            <w:pPr>
              <w:spacing w:after="0"/>
              <w:rPr>
                <w:sz w:val="19"/>
                <w:szCs w:val="19"/>
                <w:color w:val="auto"/>
              </w:rPr>
            </w:pPr>
          </w:p>
        </w:tc>
      </w:tr>
      <w:tr>
        <w:trPr>
          <w:trHeight w:val="223"/>
        </w:trPr>
        <w:tc>
          <w:tcPr>
            <w:tcW w:w="130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0"/>
                <w:szCs w:val="20"/>
                <w:color w:val="auto"/>
              </w:rPr>
              <w:t>10.47*+</w:t>
            </w:r>
          </w:p>
        </w:tc>
        <w:tc>
          <w:tcPr>
            <w:tcW w:w="101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Stock Option Agreement between Hansen Natural Corporation and Thomas J. Kelly (made as of June 2, 2008)</w:t>
            </w:r>
          </w:p>
        </w:tc>
        <w:tc>
          <w:tcPr>
            <w:tcW w:w="40" w:type="dxa"/>
            <w:vAlign w:val="bottom"/>
          </w:tcPr>
          <w:p>
            <w:pPr>
              <w:spacing w:after="0"/>
              <w:rPr>
                <w:sz w:val="19"/>
                <w:szCs w:val="19"/>
                <w:color w:val="auto"/>
              </w:rPr>
            </w:pPr>
          </w:p>
        </w:tc>
      </w:tr>
      <w:tr>
        <w:trPr>
          <w:trHeight w:val="206"/>
        </w:trPr>
        <w:tc>
          <w:tcPr>
            <w:tcW w:w="1300" w:type="dxa"/>
            <w:vAlign w:val="bottom"/>
          </w:tcPr>
          <w:p>
            <w:pPr>
              <w:ind w:left="160"/>
              <w:spacing w:after="0" w:line="207" w:lineRule="exact"/>
              <w:rPr>
                <w:sz w:val="20"/>
                <w:szCs w:val="20"/>
                <w:color w:val="auto"/>
              </w:rPr>
            </w:pPr>
            <w:r>
              <w:rPr>
                <w:rFonts w:ascii="Arial" w:cs="Arial" w:eastAsia="Arial" w:hAnsi="Arial"/>
                <w:sz w:val="20"/>
                <w:szCs w:val="20"/>
                <w:color w:val="auto"/>
              </w:rPr>
              <w:t>10.48+</w:t>
            </w:r>
          </w:p>
        </w:tc>
        <w:tc>
          <w:tcPr>
            <w:tcW w:w="10120" w:type="dxa"/>
            <w:vAlign w:val="bottom"/>
          </w:tcPr>
          <w:p>
            <w:pPr>
              <w:ind w:left="120"/>
              <w:spacing w:after="0" w:line="207" w:lineRule="exact"/>
              <w:rPr>
                <w:sz w:val="20"/>
                <w:szCs w:val="20"/>
                <w:color w:val="auto"/>
              </w:rPr>
            </w:pPr>
            <w:r>
              <w:rPr>
                <w:rFonts w:ascii="Arial" w:cs="Arial" w:eastAsia="Arial" w:hAnsi="Arial"/>
                <w:sz w:val="20"/>
                <w:szCs w:val="20"/>
                <w:color w:val="auto"/>
                <w:w w:val="91"/>
              </w:rPr>
              <w:t>2009 Hansen Natural Corporation Stock Incentive Plan for Non-Employee Directors (incorporated by reference to Exhibit A</w:t>
            </w:r>
          </w:p>
        </w:tc>
        <w:tc>
          <w:tcPr>
            <w:tcW w:w="40" w:type="dxa"/>
            <w:vAlign w:val="bottom"/>
          </w:tcPr>
          <w:p>
            <w:pPr>
              <w:spacing w:after="0"/>
              <w:rPr>
                <w:sz w:val="17"/>
                <w:szCs w:val="17"/>
                <w:color w:val="auto"/>
              </w:rPr>
            </w:pPr>
          </w:p>
        </w:tc>
      </w:tr>
      <w:tr>
        <w:trPr>
          <w:trHeight w:val="246"/>
        </w:trPr>
        <w:tc>
          <w:tcPr>
            <w:tcW w:w="1300" w:type="dxa"/>
            <w:vAlign w:val="bottom"/>
            <w:tcBorders>
              <w:bottom w:val="single" w:sz="8" w:color="auto"/>
            </w:tcBorders>
          </w:tcPr>
          <w:p>
            <w:pPr>
              <w:spacing w:after="0"/>
              <w:rPr>
                <w:sz w:val="21"/>
                <w:szCs w:val="21"/>
                <w:color w:val="auto"/>
              </w:rPr>
            </w:pPr>
          </w:p>
        </w:tc>
        <w:tc>
          <w:tcPr>
            <w:tcW w:w="1012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to our Proxy Statement dated April 24, 2009).</w:t>
            </w:r>
          </w:p>
        </w:tc>
        <w:tc>
          <w:tcPr>
            <w:tcW w:w="40" w:type="dxa"/>
            <w:vAlign w:val="bottom"/>
          </w:tcPr>
          <w:p>
            <w:pPr>
              <w:spacing w:after="0"/>
              <w:rPr>
                <w:sz w:val="21"/>
                <w:szCs w:val="21"/>
                <w:color w:val="auto"/>
              </w:rPr>
            </w:pPr>
          </w:p>
        </w:tc>
      </w:tr>
      <w:tr>
        <w:trPr>
          <w:trHeight w:val="223"/>
        </w:trPr>
        <w:tc>
          <w:tcPr>
            <w:tcW w:w="130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0"/>
                <w:szCs w:val="20"/>
                <w:color w:val="auto"/>
              </w:rPr>
              <w:t>10.49*+</w:t>
            </w:r>
          </w:p>
        </w:tc>
        <w:tc>
          <w:tcPr>
            <w:tcW w:w="101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Stock Option Agreement between Hansen Natural Corporation and Thomas J. Kelly (made as of June 1, 2009)</w:t>
            </w:r>
          </w:p>
        </w:tc>
        <w:tc>
          <w:tcPr>
            <w:tcW w:w="40" w:type="dxa"/>
            <w:vAlign w:val="bottom"/>
          </w:tcPr>
          <w:p>
            <w:pPr>
              <w:spacing w:after="0"/>
              <w:rPr>
                <w:sz w:val="19"/>
                <w:szCs w:val="19"/>
                <w:color w:val="auto"/>
              </w:rPr>
            </w:pPr>
          </w:p>
        </w:tc>
      </w:tr>
      <w:tr>
        <w:trPr>
          <w:trHeight w:val="223"/>
        </w:trPr>
        <w:tc>
          <w:tcPr>
            <w:tcW w:w="130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0"/>
                <w:szCs w:val="20"/>
                <w:color w:val="auto"/>
              </w:rPr>
              <w:t>10.50*+</w:t>
            </w:r>
          </w:p>
        </w:tc>
        <w:tc>
          <w:tcPr>
            <w:tcW w:w="101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w w:val="99"/>
              </w:rPr>
              <w:t>Stock Option Agreement between Hansen Natural Corporation and Nick R. Gagliardi (made as of August 3, 2009)</w:t>
            </w:r>
          </w:p>
        </w:tc>
        <w:tc>
          <w:tcPr>
            <w:tcW w:w="40" w:type="dxa"/>
            <w:vAlign w:val="bottom"/>
          </w:tcPr>
          <w:p>
            <w:pPr>
              <w:spacing w:after="0"/>
              <w:rPr>
                <w:sz w:val="19"/>
                <w:szCs w:val="19"/>
                <w:color w:val="auto"/>
              </w:rPr>
            </w:pPr>
          </w:p>
        </w:tc>
      </w:tr>
      <w:tr>
        <w:trPr>
          <w:trHeight w:val="223"/>
        </w:trPr>
        <w:tc>
          <w:tcPr>
            <w:tcW w:w="130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0"/>
                <w:szCs w:val="20"/>
                <w:color w:val="auto"/>
              </w:rPr>
              <w:t>10.51*+</w:t>
            </w:r>
          </w:p>
        </w:tc>
        <w:tc>
          <w:tcPr>
            <w:tcW w:w="101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w w:val="95"/>
              </w:rPr>
              <w:t>Stock Option Agreement between Hansen Natural Corporation and Rodney C. Sacks (made as of December 1, 2009).</w:t>
            </w:r>
          </w:p>
        </w:tc>
        <w:tc>
          <w:tcPr>
            <w:tcW w:w="40" w:type="dxa"/>
            <w:vAlign w:val="bottom"/>
          </w:tcPr>
          <w:p>
            <w:pPr>
              <w:spacing w:after="0"/>
              <w:rPr>
                <w:sz w:val="19"/>
                <w:szCs w:val="19"/>
                <w:color w:val="auto"/>
              </w:rPr>
            </w:pPr>
          </w:p>
        </w:tc>
      </w:tr>
      <w:tr>
        <w:trPr>
          <w:trHeight w:val="223"/>
        </w:trPr>
        <w:tc>
          <w:tcPr>
            <w:tcW w:w="130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0"/>
                <w:szCs w:val="20"/>
                <w:color w:val="auto"/>
              </w:rPr>
              <w:t>10.52*+</w:t>
            </w:r>
          </w:p>
        </w:tc>
        <w:tc>
          <w:tcPr>
            <w:tcW w:w="101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w w:val="92"/>
              </w:rPr>
              <w:t>Stock Option Agreement between Hansen Natural Corporation and Hilton H. Schlosberg (made as of December 1, 2009).</w:t>
            </w:r>
          </w:p>
        </w:tc>
        <w:tc>
          <w:tcPr>
            <w:tcW w:w="40" w:type="dxa"/>
            <w:vAlign w:val="bottom"/>
          </w:tcPr>
          <w:p>
            <w:pPr>
              <w:spacing w:after="0"/>
              <w:rPr>
                <w:sz w:val="19"/>
                <w:szCs w:val="19"/>
                <w:color w:val="auto"/>
              </w:rPr>
            </w:pPr>
          </w:p>
        </w:tc>
      </w:tr>
      <w:tr>
        <w:trPr>
          <w:trHeight w:val="223"/>
        </w:trPr>
        <w:tc>
          <w:tcPr>
            <w:tcW w:w="130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0"/>
                <w:szCs w:val="20"/>
                <w:color w:val="auto"/>
              </w:rPr>
              <w:t>10.53*+</w:t>
            </w:r>
          </w:p>
        </w:tc>
        <w:tc>
          <w:tcPr>
            <w:tcW w:w="101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w w:val="99"/>
              </w:rPr>
              <w:t>Stock Option Agreement between Hansen Natural Corporation and Mark J. Hall (made as of December 1, 2009).</w:t>
            </w:r>
          </w:p>
        </w:tc>
        <w:tc>
          <w:tcPr>
            <w:tcW w:w="40" w:type="dxa"/>
            <w:vAlign w:val="bottom"/>
          </w:tcPr>
          <w:p>
            <w:pPr>
              <w:spacing w:after="0"/>
              <w:rPr>
                <w:sz w:val="19"/>
                <w:szCs w:val="19"/>
                <w:color w:val="auto"/>
              </w:rPr>
            </w:pPr>
          </w:p>
        </w:tc>
      </w:tr>
      <w:tr>
        <w:trPr>
          <w:trHeight w:val="223"/>
        </w:trPr>
        <w:tc>
          <w:tcPr>
            <w:tcW w:w="130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0"/>
                <w:szCs w:val="20"/>
                <w:color w:val="auto"/>
              </w:rPr>
              <w:t>10.54*+</w:t>
            </w:r>
          </w:p>
        </w:tc>
        <w:tc>
          <w:tcPr>
            <w:tcW w:w="101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w w:val="95"/>
              </w:rPr>
              <w:t>Stock Option Agreement between Hansen Natural Corporation and Nick R. Gagliardi (made as of December 1, 2009).</w:t>
            </w:r>
          </w:p>
        </w:tc>
        <w:tc>
          <w:tcPr>
            <w:tcW w:w="40" w:type="dxa"/>
            <w:vAlign w:val="bottom"/>
          </w:tcPr>
          <w:p>
            <w:pPr>
              <w:spacing w:after="0"/>
              <w:rPr>
                <w:sz w:val="19"/>
                <w:szCs w:val="19"/>
                <w:color w:val="auto"/>
              </w:rPr>
            </w:pPr>
          </w:p>
        </w:tc>
      </w:tr>
      <w:tr>
        <w:trPr>
          <w:trHeight w:val="223"/>
        </w:trPr>
        <w:tc>
          <w:tcPr>
            <w:tcW w:w="130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0"/>
                <w:szCs w:val="20"/>
                <w:color w:val="auto"/>
              </w:rPr>
              <w:t>10.55*+</w:t>
            </w:r>
          </w:p>
        </w:tc>
        <w:tc>
          <w:tcPr>
            <w:tcW w:w="101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w w:val="96"/>
              </w:rPr>
              <w:t>Stock Option Agreement between Hansen Natural Corporation and Thomas J. Kelly (made as of December 1, 2009)</w:t>
            </w:r>
          </w:p>
        </w:tc>
        <w:tc>
          <w:tcPr>
            <w:tcW w:w="40" w:type="dxa"/>
            <w:vAlign w:val="bottom"/>
          </w:tcPr>
          <w:p>
            <w:pPr>
              <w:spacing w:after="0"/>
              <w:rPr>
                <w:sz w:val="19"/>
                <w:szCs w:val="19"/>
                <w:color w:val="auto"/>
              </w:rPr>
            </w:pPr>
          </w:p>
        </w:tc>
      </w:tr>
      <w:tr>
        <w:trPr>
          <w:trHeight w:val="223"/>
        </w:trPr>
        <w:tc>
          <w:tcPr>
            <w:tcW w:w="130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0"/>
                <w:szCs w:val="20"/>
                <w:color w:val="auto"/>
              </w:rPr>
              <w:t>21*</w:t>
            </w:r>
          </w:p>
        </w:tc>
        <w:tc>
          <w:tcPr>
            <w:tcW w:w="101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Subsidiaries</w:t>
            </w:r>
          </w:p>
        </w:tc>
        <w:tc>
          <w:tcPr>
            <w:tcW w:w="40" w:type="dxa"/>
            <w:vAlign w:val="bottom"/>
          </w:tcPr>
          <w:p>
            <w:pPr>
              <w:spacing w:after="0"/>
              <w:rPr>
                <w:sz w:val="19"/>
                <w:szCs w:val="19"/>
                <w:color w:val="auto"/>
              </w:rPr>
            </w:pPr>
          </w:p>
        </w:tc>
      </w:tr>
      <w:tr>
        <w:trPr>
          <w:trHeight w:val="223"/>
        </w:trPr>
        <w:tc>
          <w:tcPr>
            <w:tcW w:w="130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0"/>
                <w:szCs w:val="20"/>
                <w:color w:val="auto"/>
              </w:rPr>
              <w:t>23*</w:t>
            </w:r>
          </w:p>
        </w:tc>
        <w:tc>
          <w:tcPr>
            <w:tcW w:w="101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Consent of Independent Registered Public Accounting Firm</w:t>
            </w:r>
          </w:p>
        </w:tc>
        <w:tc>
          <w:tcPr>
            <w:tcW w:w="40" w:type="dxa"/>
            <w:vAlign w:val="bottom"/>
          </w:tcPr>
          <w:p>
            <w:pPr>
              <w:spacing w:after="0"/>
              <w:rPr>
                <w:sz w:val="19"/>
                <w:szCs w:val="19"/>
                <w:color w:val="auto"/>
              </w:rPr>
            </w:pPr>
          </w:p>
        </w:tc>
      </w:tr>
      <w:tr>
        <w:trPr>
          <w:trHeight w:val="206"/>
        </w:trPr>
        <w:tc>
          <w:tcPr>
            <w:tcW w:w="1300" w:type="dxa"/>
            <w:vAlign w:val="bottom"/>
          </w:tcPr>
          <w:p>
            <w:pPr>
              <w:ind w:left="160"/>
              <w:spacing w:after="0" w:line="207" w:lineRule="exact"/>
              <w:rPr>
                <w:sz w:val="20"/>
                <w:szCs w:val="20"/>
                <w:color w:val="auto"/>
              </w:rPr>
            </w:pPr>
            <w:r>
              <w:rPr>
                <w:rFonts w:ascii="Arial" w:cs="Arial" w:eastAsia="Arial" w:hAnsi="Arial"/>
                <w:sz w:val="20"/>
                <w:szCs w:val="20"/>
                <w:color w:val="auto"/>
              </w:rPr>
              <w:t>31.1*</w:t>
            </w:r>
          </w:p>
        </w:tc>
        <w:tc>
          <w:tcPr>
            <w:tcW w:w="10120" w:type="dxa"/>
            <w:vAlign w:val="bottom"/>
          </w:tcPr>
          <w:p>
            <w:pPr>
              <w:ind w:left="120"/>
              <w:spacing w:after="0" w:line="207" w:lineRule="exact"/>
              <w:rPr>
                <w:sz w:val="20"/>
                <w:szCs w:val="20"/>
                <w:color w:val="auto"/>
              </w:rPr>
            </w:pPr>
            <w:r>
              <w:rPr>
                <w:rFonts w:ascii="Arial" w:cs="Arial" w:eastAsia="Arial" w:hAnsi="Arial"/>
                <w:sz w:val="20"/>
                <w:szCs w:val="20"/>
                <w:color w:val="auto"/>
                <w:w w:val="91"/>
              </w:rPr>
              <w:t>Certification by CEO pursuant to Rule 13A-14(a) or 15D-14(a) of the Securities Exchange Act of 1934, as adopted pursuant</w:t>
            </w:r>
          </w:p>
        </w:tc>
        <w:tc>
          <w:tcPr>
            <w:tcW w:w="40" w:type="dxa"/>
            <w:vAlign w:val="bottom"/>
          </w:tcPr>
          <w:p>
            <w:pPr>
              <w:spacing w:after="0"/>
              <w:rPr>
                <w:sz w:val="17"/>
                <w:szCs w:val="17"/>
                <w:color w:val="auto"/>
              </w:rPr>
            </w:pPr>
          </w:p>
        </w:tc>
      </w:tr>
      <w:tr>
        <w:trPr>
          <w:trHeight w:val="246"/>
        </w:trPr>
        <w:tc>
          <w:tcPr>
            <w:tcW w:w="1300" w:type="dxa"/>
            <w:vAlign w:val="bottom"/>
            <w:tcBorders>
              <w:bottom w:val="single" w:sz="8" w:color="auto"/>
            </w:tcBorders>
          </w:tcPr>
          <w:p>
            <w:pPr>
              <w:spacing w:after="0"/>
              <w:rPr>
                <w:sz w:val="21"/>
                <w:szCs w:val="21"/>
                <w:color w:val="auto"/>
              </w:rPr>
            </w:pPr>
          </w:p>
        </w:tc>
        <w:tc>
          <w:tcPr>
            <w:tcW w:w="1012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to Section 302 of the Sarbanes-Oxley Act of 2002 *</w:t>
            </w:r>
          </w:p>
        </w:tc>
        <w:tc>
          <w:tcPr>
            <w:tcW w:w="40" w:type="dxa"/>
            <w:vAlign w:val="bottom"/>
          </w:tcPr>
          <w:p>
            <w:pPr>
              <w:spacing w:after="0"/>
              <w:rPr>
                <w:sz w:val="21"/>
                <w:szCs w:val="21"/>
                <w:color w:val="auto"/>
              </w:rPr>
            </w:pPr>
          </w:p>
        </w:tc>
      </w:tr>
      <w:tr>
        <w:trPr>
          <w:trHeight w:val="206"/>
        </w:trPr>
        <w:tc>
          <w:tcPr>
            <w:tcW w:w="1300" w:type="dxa"/>
            <w:vAlign w:val="bottom"/>
          </w:tcPr>
          <w:p>
            <w:pPr>
              <w:ind w:left="160"/>
              <w:spacing w:after="0" w:line="207" w:lineRule="exact"/>
              <w:rPr>
                <w:sz w:val="20"/>
                <w:szCs w:val="20"/>
                <w:color w:val="auto"/>
              </w:rPr>
            </w:pPr>
            <w:r>
              <w:rPr>
                <w:rFonts w:ascii="Arial" w:cs="Arial" w:eastAsia="Arial" w:hAnsi="Arial"/>
                <w:sz w:val="20"/>
                <w:szCs w:val="20"/>
                <w:color w:val="auto"/>
              </w:rPr>
              <w:t>31.2*</w:t>
            </w:r>
          </w:p>
        </w:tc>
        <w:tc>
          <w:tcPr>
            <w:tcW w:w="10120" w:type="dxa"/>
            <w:vAlign w:val="bottom"/>
          </w:tcPr>
          <w:p>
            <w:pPr>
              <w:ind w:left="120"/>
              <w:spacing w:after="0" w:line="207" w:lineRule="exact"/>
              <w:rPr>
                <w:sz w:val="20"/>
                <w:szCs w:val="20"/>
                <w:color w:val="auto"/>
              </w:rPr>
            </w:pPr>
            <w:r>
              <w:rPr>
                <w:rFonts w:ascii="Arial" w:cs="Arial" w:eastAsia="Arial" w:hAnsi="Arial"/>
                <w:sz w:val="20"/>
                <w:szCs w:val="20"/>
                <w:color w:val="auto"/>
                <w:w w:val="91"/>
              </w:rPr>
              <w:t>Certification by CFO pursuant to Rule 13A-14(a) or 15D-14(a) of the Securities Exchange Act of 1934, as adopted pursuant</w:t>
            </w:r>
          </w:p>
        </w:tc>
        <w:tc>
          <w:tcPr>
            <w:tcW w:w="40" w:type="dxa"/>
            <w:vAlign w:val="bottom"/>
          </w:tcPr>
          <w:p>
            <w:pPr>
              <w:spacing w:after="0"/>
              <w:rPr>
                <w:sz w:val="17"/>
                <w:szCs w:val="17"/>
                <w:color w:val="auto"/>
              </w:rPr>
            </w:pPr>
          </w:p>
        </w:tc>
      </w:tr>
      <w:tr>
        <w:trPr>
          <w:trHeight w:val="246"/>
        </w:trPr>
        <w:tc>
          <w:tcPr>
            <w:tcW w:w="1300" w:type="dxa"/>
            <w:vAlign w:val="bottom"/>
            <w:tcBorders>
              <w:bottom w:val="single" w:sz="8" w:color="auto"/>
            </w:tcBorders>
          </w:tcPr>
          <w:p>
            <w:pPr>
              <w:spacing w:after="0"/>
              <w:rPr>
                <w:sz w:val="21"/>
                <w:szCs w:val="21"/>
                <w:color w:val="auto"/>
              </w:rPr>
            </w:pPr>
          </w:p>
        </w:tc>
        <w:tc>
          <w:tcPr>
            <w:tcW w:w="1012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to Section 302 of the Sarbanes-Oxley Act of 2002 *</w:t>
            </w:r>
          </w:p>
        </w:tc>
        <w:tc>
          <w:tcPr>
            <w:tcW w:w="40" w:type="dxa"/>
            <w:vAlign w:val="bottom"/>
          </w:tcPr>
          <w:p>
            <w:pPr>
              <w:spacing w:after="0"/>
              <w:rPr>
                <w:sz w:val="21"/>
                <w:szCs w:val="21"/>
                <w:color w:val="auto"/>
              </w:rPr>
            </w:pPr>
          </w:p>
        </w:tc>
      </w:tr>
      <w:tr>
        <w:trPr>
          <w:trHeight w:val="206"/>
        </w:trPr>
        <w:tc>
          <w:tcPr>
            <w:tcW w:w="1300" w:type="dxa"/>
            <w:vAlign w:val="bottom"/>
          </w:tcPr>
          <w:p>
            <w:pPr>
              <w:ind w:left="160"/>
              <w:spacing w:after="0" w:line="207" w:lineRule="exact"/>
              <w:rPr>
                <w:sz w:val="20"/>
                <w:szCs w:val="20"/>
                <w:color w:val="auto"/>
              </w:rPr>
            </w:pPr>
            <w:r>
              <w:rPr>
                <w:rFonts w:ascii="Arial" w:cs="Arial" w:eastAsia="Arial" w:hAnsi="Arial"/>
                <w:sz w:val="20"/>
                <w:szCs w:val="20"/>
                <w:color w:val="auto"/>
              </w:rPr>
              <w:t>32.1*</w:t>
            </w:r>
          </w:p>
        </w:tc>
        <w:tc>
          <w:tcPr>
            <w:tcW w:w="10120" w:type="dxa"/>
            <w:vAlign w:val="bottom"/>
          </w:tcPr>
          <w:p>
            <w:pPr>
              <w:ind w:left="120"/>
              <w:spacing w:after="0" w:line="207" w:lineRule="exact"/>
              <w:rPr>
                <w:sz w:val="20"/>
                <w:szCs w:val="20"/>
                <w:color w:val="auto"/>
              </w:rPr>
            </w:pPr>
            <w:r>
              <w:rPr>
                <w:rFonts w:ascii="Arial" w:cs="Arial" w:eastAsia="Arial" w:hAnsi="Arial"/>
                <w:sz w:val="20"/>
                <w:szCs w:val="20"/>
                <w:color w:val="auto"/>
                <w:w w:val="91"/>
              </w:rPr>
              <w:t>Certification by CEO pursuant to 18 U.S.C. Section 1350, as adopted pursuant to Section 906 of the Sarbanes-Oxley Act of</w:t>
            </w:r>
          </w:p>
        </w:tc>
        <w:tc>
          <w:tcPr>
            <w:tcW w:w="40" w:type="dxa"/>
            <w:vAlign w:val="bottom"/>
          </w:tcPr>
          <w:p>
            <w:pPr>
              <w:spacing w:after="0"/>
              <w:rPr>
                <w:sz w:val="17"/>
                <w:szCs w:val="17"/>
                <w:color w:val="auto"/>
              </w:rPr>
            </w:pPr>
          </w:p>
        </w:tc>
      </w:tr>
      <w:tr>
        <w:trPr>
          <w:trHeight w:val="246"/>
        </w:trPr>
        <w:tc>
          <w:tcPr>
            <w:tcW w:w="1300" w:type="dxa"/>
            <w:vAlign w:val="bottom"/>
            <w:tcBorders>
              <w:bottom w:val="single" w:sz="8" w:color="auto"/>
            </w:tcBorders>
          </w:tcPr>
          <w:p>
            <w:pPr>
              <w:spacing w:after="0"/>
              <w:rPr>
                <w:sz w:val="21"/>
                <w:szCs w:val="21"/>
                <w:color w:val="auto"/>
              </w:rPr>
            </w:pPr>
          </w:p>
        </w:tc>
        <w:tc>
          <w:tcPr>
            <w:tcW w:w="1012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2002 *</w:t>
            </w:r>
          </w:p>
        </w:tc>
        <w:tc>
          <w:tcPr>
            <w:tcW w:w="40" w:type="dxa"/>
            <w:vAlign w:val="bottom"/>
          </w:tcPr>
          <w:p>
            <w:pPr>
              <w:spacing w:after="0"/>
              <w:rPr>
                <w:sz w:val="21"/>
                <w:szCs w:val="21"/>
                <w:color w:val="auto"/>
              </w:rPr>
            </w:pPr>
          </w:p>
        </w:tc>
      </w:tr>
      <w:tr>
        <w:trPr>
          <w:trHeight w:val="206"/>
        </w:trPr>
        <w:tc>
          <w:tcPr>
            <w:tcW w:w="1300" w:type="dxa"/>
            <w:vAlign w:val="bottom"/>
          </w:tcPr>
          <w:p>
            <w:pPr>
              <w:ind w:left="160"/>
              <w:spacing w:after="0" w:line="207" w:lineRule="exact"/>
              <w:rPr>
                <w:sz w:val="20"/>
                <w:szCs w:val="20"/>
                <w:color w:val="auto"/>
              </w:rPr>
            </w:pPr>
            <w:r>
              <w:rPr>
                <w:rFonts w:ascii="Arial" w:cs="Arial" w:eastAsia="Arial" w:hAnsi="Arial"/>
                <w:sz w:val="20"/>
                <w:szCs w:val="20"/>
                <w:color w:val="auto"/>
              </w:rPr>
              <w:t>32.2*</w:t>
            </w:r>
          </w:p>
        </w:tc>
        <w:tc>
          <w:tcPr>
            <w:tcW w:w="10120" w:type="dxa"/>
            <w:vAlign w:val="bottom"/>
          </w:tcPr>
          <w:p>
            <w:pPr>
              <w:ind w:left="120"/>
              <w:spacing w:after="0" w:line="207" w:lineRule="exact"/>
              <w:rPr>
                <w:sz w:val="20"/>
                <w:szCs w:val="20"/>
                <w:color w:val="auto"/>
              </w:rPr>
            </w:pPr>
            <w:r>
              <w:rPr>
                <w:rFonts w:ascii="Arial" w:cs="Arial" w:eastAsia="Arial" w:hAnsi="Arial"/>
                <w:sz w:val="20"/>
                <w:szCs w:val="20"/>
                <w:color w:val="auto"/>
                <w:w w:val="91"/>
              </w:rPr>
              <w:t>Certification by CFO pursuant to 18 U.S.C. Section 1350, as adopted pursuant to Section 906 of the Sarbanes-Oxley Act of</w:t>
            </w:r>
          </w:p>
        </w:tc>
        <w:tc>
          <w:tcPr>
            <w:tcW w:w="40" w:type="dxa"/>
            <w:vAlign w:val="bottom"/>
          </w:tcPr>
          <w:p>
            <w:pPr>
              <w:spacing w:after="0"/>
              <w:rPr>
                <w:sz w:val="17"/>
                <w:szCs w:val="17"/>
                <w:color w:val="auto"/>
              </w:rPr>
            </w:pPr>
          </w:p>
        </w:tc>
      </w:tr>
      <w:tr>
        <w:trPr>
          <w:trHeight w:val="231"/>
        </w:trPr>
        <w:tc>
          <w:tcPr>
            <w:tcW w:w="1300" w:type="dxa"/>
            <w:vAlign w:val="bottom"/>
          </w:tcPr>
          <w:p>
            <w:pPr>
              <w:spacing w:after="0"/>
              <w:rPr>
                <w:sz w:val="20"/>
                <w:szCs w:val="20"/>
                <w:color w:val="auto"/>
              </w:rPr>
            </w:pPr>
          </w:p>
        </w:tc>
        <w:tc>
          <w:tcPr>
            <w:tcW w:w="10120" w:type="dxa"/>
            <w:vAlign w:val="bottom"/>
          </w:tcPr>
          <w:p>
            <w:pPr>
              <w:ind w:left="120"/>
              <w:spacing w:after="0"/>
              <w:rPr>
                <w:sz w:val="20"/>
                <w:szCs w:val="20"/>
                <w:color w:val="auto"/>
              </w:rPr>
            </w:pPr>
            <w:r>
              <w:rPr>
                <w:rFonts w:ascii="Arial" w:cs="Arial" w:eastAsia="Arial" w:hAnsi="Arial"/>
                <w:sz w:val="20"/>
                <w:szCs w:val="20"/>
                <w:color w:val="auto"/>
              </w:rPr>
              <w:t>2002 *</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-4185285</wp:posOffset>
            </wp:positionV>
            <wp:extent cx="7267575" cy="4204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4204335"/>
                    </a:xfrm>
                    <a:prstGeom prst="rect">
                      <a:avLst/>
                    </a:prstGeom>
                    <a:noFill/>
                  </pic:spPr>
                </pic:pic>
              </a:graphicData>
            </a:graphic>
          </wp:anchor>
        </w:drawing>
      </w:r>
    </w:p>
    <w:p>
      <w:pPr>
        <w:ind w:left="520" w:hanging="382"/>
        <w:spacing w:after="0" w:line="192" w:lineRule="auto"/>
        <w:tabs>
          <w:tab w:leader="none" w:pos="52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Filed herewith.</w:t>
      </w:r>
    </w:p>
    <w:p>
      <w:pPr>
        <w:ind w:left="520" w:hanging="382"/>
        <w:spacing w:after="0" w:line="226" w:lineRule="auto"/>
        <w:tabs>
          <w:tab w:leader="none" w:pos="52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Management contract or compensatory plans or arrangements.</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CONSOLIDATED FINANCIAL STATEMENTS AND FINANCIAL STATEMENT SCHEDULE</w:t>
      </w:r>
    </w:p>
    <w:p>
      <w:pPr>
        <w:spacing w:after="0" w:line="222" w:lineRule="exact"/>
        <w:rPr>
          <w:sz w:val="20"/>
          <w:szCs w:val="20"/>
          <w:color w:val="auto"/>
        </w:rPr>
      </w:pPr>
    </w:p>
    <w:p>
      <w:pPr>
        <w:ind w:left="10640"/>
        <w:spacing w:after="0"/>
        <w:rPr>
          <w:sz w:val="20"/>
          <w:szCs w:val="20"/>
          <w:color w:val="auto"/>
        </w:rPr>
      </w:pPr>
      <w:r>
        <w:rPr>
          <w:rFonts w:ascii="Arial" w:cs="Arial" w:eastAsia="Arial" w:hAnsi="Arial"/>
          <w:sz w:val="20"/>
          <w:szCs w:val="20"/>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6496685</wp:posOffset>
            </wp:positionH>
            <wp:positionV relativeFrom="paragraph">
              <wp:posOffset>10160</wp:posOffset>
            </wp:positionV>
            <wp:extent cx="7543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ectPr>
          <w:pgSz w:w="11900" w:h="16838" w:orient="portrait"/>
          <w:cols w:equalWidth="0" w:num="1">
            <w:col w:w="11460"/>
          </w:cols>
          <w:pgMar w:left="240" w:top="122" w:right="199" w:bottom="0" w:gutter="0" w:footer="0" w:header="0"/>
        </w:sectPr>
      </w:pPr>
    </w:p>
    <w:bookmarkStart w:id="45" w:name="page46"/>
    <w:bookmarkEnd w:id="45"/>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240" w:type="dxa"/>
            <w:vAlign w:val="bottom"/>
            <w:gridSpan w:val="9"/>
          </w:tcPr>
          <w:p>
            <w:pPr>
              <w:spacing w:after="0"/>
              <w:rPr>
                <w:sz w:val="20"/>
                <w:szCs w:val="20"/>
                <w:color w:val="auto"/>
              </w:rPr>
            </w:pPr>
            <w:r>
              <w:rPr>
                <w:rFonts w:ascii="Arial" w:cs="Arial" w:eastAsia="Arial" w:hAnsi="Arial"/>
                <w:sz w:val="20"/>
                <w:szCs w:val="20"/>
                <w:color w:val="auto"/>
              </w:rPr>
              <w:t>HANSEN NATURAL CORPORATION AND SUBSIDIARIES</w:t>
            </w:r>
          </w:p>
        </w:tc>
        <w:tc>
          <w:tcPr>
            <w:tcW w:w="1220" w:type="dxa"/>
            <w:vAlign w:val="bottom"/>
          </w:tcPr>
          <w:p>
            <w:pPr>
              <w:spacing w:after="0"/>
              <w:rPr>
                <w:sz w:val="21"/>
                <w:szCs w:val="21"/>
                <w:color w:val="auto"/>
              </w:rPr>
            </w:pPr>
          </w:p>
        </w:tc>
      </w:tr>
      <w:tr>
        <w:trPr>
          <w:trHeight w:val="644"/>
        </w:trPr>
        <w:tc>
          <w:tcPr>
            <w:tcW w:w="10240" w:type="dxa"/>
            <w:vAlign w:val="bottom"/>
            <w:gridSpan w:val="9"/>
          </w:tcPr>
          <w:p>
            <w:pPr>
              <w:spacing w:after="0"/>
              <w:rPr>
                <w:rFonts w:ascii="Arial" w:cs="Arial" w:eastAsia="Arial" w:hAnsi="Arial"/>
                <w:sz w:val="20"/>
                <w:szCs w:val="20"/>
                <w:color w:val="0000EE"/>
              </w:rPr>
            </w:pPr>
            <w:hyperlink w:anchor="page46">
              <w:r>
                <w:rPr>
                  <w:rFonts w:ascii="Arial" w:cs="Arial" w:eastAsia="Arial" w:hAnsi="Arial"/>
                  <w:sz w:val="20"/>
                  <w:szCs w:val="20"/>
                  <w:color w:val="0000EE"/>
                </w:rPr>
                <w:t>Report of Independent Registered Public Accounting Firm</w:t>
              </w:r>
            </w:hyperlink>
          </w:p>
        </w:tc>
        <w:tc>
          <w:tcPr>
            <w:tcW w:w="1220" w:type="dxa"/>
            <w:vAlign w:val="bottom"/>
          </w:tcPr>
          <w:p>
            <w:pPr>
              <w:jc w:val="center"/>
              <w:spacing w:after="0"/>
              <w:rPr>
                <w:sz w:val="20"/>
                <w:szCs w:val="20"/>
                <w:color w:val="auto"/>
              </w:rPr>
            </w:pPr>
            <w:r>
              <w:rPr>
                <w:rFonts w:ascii="Arial" w:cs="Arial" w:eastAsia="Arial" w:hAnsi="Arial"/>
                <w:sz w:val="20"/>
                <w:szCs w:val="20"/>
                <w:color w:val="auto"/>
                <w:w w:val="89"/>
              </w:rPr>
              <w:t>72</w:t>
            </w:r>
          </w:p>
        </w:tc>
      </w:tr>
      <w:tr>
        <w:trPr>
          <w:trHeight w:val="20"/>
        </w:trPr>
        <w:tc>
          <w:tcPr>
            <w:tcW w:w="34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39"/>
        </w:trPr>
        <w:tc>
          <w:tcPr>
            <w:tcW w:w="5120" w:type="dxa"/>
            <w:vAlign w:val="bottom"/>
            <w:tcBorders>
              <w:bottom w:val="single" w:sz="8" w:color="0000EE"/>
            </w:tcBorders>
            <w:gridSpan w:val="3"/>
          </w:tcPr>
          <w:p>
            <w:pPr>
              <w:spacing w:after="0"/>
              <w:rPr>
                <w:rFonts w:ascii="Arial" w:cs="Arial" w:eastAsia="Arial" w:hAnsi="Arial"/>
                <w:sz w:val="20"/>
                <w:szCs w:val="20"/>
                <w:color w:val="0000EE"/>
                <w:w w:val="87"/>
              </w:rPr>
            </w:pPr>
            <w:hyperlink w:anchor="page46">
              <w:r>
                <w:rPr>
                  <w:rFonts w:ascii="Arial" w:cs="Arial" w:eastAsia="Arial" w:hAnsi="Arial"/>
                  <w:sz w:val="20"/>
                  <w:szCs w:val="20"/>
                  <w:color w:val="0000EE"/>
                  <w:w w:val="87"/>
                </w:rPr>
                <w:t>Consolidated Balance Sheets as of December 31, 2009 and 2008</w:t>
              </w:r>
            </w:hyperlink>
          </w:p>
        </w:tc>
        <w:tc>
          <w:tcPr>
            <w:tcW w:w="5120" w:type="dxa"/>
            <w:vAlign w:val="bottom"/>
            <w:gridSpan w:val="6"/>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0"/>
                <w:szCs w:val="20"/>
                <w:color w:val="auto"/>
                <w:w w:val="89"/>
              </w:rPr>
              <w:t>73</w:t>
            </w:r>
          </w:p>
        </w:tc>
      </w:tr>
      <w:tr>
        <w:trPr>
          <w:trHeight w:val="439"/>
        </w:trPr>
        <w:tc>
          <w:tcPr>
            <w:tcW w:w="10240" w:type="dxa"/>
            <w:vAlign w:val="bottom"/>
            <w:gridSpan w:val="9"/>
          </w:tcPr>
          <w:p>
            <w:pPr>
              <w:spacing w:after="0"/>
              <w:rPr>
                <w:rFonts w:ascii="Arial" w:cs="Arial" w:eastAsia="Arial" w:hAnsi="Arial"/>
                <w:sz w:val="20"/>
                <w:szCs w:val="20"/>
                <w:color w:val="0000EE"/>
              </w:rPr>
            </w:pPr>
            <w:hyperlink w:anchor="page47">
              <w:r>
                <w:rPr>
                  <w:rFonts w:ascii="Arial" w:cs="Arial" w:eastAsia="Arial" w:hAnsi="Arial"/>
                  <w:sz w:val="20"/>
                  <w:szCs w:val="20"/>
                  <w:color w:val="0000EE"/>
                </w:rPr>
                <w:t>Consolidated Statements of Income for the years ended December 31, 2009, 2008 and 2007</w:t>
              </w:r>
            </w:hyperlink>
          </w:p>
        </w:tc>
        <w:tc>
          <w:tcPr>
            <w:tcW w:w="1220" w:type="dxa"/>
            <w:vAlign w:val="bottom"/>
          </w:tcPr>
          <w:p>
            <w:pPr>
              <w:jc w:val="center"/>
              <w:spacing w:after="0"/>
              <w:rPr>
                <w:sz w:val="20"/>
                <w:szCs w:val="20"/>
                <w:color w:val="auto"/>
              </w:rPr>
            </w:pPr>
            <w:r>
              <w:rPr>
                <w:rFonts w:ascii="Arial" w:cs="Arial" w:eastAsia="Arial" w:hAnsi="Arial"/>
                <w:sz w:val="20"/>
                <w:szCs w:val="20"/>
                <w:color w:val="auto"/>
                <w:w w:val="89"/>
              </w:rPr>
              <w:t>74</w:t>
            </w:r>
          </w:p>
        </w:tc>
      </w:tr>
      <w:tr>
        <w:trPr>
          <w:trHeight w:val="20"/>
        </w:trPr>
        <w:tc>
          <w:tcPr>
            <w:tcW w:w="348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39"/>
        </w:trPr>
        <w:tc>
          <w:tcPr>
            <w:tcW w:w="8360" w:type="dxa"/>
            <w:vAlign w:val="bottom"/>
            <w:tcBorders>
              <w:bottom w:val="single" w:sz="8" w:color="0000EE"/>
            </w:tcBorders>
            <w:gridSpan w:val="6"/>
          </w:tcPr>
          <w:p>
            <w:pPr>
              <w:spacing w:after="0"/>
              <w:rPr>
                <w:rFonts w:ascii="Arial" w:cs="Arial" w:eastAsia="Arial" w:hAnsi="Arial"/>
                <w:sz w:val="20"/>
                <w:szCs w:val="20"/>
                <w:color w:val="0000EE"/>
                <w:w w:val="89"/>
              </w:rPr>
            </w:pPr>
            <w:hyperlink w:anchor="page48">
              <w:r>
                <w:rPr>
                  <w:rFonts w:ascii="Arial" w:cs="Arial" w:eastAsia="Arial" w:hAnsi="Arial"/>
                  <w:sz w:val="20"/>
                  <w:szCs w:val="20"/>
                  <w:color w:val="0000EE"/>
                  <w:w w:val="89"/>
                </w:rPr>
                <w:t>Consolidated Statements of Stockholders’ Equity for the years ended December 31, 2009, 2008 and 2007</w:t>
              </w:r>
            </w:hyperlink>
          </w:p>
        </w:tc>
        <w:tc>
          <w:tcPr>
            <w:tcW w:w="1880" w:type="dxa"/>
            <w:vAlign w:val="bottom"/>
            <w:gridSpan w:val="3"/>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0"/>
                <w:szCs w:val="20"/>
                <w:color w:val="auto"/>
                <w:w w:val="89"/>
              </w:rPr>
              <w:t>75</w:t>
            </w:r>
          </w:p>
        </w:tc>
      </w:tr>
      <w:tr>
        <w:trPr>
          <w:trHeight w:val="439"/>
        </w:trPr>
        <w:tc>
          <w:tcPr>
            <w:tcW w:w="10240" w:type="dxa"/>
            <w:vAlign w:val="bottom"/>
            <w:gridSpan w:val="9"/>
          </w:tcPr>
          <w:p>
            <w:pPr>
              <w:spacing w:after="0"/>
              <w:rPr>
                <w:rFonts w:ascii="Arial" w:cs="Arial" w:eastAsia="Arial" w:hAnsi="Arial"/>
                <w:sz w:val="20"/>
                <w:szCs w:val="20"/>
                <w:color w:val="0000EE"/>
              </w:rPr>
            </w:pPr>
            <w:hyperlink w:anchor="page48">
              <w:r>
                <w:rPr>
                  <w:rFonts w:ascii="Arial" w:cs="Arial" w:eastAsia="Arial" w:hAnsi="Arial"/>
                  <w:sz w:val="20"/>
                  <w:szCs w:val="20"/>
                  <w:color w:val="0000EE"/>
                </w:rPr>
                <w:t>Consolidated Statements of Comprehensive Income for the years ended December 31, 2009, 2008 and 2007</w:t>
              </w:r>
            </w:hyperlink>
          </w:p>
        </w:tc>
        <w:tc>
          <w:tcPr>
            <w:tcW w:w="1220" w:type="dxa"/>
            <w:vAlign w:val="bottom"/>
          </w:tcPr>
          <w:p>
            <w:pPr>
              <w:jc w:val="center"/>
              <w:spacing w:after="0"/>
              <w:rPr>
                <w:sz w:val="20"/>
                <w:szCs w:val="20"/>
                <w:color w:val="auto"/>
              </w:rPr>
            </w:pPr>
            <w:r>
              <w:rPr>
                <w:rFonts w:ascii="Arial" w:cs="Arial" w:eastAsia="Arial" w:hAnsi="Arial"/>
                <w:sz w:val="20"/>
                <w:szCs w:val="20"/>
                <w:color w:val="auto"/>
                <w:w w:val="89"/>
              </w:rPr>
              <w:t>76</w:t>
            </w:r>
          </w:p>
        </w:tc>
      </w:tr>
      <w:tr>
        <w:trPr>
          <w:trHeight w:val="439"/>
        </w:trPr>
        <w:tc>
          <w:tcPr>
            <w:tcW w:w="8560" w:type="dxa"/>
            <w:vAlign w:val="bottom"/>
            <w:tcBorders>
              <w:top w:val="single" w:sz="8" w:color="0000EE"/>
            </w:tcBorders>
            <w:gridSpan w:val="7"/>
          </w:tcPr>
          <w:p>
            <w:pPr>
              <w:spacing w:after="0"/>
              <w:rPr>
                <w:rFonts w:ascii="Arial" w:cs="Arial" w:eastAsia="Arial" w:hAnsi="Arial"/>
                <w:sz w:val="20"/>
                <w:szCs w:val="20"/>
                <w:color w:val="0000EE"/>
                <w:w w:val="99"/>
              </w:rPr>
            </w:pPr>
            <w:hyperlink w:anchor="page49">
              <w:r>
                <w:rPr>
                  <w:rFonts w:ascii="Arial" w:cs="Arial" w:eastAsia="Arial" w:hAnsi="Arial"/>
                  <w:sz w:val="20"/>
                  <w:szCs w:val="20"/>
                  <w:color w:val="0000EE"/>
                  <w:w w:val="99"/>
                </w:rPr>
                <w:t>Consolidated Statements of Cash Flows for the years ended December 31, 2009, 2008 and 2007</w:t>
              </w:r>
            </w:hyperlink>
          </w:p>
        </w:tc>
        <w:tc>
          <w:tcPr>
            <w:tcW w:w="1680" w:type="dxa"/>
            <w:vAlign w:val="bottom"/>
            <w:gridSpan w:val="2"/>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0"/>
                <w:szCs w:val="20"/>
                <w:color w:val="auto"/>
                <w:w w:val="89"/>
              </w:rPr>
              <w:t>77</w:t>
            </w:r>
          </w:p>
        </w:tc>
      </w:tr>
      <w:tr>
        <w:trPr>
          <w:trHeight w:val="439"/>
        </w:trPr>
        <w:tc>
          <w:tcPr>
            <w:tcW w:w="3480" w:type="dxa"/>
            <w:vAlign w:val="bottom"/>
            <w:tcBorders>
              <w:top w:val="single" w:sz="8" w:color="0000EE"/>
              <w:bottom w:val="single" w:sz="8" w:color="0000EE"/>
            </w:tcBorders>
          </w:tcPr>
          <w:p>
            <w:pPr>
              <w:spacing w:after="0"/>
              <w:rPr>
                <w:rFonts w:ascii="Arial" w:cs="Arial" w:eastAsia="Arial" w:hAnsi="Arial"/>
                <w:sz w:val="20"/>
                <w:szCs w:val="20"/>
                <w:color w:val="0000EE"/>
                <w:w w:val="88"/>
              </w:rPr>
            </w:pPr>
            <w:hyperlink w:anchor="page50">
              <w:r>
                <w:rPr>
                  <w:rFonts w:ascii="Arial" w:cs="Arial" w:eastAsia="Arial" w:hAnsi="Arial"/>
                  <w:sz w:val="20"/>
                  <w:szCs w:val="20"/>
                  <w:color w:val="0000EE"/>
                  <w:w w:val="88"/>
                </w:rPr>
                <w:t>Notes to Consolidated Financial Statements</w:t>
              </w:r>
            </w:hyperlink>
          </w:p>
        </w:tc>
        <w:tc>
          <w:tcPr>
            <w:tcW w:w="4120" w:type="dxa"/>
            <w:vAlign w:val="bottom"/>
            <w:tcBorders>
              <w:top w:val="single" w:sz="8" w:color="0000EE"/>
            </w:tcBorders>
            <w:gridSpan w:val="4"/>
          </w:tcPr>
          <w:p>
            <w:pPr>
              <w:spacing w:after="0"/>
              <w:rPr>
                <w:sz w:val="24"/>
                <w:szCs w:val="24"/>
                <w:color w:val="auto"/>
              </w:rPr>
            </w:pPr>
          </w:p>
        </w:tc>
        <w:tc>
          <w:tcPr>
            <w:tcW w:w="2640" w:type="dxa"/>
            <w:vAlign w:val="bottom"/>
            <w:gridSpan w:val="4"/>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0"/>
                <w:szCs w:val="20"/>
                <w:color w:val="auto"/>
                <w:w w:val="89"/>
              </w:rPr>
              <w:t>79</w:t>
            </w:r>
          </w:p>
        </w:tc>
      </w:tr>
      <w:tr>
        <w:trPr>
          <w:trHeight w:val="669"/>
        </w:trPr>
        <w:tc>
          <w:tcPr>
            <w:tcW w:w="10240" w:type="dxa"/>
            <w:vAlign w:val="bottom"/>
            <w:gridSpan w:val="9"/>
          </w:tcPr>
          <w:p>
            <w:pPr>
              <w:spacing w:after="0"/>
              <w:rPr>
                <w:rFonts w:ascii="Arial" w:cs="Arial" w:eastAsia="Arial" w:hAnsi="Arial"/>
                <w:sz w:val="20"/>
                <w:szCs w:val="20"/>
                <w:color w:val="0000EE"/>
                <w:w w:val="93"/>
              </w:rPr>
            </w:pPr>
            <w:hyperlink w:anchor="page70">
              <w:r>
                <w:rPr>
                  <w:rFonts w:ascii="Arial" w:cs="Arial" w:eastAsia="Arial" w:hAnsi="Arial"/>
                  <w:sz w:val="20"/>
                  <w:szCs w:val="20"/>
                  <w:color w:val="0000EE"/>
                  <w:w w:val="93"/>
                </w:rPr>
                <w:t>Financial Statement Schedule – Valuation and Qualifying Accounts for the years ended December 31, 2009, 2008 and 2007</w:t>
              </w:r>
            </w:hyperlink>
          </w:p>
        </w:tc>
        <w:tc>
          <w:tcPr>
            <w:tcW w:w="1220" w:type="dxa"/>
            <w:vAlign w:val="bottom"/>
          </w:tcPr>
          <w:p>
            <w:pPr>
              <w:jc w:val="center"/>
              <w:spacing w:after="0"/>
              <w:rPr>
                <w:sz w:val="20"/>
                <w:szCs w:val="20"/>
                <w:color w:val="auto"/>
              </w:rPr>
            </w:pPr>
            <w:r>
              <w:rPr>
                <w:rFonts w:ascii="Arial" w:cs="Arial" w:eastAsia="Arial" w:hAnsi="Arial"/>
                <w:sz w:val="20"/>
                <w:szCs w:val="20"/>
                <w:color w:val="auto"/>
                <w:w w:val="89"/>
              </w:rPr>
              <w:t>110</w:t>
            </w:r>
          </w:p>
        </w:tc>
      </w:tr>
      <w:tr>
        <w:trPr>
          <w:trHeight w:val="433"/>
        </w:trPr>
        <w:tc>
          <w:tcPr>
            <w:tcW w:w="7260" w:type="dxa"/>
            <w:vAlign w:val="bottom"/>
            <w:tcBorders>
              <w:top w:val="single" w:sz="8" w:color="0000EE"/>
            </w:tcBorders>
            <w:gridSpan w:val="4"/>
          </w:tcPr>
          <w:p>
            <w:pPr>
              <w:ind w:left="5640"/>
              <w:spacing w:after="0"/>
              <w:rPr>
                <w:sz w:val="20"/>
                <w:szCs w:val="20"/>
                <w:color w:val="auto"/>
              </w:rPr>
            </w:pPr>
            <w:r>
              <w:rPr>
                <w:rFonts w:ascii="Arial" w:cs="Arial" w:eastAsia="Arial" w:hAnsi="Arial"/>
                <w:sz w:val="16"/>
                <w:szCs w:val="16"/>
                <w:color w:val="auto"/>
              </w:rPr>
              <w:t>71</w:t>
            </w:r>
          </w:p>
        </w:tc>
        <w:tc>
          <w:tcPr>
            <w:tcW w:w="3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38"/>
        </w:trPr>
        <w:tc>
          <w:tcPr>
            <w:tcW w:w="34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1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Hansen Natural Corporation</w:t>
      </w:r>
    </w:p>
    <w:p>
      <w:pPr>
        <w:spacing w:after="0"/>
        <w:rPr>
          <w:sz w:val="20"/>
          <w:szCs w:val="20"/>
          <w:color w:val="auto"/>
        </w:rPr>
      </w:pPr>
      <w:r>
        <w:rPr>
          <w:rFonts w:ascii="Arial" w:cs="Arial" w:eastAsia="Arial" w:hAnsi="Arial"/>
          <w:sz w:val="20"/>
          <w:szCs w:val="20"/>
          <w:color w:val="auto"/>
        </w:rPr>
        <w:t>Corona, California</w:t>
      </w:r>
    </w:p>
    <w:p>
      <w:pPr>
        <w:spacing w:after="0" w:line="213" w:lineRule="exact"/>
        <w:rPr>
          <w:sz w:val="20"/>
          <w:szCs w:val="20"/>
          <w:color w:val="auto"/>
        </w:rPr>
      </w:pPr>
    </w:p>
    <w:p>
      <w:pPr>
        <w:jc w:val="both"/>
        <w:ind w:right="40"/>
        <w:spacing w:after="0" w:line="278" w:lineRule="auto"/>
        <w:rPr>
          <w:sz w:val="20"/>
          <w:szCs w:val="20"/>
          <w:color w:val="auto"/>
        </w:rPr>
      </w:pPr>
      <w:r>
        <w:rPr>
          <w:rFonts w:ascii="Arial" w:cs="Arial" w:eastAsia="Arial" w:hAnsi="Arial"/>
          <w:sz w:val="18"/>
          <w:szCs w:val="18"/>
          <w:color w:val="auto"/>
        </w:rPr>
        <w:t>We have audited the accompanying consolidated balance sheets of Hansen Natural Corporation and subsidiaries (the “Company”) as of December 31, 2009 and 2008, and the related consolidated statements of income, stockholders’ equity, comprehensive income and cash flows for each of the three years in the period ended December 31, 2009. Our audits also included the financial statement schedule listed in Item 15(a).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79" w:lineRule="exact"/>
        <w:rPr>
          <w:sz w:val="20"/>
          <w:szCs w:val="20"/>
          <w:color w:val="auto"/>
        </w:rPr>
      </w:pPr>
    </w:p>
    <w:p>
      <w:pPr>
        <w:jc w:val="both"/>
        <w:ind w:right="40"/>
        <w:spacing w:after="0" w:line="32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47" w:lineRule="exact"/>
        <w:rPr>
          <w:sz w:val="20"/>
          <w:szCs w:val="20"/>
          <w:color w:val="auto"/>
        </w:rPr>
      </w:pPr>
    </w:p>
    <w:p>
      <w:pPr>
        <w:jc w:val="both"/>
        <w:ind w:right="40"/>
        <w:spacing w:after="0" w:line="244" w:lineRule="auto"/>
        <w:rPr>
          <w:sz w:val="20"/>
          <w:szCs w:val="20"/>
          <w:color w:val="auto"/>
        </w:rPr>
      </w:pPr>
      <w:r>
        <w:rPr>
          <w:rFonts w:ascii="Arial" w:cs="Arial" w:eastAsia="Arial" w:hAnsi="Arial"/>
          <w:sz w:val="20"/>
          <w:szCs w:val="20"/>
          <w:color w:val="auto"/>
        </w:rPr>
        <w:t>In our opinion, such consolidated financial statements present fairly, in all material respects, the financial position of the Company as of December 31, 2009 and 2008, and the results of their operations and their cash flows for each of the three years in the period ended December 31, 2009,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208"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 xml:space="preserve">We have also audited, in accordance with the standards of the Public Company Accounting Oversight Board (United States), the Company’s internal control over financial reporting as of December 31, 2009, based on the criteria established in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issued by the Committee of Sponsoring Organizations of the Treadway Commission and our report dated March 1, 2010, expressed an unqualified opinion on the Company’s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Costa Mesa,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1, 2010</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SHEETS</w:t>
      </w:r>
    </w:p>
    <w:p>
      <w:pPr>
        <w:spacing w:after="0"/>
        <w:rPr>
          <w:sz w:val="20"/>
          <w:szCs w:val="20"/>
          <w:color w:val="auto"/>
        </w:rPr>
      </w:pPr>
      <w:r>
        <w:rPr>
          <w:rFonts w:ascii="Arial" w:cs="Arial" w:eastAsia="Arial" w:hAnsi="Arial"/>
          <w:sz w:val="20"/>
          <w:szCs w:val="20"/>
          <w:b w:val="1"/>
          <w:bCs w:val="1"/>
          <w:color w:val="auto"/>
        </w:rPr>
        <w:t>AS OF DECEMBER 31, 2009 AND 2008 (In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683514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5140" cy="1714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5240" w:type="dxa"/>
            <w:vAlign w:val="bottom"/>
            <w:gridSpan w:val="3"/>
            <w:vMerge w:val="restart"/>
          </w:tcPr>
          <w:p>
            <w:pPr>
              <w:ind w:left="70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156"/>
        </w:trPr>
        <w:tc>
          <w:tcPr>
            <w:tcW w:w="2880" w:type="dxa"/>
            <w:vAlign w:val="bottom"/>
            <w:vMerge w:val="restart"/>
          </w:tcPr>
          <w:p>
            <w:pPr>
              <w:spacing w:after="0"/>
              <w:rPr>
                <w:sz w:val="20"/>
                <w:szCs w:val="20"/>
                <w:color w:val="auto"/>
              </w:rPr>
            </w:pPr>
            <w:r>
              <w:rPr>
                <w:rFonts w:ascii="Arial" w:cs="Arial" w:eastAsia="Arial" w:hAnsi="Arial"/>
                <w:sz w:val="18"/>
                <w:szCs w:val="18"/>
                <w:color w:val="auto"/>
              </w:rPr>
              <w:t>CURRENT ASSETS:</w:t>
            </w:r>
          </w:p>
        </w:tc>
        <w:tc>
          <w:tcPr>
            <w:tcW w:w="524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88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328,349</w:t>
            </w:r>
          </w:p>
        </w:tc>
        <w:tc>
          <w:tcPr>
            <w:tcW w:w="12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256,801</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Short-term investments</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18,487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29,145</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Trade accounts receivable, net</w:t>
            </w: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104,206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45,233</w:t>
            </w:r>
          </w:p>
        </w:tc>
        <w:tc>
          <w:tcPr>
            <w:tcW w:w="0" w:type="dxa"/>
            <w:vAlign w:val="bottom"/>
          </w:tcPr>
          <w:p>
            <w:pPr>
              <w:spacing w:after="0"/>
              <w:rPr>
                <w:sz w:val="1"/>
                <w:szCs w:val="1"/>
                <w:color w:val="auto"/>
              </w:rPr>
            </w:pPr>
          </w:p>
        </w:tc>
      </w:tr>
    </w:tbl>
    <w:p>
      <w:pPr>
        <w:sectPr>
          <w:pgSz w:w="11900" w:h="16870" w:orient="portrait"/>
          <w:cols w:equalWidth="0" w:num="1">
            <w:col w:w="11460"/>
          </w:cols>
          <w:pgMar w:left="240" w:top="122" w:right="199" w:bottom="0" w:gutter="0" w:footer="0" w:header="0"/>
        </w:sectPr>
      </w:pPr>
    </w:p>
    <w:bookmarkStart w:id="46" w:name="page47"/>
    <w:bookmarkEnd w:id="46"/>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Distributor receivables</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4,699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90,722</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108,143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116,326</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11,270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8,379</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Prepaid income taxes</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30"/>
        </w:trPr>
        <w:tc>
          <w:tcPr>
            <w:tcW w:w="81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10,350</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24"/>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Total current assets</w:t>
            </w:r>
          </w:p>
        </w:tc>
        <w:tc>
          <w:tcPr>
            <w:tcW w:w="5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585,504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561,324</w:t>
            </w:r>
          </w:p>
        </w:tc>
        <w:tc>
          <w:tcPr>
            <w:tcW w:w="0" w:type="dxa"/>
            <w:vAlign w:val="bottom"/>
          </w:tcPr>
          <w:p>
            <w:pPr>
              <w:spacing w:after="0"/>
              <w:rPr>
                <w:sz w:val="1"/>
                <w:szCs w:val="1"/>
                <w:color w:val="auto"/>
              </w:rPr>
            </w:pPr>
          </w:p>
        </w:tc>
      </w:tr>
      <w:tr>
        <w:trPr>
          <w:trHeight w:val="404"/>
        </w:trPr>
        <w:tc>
          <w:tcPr>
            <w:tcW w:w="8120" w:type="dxa"/>
            <w:vAlign w:val="bottom"/>
            <w:gridSpan w:val="3"/>
          </w:tcPr>
          <w:p>
            <w:pPr>
              <w:spacing w:after="0"/>
              <w:rPr>
                <w:sz w:val="20"/>
                <w:szCs w:val="20"/>
                <w:color w:val="auto"/>
              </w:rPr>
            </w:pPr>
            <w:r>
              <w:rPr>
                <w:rFonts w:ascii="Arial" w:cs="Arial" w:eastAsia="Arial" w:hAnsi="Arial"/>
                <w:sz w:val="18"/>
                <w:szCs w:val="18"/>
                <w:color w:val="auto"/>
              </w:rPr>
              <w:t>INVESTMENTS</w:t>
            </w:r>
          </w:p>
        </w:tc>
        <w:tc>
          <w:tcPr>
            <w:tcW w:w="5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80,836</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89,567</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33,314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14,389</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65,678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65,748</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INTANGIBLES, net</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33,512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28,365</w:t>
            </w:r>
          </w:p>
        </w:tc>
        <w:tc>
          <w:tcPr>
            <w:tcW w:w="0" w:type="dxa"/>
            <w:vAlign w:val="bottom"/>
          </w:tcPr>
          <w:p>
            <w:pPr>
              <w:spacing w:after="0"/>
              <w:rPr>
                <w:sz w:val="1"/>
                <w:szCs w:val="1"/>
                <w:color w:val="auto"/>
              </w:rPr>
            </w:pPr>
          </w:p>
        </w:tc>
      </w:tr>
      <w:tr>
        <w:trPr>
          <w:trHeight w:val="230"/>
        </w:trPr>
        <w:tc>
          <w:tcPr>
            <w:tcW w:w="81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800,070</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761,837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4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960" w:type="dxa"/>
            <w:vAlign w:val="bottom"/>
          </w:tcPr>
          <w:p>
            <w:pPr>
              <w:spacing w:after="0"/>
              <w:rPr>
                <w:sz w:val="24"/>
                <w:szCs w:val="24"/>
                <w:color w:val="auto"/>
              </w:rPr>
            </w:pPr>
          </w:p>
        </w:tc>
        <w:tc>
          <w:tcPr>
            <w:tcW w:w="3920" w:type="dxa"/>
            <w:vAlign w:val="bottom"/>
            <w:tcBorders>
              <w:bottom w:val="single" w:sz="8" w:color="auto"/>
            </w:tcBorders>
            <w:vMerge w:val="continue"/>
          </w:tcPr>
          <w:p>
            <w:pPr>
              <w:spacing w:after="0"/>
              <w:rPr>
                <w:sz w:val="24"/>
                <w:szCs w:val="24"/>
                <w:color w:val="auto"/>
              </w:rPr>
            </w:pPr>
          </w:p>
        </w:tc>
        <w:tc>
          <w:tcPr>
            <w:tcW w:w="22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1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48,863</w:t>
            </w:r>
          </w:p>
        </w:tc>
        <w:tc>
          <w:tcPr>
            <w:tcW w:w="120" w:type="dxa"/>
            <w:vAlign w:val="bottom"/>
          </w:tcPr>
          <w:p>
            <w:pPr>
              <w:spacing w:after="0"/>
              <w:rPr>
                <w:sz w:val="18"/>
                <w:szCs w:val="18"/>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64,787</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23,299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12,524</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Accrued distributor terminations</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2,977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102,282</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Accrued compensation</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7,623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Current portion of debt</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30"/>
        </w:trPr>
        <w:tc>
          <w:tcPr>
            <w:tcW w:w="8120" w:type="dxa"/>
            <w:vAlign w:val="bottom"/>
            <w:gridSpan w:val="3"/>
          </w:tcPr>
          <w:p>
            <w:pPr>
              <w:spacing w:after="0"/>
              <w:rPr>
                <w:sz w:val="20"/>
                <w:szCs w:val="20"/>
                <w:color w:val="auto"/>
              </w:rPr>
            </w:pPr>
            <w:r>
              <w:rPr>
                <w:rFonts w:ascii="Arial" w:cs="Arial" w:eastAsia="Arial" w:hAnsi="Arial"/>
                <w:sz w:val="18"/>
                <w:szCs w:val="18"/>
                <w:color w:val="auto"/>
              </w:rPr>
              <w:t>Income taxes payable</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Total current liabilities</w:t>
            </w:r>
          </w:p>
        </w:tc>
        <w:tc>
          <w:tcPr>
            <w:tcW w:w="5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83,729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187,334</w:t>
            </w:r>
          </w:p>
        </w:tc>
        <w:tc>
          <w:tcPr>
            <w:tcW w:w="0" w:type="dxa"/>
            <w:vAlign w:val="bottom"/>
          </w:tcPr>
          <w:p>
            <w:pPr>
              <w:spacing w:after="0"/>
              <w:rPr>
                <w:sz w:val="1"/>
                <w:szCs w:val="1"/>
                <w:color w:val="auto"/>
              </w:rPr>
            </w:pPr>
          </w:p>
        </w:tc>
      </w:tr>
      <w:tr>
        <w:trPr>
          <w:trHeight w:val="418"/>
        </w:trPr>
        <w:tc>
          <w:tcPr>
            <w:tcW w:w="8120" w:type="dxa"/>
            <w:vAlign w:val="bottom"/>
            <w:gridSpan w:val="3"/>
          </w:tcPr>
          <w:p>
            <w:pPr>
              <w:spacing w:after="0"/>
              <w:rPr>
                <w:sz w:val="20"/>
                <w:szCs w:val="20"/>
                <w:color w:val="auto"/>
              </w:rPr>
            </w:pPr>
            <w:r>
              <w:rPr>
                <w:rFonts w:ascii="Arial" w:cs="Arial" w:eastAsia="Arial" w:hAnsi="Arial"/>
                <w:sz w:val="18"/>
                <w:szCs w:val="18"/>
                <w:color w:val="auto"/>
              </w:rPr>
              <w:t>DEFERRED REVENUE</w:t>
            </w:r>
          </w:p>
        </w:tc>
        <w:tc>
          <w:tcPr>
            <w:tcW w:w="5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131,388</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138,187</w:t>
            </w:r>
          </w:p>
        </w:tc>
        <w:tc>
          <w:tcPr>
            <w:tcW w:w="0" w:type="dxa"/>
            <w:vAlign w:val="bottom"/>
          </w:tcPr>
          <w:p>
            <w:pPr>
              <w:spacing w:after="0"/>
              <w:rPr>
                <w:sz w:val="1"/>
                <w:szCs w:val="1"/>
                <w:color w:val="auto"/>
              </w:rPr>
            </w:pPr>
          </w:p>
        </w:tc>
      </w:tr>
      <w:tr>
        <w:trPr>
          <w:trHeight w:val="432"/>
        </w:trPr>
        <w:tc>
          <w:tcPr>
            <w:tcW w:w="8120" w:type="dxa"/>
            <w:vAlign w:val="bottom"/>
            <w:gridSpan w:val="3"/>
          </w:tcPr>
          <w:p>
            <w:pPr>
              <w:spacing w:after="0"/>
              <w:rPr>
                <w:sz w:val="20"/>
                <w:szCs w:val="20"/>
                <w:color w:val="auto"/>
              </w:rPr>
            </w:pPr>
            <w:r>
              <w:rPr>
                <w:rFonts w:ascii="Arial" w:cs="Arial" w:eastAsia="Arial" w:hAnsi="Arial"/>
                <w:sz w:val="18"/>
                <w:szCs w:val="18"/>
                <w:color w:val="auto"/>
              </w:rPr>
              <w:t>COMMITMENTS AND CONTINGENCIES (Note 11)</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Common stock - $0.005 par value; 120,000 shares authorized;</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97,285 shares issued and 88,159 outstanding as of December 31, 2009;</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96,851 shares issued and 90,328 outstanding as of December 31, 2008</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137,040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117,106</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670,396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461,680</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Accumulated other comprehensive loss</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(4,667)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(10,825)</w:t>
            </w:r>
          </w:p>
        </w:tc>
        <w:tc>
          <w:tcPr>
            <w:tcW w:w="0" w:type="dxa"/>
            <w:vAlign w:val="bottom"/>
          </w:tcPr>
          <w:p>
            <w:pPr>
              <w:spacing w:after="0"/>
              <w:rPr>
                <w:sz w:val="1"/>
                <w:szCs w:val="1"/>
                <w:color w:val="auto"/>
              </w:rPr>
            </w:pPr>
          </w:p>
        </w:tc>
      </w:tr>
      <w:tr>
        <w:trPr>
          <w:trHeight w:val="230"/>
        </w:trPr>
        <w:tc>
          <w:tcPr>
            <w:tcW w:w="8120" w:type="dxa"/>
            <w:vAlign w:val="bottom"/>
            <w:gridSpan w:val="3"/>
          </w:tcPr>
          <w:p>
            <w:pPr>
              <w:spacing w:after="0"/>
              <w:rPr>
                <w:sz w:val="20"/>
                <w:szCs w:val="20"/>
                <w:color w:val="auto"/>
              </w:rPr>
            </w:pPr>
            <w:r>
              <w:rPr>
                <w:rFonts w:ascii="Arial" w:cs="Arial" w:eastAsia="Arial" w:hAnsi="Arial"/>
                <w:sz w:val="18"/>
                <w:szCs w:val="18"/>
                <w:color w:val="auto"/>
                <w:w w:val="93"/>
              </w:rPr>
              <w:t>Common stock in treasury, at cost; 9,126 and 6,523 shares as of December 31, 2009 and 2008, respectively</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(218,302)</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(132,129)</w:t>
            </w:r>
          </w:p>
        </w:tc>
        <w:tc>
          <w:tcPr>
            <w:tcW w:w="0" w:type="dxa"/>
            <w:vAlign w:val="bottom"/>
          </w:tcPr>
          <w:p>
            <w:pPr>
              <w:spacing w:after="0"/>
              <w:rPr>
                <w:sz w:val="1"/>
                <w:szCs w:val="1"/>
                <w:color w:val="auto"/>
              </w:rPr>
            </w:pPr>
          </w:p>
        </w:tc>
      </w:tr>
      <w:tr>
        <w:trPr>
          <w:trHeight w:val="210"/>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Total stockholders’ equity</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584,953</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436,316</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800,070</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761,837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INCOME</w:t>
      </w:r>
    </w:p>
    <w:p>
      <w:pPr>
        <w:ind w:right="5560"/>
        <w:spacing w:after="0" w:line="244" w:lineRule="auto"/>
        <w:rPr>
          <w:sz w:val="20"/>
          <w:szCs w:val="20"/>
          <w:color w:val="auto"/>
        </w:rPr>
      </w:pPr>
      <w:r>
        <w:rPr>
          <w:rFonts w:ascii="Arial" w:cs="Arial" w:eastAsia="Arial" w:hAnsi="Arial"/>
          <w:sz w:val="20"/>
          <w:szCs w:val="20"/>
          <w:b w:val="1"/>
          <w:bCs w:val="1"/>
          <w:color w:val="auto"/>
        </w:rPr>
        <w:t>FOR THE YEARS ENDED DECEMBER 31, 2009, 2008 AND 2007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2009</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2008</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2007</w:t>
            </w:r>
          </w:p>
        </w:tc>
        <w:tc>
          <w:tcPr>
            <w:tcW w:w="0" w:type="dxa"/>
            <w:vAlign w:val="bottom"/>
          </w:tcPr>
          <w:p>
            <w:pPr>
              <w:spacing w:after="0"/>
              <w:rPr>
                <w:sz w:val="1"/>
                <w:szCs w:val="1"/>
                <w:color w:val="auto"/>
              </w:rPr>
            </w:pPr>
          </w:p>
        </w:tc>
      </w:tr>
      <w:tr>
        <w:trPr>
          <w:trHeight w:val="396"/>
        </w:trPr>
        <w:tc>
          <w:tcPr>
            <w:tcW w:w="4660" w:type="dxa"/>
            <w:vAlign w:val="bottom"/>
          </w:tcPr>
          <w:p>
            <w:pPr>
              <w:spacing w:after="0"/>
              <w:rPr>
                <w:sz w:val="20"/>
                <w:szCs w:val="20"/>
                <w:color w:val="auto"/>
              </w:rPr>
            </w:pPr>
            <w:r>
              <w:rPr>
                <w:rFonts w:ascii="Arial" w:cs="Arial" w:eastAsia="Arial" w:hAnsi="Arial"/>
                <w:sz w:val="16"/>
                <w:szCs w:val="16"/>
                <w:color w:val="auto"/>
              </w:rPr>
              <w:t>NET SALES</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1,143,299</w:t>
            </w:r>
          </w:p>
        </w:tc>
        <w:tc>
          <w:tcPr>
            <w:tcW w:w="180" w:type="dxa"/>
            <w:vAlign w:val="bottom"/>
          </w:tcPr>
          <w:p>
            <w:pPr>
              <w:spacing w:after="0"/>
              <w:rPr>
                <w:sz w:val="24"/>
                <w:szCs w:val="24"/>
                <w:color w:val="auto"/>
              </w:rPr>
            </w:pPr>
          </w:p>
        </w:tc>
        <w:tc>
          <w:tcPr>
            <w:tcW w:w="4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1,033,780</w:t>
            </w:r>
          </w:p>
        </w:tc>
        <w:tc>
          <w:tcPr>
            <w:tcW w:w="180" w:type="dxa"/>
            <w:vAlign w:val="bottom"/>
          </w:tcPr>
          <w:p>
            <w:pPr>
              <w:spacing w:after="0"/>
              <w:rPr>
                <w:sz w:val="24"/>
                <w:szCs w:val="24"/>
                <w:color w:val="auto"/>
              </w:rPr>
            </w:pP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904,465</w:t>
            </w:r>
          </w:p>
        </w:tc>
        <w:tc>
          <w:tcPr>
            <w:tcW w:w="0" w:type="dxa"/>
            <w:vAlign w:val="bottom"/>
          </w:tcPr>
          <w:p>
            <w:pPr>
              <w:spacing w:after="0"/>
              <w:rPr>
                <w:sz w:val="1"/>
                <w:szCs w:val="1"/>
                <w:color w:val="auto"/>
              </w:rPr>
            </w:pPr>
          </w:p>
        </w:tc>
      </w:tr>
      <w:tr>
        <w:trPr>
          <w:trHeight w:val="408"/>
        </w:trPr>
        <w:tc>
          <w:tcPr>
            <w:tcW w:w="4660" w:type="dxa"/>
            <w:vAlign w:val="bottom"/>
          </w:tcPr>
          <w:p>
            <w:pPr>
              <w:spacing w:after="0"/>
              <w:rPr>
                <w:sz w:val="20"/>
                <w:szCs w:val="20"/>
                <w:color w:val="auto"/>
              </w:rPr>
            </w:pPr>
            <w:r>
              <w:rPr>
                <w:rFonts w:ascii="Arial" w:cs="Arial" w:eastAsia="Arial" w:hAnsi="Arial"/>
                <w:sz w:val="16"/>
                <w:szCs w:val="16"/>
                <w:color w:val="auto"/>
              </w:rPr>
              <w:t>COST OF SALES</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530,983</w:t>
            </w:r>
          </w:p>
        </w:tc>
        <w:tc>
          <w:tcPr>
            <w:tcW w:w="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494,986</w:t>
            </w:r>
          </w:p>
        </w:tc>
        <w:tc>
          <w:tcPr>
            <w:tcW w:w="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436,452</w:t>
            </w:r>
          </w:p>
        </w:tc>
        <w:tc>
          <w:tcPr>
            <w:tcW w:w="0" w:type="dxa"/>
            <w:vAlign w:val="bottom"/>
          </w:tcPr>
          <w:p>
            <w:pPr>
              <w:spacing w:after="0"/>
              <w:rPr>
                <w:sz w:val="1"/>
                <w:szCs w:val="1"/>
                <w:color w:val="auto"/>
              </w:rPr>
            </w:pPr>
          </w:p>
        </w:tc>
      </w:tr>
      <w:tr>
        <w:trPr>
          <w:trHeight w:val="396"/>
        </w:trPr>
        <w:tc>
          <w:tcPr>
            <w:tcW w:w="4660" w:type="dxa"/>
            <w:vAlign w:val="bottom"/>
          </w:tcPr>
          <w:p>
            <w:pPr>
              <w:spacing w:after="0"/>
              <w:rPr>
                <w:sz w:val="20"/>
                <w:szCs w:val="20"/>
                <w:color w:val="auto"/>
              </w:rPr>
            </w:pPr>
            <w:r>
              <w:rPr>
                <w:rFonts w:ascii="Arial" w:cs="Arial" w:eastAsia="Arial" w:hAnsi="Arial"/>
                <w:sz w:val="16"/>
                <w:szCs w:val="16"/>
                <w:color w:val="auto"/>
              </w:rPr>
              <w:t>GROSS PROFIT</w:t>
            </w:r>
          </w:p>
        </w:tc>
        <w:tc>
          <w:tcPr>
            <w:tcW w:w="420" w:type="dxa"/>
            <w:vAlign w:val="bottom"/>
          </w:tcPr>
          <w:p>
            <w:pPr>
              <w:spacing w:after="0"/>
              <w:rPr>
                <w:sz w:val="24"/>
                <w:szCs w:val="24"/>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612,316</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538,794</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468,013</w:t>
            </w:r>
          </w:p>
        </w:tc>
        <w:tc>
          <w:tcPr>
            <w:tcW w:w="0" w:type="dxa"/>
            <w:vAlign w:val="bottom"/>
          </w:tcPr>
          <w:p>
            <w:pPr>
              <w:spacing w:after="0"/>
              <w:rPr>
                <w:sz w:val="1"/>
                <w:szCs w:val="1"/>
                <w:color w:val="auto"/>
              </w:rPr>
            </w:pPr>
          </w:p>
        </w:tc>
      </w:tr>
      <w:tr>
        <w:trPr>
          <w:trHeight w:val="408"/>
        </w:trPr>
        <w:tc>
          <w:tcPr>
            <w:tcW w:w="4660" w:type="dxa"/>
            <w:vAlign w:val="bottom"/>
          </w:tcPr>
          <w:p>
            <w:pPr>
              <w:spacing w:after="0"/>
              <w:rPr>
                <w:sz w:val="20"/>
                <w:szCs w:val="20"/>
                <w:color w:val="auto"/>
              </w:rPr>
            </w:pPr>
            <w:r>
              <w:rPr>
                <w:rFonts w:ascii="Arial" w:cs="Arial" w:eastAsia="Arial" w:hAnsi="Arial"/>
                <w:sz w:val="16"/>
                <w:szCs w:val="16"/>
                <w:color w:val="auto"/>
              </w:rPr>
              <w:t>OPERATING EXPENSES</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275,007</w:t>
            </w:r>
          </w:p>
        </w:tc>
        <w:tc>
          <w:tcPr>
            <w:tcW w:w="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375,203</w:t>
            </w:r>
          </w:p>
        </w:tc>
        <w:tc>
          <w:tcPr>
            <w:tcW w:w="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237,027</w:t>
            </w:r>
          </w:p>
        </w:tc>
        <w:tc>
          <w:tcPr>
            <w:tcW w:w="0" w:type="dxa"/>
            <w:vAlign w:val="bottom"/>
          </w:tcPr>
          <w:p>
            <w:pPr>
              <w:spacing w:after="0"/>
              <w:rPr>
                <w:sz w:val="1"/>
                <w:szCs w:val="1"/>
                <w:color w:val="auto"/>
              </w:rPr>
            </w:pPr>
          </w:p>
        </w:tc>
      </w:tr>
      <w:tr>
        <w:trPr>
          <w:trHeight w:val="396"/>
        </w:trPr>
        <w:tc>
          <w:tcPr>
            <w:tcW w:w="4660" w:type="dxa"/>
            <w:vAlign w:val="bottom"/>
          </w:tcPr>
          <w:p>
            <w:pPr>
              <w:spacing w:after="0"/>
              <w:rPr>
                <w:sz w:val="20"/>
                <w:szCs w:val="20"/>
                <w:color w:val="auto"/>
              </w:rPr>
            </w:pPr>
            <w:r>
              <w:rPr>
                <w:rFonts w:ascii="Arial" w:cs="Arial" w:eastAsia="Arial" w:hAnsi="Arial"/>
                <w:sz w:val="16"/>
                <w:szCs w:val="16"/>
                <w:color w:val="auto"/>
              </w:rPr>
              <w:t>OPERATING INCOME</w:t>
            </w:r>
          </w:p>
        </w:tc>
        <w:tc>
          <w:tcPr>
            <w:tcW w:w="420" w:type="dxa"/>
            <w:vAlign w:val="bottom"/>
          </w:tcPr>
          <w:p>
            <w:pPr>
              <w:spacing w:after="0"/>
              <w:rPr>
                <w:sz w:val="24"/>
                <w:szCs w:val="24"/>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337,309</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163,591</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230,986</w:t>
            </w:r>
          </w:p>
        </w:tc>
        <w:tc>
          <w:tcPr>
            <w:tcW w:w="0" w:type="dxa"/>
            <w:vAlign w:val="bottom"/>
          </w:tcPr>
          <w:p>
            <w:pPr>
              <w:spacing w:after="0"/>
              <w:rPr>
                <w:sz w:val="1"/>
                <w:szCs w:val="1"/>
                <w:color w:val="auto"/>
              </w:rPr>
            </w:pPr>
          </w:p>
        </w:tc>
      </w:tr>
      <w:tr>
        <w:trPr>
          <w:trHeight w:val="401"/>
        </w:trPr>
        <w:tc>
          <w:tcPr>
            <w:tcW w:w="4660" w:type="dxa"/>
            <w:vAlign w:val="bottom"/>
          </w:tcPr>
          <w:p>
            <w:pPr>
              <w:spacing w:after="0"/>
              <w:rPr>
                <w:sz w:val="20"/>
                <w:szCs w:val="20"/>
                <w:color w:val="auto"/>
              </w:rPr>
            </w:pPr>
            <w:r>
              <w:rPr>
                <w:rFonts w:ascii="Arial" w:cs="Arial" w:eastAsia="Arial" w:hAnsi="Arial"/>
                <w:sz w:val="16"/>
                <w:szCs w:val="16"/>
                <w:color w:val="auto"/>
              </w:rPr>
              <w:t>OTHER INCOME (EXPENSE):</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6"/>
                <w:szCs w:val="16"/>
                <w:color w:val="auto"/>
              </w:rPr>
              <w:t>Interest and other income, net</w:t>
            </w:r>
          </w:p>
        </w:tc>
        <w:tc>
          <w:tcPr>
            <w:tcW w:w="420" w:type="dxa"/>
            <w:vAlign w:val="bottom"/>
          </w:tcPr>
          <w:p>
            <w:pPr>
              <w:spacing w:after="0"/>
              <w:rPr>
                <w:sz w:val="17"/>
                <w:szCs w:val="17"/>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2,273</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10,413</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8,770</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6"/>
                <w:szCs w:val="16"/>
                <w:color w:val="auto"/>
              </w:rPr>
              <w:t>Other-than-temporary impairment</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tcPr>
          <w:p>
            <w:pPr>
              <w:ind w:left="180"/>
              <w:spacing w:after="0"/>
              <w:rPr>
                <w:sz w:val="20"/>
                <w:szCs w:val="20"/>
                <w:color w:val="auto"/>
              </w:rPr>
            </w:pPr>
            <w:r>
              <w:rPr>
                <w:rFonts w:ascii="Arial" w:cs="Arial" w:eastAsia="Arial" w:hAnsi="Arial"/>
                <w:sz w:val="16"/>
                <w:szCs w:val="16"/>
                <w:color w:val="auto"/>
              </w:rPr>
              <w:t>of investments</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(3,887)</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(527)</w:t>
            </w: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660" w:type="dxa"/>
            <w:vAlign w:val="bottom"/>
          </w:tcPr>
          <w:p>
            <w:pPr>
              <w:ind w:left="440"/>
              <w:spacing w:after="0"/>
              <w:rPr>
                <w:sz w:val="20"/>
                <w:szCs w:val="20"/>
                <w:color w:val="auto"/>
              </w:rPr>
            </w:pPr>
            <w:r>
              <w:rPr>
                <w:rFonts w:ascii="Arial" w:cs="Arial" w:eastAsia="Arial" w:hAnsi="Arial"/>
                <w:sz w:val="16"/>
                <w:szCs w:val="16"/>
                <w:color w:val="auto"/>
              </w:rPr>
              <w:t>Total other income (expense)</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(1,614)</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9,886</w:t>
            </w: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8,770</w:t>
            </w:r>
          </w:p>
        </w:tc>
        <w:tc>
          <w:tcPr>
            <w:tcW w:w="0" w:type="dxa"/>
            <w:vAlign w:val="bottom"/>
          </w:tcPr>
          <w:p>
            <w:pPr>
              <w:spacing w:after="0"/>
              <w:rPr>
                <w:sz w:val="1"/>
                <w:szCs w:val="1"/>
                <w:color w:val="auto"/>
              </w:rPr>
            </w:pPr>
          </w:p>
        </w:tc>
      </w:tr>
      <w:tr>
        <w:trPr>
          <w:trHeight w:val="393"/>
        </w:trPr>
        <w:tc>
          <w:tcPr>
            <w:tcW w:w="4660" w:type="dxa"/>
            <w:vAlign w:val="bottom"/>
          </w:tcPr>
          <w:p>
            <w:pPr>
              <w:spacing w:after="0"/>
              <w:rPr>
                <w:sz w:val="20"/>
                <w:szCs w:val="20"/>
                <w:color w:val="auto"/>
              </w:rPr>
            </w:pPr>
            <w:r>
              <w:rPr>
                <w:rFonts w:ascii="Arial" w:cs="Arial" w:eastAsia="Arial" w:hAnsi="Arial"/>
                <w:sz w:val="16"/>
                <w:szCs w:val="16"/>
                <w:color w:val="auto"/>
              </w:rPr>
              <w:t>INCOME BEFORE PROVISION FOR INCOME TAXES</w:t>
            </w:r>
          </w:p>
        </w:tc>
        <w:tc>
          <w:tcPr>
            <w:tcW w:w="420" w:type="dxa"/>
            <w:vAlign w:val="bottom"/>
          </w:tcPr>
          <w:p>
            <w:pPr>
              <w:spacing w:after="0"/>
              <w:rPr>
                <w:sz w:val="24"/>
                <w:szCs w:val="24"/>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335,695</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173,477</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239,756</w:t>
            </w:r>
          </w:p>
        </w:tc>
        <w:tc>
          <w:tcPr>
            <w:tcW w:w="0" w:type="dxa"/>
            <w:vAlign w:val="bottom"/>
          </w:tcPr>
          <w:p>
            <w:pPr>
              <w:spacing w:after="0"/>
              <w:rPr>
                <w:sz w:val="1"/>
                <w:szCs w:val="1"/>
                <w:color w:val="auto"/>
              </w:rPr>
            </w:pPr>
          </w:p>
        </w:tc>
      </w:tr>
      <w:tr>
        <w:trPr>
          <w:trHeight w:val="408"/>
        </w:trPr>
        <w:tc>
          <w:tcPr>
            <w:tcW w:w="46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126,979</w:t>
            </w:r>
          </w:p>
        </w:tc>
        <w:tc>
          <w:tcPr>
            <w:tcW w:w="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65,445</w:t>
            </w:r>
          </w:p>
        </w:tc>
        <w:tc>
          <w:tcPr>
            <w:tcW w:w="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90,350</w:t>
            </w:r>
          </w:p>
        </w:tc>
        <w:tc>
          <w:tcPr>
            <w:tcW w:w="0" w:type="dxa"/>
            <w:vAlign w:val="bottom"/>
          </w:tcPr>
          <w:p>
            <w:pPr>
              <w:spacing w:after="0"/>
              <w:rPr>
                <w:sz w:val="1"/>
                <w:szCs w:val="1"/>
                <w:color w:val="auto"/>
              </w:rPr>
            </w:pPr>
          </w:p>
        </w:tc>
      </w:tr>
      <w:tr>
        <w:trPr>
          <w:trHeight w:val="402"/>
        </w:trPr>
        <w:tc>
          <w:tcPr>
            <w:tcW w:w="4660" w:type="dxa"/>
            <w:vAlign w:val="bottom"/>
          </w:tcPr>
          <w:p>
            <w:pPr>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208,716</w:t>
            </w:r>
          </w:p>
        </w:tc>
        <w:tc>
          <w:tcPr>
            <w:tcW w:w="180" w:type="dxa"/>
            <w:vAlign w:val="bottom"/>
          </w:tcPr>
          <w:p>
            <w:pPr>
              <w:spacing w:after="0"/>
              <w:rPr>
                <w:sz w:val="24"/>
                <w:szCs w:val="24"/>
                <w:color w:val="auto"/>
              </w:rPr>
            </w:pP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108,032</w:t>
            </w:r>
          </w:p>
        </w:tc>
        <w:tc>
          <w:tcPr>
            <w:tcW w:w="180" w:type="dxa"/>
            <w:vAlign w:val="bottom"/>
          </w:tcPr>
          <w:p>
            <w:pPr>
              <w:spacing w:after="0"/>
              <w:rPr>
                <w:sz w:val="24"/>
                <w:szCs w:val="24"/>
                <w:color w:val="auto"/>
              </w:rPr>
            </w:pP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149,406</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6"/>
                <w:szCs w:val="16"/>
                <w:color w:val="auto"/>
              </w:rPr>
              <w:t>NET INCOME PER COMMON SHARE:</w:t>
            </w: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660" w:type="dxa"/>
            <w:vAlign w:val="bottom"/>
            <w:vMerge w:val="continue"/>
          </w:tcPr>
          <w:p>
            <w:pPr>
              <w:spacing w:after="0"/>
              <w:rPr>
                <w:sz w:val="24"/>
                <w:szCs w:val="24"/>
                <w:color w:val="auto"/>
              </w:rPr>
            </w:pPr>
          </w:p>
        </w:tc>
        <w:tc>
          <w:tcPr>
            <w:tcW w:w="42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99"/>
              <w:spacing w:after="0"/>
              <w:rPr>
                <w:sz w:val="20"/>
                <w:szCs w:val="20"/>
                <w:color w:val="auto"/>
              </w:rPr>
            </w:pPr>
            <w:r>
              <w:rPr>
                <w:rFonts w:ascii="Arial" w:cs="Arial" w:eastAsia="Arial" w:hAnsi="Arial"/>
                <w:sz w:val="16"/>
                <w:szCs w:val="16"/>
                <w:color w:val="auto"/>
              </w:rPr>
              <w:t>2.32</w:t>
            </w:r>
          </w:p>
        </w:tc>
        <w:tc>
          <w:tcPr>
            <w:tcW w:w="180" w:type="dxa"/>
            <w:vAlign w:val="bottom"/>
          </w:tcPr>
          <w:p>
            <w:pPr>
              <w:spacing w:after="0"/>
              <w:rPr>
                <w:sz w:val="24"/>
                <w:szCs w:val="24"/>
                <w:color w:val="auto"/>
              </w:rPr>
            </w:pPr>
          </w:p>
        </w:tc>
        <w:tc>
          <w:tcPr>
            <w:tcW w:w="4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color w:val="auto"/>
              </w:rPr>
              <w:t>1.17</w:t>
            </w:r>
          </w:p>
        </w:tc>
        <w:tc>
          <w:tcPr>
            <w:tcW w:w="180" w:type="dxa"/>
            <w:vAlign w:val="bottom"/>
          </w:tcPr>
          <w:p>
            <w:pPr>
              <w:spacing w:after="0"/>
              <w:rPr>
                <w:sz w:val="24"/>
                <w:szCs w:val="24"/>
                <w:color w:val="auto"/>
              </w:rPr>
            </w:pPr>
          </w:p>
        </w:tc>
        <w:tc>
          <w:tcPr>
            <w:tcW w:w="4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9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4"/>
        </w:trPr>
        <w:tc>
          <w:tcPr>
            <w:tcW w:w="4660" w:type="dxa"/>
            <w:vAlign w:val="bottom"/>
          </w:tcPr>
          <w:p>
            <w:pPr>
              <w:ind w:left="260"/>
              <w:spacing w:after="0"/>
              <w:rPr>
                <w:sz w:val="20"/>
                <w:szCs w:val="20"/>
                <w:color w:val="auto"/>
              </w:rPr>
            </w:pPr>
            <w:r>
              <w:rPr>
                <w:rFonts w:ascii="Arial" w:cs="Arial" w:eastAsia="Arial" w:hAnsi="Arial"/>
                <w:sz w:val="16"/>
                <w:szCs w:val="16"/>
                <w:color w:val="auto"/>
              </w:rPr>
              <w:t>Basic</w:t>
            </w:r>
          </w:p>
        </w:tc>
        <w:tc>
          <w:tcPr>
            <w:tcW w:w="4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260"/>
              <w:spacing w:after="0"/>
              <w:rPr>
                <w:sz w:val="20"/>
                <w:szCs w:val="20"/>
                <w:color w:val="auto"/>
              </w:rPr>
            </w:pPr>
            <w:r>
              <w:rPr>
                <w:rFonts w:ascii="Arial" w:cs="Arial" w:eastAsia="Arial" w:hAnsi="Arial"/>
                <w:sz w:val="16"/>
                <w:szCs w:val="16"/>
                <w:color w:val="auto"/>
              </w:rPr>
              <w:t>Diluted</w:t>
            </w: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vMerge w:val="continue"/>
          </w:tcPr>
          <w:p>
            <w:pPr>
              <w:spacing w:after="0"/>
              <w:rPr>
                <w:sz w:val="15"/>
                <w:szCs w:val="15"/>
                <w:color w:val="auto"/>
              </w:rPr>
            </w:pP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2.21</w:t>
            </w:r>
          </w:p>
        </w:tc>
        <w:tc>
          <w:tcPr>
            <w:tcW w:w="180" w:type="dxa"/>
            <w:vAlign w:val="bottom"/>
          </w:tcPr>
          <w:p>
            <w:pPr>
              <w:spacing w:after="0"/>
              <w:rPr>
                <w:sz w:val="15"/>
                <w:szCs w:val="15"/>
                <w:color w:val="auto"/>
              </w:rPr>
            </w:pP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1.11</w:t>
            </w:r>
          </w:p>
        </w:tc>
        <w:tc>
          <w:tcPr>
            <w:tcW w:w="180" w:type="dxa"/>
            <w:vAlign w:val="bottom"/>
          </w:tcPr>
          <w:p>
            <w:pPr>
              <w:spacing w:after="0"/>
              <w:rPr>
                <w:sz w:val="15"/>
                <w:szCs w:val="15"/>
                <w:color w:val="auto"/>
              </w:rPr>
            </w:pP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bl>
    <w:p>
      <w:pPr>
        <w:sectPr>
          <w:pgSz w:w="11900" w:h="16897" w:orient="portrait"/>
          <w:cols w:equalWidth="0" w:num="1">
            <w:col w:w="11280"/>
          </w:cols>
          <w:pgMar w:left="240" w:top="125" w:right="379" w:bottom="0" w:gutter="0" w:footer="0" w:header="0"/>
        </w:sectPr>
      </w:pPr>
    </w:p>
    <w:bookmarkStart w:id="47" w:name="page48"/>
    <w:bookmarkEnd w:id="47"/>
    <w:p>
      <w:pPr>
        <w:ind w:left="180" w:right="400" w:hanging="179"/>
        <w:spacing w:after="0" w:line="270" w:lineRule="auto"/>
        <w:rPr>
          <w:sz w:val="20"/>
          <w:szCs w:val="20"/>
          <w:color w:val="auto"/>
        </w:rPr>
      </w:pPr>
      <w:r>
        <w:rPr>
          <w:rFonts w:ascii="Arial" w:cs="Arial" w:eastAsia="Arial" w:hAnsi="Arial"/>
          <w:sz w:val="16"/>
          <w:szCs w:val="16"/>
          <w:color w:val="auto"/>
        </w:rPr>
        <w:t>WEIGHTED AVERAGE NUMBER OF SHARES OF COMMON STOCK AND COMMON STOCK EQUIVALENTS:</w:t>
      </w:r>
    </w:p>
    <w:p>
      <w:pPr>
        <w:ind w:left="440"/>
        <w:spacing w:after="0"/>
        <w:rPr>
          <w:sz w:val="20"/>
          <w:szCs w:val="20"/>
          <w:color w:val="auto"/>
        </w:rPr>
      </w:pPr>
      <w:r>
        <w:rPr>
          <w:rFonts w:ascii="Arial" w:cs="Arial" w:eastAsia="Arial" w:hAnsi="Arial"/>
          <w:sz w:val="16"/>
          <w:szCs w:val="16"/>
          <w:color w:val="auto"/>
        </w:rPr>
        <w:t>Basic</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89,967</w:t>
            </w:r>
          </w:p>
        </w:tc>
        <w:tc>
          <w:tcPr>
            <w:tcW w:w="180" w:type="dxa"/>
            <w:vAlign w:val="bottom"/>
          </w:tcPr>
          <w:p>
            <w:pPr>
              <w:spacing w:after="0"/>
              <w:rPr>
                <w:sz w:val="18"/>
                <w:szCs w:val="18"/>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92,515</w:t>
            </w: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91,178</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6"/>
        </w:trPr>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94,643</w:t>
            </w:r>
          </w:p>
        </w:tc>
        <w:tc>
          <w:tcPr>
            <w:tcW w:w="180" w:type="dxa"/>
            <w:vAlign w:val="bottom"/>
          </w:tcPr>
          <w:p>
            <w:pPr>
              <w:spacing w:after="0"/>
              <w:rPr>
                <w:sz w:val="16"/>
                <w:szCs w:val="16"/>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97,530</w:t>
            </w:r>
          </w:p>
        </w:tc>
        <w:tc>
          <w:tcPr>
            <w:tcW w:w="180" w:type="dxa"/>
            <w:vAlign w:val="bottom"/>
          </w:tcPr>
          <w:p>
            <w:pPr>
              <w:spacing w:after="0"/>
              <w:rPr>
                <w:sz w:val="16"/>
                <w:szCs w:val="16"/>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98,874</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-831215</wp:posOffset>
            </wp:positionV>
            <wp:extent cx="32156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156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720"/>
            <w:col w:w="6660"/>
          </w:cols>
          <w:pgMar w:left="240" w:top="346" w:right="339" w:bottom="0" w:gutter="0" w:footer="0" w:header="0"/>
        </w:sect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rPr>
          <w:sz w:val="20"/>
          <w:szCs w:val="20"/>
          <w:color w:val="auto"/>
        </w:rPr>
      </w:pPr>
      <w:r>
        <w:rPr>
          <w:rFonts w:ascii="Arial" w:cs="Arial" w:eastAsia="Arial" w:hAnsi="Arial"/>
          <w:sz w:val="20"/>
          <w:szCs w:val="20"/>
          <w:b w:val="1"/>
          <w:bCs w:val="1"/>
          <w:color w:val="auto"/>
        </w:rPr>
        <w:t>FOR THE YEARS ENDED DECEMBER 31, 2009, 2008 AND 2007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56018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60185" cy="1714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Additional</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4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6"/>
              </w:rPr>
              <w:t>Common stock</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202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Treasury stock</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Paid-in</w:t>
            </w:r>
          </w:p>
        </w:tc>
        <w:tc>
          <w:tcPr>
            <w:tcW w:w="11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Comprehensive</w:t>
            </w:r>
          </w:p>
        </w:tc>
        <w:tc>
          <w:tcPr>
            <w:tcW w:w="202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8"/>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00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80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8"/>
              </w:rPr>
              <w:t>Captial</w:t>
            </w:r>
          </w:p>
        </w:tc>
        <w:tc>
          <w:tcPr>
            <w:tcW w:w="110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5"/>
              </w:rPr>
              <w:t>Loss</w:t>
            </w:r>
          </w:p>
        </w:tc>
        <w:tc>
          <w:tcPr>
            <w:tcW w:w="10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228"/>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r>
              <w:rPr>
                <w:rFonts w:ascii="Arial" w:cs="Arial" w:eastAsia="Arial" w:hAnsi="Arial"/>
                <w:sz w:val="14"/>
                <w:szCs w:val="14"/>
                <w:b w:val="1"/>
                <w:bCs w:val="1"/>
                <w:color w:val="auto"/>
              </w:rPr>
              <w:t>Balance, January 1, 2007</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92,714</w:t>
            </w:r>
          </w:p>
        </w:tc>
        <w:tc>
          <w:tcPr>
            <w:tcW w:w="180" w:type="dxa"/>
            <w:vAlign w:val="bottom"/>
          </w:tcPr>
          <w:p>
            <w:pPr>
              <w:spacing w:after="0"/>
              <w:rPr>
                <w:sz w:val="20"/>
                <w:szCs w:val="20"/>
                <w:color w:val="auto"/>
              </w:rPr>
            </w:pP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464</w:t>
            </w: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48,892</w:t>
            </w:r>
          </w:p>
        </w:tc>
        <w:tc>
          <w:tcPr>
            <w:tcW w:w="180" w:type="dxa"/>
            <w:vAlign w:val="bottom"/>
          </w:tcPr>
          <w:p>
            <w:pPr>
              <w:spacing w:after="0"/>
              <w:rPr>
                <w:sz w:val="20"/>
                <w:szCs w:val="20"/>
                <w:color w:val="auto"/>
              </w:rPr>
            </w:pPr>
          </w:p>
        </w:tc>
        <w:tc>
          <w:tcPr>
            <w:tcW w:w="3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204,242</w:t>
            </w: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(2,654)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(28,514)</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225,084</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10,227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10,227</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4"/>
                <w:szCs w:val="14"/>
                <w:color w:val="auto"/>
              </w:rPr>
              <w:t>3,135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8,176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8,191</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20"/>
                <w:szCs w:val="20"/>
                <w:color w:val="auto"/>
              </w:rPr>
            </w:pPr>
            <w:r>
              <w:rPr>
                <w:rFonts w:ascii="Arial" w:cs="Arial" w:eastAsia="Arial" w:hAnsi="Arial"/>
                <w:sz w:val="14"/>
                <w:szCs w:val="14"/>
                <w:color w:val="auto"/>
              </w:rPr>
              <w:t>Excess tax benefits from</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180"/>
              <w:spacing w:after="0" w:line="149" w:lineRule="exact"/>
              <w:rPr>
                <w:sz w:val="20"/>
                <w:szCs w:val="20"/>
                <w:color w:val="auto"/>
              </w:rPr>
            </w:pPr>
            <w:r>
              <w:rPr>
                <w:rFonts w:ascii="Arial" w:cs="Arial" w:eastAsia="Arial" w:hAnsi="Arial"/>
                <w:sz w:val="14"/>
                <w:szCs w:val="14"/>
                <w:color w:val="auto"/>
              </w:rPr>
              <w:t>share based payment</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180"/>
              <w:spacing w:after="0"/>
              <w:rPr>
                <w:sz w:val="20"/>
                <w:szCs w:val="20"/>
                <w:color w:val="auto"/>
              </w:rPr>
            </w:pPr>
            <w:r>
              <w:rPr>
                <w:rFonts w:ascii="Arial" w:cs="Arial" w:eastAsia="Arial" w:hAnsi="Arial"/>
                <w:sz w:val="14"/>
                <w:szCs w:val="14"/>
                <w:color w:val="auto"/>
              </w:rPr>
              <w:t>arrangements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29,454</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29,454</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20"/>
                <w:szCs w:val="20"/>
                <w:color w:val="auto"/>
              </w:rPr>
            </w:pPr>
            <w:r>
              <w:rPr>
                <w:rFonts w:ascii="Arial" w:cs="Arial" w:eastAsia="Arial" w:hAnsi="Arial"/>
                <w:sz w:val="14"/>
                <w:szCs w:val="14"/>
                <w:color w:val="auto"/>
              </w:rPr>
              <w:t>Repurchase of common</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180"/>
              <w:spacing w:after="0"/>
              <w:rPr>
                <w:sz w:val="20"/>
                <w:szCs w:val="20"/>
                <w:color w:val="auto"/>
              </w:rPr>
            </w:pPr>
            <w:r>
              <w:rPr>
                <w:rFonts w:ascii="Arial" w:cs="Arial" w:eastAsia="Arial" w:hAnsi="Arial"/>
                <w:sz w:val="14"/>
                <w:szCs w:val="14"/>
                <w:color w:val="auto"/>
              </w:rPr>
              <w:t>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9"/>
                <w:szCs w:val="19"/>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15"/>
        </w:trPr>
        <w:tc>
          <w:tcPr>
            <w:tcW w:w="184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149,406</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149,406</w:t>
            </w:r>
          </w:p>
        </w:tc>
        <w:tc>
          <w:tcPr>
            <w:tcW w:w="0" w:type="dxa"/>
            <w:vAlign w:val="bottom"/>
          </w:tcPr>
          <w:p>
            <w:pPr>
              <w:spacing w:after="0"/>
              <w:rPr>
                <w:sz w:val="1"/>
                <w:szCs w:val="1"/>
                <w:color w:val="auto"/>
              </w:rPr>
            </w:pPr>
          </w:p>
        </w:tc>
      </w:tr>
      <w:tr>
        <w:trPr>
          <w:trHeight w:val="200"/>
        </w:trPr>
        <w:tc>
          <w:tcPr>
            <w:tcW w:w="1840" w:type="dxa"/>
            <w:vAlign w:val="bottom"/>
          </w:tcPr>
          <w:p>
            <w:pPr>
              <w:spacing w:after="0"/>
              <w:rPr>
                <w:sz w:val="20"/>
                <w:szCs w:val="20"/>
                <w:color w:val="auto"/>
              </w:rPr>
            </w:pPr>
            <w:r>
              <w:rPr>
                <w:rFonts w:ascii="Arial" w:cs="Arial" w:eastAsia="Arial" w:hAnsi="Arial"/>
                <w:sz w:val="14"/>
                <w:szCs w:val="14"/>
                <w:b w:val="1"/>
                <w:bCs w:val="1"/>
                <w:color w:val="auto"/>
              </w:rPr>
              <w:t>Balance, December 31,</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840" w:type="dxa"/>
            <w:vAlign w:val="bottom"/>
          </w:tcPr>
          <w:p>
            <w:pPr>
              <w:ind w:left="180"/>
              <w:spacing w:after="0"/>
              <w:rPr>
                <w:sz w:val="20"/>
                <w:szCs w:val="20"/>
                <w:color w:val="auto"/>
              </w:rPr>
            </w:pPr>
            <w:r>
              <w:rPr>
                <w:rFonts w:ascii="Arial" w:cs="Arial" w:eastAsia="Arial" w:hAnsi="Arial"/>
                <w:sz w:val="14"/>
                <w:szCs w:val="14"/>
                <w:b w:val="1"/>
                <w:bCs w:val="1"/>
                <w:color w:val="auto"/>
              </w:rPr>
              <w:t>2007</w:t>
            </w:r>
          </w:p>
        </w:tc>
        <w:tc>
          <w:tcPr>
            <w:tcW w:w="820" w:type="dxa"/>
            <w:vAlign w:val="bottom"/>
          </w:tcPr>
          <w:p>
            <w:pPr>
              <w:jc w:val="right"/>
              <w:spacing w:after="0"/>
              <w:rPr>
                <w:sz w:val="20"/>
                <w:szCs w:val="20"/>
                <w:color w:val="auto"/>
              </w:rPr>
            </w:pPr>
            <w:r>
              <w:rPr>
                <w:rFonts w:ascii="Arial" w:cs="Arial" w:eastAsia="Arial" w:hAnsi="Arial"/>
                <w:sz w:val="14"/>
                <w:szCs w:val="14"/>
                <w:color w:val="auto"/>
              </w:rPr>
              <w:t>95,849</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479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96,749</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353,648</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(28,662)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422,167</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13,771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13,771</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4"/>
                <w:szCs w:val="14"/>
                <w:color w:val="auto"/>
              </w:rPr>
              <w:t>1,002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2,252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20"/>
                <w:szCs w:val="20"/>
                <w:color w:val="auto"/>
              </w:rPr>
            </w:pPr>
            <w:r>
              <w:rPr>
                <w:rFonts w:ascii="Arial" w:cs="Arial" w:eastAsia="Arial" w:hAnsi="Arial"/>
                <w:sz w:val="14"/>
                <w:szCs w:val="14"/>
                <w:color w:val="auto"/>
              </w:rPr>
              <w:t>Excess tax benefits from</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180"/>
              <w:spacing w:after="0" w:line="149" w:lineRule="exact"/>
              <w:rPr>
                <w:sz w:val="20"/>
                <w:szCs w:val="20"/>
                <w:color w:val="auto"/>
              </w:rPr>
            </w:pPr>
            <w:r>
              <w:rPr>
                <w:rFonts w:ascii="Arial" w:cs="Arial" w:eastAsia="Arial" w:hAnsi="Arial"/>
                <w:sz w:val="14"/>
                <w:szCs w:val="14"/>
                <w:color w:val="auto"/>
              </w:rPr>
              <w:t>share based payment</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180"/>
              <w:spacing w:after="0"/>
              <w:rPr>
                <w:sz w:val="20"/>
                <w:szCs w:val="20"/>
                <w:color w:val="auto"/>
              </w:rPr>
            </w:pPr>
            <w:r>
              <w:rPr>
                <w:rFonts w:ascii="Arial" w:cs="Arial" w:eastAsia="Arial" w:hAnsi="Arial"/>
                <w:sz w:val="14"/>
                <w:szCs w:val="14"/>
                <w:color w:val="auto"/>
              </w:rPr>
              <w:t>arrangements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4,334</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4,334</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20"/>
                <w:szCs w:val="20"/>
                <w:color w:val="auto"/>
              </w:rPr>
            </w:pPr>
            <w:r>
              <w:rPr>
                <w:rFonts w:ascii="Arial" w:cs="Arial" w:eastAsia="Arial" w:hAnsi="Arial"/>
                <w:sz w:val="14"/>
                <w:szCs w:val="14"/>
                <w:color w:val="auto"/>
              </w:rPr>
              <w:t>Repurchase of common</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180"/>
              <w:spacing w:after="0"/>
              <w:rPr>
                <w:sz w:val="20"/>
                <w:szCs w:val="20"/>
                <w:color w:val="auto"/>
              </w:rPr>
            </w:pPr>
            <w:r>
              <w:rPr>
                <w:rFonts w:ascii="Arial" w:cs="Arial" w:eastAsia="Arial" w:hAnsi="Arial"/>
                <w:sz w:val="14"/>
                <w:szCs w:val="14"/>
                <w:color w:val="auto"/>
              </w:rPr>
              <w:t>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(103,467)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(103,467)</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(2,118)</w:t>
            </w:r>
          </w:p>
        </w:tc>
        <w:tc>
          <w:tcPr>
            <w:tcW w:w="100" w:type="dxa"/>
            <w:vAlign w:val="bottom"/>
          </w:tcPr>
          <w:p>
            <w:pPr>
              <w:spacing w:after="0"/>
              <w:rPr>
                <w:sz w:val="19"/>
                <w:szCs w:val="19"/>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(2,118)</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20"/>
                <w:szCs w:val="20"/>
                <w:color w:val="auto"/>
              </w:rPr>
            </w:pPr>
            <w:r>
              <w:rPr>
                <w:rFonts w:ascii="Arial" w:cs="Arial" w:eastAsia="Arial" w:hAnsi="Arial"/>
                <w:sz w:val="14"/>
                <w:szCs w:val="14"/>
                <w:color w:val="auto"/>
              </w:rPr>
              <w:t>Change in unrealized loss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on available-for-sale</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40" w:type="dxa"/>
            <w:vAlign w:val="bottom"/>
          </w:tcPr>
          <w:p>
            <w:pPr>
              <w:spacing w:after="0"/>
              <w:rPr>
                <w:sz w:val="20"/>
                <w:szCs w:val="20"/>
                <w:color w:val="auto"/>
              </w:rPr>
            </w:pPr>
            <w:r>
              <w:rPr>
                <w:rFonts w:ascii="Arial" w:cs="Arial" w:eastAsia="Arial" w:hAnsi="Arial"/>
                <w:sz w:val="14"/>
                <w:szCs w:val="14"/>
                <w:color w:val="auto"/>
              </w:rPr>
              <w:t>securites, net of tax</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(8,660)</w:t>
            </w:r>
          </w:p>
        </w:tc>
        <w:tc>
          <w:tcPr>
            <w:tcW w:w="1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(8,660)</w:t>
            </w:r>
          </w:p>
        </w:tc>
        <w:tc>
          <w:tcPr>
            <w:tcW w:w="0" w:type="dxa"/>
            <w:vAlign w:val="bottom"/>
          </w:tcPr>
          <w:p>
            <w:pPr>
              <w:spacing w:after="0"/>
              <w:rPr>
                <w:sz w:val="1"/>
                <w:szCs w:val="1"/>
                <w:color w:val="auto"/>
              </w:rPr>
            </w:pPr>
          </w:p>
        </w:tc>
      </w:tr>
      <w:tr>
        <w:trPr>
          <w:trHeight w:val="215"/>
        </w:trPr>
        <w:tc>
          <w:tcPr>
            <w:tcW w:w="184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108,032</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108,032</w:t>
            </w:r>
          </w:p>
        </w:tc>
        <w:tc>
          <w:tcPr>
            <w:tcW w:w="0" w:type="dxa"/>
            <w:vAlign w:val="bottom"/>
          </w:tcPr>
          <w:p>
            <w:pPr>
              <w:spacing w:after="0"/>
              <w:rPr>
                <w:sz w:val="1"/>
                <w:szCs w:val="1"/>
                <w:color w:val="auto"/>
              </w:rPr>
            </w:pPr>
          </w:p>
        </w:tc>
      </w:tr>
      <w:tr>
        <w:trPr>
          <w:trHeight w:val="200"/>
        </w:trPr>
        <w:tc>
          <w:tcPr>
            <w:tcW w:w="1840" w:type="dxa"/>
            <w:vAlign w:val="bottom"/>
          </w:tcPr>
          <w:p>
            <w:pPr>
              <w:spacing w:after="0"/>
              <w:rPr>
                <w:sz w:val="20"/>
                <w:szCs w:val="20"/>
                <w:color w:val="auto"/>
              </w:rPr>
            </w:pPr>
            <w:r>
              <w:rPr>
                <w:rFonts w:ascii="Arial" w:cs="Arial" w:eastAsia="Arial" w:hAnsi="Arial"/>
                <w:sz w:val="14"/>
                <w:szCs w:val="14"/>
                <w:b w:val="1"/>
                <w:bCs w:val="1"/>
                <w:color w:val="auto"/>
              </w:rPr>
              <w:t>Balance, December 31,</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840" w:type="dxa"/>
            <w:vAlign w:val="bottom"/>
          </w:tcPr>
          <w:p>
            <w:pPr>
              <w:ind w:left="180"/>
              <w:spacing w:after="0"/>
              <w:rPr>
                <w:sz w:val="20"/>
                <w:szCs w:val="20"/>
                <w:color w:val="auto"/>
              </w:rPr>
            </w:pPr>
            <w:r>
              <w:rPr>
                <w:rFonts w:ascii="Arial" w:cs="Arial" w:eastAsia="Arial" w:hAnsi="Arial"/>
                <w:sz w:val="14"/>
                <w:szCs w:val="14"/>
                <w:b w:val="1"/>
                <w:bCs w:val="1"/>
                <w:color w:val="auto"/>
              </w:rPr>
              <w:t>2008</w:t>
            </w:r>
          </w:p>
        </w:tc>
        <w:tc>
          <w:tcPr>
            <w:tcW w:w="820" w:type="dxa"/>
            <w:vAlign w:val="bottom"/>
          </w:tcPr>
          <w:p>
            <w:pPr>
              <w:jc w:val="right"/>
              <w:spacing w:after="0"/>
              <w:rPr>
                <w:sz w:val="20"/>
                <w:szCs w:val="20"/>
                <w:color w:val="auto"/>
              </w:rPr>
            </w:pPr>
            <w:r>
              <w:rPr>
                <w:rFonts w:ascii="Arial" w:cs="Arial" w:eastAsia="Arial" w:hAnsi="Arial"/>
                <w:sz w:val="14"/>
                <w:szCs w:val="14"/>
                <w:color w:val="auto"/>
              </w:rPr>
              <w:t>96,851</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484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117,106</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461,680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(10,825)</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(132,129)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436,316</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14,303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14,303</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4"/>
                <w:szCs w:val="14"/>
                <w:color w:val="auto"/>
              </w:rPr>
              <w:t>434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2,500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2,502</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20"/>
                <w:szCs w:val="20"/>
                <w:color w:val="auto"/>
              </w:rPr>
            </w:pPr>
            <w:r>
              <w:rPr>
                <w:rFonts w:ascii="Arial" w:cs="Arial" w:eastAsia="Arial" w:hAnsi="Arial"/>
                <w:sz w:val="14"/>
                <w:szCs w:val="14"/>
                <w:color w:val="auto"/>
              </w:rPr>
              <w:t>Excess tax benefits from</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180"/>
              <w:spacing w:after="0" w:line="149" w:lineRule="exact"/>
              <w:rPr>
                <w:sz w:val="20"/>
                <w:szCs w:val="20"/>
                <w:color w:val="auto"/>
              </w:rPr>
            </w:pPr>
            <w:r>
              <w:rPr>
                <w:rFonts w:ascii="Arial" w:cs="Arial" w:eastAsia="Arial" w:hAnsi="Arial"/>
                <w:sz w:val="14"/>
                <w:szCs w:val="14"/>
                <w:color w:val="auto"/>
              </w:rPr>
              <w:t>share based payment</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180"/>
              <w:spacing w:after="0"/>
              <w:rPr>
                <w:sz w:val="20"/>
                <w:szCs w:val="20"/>
                <w:color w:val="auto"/>
              </w:rPr>
            </w:pPr>
            <w:r>
              <w:rPr>
                <w:rFonts w:ascii="Arial" w:cs="Arial" w:eastAsia="Arial" w:hAnsi="Arial"/>
                <w:sz w:val="14"/>
                <w:szCs w:val="14"/>
                <w:color w:val="auto"/>
              </w:rPr>
              <w:t>arrangements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3,131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3,131</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20"/>
                <w:szCs w:val="20"/>
                <w:color w:val="auto"/>
              </w:rPr>
            </w:pPr>
            <w:r>
              <w:rPr>
                <w:rFonts w:ascii="Arial" w:cs="Arial" w:eastAsia="Arial" w:hAnsi="Arial"/>
                <w:sz w:val="14"/>
                <w:szCs w:val="14"/>
                <w:color w:val="auto"/>
              </w:rPr>
              <w:t>Repurchase of common</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180"/>
              <w:spacing w:after="0"/>
              <w:rPr>
                <w:sz w:val="20"/>
                <w:szCs w:val="20"/>
                <w:color w:val="auto"/>
              </w:rPr>
            </w:pPr>
            <w:r>
              <w:rPr>
                <w:rFonts w:ascii="Arial" w:cs="Arial" w:eastAsia="Arial" w:hAnsi="Arial"/>
                <w:sz w:val="14"/>
                <w:szCs w:val="14"/>
                <w:color w:val="auto"/>
              </w:rPr>
              <w:t>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(86,173)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(86,173)</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2,087</w:t>
            </w:r>
          </w:p>
        </w:tc>
        <w:tc>
          <w:tcPr>
            <w:tcW w:w="100" w:type="dxa"/>
            <w:vAlign w:val="bottom"/>
          </w:tcPr>
          <w:p>
            <w:pPr>
              <w:spacing w:after="0"/>
              <w:rPr>
                <w:sz w:val="19"/>
                <w:szCs w:val="19"/>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20"/>
                <w:szCs w:val="20"/>
                <w:color w:val="auto"/>
              </w:rPr>
            </w:pPr>
            <w:r>
              <w:rPr>
                <w:rFonts w:ascii="Arial" w:cs="Arial" w:eastAsia="Arial" w:hAnsi="Arial"/>
                <w:sz w:val="14"/>
                <w:szCs w:val="14"/>
                <w:color w:val="auto"/>
              </w:rPr>
              <w:t>Change in unrealized loss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on available-for-sale</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40" w:type="dxa"/>
            <w:vAlign w:val="bottom"/>
          </w:tcPr>
          <w:p>
            <w:pPr>
              <w:spacing w:after="0"/>
              <w:rPr>
                <w:sz w:val="20"/>
                <w:szCs w:val="20"/>
                <w:color w:val="auto"/>
              </w:rPr>
            </w:pPr>
            <w:r>
              <w:rPr>
                <w:rFonts w:ascii="Arial" w:cs="Arial" w:eastAsia="Arial" w:hAnsi="Arial"/>
                <w:sz w:val="14"/>
                <w:szCs w:val="14"/>
                <w:color w:val="auto"/>
              </w:rPr>
              <w:t>securites, net of tax</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4,071</w:t>
            </w:r>
          </w:p>
        </w:tc>
        <w:tc>
          <w:tcPr>
            <w:tcW w:w="1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4,071</w:t>
            </w:r>
          </w:p>
        </w:tc>
        <w:tc>
          <w:tcPr>
            <w:tcW w:w="0" w:type="dxa"/>
            <w:vAlign w:val="bottom"/>
          </w:tcPr>
          <w:p>
            <w:pPr>
              <w:spacing w:after="0"/>
              <w:rPr>
                <w:sz w:val="1"/>
                <w:szCs w:val="1"/>
                <w:color w:val="auto"/>
              </w:rPr>
            </w:pPr>
          </w:p>
        </w:tc>
      </w:tr>
      <w:tr>
        <w:trPr>
          <w:trHeight w:val="215"/>
        </w:trPr>
        <w:tc>
          <w:tcPr>
            <w:tcW w:w="184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208,716</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208,716</w:t>
            </w:r>
          </w:p>
        </w:tc>
        <w:tc>
          <w:tcPr>
            <w:tcW w:w="0" w:type="dxa"/>
            <w:vAlign w:val="bottom"/>
          </w:tcPr>
          <w:p>
            <w:pPr>
              <w:spacing w:after="0"/>
              <w:rPr>
                <w:sz w:val="1"/>
                <w:szCs w:val="1"/>
                <w:color w:val="auto"/>
              </w:rPr>
            </w:pPr>
          </w:p>
        </w:tc>
      </w:tr>
      <w:tr>
        <w:trPr>
          <w:trHeight w:val="200"/>
        </w:trPr>
        <w:tc>
          <w:tcPr>
            <w:tcW w:w="1840" w:type="dxa"/>
            <w:vAlign w:val="bottom"/>
          </w:tcPr>
          <w:p>
            <w:pPr>
              <w:spacing w:after="0"/>
              <w:rPr>
                <w:sz w:val="20"/>
                <w:szCs w:val="20"/>
                <w:color w:val="auto"/>
              </w:rPr>
            </w:pPr>
            <w:r>
              <w:rPr>
                <w:rFonts w:ascii="Arial" w:cs="Arial" w:eastAsia="Arial" w:hAnsi="Arial"/>
                <w:sz w:val="14"/>
                <w:szCs w:val="14"/>
                <w:b w:val="1"/>
                <w:bCs w:val="1"/>
                <w:color w:val="auto"/>
              </w:rPr>
              <w:t>Balance, December 31,</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97,285</w:t>
            </w:r>
          </w:p>
        </w:tc>
        <w:tc>
          <w:tcPr>
            <w:tcW w:w="180" w:type="dxa"/>
            <w:vAlign w:val="bottom"/>
          </w:tcPr>
          <w:p>
            <w:pPr>
              <w:spacing w:after="0"/>
              <w:rPr>
                <w:sz w:val="17"/>
                <w:szCs w:val="17"/>
                <w:color w:val="auto"/>
              </w:rPr>
            </w:pPr>
          </w:p>
        </w:tc>
        <w:tc>
          <w:tcPr>
            <w:tcW w:w="44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486</w:t>
            </w:r>
          </w:p>
        </w:tc>
        <w:tc>
          <w:tcPr>
            <w:tcW w:w="180" w:type="dxa"/>
            <w:vAlign w:val="bottom"/>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137,040</w:t>
            </w:r>
          </w:p>
        </w:tc>
        <w:tc>
          <w:tcPr>
            <w:tcW w:w="180" w:type="dxa"/>
            <w:vAlign w:val="bottom"/>
          </w:tcPr>
          <w:p>
            <w:pPr>
              <w:spacing w:after="0"/>
              <w:rPr>
                <w:sz w:val="17"/>
                <w:szCs w:val="17"/>
                <w:color w:val="auto"/>
              </w:rPr>
            </w:pP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670,396</w:t>
            </w:r>
          </w:p>
        </w:tc>
        <w:tc>
          <w:tcPr>
            <w:tcW w:w="180" w:type="dxa"/>
            <w:vAlign w:val="bottom"/>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(4,667)</w:t>
            </w:r>
          </w:p>
        </w:tc>
        <w:tc>
          <w:tcPr>
            <w:tcW w:w="1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(9,126)</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(218,302)</w:t>
            </w:r>
          </w:p>
        </w:tc>
        <w:tc>
          <w:tcPr>
            <w:tcW w:w="100" w:type="dxa"/>
            <w:vAlign w:val="bottom"/>
          </w:tcPr>
          <w:p>
            <w:pPr>
              <w:spacing w:after="0"/>
              <w:rPr>
                <w:sz w:val="17"/>
                <w:szCs w:val="17"/>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584,953</w:t>
            </w:r>
          </w:p>
        </w:tc>
        <w:tc>
          <w:tcPr>
            <w:tcW w:w="0" w:type="dxa"/>
            <w:vAlign w:val="bottom"/>
          </w:tcPr>
          <w:p>
            <w:pPr>
              <w:spacing w:after="0"/>
              <w:rPr>
                <w:sz w:val="1"/>
                <w:szCs w:val="1"/>
                <w:color w:val="auto"/>
              </w:rPr>
            </w:pPr>
          </w:p>
        </w:tc>
      </w:tr>
      <w:tr>
        <w:trPr>
          <w:trHeight w:val="163"/>
        </w:trPr>
        <w:tc>
          <w:tcPr>
            <w:tcW w:w="1840" w:type="dxa"/>
            <w:vAlign w:val="bottom"/>
          </w:tcPr>
          <w:p>
            <w:pPr>
              <w:ind w:left="180"/>
              <w:spacing w:after="0" w:line="158" w:lineRule="exact"/>
              <w:rPr>
                <w:sz w:val="20"/>
                <w:szCs w:val="20"/>
                <w:color w:val="auto"/>
              </w:rPr>
            </w:pPr>
            <w:r>
              <w:rPr>
                <w:rFonts w:ascii="Arial" w:cs="Arial" w:eastAsia="Arial" w:hAnsi="Arial"/>
                <w:sz w:val="14"/>
                <w:szCs w:val="14"/>
                <w:b w:val="1"/>
                <w:bCs w:val="1"/>
                <w:color w:val="auto"/>
              </w:rPr>
              <w:t>2009</w:t>
            </w:r>
          </w:p>
        </w:tc>
        <w:tc>
          <w:tcPr>
            <w:tcW w:w="82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rPr>
          <w:sz w:val="20"/>
          <w:szCs w:val="20"/>
          <w:color w:val="auto"/>
        </w:rPr>
      </w:pPr>
      <w:r>
        <w:rPr>
          <w:rFonts w:ascii="Arial" w:cs="Arial" w:eastAsia="Arial" w:hAnsi="Arial"/>
          <w:sz w:val="20"/>
          <w:szCs w:val="20"/>
          <w:b w:val="1"/>
          <w:bCs w:val="1"/>
          <w:color w:val="auto"/>
        </w:rPr>
        <w:t>FOR THE YEARS ENDED DECEMBER 31, 2009, 2008 AND 2007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140" w:type="dxa"/>
        <w:tblCellMar>
          <w:top w:w="0" w:type="dxa"/>
          <w:left w:w="0" w:type="dxa"/>
          <w:bottom w:w="0" w:type="dxa"/>
          <w:right w:w="0" w:type="dxa"/>
        </w:tblCellMar>
      </w:tblPr>
      <w:tr>
        <w:trPr>
          <w:trHeight w:val="256"/>
        </w:trPr>
        <w:tc>
          <w:tcPr>
            <w:tcW w:w="4640" w:type="dxa"/>
            <w:vAlign w:val="bottom"/>
            <w:vMerge w:val="restart"/>
          </w:tcPr>
          <w:p>
            <w:pPr>
              <w:spacing w:after="0"/>
              <w:rPr>
                <w:sz w:val="20"/>
                <w:szCs w:val="20"/>
                <w:color w:val="auto"/>
              </w:rPr>
            </w:pPr>
            <w:r>
              <w:rPr>
                <w:rFonts w:ascii="Arial" w:cs="Arial" w:eastAsia="Arial" w:hAnsi="Arial"/>
                <w:sz w:val="21"/>
                <w:szCs w:val="21"/>
                <w:color w:val="auto"/>
              </w:rPr>
              <w:t>Net income, as reported</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21"/>
                <w:szCs w:val="21"/>
                <w:color w:val="auto"/>
              </w:rPr>
              <w:t>2009</w:t>
            </w:r>
          </w:p>
        </w:tc>
        <w:tc>
          <w:tcPr>
            <w:tcW w:w="1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21"/>
                <w:szCs w:val="21"/>
                <w:color w:val="auto"/>
              </w:rPr>
              <w:t>2008</w:t>
            </w:r>
          </w:p>
        </w:tc>
        <w:tc>
          <w:tcPr>
            <w:tcW w:w="1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21"/>
                <w:szCs w:val="21"/>
                <w:color w:val="auto"/>
              </w:rPr>
              <w:t>2007</w:t>
            </w:r>
          </w:p>
        </w:tc>
        <w:tc>
          <w:tcPr>
            <w:tcW w:w="0" w:type="dxa"/>
            <w:vAlign w:val="bottom"/>
          </w:tcPr>
          <w:p>
            <w:pPr>
              <w:spacing w:after="0"/>
              <w:rPr>
                <w:sz w:val="1"/>
                <w:szCs w:val="1"/>
                <w:color w:val="auto"/>
              </w:rPr>
            </w:pPr>
          </w:p>
        </w:tc>
      </w:tr>
      <w:tr>
        <w:trPr>
          <w:trHeight w:val="223"/>
        </w:trPr>
        <w:tc>
          <w:tcPr>
            <w:tcW w:w="4640" w:type="dxa"/>
            <w:vAlign w:val="bottom"/>
            <w:vMerge w:val="continue"/>
          </w:tcPr>
          <w:p>
            <w:pPr>
              <w:spacing w:after="0"/>
              <w:rPr>
                <w:sz w:val="19"/>
                <w:szCs w:val="19"/>
                <w:color w:val="auto"/>
              </w:rPr>
            </w:pPr>
          </w:p>
        </w:tc>
        <w:tc>
          <w:tcPr>
            <w:tcW w:w="420" w:type="dxa"/>
            <w:vAlign w:val="bottom"/>
          </w:tcPr>
          <w:p>
            <w:pPr>
              <w:jc w:val="right"/>
              <w:ind w:right="56"/>
              <w:spacing w:after="0" w:line="223" w:lineRule="exact"/>
              <w:rPr>
                <w:sz w:val="20"/>
                <w:szCs w:val="20"/>
                <w:color w:val="auto"/>
              </w:rPr>
            </w:pPr>
            <w:r>
              <w:rPr>
                <w:rFonts w:ascii="Arial" w:cs="Arial" w:eastAsia="Arial" w:hAnsi="Arial"/>
                <w:sz w:val="21"/>
                <w:szCs w:val="21"/>
                <w:color w:val="auto"/>
              </w:rPr>
              <w:t>$</w:t>
            </w:r>
          </w:p>
        </w:tc>
        <w:tc>
          <w:tcPr>
            <w:tcW w:w="1140" w:type="dxa"/>
            <w:vAlign w:val="bottom"/>
          </w:tcPr>
          <w:p>
            <w:pPr>
              <w:jc w:val="right"/>
              <w:ind w:right="76"/>
              <w:spacing w:after="0" w:line="223" w:lineRule="exact"/>
              <w:rPr>
                <w:sz w:val="20"/>
                <w:szCs w:val="20"/>
                <w:color w:val="auto"/>
              </w:rPr>
            </w:pPr>
            <w:r>
              <w:rPr>
                <w:rFonts w:ascii="Arial" w:cs="Arial" w:eastAsia="Arial" w:hAnsi="Arial"/>
                <w:sz w:val="21"/>
                <w:szCs w:val="21"/>
                <w:color w:val="auto"/>
              </w:rPr>
              <w:t>208,716</w:t>
            </w:r>
          </w:p>
        </w:tc>
        <w:tc>
          <w:tcPr>
            <w:tcW w:w="180" w:type="dxa"/>
            <w:vAlign w:val="bottom"/>
          </w:tcPr>
          <w:p>
            <w:pPr>
              <w:spacing w:after="0"/>
              <w:rPr>
                <w:sz w:val="19"/>
                <w:szCs w:val="19"/>
                <w:color w:val="auto"/>
              </w:rPr>
            </w:pPr>
          </w:p>
        </w:tc>
        <w:tc>
          <w:tcPr>
            <w:tcW w:w="400" w:type="dxa"/>
            <w:vAlign w:val="bottom"/>
          </w:tcPr>
          <w:p>
            <w:pPr>
              <w:jc w:val="right"/>
              <w:ind w:right="56"/>
              <w:spacing w:after="0" w:line="223" w:lineRule="exact"/>
              <w:rPr>
                <w:sz w:val="20"/>
                <w:szCs w:val="20"/>
                <w:color w:val="auto"/>
              </w:rPr>
            </w:pPr>
            <w:r>
              <w:rPr>
                <w:rFonts w:ascii="Arial" w:cs="Arial" w:eastAsia="Arial" w:hAnsi="Arial"/>
                <w:sz w:val="21"/>
                <w:szCs w:val="21"/>
                <w:color w:val="auto"/>
              </w:rPr>
              <w:t>$</w:t>
            </w:r>
          </w:p>
        </w:tc>
        <w:tc>
          <w:tcPr>
            <w:tcW w:w="1140" w:type="dxa"/>
            <w:vAlign w:val="bottom"/>
          </w:tcPr>
          <w:p>
            <w:pPr>
              <w:jc w:val="right"/>
              <w:ind w:right="56"/>
              <w:spacing w:after="0" w:line="223" w:lineRule="exact"/>
              <w:rPr>
                <w:sz w:val="20"/>
                <w:szCs w:val="20"/>
                <w:color w:val="auto"/>
              </w:rPr>
            </w:pPr>
            <w:r>
              <w:rPr>
                <w:rFonts w:ascii="Arial" w:cs="Arial" w:eastAsia="Arial" w:hAnsi="Arial"/>
                <w:sz w:val="21"/>
                <w:szCs w:val="21"/>
                <w:color w:val="auto"/>
              </w:rPr>
              <w:t>108,032</w:t>
            </w:r>
          </w:p>
        </w:tc>
        <w:tc>
          <w:tcPr>
            <w:tcW w:w="160" w:type="dxa"/>
            <w:vAlign w:val="bottom"/>
          </w:tcPr>
          <w:p>
            <w:pPr>
              <w:spacing w:after="0"/>
              <w:rPr>
                <w:sz w:val="19"/>
                <w:szCs w:val="19"/>
                <w:color w:val="auto"/>
              </w:rPr>
            </w:pPr>
          </w:p>
        </w:tc>
        <w:tc>
          <w:tcPr>
            <w:tcW w:w="400" w:type="dxa"/>
            <w:vAlign w:val="bottom"/>
          </w:tcPr>
          <w:p>
            <w:pPr>
              <w:jc w:val="right"/>
              <w:ind w:right="56"/>
              <w:spacing w:after="0" w:line="223" w:lineRule="exact"/>
              <w:rPr>
                <w:sz w:val="20"/>
                <w:szCs w:val="20"/>
                <w:color w:val="auto"/>
              </w:rPr>
            </w:pPr>
            <w:r>
              <w:rPr>
                <w:rFonts w:ascii="Arial" w:cs="Arial" w:eastAsia="Arial" w:hAnsi="Arial"/>
                <w:sz w:val="21"/>
                <w:szCs w:val="21"/>
                <w:color w:val="auto"/>
              </w:rPr>
              <w:t>$</w:t>
            </w:r>
          </w:p>
        </w:tc>
        <w:tc>
          <w:tcPr>
            <w:tcW w:w="1120" w:type="dxa"/>
            <w:vAlign w:val="bottom"/>
          </w:tcPr>
          <w:p>
            <w:pPr>
              <w:jc w:val="right"/>
              <w:ind w:right="76"/>
              <w:spacing w:after="0" w:line="223" w:lineRule="exact"/>
              <w:rPr>
                <w:sz w:val="20"/>
                <w:szCs w:val="20"/>
                <w:color w:val="auto"/>
              </w:rPr>
            </w:pPr>
            <w:r>
              <w:rPr>
                <w:rFonts w:ascii="Arial" w:cs="Arial" w:eastAsia="Arial" w:hAnsi="Arial"/>
                <w:sz w:val="21"/>
                <w:szCs w:val="21"/>
                <w:color w:val="auto"/>
              </w:rPr>
              <w:t>149,406</w:t>
            </w:r>
          </w:p>
        </w:tc>
        <w:tc>
          <w:tcPr>
            <w:tcW w:w="0" w:type="dxa"/>
            <w:vAlign w:val="bottom"/>
          </w:tcPr>
          <w:p>
            <w:pPr>
              <w:spacing w:after="0"/>
              <w:rPr>
                <w:sz w:val="1"/>
                <w:szCs w:val="1"/>
                <w:color w:val="auto"/>
              </w:rPr>
            </w:pPr>
          </w:p>
        </w:tc>
      </w:tr>
      <w:tr>
        <w:trPr>
          <w:trHeight w:val="264"/>
        </w:trPr>
        <w:tc>
          <w:tcPr>
            <w:tcW w:w="4640" w:type="dxa"/>
            <w:vAlign w:val="bottom"/>
          </w:tcPr>
          <w:p>
            <w:pPr>
              <w:spacing w:after="0"/>
              <w:rPr>
                <w:sz w:val="20"/>
                <w:szCs w:val="20"/>
                <w:color w:val="auto"/>
              </w:rPr>
            </w:pPr>
            <w:r>
              <w:rPr>
                <w:rFonts w:ascii="Arial" w:cs="Arial" w:eastAsia="Arial" w:hAnsi="Arial"/>
                <w:sz w:val="21"/>
                <w:szCs w:val="21"/>
                <w:color w:val="auto"/>
              </w:rPr>
              <w:t>Other comprehensive income (loss):</w:t>
            </w: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346" w:right="339" w:bottom="0" w:gutter="0" w:footer="0" w:header="0"/>
          <w:type w:val="continuous"/>
        </w:sectPr>
      </w:pPr>
    </w:p>
    <w:bookmarkStart w:id="48" w:name="page49"/>
    <w:bookmarkEnd w:id="48"/>
    <w:p>
      <w:pPr>
        <w:spacing w:after="0" w:line="83" w:lineRule="exact"/>
        <w:rPr>
          <w:sz w:val="20"/>
          <w:szCs w:val="20"/>
          <w:color w:val="auto"/>
        </w:rPr>
      </w:pPr>
    </w:p>
    <w:tbl>
      <w:tblPr>
        <w:tblLayout w:type="fixed"/>
        <w:tblInd w:w="140" w:type="dxa"/>
        <w:tblCellMar>
          <w:top w:w="0" w:type="dxa"/>
          <w:left w:w="0" w:type="dxa"/>
          <w:bottom w:w="0" w:type="dxa"/>
          <w:right w:w="0" w:type="dxa"/>
        </w:tblCellMar>
      </w:tblPr>
      <w:tr>
        <w:trPr>
          <w:trHeight w:val="243"/>
        </w:trPr>
        <w:tc>
          <w:tcPr>
            <w:tcW w:w="4640" w:type="dxa"/>
            <w:vAlign w:val="bottom"/>
          </w:tcPr>
          <w:p>
            <w:pPr>
              <w:ind w:left="200"/>
              <w:spacing w:after="0"/>
              <w:rPr>
                <w:sz w:val="20"/>
                <w:szCs w:val="20"/>
                <w:color w:val="auto"/>
              </w:rPr>
            </w:pPr>
            <w:r>
              <w:rPr>
                <w:rFonts w:ascii="Arial" w:cs="Arial" w:eastAsia="Arial" w:hAnsi="Arial"/>
                <w:sz w:val="21"/>
                <w:szCs w:val="21"/>
                <w:color w:val="auto"/>
              </w:rPr>
              <w:t>Change in unrealized (loss) gain on available-</w:t>
            </w:r>
          </w:p>
        </w:tc>
        <w:tc>
          <w:tcPr>
            <w:tcW w:w="48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21"/>
                <w:szCs w:val="21"/>
                <w:color w:val="auto"/>
              </w:rPr>
              <w:t>4,071</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1"/>
                <w:szCs w:val="21"/>
                <w:color w:val="auto"/>
              </w:rPr>
              <w:t>(8,660)</w:t>
            </w: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21"/>
                <w:szCs w:val="21"/>
                <w:color w:val="auto"/>
              </w:rPr>
              <w:t>-</w:t>
            </w:r>
          </w:p>
        </w:tc>
      </w:tr>
      <w:tr>
        <w:trPr>
          <w:trHeight w:val="243"/>
        </w:trPr>
        <w:tc>
          <w:tcPr>
            <w:tcW w:w="4640" w:type="dxa"/>
            <w:vAlign w:val="bottom"/>
          </w:tcPr>
          <w:p>
            <w:pPr>
              <w:ind w:left="200"/>
              <w:spacing w:after="0"/>
              <w:rPr>
                <w:sz w:val="20"/>
                <w:szCs w:val="20"/>
                <w:color w:val="auto"/>
              </w:rPr>
            </w:pPr>
            <w:r>
              <w:rPr>
                <w:rFonts w:ascii="Arial" w:cs="Arial" w:eastAsia="Arial" w:hAnsi="Arial"/>
                <w:sz w:val="21"/>
                <w:szCs w:val="21"/>
                <w:color w:val="auto"/>
              </w:rPr>
              <w:t>for-sale securities, net of tax</w:t>
            </w: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4640" w:type="dxa"/>
            <w:vAlign w:val="bottom"/>
          </w:tcPr>
          <w:p>
            <w:pPr>
              <w:ind w:left="200"/>
              <w:spacing w:after="0"/>
              <w:rPr>
                <w:sz w:val="20"/>
                <w:szCs w:val="20"/>
                <w:color w:val="auto"/>
              </w:rPr>
            </w:pPr>
            <w:r>
              <w:rPr>
                <w:rFonts w:ascii="Arial" w:cs="Arial" w:eastAsia="Arial" w:hAnsi="Arial"/>
                <w:sz w:val="21"/>
                <w:szCs w:val="21"/>
                <w:color w:val="auto"/>
              </w:rPr>
              <w:t>Foreign currency translation adjustments</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21"/>
                <w:szCs w:val="21"/>
                <w:color w:val="auto"/>
              </w:rPr>
              <w:t>2,087</w:t>
            </w:r>
          </w:p>
        </w:tc>
        <w:tc>
          <w:tcPr>
            <w:tcW w:w="1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(2,118)</w:t>
            </w:r>
          </w:p>
        </w:tc>
        <w:tc>
          <w:tcPr>
            <w:tcW w:w="1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(47)</w:t>
            </w:r>
          </w:p>
        </w:tc>
      </w:tr>
      <w:tr>
        <w:trPr>
          <w:trHeight w:val="237"/>
        </w:trPr>
        <w:tc>
          <w:tcPr>
            <w:tcW w:w="4640" w:type="dxa"/>
            <w:vAlign w:val="bottom"/>
          </w:tcPr>
          <w:p>
            <w:pPr>
              <w:spacing w:after="0" w:line="237" w:lineRule="exact"/>
              <w:rPr>
                <w:sz w:val="20"/>
                <w:szCs w:val="20"/>
                <w:color w:val="auto"/>
              </w:rPr>
            </w:pPr>
            <w:r>
              <w:rPr>
                <w:rFonts w:ascii="Arial" w:cs="Arial" w:eastAsia="Arial" w:hAnsi="Arial"/>
                <w:sz w:val="21"/>
                <w:szCs w:val="21"/>
                <w:color w:val="auto"/>
              </w:rPr>
              <w:t>Comprehensive income</w:t>
            </w:r>
          </w:p>
        </w:tc>
        <w:tc>
          <w:tcPr>
            <w:tcW w:w="480" w:type="dxa"/>
            <w:vAlign w:val="bottom"/>
            <w:tcBorders>
              <w:bottom w:val="single" w:sz="8" w:color="auto"/>
            </w:tcBorders>
          </w:tcPr>
          <w:p>
            <w:pPr>
              <w:jc w:val="right"/>
              <w:ind w:right="116"/>
              <w:spacing w:after="0" w:line="237" w:lineRule="exact"/>
              <w:rPr>
                <w:sz w:val="20"/>
                <w:szCs w:val="20"/>
                <w:color w:val="auto"/>
              </w:rPr>
            </w:pPr>
            <w:r>
              <w:rPr>
                <w:rFonts w:ascii="Arial" w:cs="Arial" w:eastAsia="Arial" w:hAnsi="Arial"/>
                <w:sz w:val="21"/>
                <w:szCs w:val="21"/>
                <w:color w:val="auto"/>
              </w:rPr>
              <w:t>$</w:t>
            </w:r>
          </w:p>
        </w:tc>
        <w:tc>
          <w:tcPr>
            <w:tcW w:w="108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214,874</w:t>
            </w:r>
          </w:p>
        </w:tc>
        <w:tc>
          <w:tcPr>
            <w:tcW w:w="180" w:type="dxa"/>
            <w:vAlign w:val="bottom"/>
          </w:tcPr>
          <w:p>
            <w:pPr>
              <w:spacing w:after="0"/>
              <w:rPr>
                <w:sz w:val="20"/>
                <w:szCs w:val="20"/>
                <w:color w:val="auto"/>
              </w:rPr>
            </w:pPr>
          </w:p>
        </w:tc>
        <w:tc>
          <w:tcPr>
            <w:tcW w:w="520" w:type="dxa"/>
            <w:vAlign w:val="bottom"/>
            <w:tcBorders>
              <w:bottom w:val="single" w:sz="8" w:color="auto"/>
            </w:tcBorders>
          </w:tcPr>
          <w:p>
            <w:pPr>
              <w:jc w:val="right"/>
              <w:ind w:right="176"/>
              <w:spacing w:after="0" w:line="237" w:lineRule="exact"/>
              <w:rPr>
                <w:sz w:val="20"/>
                <w:szCs w:val="20"/>
                <w:color w:val="auto"/>
              </w:rPr>
            </w:pPr>
            <w:r>
              <w:rPr>
                <w:rFonts w:ascii="Arial" w:cs="Arial" w:eastAsia="Arial" w:hAnsi="Arial"/>
                <w:sz w:val="21"/>
                <w:szCs w:val="21"/>
                <w:color w:val="auto"/>
              </w:rPr>
              <w:t>$</w:t>
            </w:r>
          </w:p>
        </w:tc>
        <w:tc>
          <w:tcPr>
            <w:tcW w:w="102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97,254</w:t>
            </w:r>
          </w:p>
        </w:tc>
        <w:tc>
          <w:tcPr>
            <w:tcW w:w="160" w:type="dxa"/>
            <w:vAlign w:val="bottom"/>
          </w:tcPr>
          <w:p>
            <w:pPr>
              <w:spacing w:after="0"/>
              <w:rPr>
                <w:sz w:val="20"/>
                <w:szCs w:val="20"/>
                <w:color w:val="auto"/>
              </w:rPr>
            </w:pPr>
          </w:p>
        </w:tc>
        <w:tc>
          <w:tcPr>
            <w:tcW w:w="460" w:type="dxa"/>
            <w:vAlign w:val="bottom"/>
            <w:tcBorders>
              <w:bottom w:val="single" w:sz="8" w:color="auto"/>
            </w:tcBorders>
          </w:tcPr>
          <w:p>
            <w:pPr>
              <w:jc w:val="right"/>
              <w:ind w:right="116"/>
              <w:spacing w:after="0" w:line="237" w:lineRule="exact"/>
              <w:rPr>
                <w:sz w:val="20"/>
                <w:szCs w:val="20"/>
                <w:color w:val="auto"/>
              </w:rPr>
            </w:pPr>
            <w:r>
              <w:rPr>
                <w:rFonts w:ascii="Arial" w:cs="Arial" w:eastAsia="Arial" w:hAnsi="Arial"/>
                <w:sz w:val="21"/>
                <w:szCs w:val="21"/>
                <w:color w:val="auto"/>
              </w:rPr>
              <w:t>$</w:t>
            </w:r>
          </w:p>
        </w:tc>
        <w:tc>
          <w:tcPr>
            <w:tcW w:w="106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149,359</w:t>
            </w:r>
          </w:p>
        </w:tc>
      </w:tr>
      <w:tr>
        <w:trPr>
          <w:trHeight w:val="20"/>
        </w:trPr>
        <w:tc>
          <w:tcPr>
            <w:tcW w:w="4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CASH FLOWS</w:t>
      </w:r>
    </w:p>
    <w:p>
      <w:pPr>
        <w:spacing w:after="0"/>
        <w:rPr>
          <w:sz w:val="20"/>
          <w:szCs w:val="20"/>
          <w:color w:val="auto"/>
        </w:rPr>
      </w:pPr>
      <w:r>
        <w:rPr>
          <w:rFonts w:ascii="Arial" w:cs="Arial" w:eastAsia="Arial" w:hAnsi="Arial"/>
          <w:sz w:val="20"/>
          <w:szCs w:val="20"/>
          <w:b w:val="1"/>
          <w:bCs w:val="1"/>
          <w:color w:val="auto"/>
        </w:rPr>
        <w:t>FOR THE YEARS ENDED DECEMBER 31, 2009, 2008 AND 2007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7151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15125" cy="1714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0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2009</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2008</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2007</w:t>
            </w:r>
          </w:p>
        </w:tc>
        <w:tc>
          <w:tcPr>
            <w:tcW w:w="0" w:type="dxa"/>
            <w:vAlign w:val="bottom"/>
          </w:tcPr>
          <w:p>
            <w:pPr>
              <w:spacing w:after="0"/>
              <w:rPr>
                <w:sz w:val="1"/>
                <w:szCs w:val="1"/>
                <w:color w:val="auto"/>
              </w:rPr>
            </w:pPr>
          </w:p>
        </w:tc>
      </w:tr>
      <w:tr>
        <w:trPr>
          <w:trHeight w:val="176"/>
        </w:trPr>
        <w:tc>
          <w:tcPr>
            <w:tcW w:w="63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6"/>
                <w:szCs w:val="16"/>
                <w:color w:val="auto"/>
              </w:rPr>
              <w:t>Net income</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208,716</w:t>
            </w:r>
          </w:p>
        </w:tc>
        <w:tc>
          <w:tcPr>
            <w:tcW w:w="180" w:type="dxa"/>
            <w:vAlign w:val="bottom"/>
          </w:tcPr>
          <w:p>
            <w:pPr>
              <w:spacing w:after="0"/>
              <w:rPr>
                <w:sz w:val="17"/>
                <w:szCs w:val="17"/>
                <w:color w:val="auto"/>
              </w:rPr>
            </w:pP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108,032</w:t>
            </w:r>
          </w:p>
        </w:tc>
        <w:tc>
          <w:tcPr>
            <w:tcW w:w="160" w:type="dxa"/>
            <w:vAlign w:val="bottom"/>
          </w:tcPr>
          <w:p>
            <w:pPr>
              <w:spacing w:after="0"/>
              <w:rPr>
                <w:sz w:val="17"/>
                <w:szCs w:val="17"/>
                <w:color w:val="auto"/>
              </w:rPr>
            </w:pP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149,406</w:t>
            </w: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60"/>
              <w:spacing w:after="0"/>
              <w:rPr>
                <w:sz w:val="20"/>
                <w:szCs w:val="20"/>
                <w:color w:val="auto"/>
              </w:rPr>
            </w:pPr>
            <w:r>
              <w:rPr>
                <w:rFonts w:ascii="Arial" w:cs="Arial" w:eastAsia="Arial" w:hAnsi="Arial"/>
                <w:sz w:val="16"/>
                <w:szCs w:val="16"/>
                <w:color w:val="auto"/>
              </w:rPr>
              <w:t>Amortization of trademark</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68</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3"/>
        </w:trPr>
        <w:tc>
          <w:tcPr>
            <w:tcW w:w="6300" w:type="dxa"/>
            <w:vAlign w:val="bottom"/>
          </w:tcPr>
          <w:p>
            <w:pPr>
              <w:ind w:left="360"/>
              <w:spacing w:after="0"/>
              <w:rPr>
                <w:sz w:val="20"/>
                <w:szCs w:val="20"/>
                <w:color w:val="auto"/>
              </w:rPr>
            </w:pPr>
            <w:r>
              <w:rPr>
                <w:rFonts w:ascii="Arial" w:cs="Arial" w:eastAsia="Arial" w:hAnsi="Arial"/>
                <w:sz w:val="16"/>
                <w:szCs w:val="16"/>
                <w:color w:val="auto"/>
              </w:rPr>
              <w:t>Depreciation and other amortization</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5,839</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3,417</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2,128</w:t>
            </w:r>
          </w:p>
        </w:tc>
        <w:tc>
          <w:tcPr>
            <w:tcW w:w="0" w:type="dxa"/>
            <w:vAlign w:val="bottom"/>
          </w:tcPr>
          <w:p>
            <w:pPr>
              <w:spacing w:after="0"/>
              <w:rPr>
                <w:sz w:val="1"/>
                <w:szCs w:val="1"/>
                <w:color w:val="auto"/>
              </w:rPr>
            </w:pPr>
          </w:p>
        </w:tc>
      </w:tr>
      <w:tr>
        <w:trPr>
          <w:trHeight w:val="203"/>
        </w:trPr>
        <w:tc>
          <w:tcPr>
            <w:tcW w:w="6300" w:type="dxa"/>
            <w:vAlign w:val="bottom"/>
          </w:tcPr>
          <w:p>
            <w:pPr>
              <w:ind w:left="360"/>
              <w:spacing w:after="0"/>
              <w:rPr>
                <w:sz w:val="20"/>
                <w:szCs w:val="20"/>
                <w:color w:val="auto"/>
              </w:rPr>
            </w:pPr>
            <w:r>
              <w:rPr>
                <w:rFonts w:ascii="Arial" w:cs="Arial" w:eastAsia="Arial" w:hAnsi="Arial"/>
                <w:sz w:val="16"/>
                <w:szCs w:val="16"/>
                <w:color w:val="auto"/>
              </w:rPr>
              <w:t>(Gain) loss on disposal of property and equipment</w:t>
            </w:r>
          </w:p>
        </w:tc>
        <w:tc>
          <w:tcPr>
            <w:tcW w:w="4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3"/>
        </w:trPr>
        <w:tc>
          <w:tcPr>
            <w:tcW w:w="630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14,040</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13,899</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10,246</w:t>
            </w:r>
          </w:p>
        </w:tc>
        <w:tc>
          <w:tcPr>
            <w:tcW w:w="0" w:type="dxa"/>
            <w:vAlign w:val="bottom"/>
          </w:tcPr>
          <w:p>
            <w:pPr>
              <w:spacing w:after="0"/>
              <w:rPr>
                <w:sz w:val="1"/>
                <w:szCs w:val="1"/>
                <w:color w:val="auto"/>
              </w:rPr>
            </w:pPr>
          </w:p>
        </w:tc>
      </w:tr>
      <w:tr>
        <w:trPr>
          <w:trHeight w:val="203"/>
        </w:trPr>
        <w:tc>
          <w:tcPr>
            <w:tcW w:w="6300" w:type="dxa"/>
            <w:vAlign w:val="bottom"/>
          </w:tcPr>
          <w:p>
            <w:pPr>
              <w:ind w:left="360"/>
              <w:spacing w:after="0"/>
              <w:rPr>
                <w:sz w:val="20"/>
                <w:szCs w:val="20"/>
                <w:color w:val="auto"/>
              </w:rPr>
            </w:pPr>
            <w:r>
              <w:rPr>
                <w:rFonts w:ascii="Arial" w:cs="Arial" w:eastAsia="Arial" w:hAnsi="Arial"/>
                <w:sz w:val="16"/>
                <w:szCs w:val="16"/>
                <w:color w:val="auto"/>
              </w:rPr>
              <w:t>Impairment of investments</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3,887</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527</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0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4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(3,163)</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(44,594)</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(14,244)</w:t>
            </w:r>
          </w:p>
        </w:tc>
        <w:tc>
          <w:tcPr>
            <w:tcW w:w="0" w:type="dxa"/>
            <w:vAlign w:val="bottom"/>
          </w:tcPr>
          <w:p>
            <w:pPr>
              <w:spacing w:after="0"/>
              <w:rPr>
                <w:sz w:val="1"/>
                <w:szCs w:val="1"/>
                <w:color w:val="auto"/>
              </w:rPr>
            </w:pPr>
          </w:p>
        </w:tc>
      </w:tr>
      <w:tr>
        <w:trPr>
          <w:trHeight w:val="203"/>
        </w:trPr>
        <w:tc>
          <w:tcPr>
            <w:tcW w:w="6300" w:type="dxa"/>
            <w:vAlign w:val="bottom"/>
          </w:tcPr>
          <w:p>
            <w:pPr>
              <w:ind w:left="360"/>
              <w:spacing w:after="0"/>
              <w:rPr>
                <w:sz w:val="20"/>
                <w:szCs w:val="20"/>
                <w:color w:val="auto"/>
              </w:rPr>
            </w:pPr>
            <w:r>
              <w:rPr>
                <w:rFonts w:ascii="Arial" w:cs="Arial" w:eastAsia="Arial" w:hAnsi="Arial"/>
                <w:sz w:val="16"/>
                <w:szCs w:val="16"/>
                <w:color w:val="auto"/>
              </w:rPr>
              <w:t>Tax benefit from exercise of stock options</w:t>
            </w:r>
          </w:p>
        </w:tc>
        <w:tc>
          <w:tcPr>
            <w:tcW w:w="4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(3,131)</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(4,334)</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(29,454)</w:t>
            </w:r>
          </w:p>
        </w:tc>
        <w:tc>
          <w:tcPr>
            <w:tcW w:w="0" w:type="dxa"/>
            <w:vAlign w:val="bottom"/>
          </w:tcPr>
          <w:p>
            <w:pPr>
              <w:spacing w:after="0"/>
              <w:rPr>
                <w:sz w:val="1"/>
                <w:szCs w:val="1"/>
                <w:color w:val="auto"/>
              </w:rPr>
            </w:pPr>
          </w:p>
        </w:tc>
      </w:tr>
      <w:tr>
        <w:trPr>
          <w:trHeight w:val="203"/>
        </w:trPr>
        <w:tc>
          <w:tcPr>
            <w:tcW w:w="6300" w:type="dxa"/>
            <w:vAlign w:val="bottom"/>
          </w:tcPr>
          <w:p>
            <w:pPr>
              <w:ind w:left="360"/>
              <w:spacing w:after="0"/>
              <w:rPr>
                <w:sz w:val="20"/>
                <w:szCs w:val="20"/>
                <w:color w:val="auto"/>
              </w:rPr>
            </w:pPr>
            <w:r>
              <w:rPr>
                <w:rFonts w:ascii="Arial" w:cs="Arial" w:eastAsia="Arial" w:hAnsi="Arial"/>
                <w:sz w:val="16"/>
                <w:szCs w:val="16"/>
                <w:color w:val="auto"/>
              </w:rPr>
              <w:t>Provision for doubtful accounts</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671</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3"/>
        </w:trPr>
        <w:tc>
          <w:tcPr>
            <w:tcW w:w="6300" w:type="dxa"/>
            <w:vAlign w:val="bottom"/>
          </w:tcPr>
          <w:p>
            <w:pPr>
              <w:ind w:left="360"/>
              <w:spacing w:after="0"/>
              <w:rPr>
                <w:sz w:val="20"/>
                <w:szCs w:val="20"/>
                <w:color w:val="auto"/>
              </w:rPr>
            </w:pPr>
            <w:r>
              <w:rPr>
                <w:rFonts w:ascii="Arial" w:cs="Arial" w:eastAsia="Arial" w:hAnsi="Arial"/>
                <w:sz w:val="16"/>
                <w:szCs w:val="16"/>
                <w:color w:val="auto"/>
              </w:rPr>
              <w:t>Effect on cash of changes in operating assets and liabilities:</w:t>
            </w: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540"/>
              <w:spacing w:after="0"/>
              <w:rPr>
                <w:sz w:val="20"/>
                <w:szCs w:val="20"/>
                <w:color w:val="auto"/>
              </w:rPr>
            </w:pPr>
            <w:r>
              <w:rPr>
                <w:rFonts w:ascii="Arial" w:cs="Arial" w:eastAsia="Arial" w:hAnsi="Arial"/>
                <w:sz w:val="16"/>
                <w:szCs w:val="16"/>
                <w:color w:val="auto"/>
              </w:rPr>
              <w:t>Accounts receivable</w:t>
            </w:r>
          </w:p>
        </w:tc>
        <w:tc>
          <w:tcPr>
            <w:tcW w:w="4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(59,418)</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30,609</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(25,879)</w:t>
            </w:r>
          </w:p>
        </w:tc>
        <w:tc>
          <w:tcPr>
            <w:tcW w:w="0" w:type="dxa"/>
            <w:vAlign w:val="bottom"/>
          </w:tcPr>
          <w:p>
            <w:pPr>
              <w:spacing w:after="0"/>
              <w:rPr>
                <w:sz w:val="1"/>
                <w:szCs w:val="1"/>
                <w:color w:val="auto"/>
              </w:rPr>
            </w:pPr>
          </w:p>
        </w:tc>
      </w:tr>
      <w:tr>
        <w:trPr>
          <w:trHeight w:val="203"/>
        </w:trPr>
        <w:tc>
          <w:tcPr>
            <w:tcW w:w="6300" w:type="dxa"/>
            <w:vAlign w:val="bottom"/>
          </w:tcPr>
          <w:p>
            <w:pPr>
              <w:ind w:left="540"/>
              <w:spacing w:after="0"/>
              <w:rPr>
                <w:sz w:val="20"/>
                <w:szCs w:val="20"/>
                <w:color w:val="auto"/>
              </w:rPr>
            </w:pPr>
            <w:r>
              <w:rPr>
                <w:rFonts w:ascii="Arial" w:cs="Arial" w:eastAsia="Arial" w:hAnsi="Arial"/>
                <w:sz w:val="16"/>
                <w:szCs w:val="16"/>
                <w:color w:val="auto"/>
              </w:rPr>
              <w:t>Distributor receivables</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86,023</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(85,348)</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203"/>
        </w:trPr>
        <w:tc>
          <w:tcPr>
            <w:tcW w:w="6300" w:type="dxa"/>
            <w:vAlign w:val="bottom"/>
          </w:tcPr>
          <w:p>
            <w:pPr>
              <w:ind w:left="540"/>
              <w:spacing w:after="0"/>
              <w:rPr>
                <w:sz w:val="20"/>
                <w:szCs w:val="20"/>
                <w:color w:val="auto"/>
              </w:rPr>
            </w:pPr>
            <w:r>
              <w:rPr>
                <w:rFonts w:ascii="Arial" w:cs="Arial" w:eastAsia="Arial" w:hAnsi="Arial"/>
                <w:sz w:val="16"/>
                <w:szCs w:val="16"/>
                <w:color w:val="auto"/>
              </w:rPr>
              <w:t>Inventories</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8,545</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(19,671)</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(21,127)</w:t>
            </w:r>
          </w:p>
        </w:tc>
        <w:tc>
          <w:tcPr>
            <w:tcW w:w="0" w:type="dxa"/>
            <w:vAlign w:val="bottom"/>
          </w:tcPr>
          <w:p>
            <w:pPr>
              <w:spacing w:after="0"/>
              <w:rPr>
                <w:sz w:val="1"/>
                <w:szCs w:val="1"/>
                <w:color w:val="auto"/>
              </w:rPr>
            </w:pPr>
          </w:p>
        </w:tc>
      </w:tr>
      <w:tr>
        <w:trPr>
          <w:trHeight w:val="203"/>
        </w:trPr>
        <w:tc>
          <w:tcPr>
            <w:tcW w:w="6300" w:type="dxa"/>
            <w:vAlign w:val="bottom"/>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4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(2,872)</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(4,686)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(3,049)</w:t>
            </w:r>
          </w:p>
        </w:tc>
        <w:tc>
          <w:tcPr>
            <w:tcW w:w="0" w:type="dxa"/>
            <w:vAlign w:val="bottom"/>
          </w:tcPr>
          <w:p>
            <w:pPr>
              <w:spacing w:after="0"/>
              <w:rPr>
                <w:sz w:val="1"/>
                <w:szCs w:val="1"/>
                <w:color w:val="auto"/>
              </w:rPr>
            </w:pPr>
          </w:p>
        </w:tc>
      </w:tr>
      <w:tr>
        <w:trPr>
          <w:trHeight w:val="203"/>
        </w:trPr>
        <w:tc>
          <w:tcPr>
            <w:tcW w:w="6300" w:type="dxa"/>
            <w:vAlign w:val="bottom"/>
          </w:tcPr>
          <w:p>
            <w:pPr>
              <w:ind w:left="540"/>
              <w:spacing w:after="0"/>
              <w:rPr>
                <w:sz w:val="20"/>
                <w:szCs w:val="20"/>
                <w:color w:val="auto"/>
              </w:rPr>
            </w:pPr>
            <w:r>
              <w:rPr>
                <w:rFonts w:ascii="Arial" w:cs="Arial" w:eastAsia="Arial" w:hAnsi="Arial"/>
                <w:sz w:val="16"/>
                <w:szCs w:val="16"/>
                <w:color w:val="auto"/>
              </w:rPr>
              <w:t>Prepaid income taxes</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4,977</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(4,977)</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00" w:type="dxa"/>
            <w:vAlign w:val="bottom"/>
          </w:tcPr>
          <w:p>
            <w:pPr>
              <w:ind w:left="540"/>
              <w:spacing w:after="0"/>
              <w:rPr>
                <w:sz w:val="20"/>
                <w:szCs w:val="20"/>
                <w:color w:val="auto"/>
              </w:rPr>
            </w:pPr>
            <w:r>
              <w:rPr>
                <w:rFonts w:ascii="Arial" w:cs="Arial" w:eastAsia="Arial" w:hAnsi="Arial"/>
                <w:sz w:val="16"/>
                <w:szCs w:val="16"/>
                <w:color w:val="auto"/>
              </w:rPr>
              <w:t>Accounts payable</w:t>
            </w:r>
          </w:p>
        </w:tc>
        <w:tc>
          <w:tcPr>
            <w:tcW w:w="4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(15,786)</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7,517</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22,404</w:t>
            </w:r>
          </w:p>
        </w:tc>
        <w:tc>
          <w:tcPr>
            <w:tcW w:w="0" w:type="dxa"/>
            <w:vAlign w:val="bottom"/>
          </w:tcPr>
          <w:p>
            <w:pPr>
              <w:spacing w:after="0"/>
              <w:rPr>
                <w:sz w:val="1"/>
                <w:szCs w:val="1"/>
                <w:color w:val="auto"/>
              </w:rPr>
            </w:pPr>
          </w:p>
        </w:tc>
      </w:tr>
      <w:tr>
        <w:trPr>
          <w:trHeight w:val="203"/>
        </w:trPr>
        <w:tc>
          <w:tcPr>
            <w:tcW w:w="6300" w:type="dxa"/>
            <w:vAlign w:val="bottom"/>
          </w:tcPr>
          <w:p>
            <w:pPr>
              <w:ind w:left="540"/>
              <w:spacing w:after="0"/>
              <w:rPr>
                <w:sz w:val="20"/>
                <w:szCs w:val="20"/>
                <w:color w:val="auto"/>
              </w:rPr>
            </w:pPr>
            <w:r>
              <w:rPr>
                <w:rFonts w:ascii="Arial" w:cs="Arial" w:eastAsia="Arial" w:hAnsi="Arial"/>
                <w:sz w:val="16"/>
                <w:szCs w:val="16"/>
                <w:color w:val="auto"/>
              </w:rPr>
              <w:t>Accrued liabilities</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9,341</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3,272</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(3,770)</w:t>
            </w:r>
          </w:p>
        </w:tc>
        <w:tc>
          <w:tcPr>
            <w:tcW w:w="0" w:type="dxa"/>
            <w:vAlign w:val="bottom"/>
          </w:tcPr>
          <w:p>
            <w:pPr>
              <w:spacing w:after="0"/>
              <w:rPr>
                <w:sz w:val="1"/>
                <w:szCs w:val="1"/>
                <w:color w:val="auto"/>
              </w:rPr>
            </w:pPr>
          </w:p>
        </w:tc>
      </w:tr>
      <w:tr>
        <w:trPr>
          <w:trHeight w:val="203"/>
        </w:trPr>
        <w:tc>
          <w:tcPr>
            <w:tcW w:w="6300" w:type="dxa"/>
            <w:vAlign w:val="bottom"/>
          </w:tcPr>
          <w:p>
            <w:pPr>
              <w:ind w:left="540"/>
              <w:spacing w:after="0"/>
              <w:rPr>
                <w:sz w:val="20"/>
                <w:szCs w:val="20"/>
                <w:color w:val="auto"/>
              </w:rPr>
            </w:pPr>
            <w:r>
              <w:rPr>
                <w:rFonts w:ascii="Arial" w:cs="Arial" w:eastAsia="Arial" w:hAnsi="Arial"/>
                <w:sz w:val="16"/>
                <w:szCs w:val="16"/>
                <w:color w:val="auto"/>
              </w:rPr>
              <w:t>Accrued distributor terminations</w:t>
            </w:r>
          </w:p>
        </w:tc>
        <w:tc>
          <w:tcPr>
            <w:tcW w:w="4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(99,332)</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98,082</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(2,712)</w:t>
            </w:r>
          </w:p>
        </w:tc>
        <w:tc>
          <w:tcPr>
            <w:tcW w:w="0" w:type="dxa"/>
            <w:vAlign w:val="bottom"/>
          </w:tcPr>
          <w:p>
            <w:pPr>
              <w:spacing w:after="0"/>
              <w:rPr>
                <w:sz w:val="1"/>
                <w:szCs w:val="1"/>
                <w:color w:val="auto"/>
              </w:rPr>
            </w:pPr>
          </w:p>
        </w:tc>
      </w:tr>
      <w:tr>
        <w:trPr>
          <w:trHeight w:val="203"/>
        </w:trPr>
        <w:tc>
          <w:tcPr>
            <w:tcW w:w="6300" w:type="dxa"/>
            <w:vAlign w:val="bottom"/>
          </w:tcPr>
          <w:p>
            <w:pPr>
              <w:ind w:left="540"/>
              <w:spacing w:after="0"/>
              <w:rPr>
                <w:sz w:val="20"/>
                <w:szCs w:val="20"/>
                <w:color w:val="auto"/>
              </w:rPr>
            </w:pPr>
            <w:r>
              <w:rPr>
                <w:rFonts w:ascii="Arial" w:cs="Arial" w:eastAsia="Arial" w:hAnsi="Arial"/>
                <w:sz w:val="16"/>
                <w:szCs w:val="16"/>
                <w:color w:val="auto"/>
              </w:rPr>
              <w:t>Accrued compensation</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838</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956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1,449</w:t>
            </w:r>
          </w:p>
        </w:tc>
        <w:tc>
          <w:tcPr>
            <w:tcW w:w="0" w:type="dxa"/>
            <w:vAlign w:val="bottom"/>
          </w:tcPr>
          <w:p>
            <w:pPr>
              <w:spacing w:after="0"/>
              <w:rPr>
                <w:sz w:val="1"/>
                <w:szCs w:val="1"/>
                <w:color w:val="auto"/>
              </w:rPr>
            </w:pPr>
          </w:p>
        </w:tc>
      </w:tr>
      <w:tr>
        <w:trPr>
          <w:trHeight w:val="203"/>
        </w:trPr>
        <w:tc>
          <w:tcPr>
            <w:tcW w:w="6300" w:type="dxa"/>
            <w:vAlign w:val="bottom"/>
          </w:tcPr>
          <w:p>
            <w:pPr>
              <w:ind w:left="540"/>
              <w:spacing w:after="0"/>
              <w:rPr>
                <w:sz w:val="20"/>
                <w:szCs w:val="20"/>
                <w:color w:val="auto"/>
              </w:rPr>
            </w:pPr>
            <w:r>
              <w:rPr>
                <w:rFonts w:ascii="Arial" w:cs="Arial" w:eastAsia="Arial" w:hAnsi="Arial"/>
                <w:sz w:val="16"/>
                <w:szCs w:val="16"/>
                <w:color w:val="auto"/>
              </w:rPr>
              <w:t>Income taxes payable</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3,892</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(1,960)</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31,757</w:t>
            </w:r>
          </w:p>
        </w:tc>
        <w:tc>
          <w:tcPr>
            <w:tcW w:w="0" w:type="dxa"/>
            <w:vAlign w:val="bottom"/>
          </w:tcPr>
          <w:p>
            <w:pPr>
              <w:spacing w:after="0"/>
              <w:rPr>
                <w:sz w:val="1"/>
                <w:szCs w:val="1"/>
                <w:color w:val="auto"/>
              </w:rPr>
            </w:pPr>
          </w:p>
        </w:tc>
      </w:tr>
      <w:tr>
        <w:trPr>
          <w:trHeight w:val="206"/>
        </w:trPr>
        <w:tc>
          <w:tcPr>
            <w:tcW w:w="6300" w:type="dxa"/>
            <w:vAlign w:val="bottom"/>
          </w:tcPr>
          <w:p>
            <w:pPr>
              <w:ind w:left="540"/>
              <w:spacing w:after="0"/>
              <w:rPr>
                <w:sz w:val="20"/>
                <w:szCs w:val="20"/>
                <w:color w:val="auto"/>
              </w:rPr>
            </w:pPr>
            <w:r>
              <w:rPr>
                <w:rFonts w:ascii="Arial" w:cs="Arial" w:eastAsia="Arial" w:hAnsi="Arial"/>
                <w:sz w:val="16"/>
                <w:szCs w:val="16"/>
                <w:color w:val="auto"/>
              </w:rPr>
              <w:t>Deferred revenue</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(6,799)</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98,632</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19,114</w:t>
            </w:r>
          </w:p>
        </w:tc>
        <w:tc>
          <w:tcPr>
            <w:tcW w:w="0" w:type="dxa"/>
            <w:vAlign w:val="bottom"/>
          </w:tcPr>
          <w:p>
            <w:pPr>
              <w:spacing w:after="0"/>
              <w:rPr>
                <w:sz w:val="1"/>
                <w:szCs w:val="1"/>
                <w:color w:val="auto"/>
              </w:rPr>
            </w:pPr>
          </w:p>
        </w:tc>
      </w:tr>
      <w:tr>
        <w:trPr>
          <w:trHeight w:val="206"/>
        </w:trPr>
        <w:tc>
          <w:tcPr>
            <w:tcW w:w="630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156,192</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199,496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135,451</w:t>
            </w:r>
          </w:p>
        </w:tc>
        <w:tc>
          <w:tcPr>
            <w:tcW w:w="0" w:type="dxa"/>
            <w:vAlign w:val="bottom"/>
          </w:tcPr>
          <w:p>
            <w:pPr>
              <w:spacing w:after="0"/>
              <w:rPr>
                <w:sz w:val="1"/>
                <w:szCs w:val="1"/>
                <w:color w:val="auto"/>
              </w:rPr>
            </w:pPr>
          </w:p>
        </w:tc>
      </w:tr>
      <w:tr>
        <w:trPr>
          <w:trHeight w:val="337"/>
        </w:trPr>
        <w:tc>
          <w:tcPr>
            <w:tcW w:w="63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6"/>
                <w:szCs w:val="16"/>
                <w:color w:val="auto"/>
              </w:rPr>
              <w:t>Sales and maturities of held-to-maturity investments</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79,919</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4,997</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3,528</w:t>
            </w: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6"/>
                <w:szCs w:val="16"/>
                <w:color w:val="auto"/>
              </w:rPr>
              <w:t>Sales of available-for-sale investments</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17,254</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283,241</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169,529</w:t>
            </w: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6"/>
                <w:szCs w:val="16"/>
                <w:color w:val="auto"/>
              </w:rPr>
              <w:t>Purchases of held-to-maturity investments</w:t>
            </w:r>
          </w:p>
        </w:tc>
        <w:tc>
          <w:tcPr>
            <w:tcW w:w="4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(74,976)</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(24,938)</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6"/>
                <w:szCs w:val="16"/>
                <w:color w:val="auto"/>
              </w:rPr>
              <w:t>Purchases of available-for-sale investments</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(106,685)</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(361,600)</w:t>
            </w: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4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(23,554)</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(6,718)</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(4,108)</w:t>
            </w: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6"/>
                <w:szCs w:val="16"/>
                <w:color w:val="auto"/>
              </w:rPr>
              <w:t>Proceeds from sale of property and equipment</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877</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159</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6"/>
                <w:szCs w:val="16"/>
                <w:color w:val="auto"/>
              </w:rPr>
              <w:t>Additions to trademarks</w:t>
            </w:r>
          </w:p>
        </w:tc>
        <w:tc>
          <w:tcPr>
            <w:tcW w:w="4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(5,215)</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(4,354)</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(2,920)</w:t>
            </w:r>
          </w:p>
        </w:tc>
        <w:tc>
          <w:tcPr>
            <w:tcW w:w="0" w:type="dxa"/>
            <w:vAlign w:val="bottom"/>
          </w:tcPr>
          <w:p>
            <w:pPr>
              <w:spacing w:after="0"/>
              <w:rPr>
                <w:sz w:val="1"/>
                <w:szCs w:val="1"/>
                <w:color w:val="auto"/>
              </w:rPr>
            </w:pPr>
          </w:p>
        </w:tc>
      </w:tr>
      <w:tr>
        <w:trPr>
          <w:trHeight w:val="206"/>
        </w:trPr>
        <w:tc>
          <w:tcPr>
            <w:tcW w:w="6300" w:type="dxa"/>
            <w:vAlign w:val="bottom"/>
          </w:tcPr>
          <w:p>
            <w:pPr>
              <w:spacing w:after="0"/>
              <w:rPr>
                <w:sz w:val="20"/>
                <w:szCs w:val="20"/>
                <w:color w:val="auto"/>
              </w:rPr>
            </w:pPr>
            <w:r>
              <w:rPr>
                <w:rFonts w:ascii="Arial" w:cs="Arial" w:eastAsia="Arial" w:hAnsi="Arial"/>
                <w:sz w:val="16"/>
                <w:szCs w:val="16"/>
                <w:color w:val="auto"/>
              </w:rPr>
              <w:t>(Increase) decrease in other assets</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1,226</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(1,720)</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06"/>
        </w:trPr>
        <w:tc>
          <w:tcPr>
            <w:tcW w:w="6300" w:type="dxa"/>
            <w:vAlign w:val="bottom"/>
          </w:tcPr>
          <w:p>
            <w:pPr>
              <w:ind w:left="720"/>
              <w:spacing w:after="0"/>
              <w:rPr>
                <w:sz w:val="20"/>
                <w:szCs w:val="20"/>
                <w:color w:val="auto"/>
              </w:rPr>
            </w:pPr>
            <w:r>
              <w:rPr>
                <w:rFonts w:ascii="Arial" w:cs="Arial" w:eastAsia="Arial" w:hAnsi="Arial"/>
                <w:sz w:val="16"/>
                <w:szCs w:val="16"/>
                <w:color w:val="auto"/>
              </w:rPr>
              <w:t>Net cash (used in) provided by investing activities</w:t>
            </w:r>
          </w:p>
        </w:tc>
        <w:tc>
          <w:tcPr>
            <w:tcW w:w="4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(4,469)</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143,982</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(194,727)</w:t>
            </w:r>
          </w:p>
        </w:tc>
        <w:tc>
          <w:tcPr>
            <w:tcW w:w="0" w:type="dxa"/>
            <w:vAlign w:val="bottom"/>
          </w:tcPr>
          <w:p>
            <w:pPr>
              <w:spacing w:after="0"/>
              <w:rPr>
                <w:sz w:val="1"/>
                <w:szCs w:val="1"/>
                <w:color w:val="auto"/>
              </w:rPr>
            </w:pPr>
          </w:p>
        </w:tc>
      </w:tr>
      <w:tr>
        <w:trPr>
          <w:trHeight w:val="391"/>
        </w:trPr>
        <w:tc>
          <w:tcPr>
            <w:tcW w:w="63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6"/>
                <w:szCs w:val="16"/>
                <w:color w:val="auto"/>
              </w:rPr>
              <w:t>Principal payments on debt</w:t>
            </w:r>
          </w:p>
        </w:tc>
        <w:tc>
          <w:tcPr>
            <w:tcW w:w="4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(1,539)</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(1,170)</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6"/>
                <w:szCs w:val="16"/>
                <w:color w:val="auto"/>
              </w:rPr>
              <w:t>Tax benefit from exercise of stock options</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3,131</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4,334</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29,454</w:t>
            </w: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4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2,502</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2,257</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8,191</w:t>
            </w:r>
          </w:p>
        </w:tc>
        <w:tc>
          <w:tcPr>
            <w:tcW w:w="0" w:type="dxa"/>
            <w:vAlign w:val="bottom"/>
          </w:tcPr>
          <w:p>
            <w:pPr>
              <w:spacing w:after="0"/>
              <w:rPr>
                <w:sz w:val="1"/>
                <w:szCs w:val="1"/>
                <w:color w:val="auto"/>
              </w:rPr>
            </w:pPr>
          </w:p>
        </w:tc>
      </w:tr>
      <w:tr>
        <w:trPr>
          <w:trHeight w:val="206"/>
        </w:trPr>
        <w:tc>
          <w:tcPr>
            <w:tcW w:w="6300" w:type="dxa"/>
            <w:vAlign w:val="bottom"/>
          </w:tcPr>
          <w:p>
            <w:pPr>
              <w:spacing w:after="0"/>
              <w:rPr>
                <w:sz w:val="20"/>
                <w:szCs w:val="20"/>
                <w:color w:val="auto"/>
              </w:rPr>
            </w:pPr>
            <w:r>
              <w:rPr>
                <w:rFonts w:ascii="Arial" w:cs="Arial" w:eastAsia="Arial" w:hAnsi="Arial"/>
                <w:sz w:val="16"/>
                <w:szCs w:val="16"/>
                <w:color w:val="auto"/>
              </w:rPr>
              <w:t>Purchases of common stock held in treasury</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(86,173)</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(103,467)</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2"/>
        </w:trPr>
        <w:tc>
          <w:tcPr>
            <w:tcW w:w="6300" w:type="dxa"/>
            <w:vAlign w:val="bottom"/>
          </w:tcPr>
          <w:p>
            <w:pPr>
              <w:ind w:left="720"/>
              <w:spacing w:after="0"/>
              <w:rPr>
                <w:sz w:val="20"/>
                <w:szCs w:val="20"/>
                <w:color w:val="auto"/>
              </w:rPr>
            </w:pPr>
            <w:r>
              <w:rPr>
                <w:rFonts w:ascii="Arial" w:cs="Arial" w:eastAsia="Arial" w:hAnsi="Arial"/>
                <w:sz w:val="16"/>
                <w:szCs w:val="16"/>
                <w:color w:val="auto"/>
              </w:rPr>
              <w:t>Net cash (used in) provided by financing activities</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(82,079)</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(98,046)</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36,587</w:t>
            </w:r>
          </w:p>
        </w:tc>
        <w:tc>
          <w:tcPr>
            <w:tcW w:w="0" w:type="dxa"/>
            <w:vAlign w:val="bottom"/>
          </w:tcPr>
          <w:p>
            <w:pPr>
              <w:spacing w:after="0"/>
              <w:rPr>
                <w:sz w:val="1"/>
                <w:szCs w:val="1"/>
                <w:color w:val="auto"/>
              </w:rPr>
            </w:pPr>
          </w:p>
        </w:tc>
      </w:tr>
      <w:tr>
        <w:trPr>
          <w:trHeight w:val="339"/>
        </w:trPr>
        <w:tc>
          <w:tcPr>
            <w:tcW w:w="630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440" w:type="dxa"/>
            <w:vAlign w:val="bottom"/>
          </w:tcPr>
          <w:p>
            <w:pPr>
              <w:spacing w:after="0"/>
              <w:rPr>
                <w:sz w:val="24"/>
                <w:szCs w:val="24"/>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1,904</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(1,071)</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7"/>
        </w:trPr>
        <w:tc>
          <w:tcPr>
            <w:tcW w:w="630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440" w:type="dxa"/>
            <w:vAlign w:val="bottom"/>
          </w:tcPr>
          <w:p>
            <w:pPr>
              <w:spacing w:after="0"/>
              <w:rPr>
                <w:sz w:val="24"/>
                <w:szCs w:val="24"/>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71,548</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244,361</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(22,689)</w:t>
            </w:r>
          </w:p>
        </w:tc>
        <w:tc>
          <w:tcPr>
            <w:tcW w:w="0" w:type="dxa"/>
            <w:vAlign w:val="bottom"/>
          </w:tcPr>
          <w:p>
            <w:pPr>
              <w:spacing w:after="0"/>
              <w:rPr>
                <w:sz w:val="1"/>
                <w:szCs w:val="1"/>
                <w:color w:val="auto"/>
              </w:rPr>
            </w:pPr>
          </w:p>
        </w:tc>
      </w:tr>
      <w:tr>
        <w:trPr>
          <w:trHeight w:val="206"/>
        </w:trPr>
        <w:tc>
          <w:tcPr>
            <w:tcW w:w="6300" w:type="dxa"/>
            <w:vAlign w:val="bottom"/>
          </w:tcPr>
          <w:p>
            <w:pPr>
              <w:spacing w:after="0"/>
              <w:rPr>
                <w:sz w:val="20"/>
                <w:szCs w:val="20"/>
                <w:color w:val="auto"/>
              </w:rPr>
            </w:pPr>
            <w:r>
              <w:rPr>
                <w:rFonts w:ascii="Arial" w:cs="Arial" w:eastAsia="Arial" w:hAnsi="Arial"/>
                <w:sz w:val="16"/>
                <w:szCs w:val="16"/>
                <w:color w:val="auto"/>
              </w:rPr>
              <w:t>CASH AND CASH EQUIVALENTS, beginning of year</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256,801</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12,440</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35,129</w:t>
            </w:r>
          </w:p>
        </w:tc>
        <w:tc>
          <w:tcPr>
            <w:tcW w:w="0" w:type="dxa"/>
            <w:vAlign w:val="bottom"/>
          </w:tcPr>
          <w:p>
            <w:pPr>
              <w:spacing w:after="0"/>
              <w:rPr>
                <w:sz w:val="1"/>
                <w:szCs w:val="1"/>
                <w:color w:val="auto"/>
              </w:rPr>
            </w:pPr>
          </w:p>
        </w:tc>
      </w:tr>
      <w:tr>
        <w:trPr>
          <w:trHeight w:val="202"/>
        </w:trPr>
        <w:tc>
          <w:tcPr>
            <w:tcW w:w="6300" w:type="dxa"/>
            <w:vAlign w:val="bottom"/>
          </w:tcPr>
          <w:p>
            <w:pPr>
              <w:spacing w:after="0"/>
              <w:rPr>
                <w:sz w:val="20"/>
                <w:szCs w:val="20"/>
                <w:color w:val="auto"/>
              </w:rPr>
            </w:pPr>
            <w:r>
              <w:rPr>
                <w:rFonts w:ascii="Arial" w:cs="Arial" w:eastAsia="Arial" w:hAnsi="Arial"/>
                <w:sz w:val="16"/>
                <w:szCs w:val="16"/>
                <w:color w:val="auto"/>
              </w:rPr>
              <w:t>CASH AND CASH EQUIVALENTS, end of year</w:t>
            </w: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328,349</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256,801</w:t>
            </w: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12,440</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6"/>
                <w:szCs w:val="16"/>
                <w:color w:val="auto"/>
              </w:rPr>
              <w:t>SUPPLEMENTAL INFORMATION:</w:t>
            </w: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3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300" w:type="dxa"/>
            <w:vAlign w:val="bottom"/>
          </w:tcPr>
          <w:p>
            <w:pPr>
              <w:ind w:left="180"/>
              <w:spacing w:after="0"/>
              <w:rPr>
                <w:sz w:val="20"/>
                <w:szCs w:val="20"/>
                <w:color w:val="auto"/>
              </w:rPr>
            </w:pPr>
            <w:r>
              <w:rPr>
                <w:rFonts w:ascii="Arial" w:cs="Arial" w:eastAsia="Arial" w:hAnsi="Arial"/>
                <w:sz w:val="16"/>
                <w:szCs w:val="16"/>
                <w:color w:val="auto"/>
              </w:rPr>
              <w:t>Cash paid during the year for:</w:t>
            </w:r>
          </w:p>
        </w:tc>
        <w:tc>
          <w:tcPr>
            <w:tcW w:w="4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79"/>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7"/>
                <w:szCs w:val="17"/>
                <w:color w:val="auto"/>
              </w:rPr>
            </w:pPr>
          </w:p>
        </w:tc>
        <w:tc>
          <w:tcPr>
            <w:tcW w:w="44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79"/>
              <w:spacing w:after="0"/>
              <w:rPr>
                <w:sz w:val="20"/>
                <w:szCs w:val="20"/>
                <w:color w:val="auto"/>
              </w:rPr>
            </w:pPr>
            <w:r>
              <w:rPr>
                <w:rFonts w:ascii="Arial" w:cs="Arial" w:eastAsia="Arial" w:hAnsi="Arial"/>
                <w:sz w:val="16"/>
                <w:szCs w:val="16"/>
                <w:color w:val="auto"/>
              </w:rPr>
              <w:t>49</w:t>
            </w:r>
          </w:p>
        </w:tc>
        <w:tc>
          <w:tcPr>
            <w:tcW w:w="160" w:type="dxa"/>
            <w:vAlign w:val="bottom"/>
          </w:tcPr>
          <w:p>
            <w:pPr>
              <w:spacing w:after="0"/>
              <w:rPr>
                <w:sz w:val="17"/>
                <w:szCs w:val="17"/>
                <w:color w:val="auto"/>
              </w:rPr>
            </w:pPr>
          </w:p>
        </w:tc>
        <w:tc>
          <w:tcPr>
            <w:tcW w:w="42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7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4"/>
        </w:trPr>
        <w:tc>
          <w:tcPr>
            <w:tcW w:w="6300" w:type="dxa"/>
            <w:vAlign w:val="bottom"/>
          </w:tcPr>
          <w:p>
            <w:pPr>
              <w:ind w:left="360"/>
              <w:spacing w:after="0"/>
              <w:rPr>
                <w:sz w:val="20"/>
                <w:szCs w:val="20"/>
                <w:color w:val="auto"/>
              </w:rPr>
            </w:pPr>
            <w:r>
              <w:rPr>
                <w:rFonts w:ascii="Arial" w:cs="Arial" w:eastAsia="Arial" w:hAnsi="Arial"/>
                <w:sz w:val="16"/>
                <w:szCs w:val="16"/>
                <w:color w:val="auto"/>
              </w:rPr>
              <w:t>Interest</w:t>
            </w:r>
          </w:p>
        </w:tc>
        <w:tc>
          <w:tcPr>
            <w:tcW w:w="4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360"/>
              <w:spacing w:after="0"/>
              <w:rPr>
                <w:sz w:val="20"/>
                <w:szCs w:val="20"/>
                <w:color w:val="auto"/>
              </w:rPr>
            </w:pPr>
            <w:r>
              <w:rPr>
                <w:rFonts w:ascii="Arial" w:cs="Arial" w:eastAsia="Arial" w:hAnsi="Arial"/>
                <w:sz w:val="16"/>
                <w:szCs w:val="16"/>
                <w:color w:val="auto"/>
              </w:rPr>
              <w:t>Income taxes</w:t>
            </w: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125,838</w:t>
            </w:r>
          </w:p>
        </w:tc>
        <w:tc>
          <w:tcPr>
            <w:tcW w:w="180" w:type="dxa"/>
            <w:vAlign w:val="bottom"/>
          </w:tcPr>
          <w:p>
            <w:pPr>
              <w:spacing w:after="0"/>
              <w:rPr>
                <w:sz w:val="15"/>
                <w:szCs w:val="15"/>
                <w:color w:val="auto"/>
              </w:rPr>
            </w:pPr>
          </w:p>
        </w:tc>
        <w:tc>
          <w:tcPr>
            <w:tcW w:w="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118,338</w:t>
            </w:r>
          </w:p>
        </w:tc>
        <w:tc>
          <w:tcPr>
            <w:tcW w:w="160" w:type="dxa"/>
            <w:vAlign w:val="bottom"/>
          </w:tcPr>
          <w:p>
            <w:pPr>
              <w:spacing w:after="0"/>
              <w:rPr>
                <w:sz w:val="15"/>
                <w:szCs w:val="15"/>
                <w:color w:val="auto"/>
              </w:rPr>
            </w:pP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73,048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22" w:orient="portrait"/>
          <w:cols w:equalWidth="0" w:num="1">
            <w:col w:w="11260"/>
          </w:cols>
          <w:pgMar w:left="24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5520"/>
        <w:spacing w:after="0" w:line="293" w:lineRule="auto"/>
        <w:rPr>
          <w:sz w:val="20"/>
          <w:szCs w:val="20"/>
          <w:color w:val="auto"/>
        </w:rPr>
      </w:pPr>
      <w:r>
        <w:rPr>
          <w:rFonts w:ascii="Arial" w:cs="Arial" w:eastAsia="Arial" w:hAnsi="Arial"/>
          <w:sz w:val="19"/>
          <w:szCs w:val="19"/>
          <w:b w:val="1"/>
          <w:bCs w:val="1"/>
          <w:color w:val="auto"/>
        </w:rPr>
        <w:t>HANSEN NATURAL CORPORATION AND SUBSIDIARIES CONSOLIDATED STATEMENTS OF CASH FLOWS (Continued)</w:t>
      </w:r>
    </w:p>
    <w:p>
      <w:pPr>
        <w:sectPr>
          <w:pgSz w:w="11900" w:h="16922" w:orient="portrait"/>
          <w:cols w:equalWidth="0" w:num="1">
            <w:col w:w="11260"/>
          </w:cols>
          <w:pgMar w:left="240" w:top="126" w:right="399" w:bottom="0" w:gutter="0" w:footer="0" w:header="0"/>
          <w:type w:val="continuous"/>
        </w:sectPr>
      </w:pPr>
    </w:p>
    <w:bookmarkStart w:id="49" w:name="page50"/>
    <w:bookmarkEnd w:id="49"/>
    <w:p>
      <w:pPr>
        <w:spacing w:after="0"/>
        <w:rPr>
          <w:sz w:val="20"/>
          <w:szCs w:val="20"/>
          <w:color w:val="auto"/>
        </w:rPr>
      </w:pPr>
      <w:r>
        <w:rPr>
          <w:rFonts w:ascii="Arial" w:cs="Arial" w:eastAsia="Arial" w:hAnsi="Arial"/>
          <w:sz w:val="20"/>
          <w:szCs w:val="20"/>
          <w:b w:val="1"/>
          <w:bCs w:val="1"/>
          <w:color w:val="auto"/>
        </w:rPr>
        <w:t>FOR THE YEARS ENDED DECEMBER 31, 2009,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29"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During the years ended December 31, 2009, 2008 and 2007, the Company entered into capital leases of $0.8 million, $1.4 million and $1.3 million, respectively, for the acquisition of promotional vehicles.</w:t>
      </w:r>
    </w:p>
    <w:p>
      <w:pPr>
        <w:spacing w:after="0" w:line="190"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Included in accounts payable was equipment purchased of $0.7 million, $1.5 million and $0.1 million as of December 31, 2009, 2008 and 2007, respectively.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ORGANIZATION AND SUMMARY OF SIGNIFICANT ACCOUNTING POLICIES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Organization </w:t>
      </w:r>
      <w:r>
        <w:rPr>
          <w:rFonts w:ascii="Arial" w:cs="Arial" w:eastAsia="Arial" w:hAnsi="Arial"/>
          <w:sz w:val="20"/>
          <w:szCs w:val="20"/>
          <w:color w:val="auto"/>
        </w:rPr>
        <w:t>– Hansen Natural Corporation (the “Company” or “Hansen”) was incorporated in Delaware on April 25, 1990.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is a holding company and has no operating business except through its consolidated subsidiaries.</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 The Company develops, markets, sells and distributes “alternative” beverage category natural sodas, fruit</w:t>
      </w:r>
      <w:r>
        <w:rPr>
          <w:rFonts w:ascii="Arial" w:cs="Arial" w:eastAsia="Arial" w:hAnsi="Arial"/>
          <w:sz w:val="18"/>
          <w:szCs w:val="18"/>
          <w:i w:val="1"/>
          <w:iCs w:val="1"/>
          <w:color w:val="auto"/>
        </w:rPr>
        <w:t xml:space="preserve"> </w:t>
      </w:r>
      <w:r>
        <w:rPr>
          <w:rFonts w:ascii="Arial" w:cs="Arial" w:eastAsia="Arial" w:hAnsi="Arial"/>
          <w:sz w:val="18"/>
          <w:szCs w:val="18"/>
          <w:color w:val="auto"/>
        </w:rPr>
        <w:t>juices, juice blends, juice drinks, energy drinks and energy sports drinks, fruit juice smoothies and “functional” drinks, non-carbonated ready-to-drink iced teas, children’s multi-vitamin juice drinks, Junior Juice® juices, Junior Juice Water and flavored sparkling beverages under the Hansen’s® brand name. The Company develops, markets, sells and distributes energy drinks under the following brand names: Monster Energy®, Monster Hitman Energy Shooter</w:t>
      </w:r>
      <w:r>
        <w:rPr>
          <w:rFonts w:ascii="Arial" w:cs="Arial" w:eastAsia="Arial" w:hAnsi="Arial"/>
          <w:sz w:val="10"/>
          <w:szCs w:val="10"/>
          <w:color w:val="auto"/>
        </w:rPr>
        <w:t>TM</w:t>
      </w:r>
      <w:r>
        <w:rPr>
          <w:rFonts w:ascii="Arial" w:cs="Arial" w:eastAsia="Arial" w:hAnsi="Arial"/>
          <w:sz w:val="18"/>
          <w:szCs w:val="18"/>
          <w:color w:val="auto"/>
        </w:rPr>
        <w:t>, Nitrous</w:t>
      </w:r>
      <w:r>
        <w:rPr>
          <w:rFonts w:ascii="Arial" w:cs="Arial" w:eastAsia="Arial" w:hAnsi="Arial"/>
          <w:sz w:val="10"/>
          <w:szCs w:val="10"/>
          <w:color w:val="auto"/>
        </w:rPr>
        <w:t>TM</w:t>
      </w:r>
      <w:r>
        <w:rPr>
          <w:rFonts w:ascii="Arial" w:cs="Arial" w:eastAsia="Arial" w:hAnsi="Arial"/>
          <w:sz w:val="18"/>
          <w:szCs w:val="18"/>
          <w:color w:val="auto"/>
        </w:rPr>
        <w:t xml:space="preserve"> Monster Energy® and Lost® Energy</w:t>
      </w:r>
      <w:r>
        <w:rPr>
          <w:rFonts w:ascii="Arial" w:cs="Arial" w:eastAsia="Arial" w:hAnsi="Arial"/>
          <w:sz w:val="10"/>
          <w:szCs w:val="10"/>
          <w:color w:val="auto"/>
        </w:rPr>
        <w:t>TM</w:t>
      </w:r>
      <w:r>
        <w:rPr>
          <w:rFonts w:ascii="Arial" w:cs="Arial" w:eastAsia="Arial" w:hAnsi="Arial"/>
          <w:sz w:val="18"/>
          <w:szCs w:val="18"/>
          <w:color w:val="auto"/>
        </w:rPr>
        <w:t xml:space="preserve"> brand names as well as Rumba®, Samba and Tango brand energy juices. The Company markets, sells and distributes the Java Monster</w:t>
      </w:r>
      <w:r>
        <w:rPr>
          <w:rFonts w:ascii="Arial" w:cs="Arial" w:eastAsia="Arial" w:hAnsi="Arial"/>
          <w:sz w:val="10"/>
          <w:szCs w:val="10"/>
          <w:color w:val="auto"/>
        </w:rPr>
        <w:t>TM</w:t>
      </w:r>
      <w:r>
        <w:rPr>
          <w:rFonts w:ascii="Arial" w:cs="Arial" w:eastAsia="Arial" w:hAnsi="Arial"/>
          <w:sz w:val="18"/>
          <w:szCs w:val="18"/>
          <w:color w:val="auto"/>
        </w:rPr>
        <w:t xml:space="preserve"> line of non-carbonated dairy based coffee + energy drinks and X-Presso Monster™-Hammer energy drinks. The Company markets, sells and distributes a line of ready-to-drink iced teas under the Peace Tea</w:t>
      </w:r>
      <w:r>
        <w:rPr>
          <w:rFonts w:ascii="Arial" w:cs="Arial" w:eastAsia="Arial" w:hAnsi="Arial"/>
          <w:sz w:val="10"/>
          <w:szCs w:val="10"/>
          <w:color w:val="auto"/>
        </w:rPr>
        <w:t>TM</w:t>
      </w:r>
      <w:r>
        <w:rPr>
          <w:rFonts w:ascii="Arial" w:cs="Arial" w:eastAsia="Arial" w:hAnsi="Arial"/>
          <w:sz w:val="18"/>
          <w:szCs w:val="18"/>
          <w:color w:val="auto"/>
        </w:rPr>
        <w:t xml:space="preserve"> brand name, natural sodas, premium natural sodas with supplements, organic natural sodas, seltzer waters, and energy drinks under the Blue Sky® brand name and enhanced water beverages under the Vidration</w:t>
      </w:r>
      <w:r>
        <w:rPr>
          <w:rFonts w:ascii="Arial" w:cs="Arial" w:eastAsia="Arial" w:hAnsi="Arial"/>
          <w:sz w:val="10"/>
          <w:szCs w:val="10"/>
          <w:color w:val="auto"/>
        </w:rPr>
        <w:t>TM</w:t>
      </w:r>
      <w:r>
        <w:rPr>
          <w:rFonts w:ascii="Arial" w:cs="Arial" w:eastAsia="Arial" w:hAnsi="Arial"/>
          <w:sz w:val="18"/>
          <w:szCs w:val="18"/>
          <w:color w:val="auto"/>
        </w:rPr>
        <w:t xml:space="preserve"> brand name.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Basis of Presentation </w:t>
      </w:r>
      <w:r>
        <w:rPr>
          <w:rFonts w:ascii="Arial" w:cs="Arial" w:eastAsia="Arial" w:hAnsi="Arial"/>
          <w:sz w:val="20"/>
          <w:szCs w:val="20"/>
          <w:color w:val="auto"/>
        </w:rPr>
        <w:t>– The accompanying consolidated financial statements have been prepared in accordance with accounting</w:t>
      </w:r>
      <w:r>
        <w:rPr>
          <w:rFonts w:ascii="Arial" w:cs="Arial" w:eastAsia="Arial" w:hAnsi="Arial"/>
          <w:sz w:val="20"/>
          <w:szCs w:val="20"/>
          <w:i w:val="1"/>
          <w:iCs w:val="1"/>
          <w:color w:val="auto"/>
        </w:rPr>
        <w:t xml:space="preserve"> </w:t>
      </w:r>
      <w:r>
        <w:rPr>
          <w:rFonts w:ascii="Arial" w:cs="Arial" w:eastAsia="Arial" w:hAnsi="Arial"/>
          <w:sz w:val="20"/>
          <w:szCs w:val="20"/>
          <w:color w:val="auto"/>
        </w:rPr>
        <w:t>principles generally accepted in the United States of America (“GAAP”) and include the accounts of the Company and its consolidated subsidiaries.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Subsequent Events </w:t>
      </w:r>
      <w:r>
        <w:rPr>
          <w:rFonts w:ascii="Arial" w:cs="Arial" w:eastAsia="Arial" w:hAnsi="Arial"/>
          <w:sz w:val="20"/>
          <w:szCs w:val="20"/>
          <w:color w:val="auto"/>
        </w:rPr>
        <w:t>– Management has reviewed and evaluated subsequent events and transactions occurring after the balance sheet date</w:t>
      </w:r>
      <w:r>
        <w:rPr>
          <w:rFonts w:ascii="Arial" w:cs="Arial" w:eastAsia="Arial" w:hAnsi="Arial"/>
          <w:sz w:val="20"/>
          <w:szCs w:val="20"/>
          <w:i w:val="1"/>
          <w:iCs w:val="1"/>
          <w:color w:val="auto"/>
        </w:rPr>
        <w:t xml:space="preserve"> </w:t>
      </w:r>
      <w:r>
        <w:rPr>
          <w:rFonts w:ascii="Arial" w:cs="Arial" w:eastAsia="Arial" w:hAnsi="Arial"/>
          <w:sz w:val="20"/>
          <w:szCs w:val="20"/>
          <w:color w:val="auto"/>
        </w:rPr>
        <w:t>through the filing of this annual report on Form 10-K on March 1, 2010.</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Principles of Consolidation </w:t>
      </w:r>
      <w:r>
        <w:rPr>
          <w:rFonts w:ascii="Arial" w:cs="Arial" w:eastAsia="Arial" w:hAnsi="Arial"/>
          <w:sz w:val="20"/>
          <w:szCs w:val="20"/>
          <w:color w:val="auto"/>
        </w:rPr>
        <w:t>– The Company consolidates all entities that it controls by ownership of a majority voting interest as well</w:t>
      </w:r>
      <w:r>
        <w:rPr>
          <w:rFonts w:ascii="Arial" w:cs="Arial" w:eastAsia="Arial" w:hAnsi="Arial"/>
          <w:sz w:val="20"/>
          <w:szCs w:val="20"/>
          <w:i w:val="1"/>
          <w:iCs w:val="1"/>
          <w:color w:val="auto"/>
        </w:rPr>
        <w:t xml:space="preserve"> </w:t>
      </w:r>
      <w:r>
        <w:rPr>
          <w:rFonts w:ascii="Arial" w:cs="Arial" w:eastAsia="Arial" w:hAnsi="Arial"/>
          <w:sz w:val="20"/>
          <w:szCs w:val="20"/>
          <w:color w:val="auto"/>
        </w:rPr>
        <w:t>as variable interest entities for which the Company is the primary beneficiary. All intercompany balances and transactions have been eliminated in consolidation.</w:t>
      </w:r>
    </w:p>
    <w:p>
      <w:pPr>
        <w:spacing w:after="0" w:line="20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Variable Interest Entities </w:t>
      </w:r>
      <w:r>
        <w:rPr>
          <w:rFonts w:ascii="Arial" w:cs="Arial" w:eastAsia="Arial" w:hAnsi="Arial"/>
          <w:sz w:val="19"/>
          <w:szCs w:val="19"/>
          <w:color w:val="auto"/>
        </w:rPr>
        <w:t>– During the year ended December 31, 2009, the Company formed two marketing entities, X-Truck</w:t>
      </w:r>
      <w:r>
        <w:rPr>
          <w:rFonts w:ascii="Arial" w:cs="Arial" w:eastAsia="Arial" w:hAnsi="Arial"/>
          <w:sz w:val="19"/>
          <w:szCs w:val="19"/>
          <w:i w:val="1"/>
          <w:iCs w:val="1"/>
          <w:color w:val="auto"/>
        </w:rPr>
        <w:t xml:space="preserve"> </w:t>
      </w:r>
      <w:r>
        <w:rPr>
          <w:rFonts w:ascii="Arial" w:cs="Arial" w:eastAsia="Arial" w:hAnsi="Arial"/>
          <w:sz w:val="19"/>
          <w:szCs w:val="19"/>
          <w:color w:val="auto"/>
        </w:rPr>
        <w:t>(dissolved in November 2009), in which the Company had a 66.7% ownership interest and EMF, in which the Company has a 50.01% ownership interest. In accordance with Financial Accounting Standards Board (“FASB”) Accounting Standards Codification (“ASC”) ASC 810-10-05-8, the Company determined that it is the primary beneficiary of X-Truck and EMF, as the equity-at-risk is not sufficient to support either entity’s activities and/or the Company would absorb the majority of expected losses. Accordingly, the Company has consolidated the results of both X-Truck and EMF in the accompanying consolidated financial statements. The results of operations and net assets of X-Truck and EMF at December 31, 2009 were not material to the Company’s consolidated financial statements.</w:t>
      </w:r>
    </w:p>
    <w:p>
      <w:pPr>
        <w:spacing w:after="0" w:line="1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 The Company considers all highly liquid investments with an original maturity of three months or less</w:t>
      </w:r>
      <w:r>
        <w:rPr>
          <w:rFonts w:ascii="Arial" w:cs="Arial" w:eastAsia="Arial" w:hAnsi="Arial"/>
          <w:sz w:val="20"/>
          <w:szCs w:val="20"/>
          <w:i w:val="1"/>
          <w:iCs w:val="1"/>
          <w:color w:val="auto"/>
        </w:rPr>
        <w:t xml:space="preserve"> </w:t>
      </w:r>
      <w:r>
        <w:rPr>
          <w:rFonts w:ascii="Arial" w:cs="Arial" w:eastAsia="Arial" w:hAnsi="Arial"/>
          <w:sz w:val="20"/>
          <w:szCs w:val="20"/>
          <w:color w:val="auto"/>
        </w:rPr>
        <w:t>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205" w:lineRule="exact"/>
        <w:rPr>
          <w:sz w:val="20"/>
          <w:szCs w:val="20"/>
          <w:color w:val="auto"/>
        </w:rPr>
      </w:pPr>
    </w:p>
    <w:p>
      <w:pPr>
        <w:jc w:val="both"/>
        <w:ind w:firstLine="504"/>
        <w:spacing w:after="0" w:line="260" w:lineRule="auto"/>
        <w:rPr>
          <w:sz w:val="20"/>
          <w:szCs w:val="20"/>
          <w:color w:val="auto"/>
        </w:rPr>
      </w:pPr>
      <w:r>
        <w:rPr>
          <w:rFonts w:ascii="Arial" w:cs="Arial" w:eastAsia="Arial" w:hAnsi="Arial"/>
          <w:sz w:val="20"/>
          <w:szCs w:val="20"/>
          <w:i w:val="1"/>
          <w:iCs w:val="1"/>
          <w:color w:val="auto"/>
        </w:rPr>
        <w:t xml:space="preserve">Investments </w:t>
      </w:r>
      <w:r>
        <w:rPr>
          <w:rFonts w:ascii="Arial" w:cs="Arial" w:eastAsia="Arial" w:hAnsi="Arial"/>
          <w:sz w:val="20"/>
          <w:szCs w:val="20"/>
          <w:color w:val="auto"/>
        </w:rPr>
        <w:t>– The Company’s investments in debt securities are classified as either held-to-maturity or available-for-sale, in accordance</w:t>
      </w:r>
      <w:r>
        <w:rPr>
          <w:rFonts w:ascii="Arial" w:cs="Arial" w:eastAsia="Arial" w:hAnsi="Arial"/>
          <w:sz w:val="20"/>
          <w:szCs w:val="20"/>
          <w:i w:val="1"/>
          <w:iCs w:val="1"/>
          <w:color w:val="auto"/>
        </w:rPr>
        <w:t xml:space="preserve"> </w:t>
      </w:r>
      <w:r>
        <w:rPr>
          <w:rFonts w:ascii="Arial" w:cs="Arial" w:eastAsia="Arial" w:hAnsi="Arial"/>
          <w:sz w:val="20"/>
          <w:szCs w:val="20"/>
          <w:color w:val="auto"/>
        </w:rPr>
        <w:t>with ASC 320. Held-to-maturity securities are those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0" w:gutter="0" w:footer="0" w:header="0"/>
        </w:sectPr>
      </w:pPr>
    </w:p>
    <w:bookmarkStart w:id="50" w:name="page51"/>
    <w:bookmarkEnd w:id="50"/>
    <w:p>
      <w:pPr>
        <w:jc w:val="both"/>
        <w:spacing w:after="0" w:line="269" w:lineRule="auto"/>
        <w:rPr>
          <w:sz w:val="20"/>
          <w:szCs w:val="20"/>
          <w:color w:val="auto"/>
        </w:rPr>
      </w:pPr>
      <w:r>
        <w:rPr>
          <w:rFonts w:ascii="Arial" w:cs="Arial" w:eastAsia="Arial" w:hAnsi="Arial"/>
          <w:sz w:val="18"/>
          <w:szCs w:val="18"/>
          <w:color w:val="auto"/>
        </w:rPr>
        <w:t>securities that the Company has the positive intent and ability to hold until maturity. All other securities not included in the held-to-maturity category are classified as available-for-sale. No securities are held for speculative or trading purposes. Held-to-maturity securities are recorded at amortized cost which approximates fair market value. Available-for-sale securities are carried at fair value with unrealized gains and losses recorded within accumulated other comprehensive loss as a separate component of stockholders’ equity. Under ASC 320-10-65,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loss, net of applicable taxes. The Company evaluates whether the decline in fair value of its investments is other-than-temporary at each quarter-end. This evaluation consists of a review by management, and includes market pricing information and maturity dates for the securities held, market and economic trends in the industry and information on the investee company’s financial condition and, if applicable, information on the guarantors’ financial condition. Factors considered in determining whether a loss is temporary include length of time and extent to which the investment’s fair value has been less than its cost basis, the financial condition and near-term prospects of the issuer and guarantors, including any specific events which may influence the operations of the issuer and the Company’s intent and ability to retain the investment for a reasonable period of time sufficient to allow for any anticipated recovery of fair value.</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Accounts Receivable – </w:t>
      </w:r>
      <w:r>
        <w:rPr>
          <w:rFonts w:ascii="Arial" w:cs="Arial" w:eastAsia="Arial" w:hAnsi="Arial"/>
          <w:sz w:val="19"/>
          <w:szCs w:val="19"/>
          <w:color w:val="auto"/>
        </w:rPr>
        <w:t>The Company evaluates the collectability of its trade accounts receivable based on a number of factors. In</w:t>
      </w:r>
      <w:r>
        <w:rPr>
          <w:rFonts w:ascii="Arial" w:cs="Arial" w:eastAsia="Arial" w:hAnsi="Arial"/>
          <w:sz w:val="19"/>
          <w:szCs w:val="19"/>
          <w:i w:val="1"/>
          <w:iCs w:val="1"/>
          <w:color w:val="auto"/>
        </w:rPr>
        <w:t xml:space="preserve"> </w:t>
      </w:r>
      <w:r>
        <w:rPr>
          <w:rFonts w:ascii="Arial" w:cs="Arial" w:eastAsia="Arial" w:hAnsi="Arial"/>
          <w:sz w:val="19"/>
          <w:szCs w:val="19"/>
          <w:color w:val="auto"/>
        </w:rPr>
        <w:t>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Inventories </w:t>
      </w:r>
      <w:r>
        <w:rPr>
          <w:rFonts w:ascii="Arial" w:cs="Arial" w:eastAsia="Arial" w:hAnsi="Arial"/>
          <w:sz w:val="20"/>
          <w:szCs w:val="20"/>
          <w:color w:val="auto"/>
        </w:rPr>
        <w:t>– Inventories are valued at the lower of first-in, first-out (FIFO) cost or market value (net realizable value).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Property and Equipment </w:t>
      </w:r>
      <w:r>
        <w:rPr>
          <w:rFonts w:ascii="Arial" w:cs="Arial" w:eastAsia="Arial" w:hAnsi="Arial"/>
          <w:sz w:val="19"/>
          <w:szCs w:val="19"/>
          <w:color w:val="auto"/>
        </w:rPr>
        <w:t>– Property and equipment are stated at cost. Depreciation of furniture and fixtures, office and computer</w:t>
      </w:r>
      <w:r>
        <w:rPr>
          <w:rFonts w:ascii="Arial" w:cs="Arial" w:eastAsia="Arial" w:hAnsi="Arial"/>
          <w:sz w:val="19"/>
          <w:szCs w:val="19"/>
          <w:i w:val="1"/>
          <w:iCs w:val="1"/>
          <w:color w:val="auto"/>
        </w:rPr>
        <w:t xml:space="preserve"> </w:t>
      </w:r>
      <w:r>
        <w:rPr>
          <w:rFonts w:ascii="Arial" w:cs="Arial" w:eastAsia="Arial" w:hAnsi="Arial"/>
          <w:sz w:val="19"/>
          <w:szCs w:val="19"/>
          <w:color w:val="auto"/>
        </w:rPr>
        <w:t>equipment, computer software,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Capitalized Software Costs </w:t>
      </w:r>
      <w:r>
        <w:rPr>
          <w:rFonts w:ascii="Arial" w:cs="Arial" w:eastAsia="Arial" w:hAnsi="Arial"/>
          <w:sz w:val="20"/>
          <w:szCs w:val="20"/>
          <w:color w:val="auto"/>
        </w:rPr>
        <w:t>– In accordance with ASC Topic 350-40, the Company capitalizes certain costs incurred in connection with</w:t>
      </w:r>
      <w:r>
        <w:rPr>
          <w:rFonts w:ascii="Arial" w:cs="Arial" w:eastAsia="Arial" w:hAnsi="Arial"/>
          <w:sz w:val="20"/>
          <w:szCs w:val="20"/>
          <w:i w:val="1"/>
          <w:iCs w:val="1"/>
          <w:color w:val="auto"/>
        </w:rPr>
        <w:t xml:space="preserve"> </w:t>
      </w:r>
      <w:r>
        <w:rPr>
          <w:rFonts w:ascii="Arial" w:cs="Arial" w:eastAsia="Arial" w:hAnsi="Arial"/>
          <w:sz w:val="20"/>
          <w:szCs w:val="20"/>
          <w:color w:val="auto"/>
        </w:rPr>
        <w:t>developing or obtaining internal use software. Costs incurred in the preliminary project stage are expensed. All direct external costs incurred to develop internal use software during the development stage are capitalized and amortized using the straight-line method over the remaining useful lives. Costs such as maintenance and training are expensed as incurred.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Intangibles </w:t>
      </w:r>
      <w:r>
        <w:rPr>
          <w:rFonts w:ascii="Arial" w:cs="Arial" w:eastAsia="Arial" w:hAnsi="Arial"/>
          <w:sz w:val="19"/>
          <w:szCs w:val="19"/>
          <w:color w:val="auto"/>
        </w:rPr>
        <w:t>– Intangibles are comprised of trademarks representing the Company’s exclusive ownership of the Hansen’s® trademark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the manufacture, sale and distribution of beverages, water, non-beverage products and the Monster Energy® trademark in connection with the manufacture, sale and distribution of supplements and beverages. The Company also owns a number of other trademarks in the United States as well as in a number of countries around the world. In addition, the Company owns the Blue Sky® trademark, which was acquired in September 2000, and the Junior Juice® trademark, which was acquired in May 2001. In accordance with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trademarks with finite useful lives over their respective useful lives, which range from 1 to 25 years. For the fiscal years ended December 31, 2009, 2008 and 2007, there were no impairments recorded.</w:t>
      </w:r>
    </w:p>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Long-Lived Assets </w:t>
      </w:r>
      <w:r>
        <w:rPr>
          <w:rFonts w:ascii="Arial" w:cs="Arial" w:eastAsia="Arial" w:hAnsi="Arial"/>
          <w:sz w:val="19"/>
          <w:szCs w:val="19"/>
          <w:color w:val="auto"/>
        </w:rPr>
        <w:t>– Management regularly reviews property and equipment and other long-lived assets, including 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fiscal years ended December 31, 2009, 2008 and 2007, there were no impairment losses recorded.</w:t>
      </w:r>
    </w:p>
    <w:p>
      <w:pPr>
        <w:spacing w:after="0" w:line="1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Foreign Currency Translation and Transactions </w:t>
      </w:r>
      <w:r>
        <w:rPr>
          <w:rFonts w:ascii="Arial" w:cs="Arial" w:eastAsia="Arial" w:hAnsi="Arial"/>
          <w:sz w:val="18"/>
          <w:szCs w:val="18"/>
          <w:color w:val="auto"/>
        </w:rPr>
        <w:t>– The accounts of the Company’s foreign subsidiaries are translated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ASC 830. Foreign currency transaction gains and losses are recognized in interest and other income, net, at the time they occur. Net foreign currency exchange gains or losses resulting from the translation of assets and liabilities of foreign subsidiaries whose functional currency is not the U.S. dollar are recorded as a part of accumulated other comprehensive income (loss) in stockholders’ equity. Unrealized</w:t>
      </w:r>
    </w:p>
    <w:p>
      <w:pPr>
        <w:sectPr>
          <w:pgSz w:w="11900" w:h="16838" w:orient="portrait"/>
          <w:cols w:equalWidth="0" w:num="1">
            <w:col w:w="11420"/>
          </w:cols>
          <w:pgMar w:left="240" w:top="122" w:right="239" w:bottom="0" w:gutter="0" w:footer="0" w:header="0"/>
        </w:sectPr>
      </w:pPr>
    </w:p>
    <w:bookmarkStart w:id="51" w:name="page52"/>
    <w:bookmarkEnd w:id="51"/>
    <w:p>
      <w:pPr>
        <w:jc w:val="both"/>
        <w:spacing w:after="0" w:line="317" w:lineRule="auto"/>
        <w:rPr>
          <w:sz w:val="20"/>
          <w:szCs w:val="20"/>
          <w:color w:val="auto"/>
        </w:rPr>
      </w:pPr>
      <w:r>
        <w:rPr>
          <w:rFonts w:ascii="Arial" w:cs="Arial" w:eastAsia="Arial" w:hAnsi="Arial"/>
          <w:sz w:val="18"/>
          <w:szCs w:val="18"/>
          <w:color w:val="auto"/>
        </w:rPr>
        <w:t>foreign currency exchange gains and losses on certain intercompany transactions that are of a long-term investment nature (i.e., settlement is not planned or anticipated in the foreseeable future) are also recorded in accumulated other comprehensive loss in stockholders’ equity.</w:t>
      </w:r>
    </w:p>
    <w:p>
      <w:pPr>
        <w:spacing w:after="0" w:line="1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Revenue Recognition </w:t>
      </w:r>
      <w:r>
        <w:rPr>
          <w:rFonts w:ascii="Arial" w:cs="Arial" w:eastAsia="Arial" w:hAnsi="Arial"/>
          <w:sz w:val="19"/>
          <w:szCs w:val="19"/>
          <w:color w:val="auto"/>
        </w:rPr>
        <w:t>– The Company recognizes revenue when persuasive evidence of an arrangement exists, delivery has occurred,</w:t>
      </w:r>
      <w:r>
        <w:rPr>
          <w:rFonts w:ascii="Arial" w:cs="Arial" w:eastAsia="Arial" w:hAnsi="Arial"/>
          <w:sz w:val="19"/>
          <w:szCs w:val="19"/>
          <w:i w:val="1"/>
          <w:iCs w:val="1"/>
          <w:color w:val="auto"/>
        </w:rPr>
        <w:t xml:space="preserve"> </w:t>
      </w:r>
      <w:r>
        <w:rPr>
          <w:rFonts w:ascii="Arial" w:cs="Arial" w:eastAsia="Arial" w:hAnsi="Arial"/>
          <w:sz w:val="19"/>
          <w:szCs w:val="19"/>
          <w:color w:val="auto"/>
        </w:rPr>
        <w:t>the sales price is fixed or determinable and collectability is reasonably assured. Generally, ownership of and title to the Company’s products passes to customers upon delivery of the products to customers. Certain of the Company’s distributors may also perform a separate function as a co-packer on the Company’s behalf. In such cases, ownership of and title to the Company’s products that are co-packed on the Company’s behalf by those co-packers who are also distributors, passes to such distributors when the Company is notified by them that they have taken transfer or possession of the relevant portion of the Company’s finished goods. Net sales have been determined after deduction of promotional and other allowances in accordance with ASC 605-50.</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Management believes that adequate provision has been made for cash discounts, returns and spoilage based on the Company’s historical experience.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jc w:val="both"/>
        <w:ind w:firstLine="702"/>
        <w:spacing w:after="0" w:line="246" w:lineRule="auto"/>
        <w:rPr>
          <w:sz w:val="20"/>
          <w:szCs w:val="20"/>
          <w:color w:val="auto"/>
        </w:rPr>
      </w:pPr>
      <w:r>
        <w:rPr>
          <w:rFonts w:ascii="Arial" w:cs="Arial" w:eastAsia="Arial" w:hAnsi="Arial"/>
          <w:sz w:val="20"/>
          <w:szCs w:val="20"/>
          <w:i w:val="1"/>
          <w:iCs w:val="1"/>
          <w:color w:val="auto"/>
        </w:rPr>
        <w:t xml:space="preserve">Cost of Sales </w:t>
      </w:r>
      <w:r>
        <w:rPr>
          <w:rFonts w:ascii="Arial" w:cs="Arial" w:eastAsia="Arial" w:hAnsi="Arial"/>
          <w:sz w:val="20"/>
          <w:szCs w:val="20"/>
          <w:color w:val="auto"/>
        </w:rPr>
        <w:t>– Cost of sales consists of the costs of raw materials utilized in the manufacture of products, co-packing fees, repacking</w:t>
      </w:r>
      <w:r>
        <w:rPr>
          <w:rFonts w:ascii="Arial" w:cs="Arial" w:eastAsia="Arial" w:hAnsi="Arial"/>
          <w:sz w:val="20"/>
          <w:szCs w:val="20"/>
          <w:i w:val="1"/>
          <w:iCs w:val="1"/>
          <w:color w:val="auto"/>
        </w:rPr>
        <w:t xml:space="preserve"> </w:t>
      </w:r>
      <w:r>
        <w:rPr>
          <w:rFonts w:ascii="Arial" w:cs="Arial" w:eastAsia="Arial" w:hAnsi="Arial"/>
          <w:sz w:val="20"/>
          <w:szCs w:val="20"/>
          <w:color w:val="auto"/>
        </w:rPr>
        <w:t>fees, in-bound freight charges, as well as certain internal transfer costs, warehouse expenses incurred prior to the manufacture of the Company’s finished products and certain quality control costs. Raw materials account for the largest portion of the cost of sales. Raw materials include cans, bottles, other containers, ingredients and packaging materials.</w:t>
      </w:r>
    </w:p>
    <w:p>
      <w:pPr>
        <w:spacing w:after="0" w:line="20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 Operating expenses include selling expenses such as distribution expenses to transport products to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79" w:lineRule="exact"/>
        <w:rPr>
          <w:sz w:val="20"/>
          <w:szCs w:val="20"/>
          <w:color w:val="auto"/>
        </w:rPr>
      </w:pPr>
    </w:p>
    <w:p>
      <w:pPr>
        <w:jc w:val="both"/>
        <w:ind w:right="20" w:firstLine="648"/>
        <w:spacing w:after="0" w:line="386" w:lineRule="auto"/>
        <w:rPr>
          <w:sz w:val="20"/>
          <w:szCs w:val="20"/>
          <w:color w:val="auto"/>
        </w:rPr>
      </w:pPr>
      <w:r>
        <w:rPr>
          <w:rFonts w:ascii="Arial" w:cs="Arial" w:eastAsia="Arial" w:hAnsi="Arial"/>
          <w:sz w:val="16"/>
          <w:szCs w:val="16"/>
          <w:i w:val="1"/>
          <w:iCs w:val="1"/>
          <w:color w:val="auto"/>
        </w:rPr>
        <w:t xml:space="preserve">Freight-Out Costs </w:t>
      </w:r>
      <w:r>
        <w:rPr>
          <w:rFonts w:ascii="Arial" w:cs="Arial" w:eastAsia="Arial" w:hAnsi="Arial"/>
          <w:sz w:val="16"/>
          <w:szCs w:val="16"/>
          <w:color w:val="auto"/>
        </w:rPr>
        <w:t>– For the years ended December 31, 2009, 2008 and 2007, freight-out costs amounted to $39.8 million, $45.1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and $40.8 million, respectively, and have been recorded in operating expenses in the accompanying consolidated statements of income.</w:t>
      </w:r>
    </w:p>
    <w:p>
      <w:pPr>
        <w:spacing w:after="0" w:line="9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Advertising and Promotional Expenses </w:t>
      </w:r>
      <w:r>
        <w:rPr>
          <w:rFonts w:ascii="Arial" w:cs="Arial" w:eastAsia="Arial" w:hAnsi="Arial"/>
          <w:sz w:val="18"/>
          <w:szCs w:val="18"/>
          <w:color w:val="auto"/>
        </w:rPr>
        <w:t>– The Company accounts for advertising production costs by expensing such production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time the related advertising takes place. A significant amount of the Company’s promotional expenses result from payments under endorsement and sponsorship contracts. Accounting for endorsement and sponsorship payments is based upon specific contract provisions. Generally, endorsement and sponsorship payments are expensed on a straight-line basis over the term of the contract after giving recognition to periodic performance compliance provisions of the contracts. Advertising and promotional expenses, including but not limited to production costs, amounted to $86.7 million, $84.6 million and $66.6 million for the years ended December 31, 2009, 2008 and 2007, respectively. Advertising and promotional expenses are included in operating expenses in the accompanying consolidated statements of income.</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Income Taxes </w:t>
      </w:r>
      <w:r>
        <w:rPr>
          <w:rFonts w:ascii="Arial" w:cs="Arial" w:eastAsia="Arial" w:hAnsi="Arial"/>
          <w:sz w:val="19"/>
          <w:szCs w:val="19"/>
          <w:color w:val="auto"/>
        </w:rPr>
        <w:t>– The Company utilizes the liability method of accounting for income taxes as set forth in ASC 740. Under the liability</w:t>
      </w:r>
      <w:r>
        <w:rPr>
          <w:rFonts w:ascii="Arial" w:cs="Arial" w:eastAsia="Arial" w:hAnsi="Arial"/>
          <w:sz w:val="19"/>
          <w:szCs w:val="19"/>
          <w:i w:val="1"/>
          <w:iCs w:val="1"/>
          <w:color w:val="auto"/>
        </w:rPr>
        <w:t xml:space="preserve"> </w:t>
      </w:r>
      <w:r>
        <w:rPr>
          <w:rFonts w:ascii="Arial" w:cs="Arial" w:eastAsia="Arial" w:hAnsi="Arial"/>
          <w:sz w:val="19"/>
          <w:szCs w:val="19"/>
          <w:color w:val="auto"/>
        </w:rPr>
        <w:t>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193"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Stock-Based Compensation </w:t>
      </w:r>
      <w:r>
        <w:rPr>
          <w:rFonts w:ascii="Arial" w:cs="Arial" w:eastAsia="Arial" w:hAnsi="Arial"/>
          <w:sz w:val="20"/>
          <w:szCs w:val="20"/>
          <w:color w:val="auto"/>
        </w:rPr>
        <w:t>– The Company accounts for stock-based compensation under the provisions of ASC 718. ASC 718</w:t>
      </w:r>
      <w:r>
        <w:rPr>
          <w:rFonts w:ascii="Arial" w:cs="Arial" w:eastAsia="Arial" w:hAnsi="Arial"/>
          <w:sz w:val="20"/>
          <w:szCs w:val="20"/>
          <w:i w:val="1"/>
          <w:iCs w:val="1"/>
          <w:color w:val="auto"/>
        </w:rPr>
        <w:t xml:space="preserve"> </w:t>
      </w:r>
      <w:r>
        <w:rPr>
          <w:rFonts w:ascii="Arial" w:cs="Arial" w:eastAsia="Arial" w:hAnsi="Arial"/>
          <w:sz w:val="20"/>
          <w:szCs w:val="20"/>
          <w:color w:val="auto"/>
        </w:rPr>
        <w:t>requires the fair value of all stock option awards issued to employees to be recorded as an expense over the related vesting period. Generally, the Company recognizes these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05" w:gutter="0" w:footer="0" w:header="0"/>
        </w:sectPr>
      </w:pPr>
    </w:p>
    <w:bookmarkStart w:id="52" w:name="page53"/>
    <w:bookmarkEnd w:id="52"/>
    <w:p>
      <w:pPr>
        <w:jc w:val="both"/>
        <w:spacing w:after="0" w:line="262" w:lineRule="auto"/>
        <w:rPr>
          <w:sz w:val="20"/>
          <w:szCs w:val="20"/>
          <w:color w:val="auto"/>
        </w:rPr>
      </w:pPr>
      <w:r>
        <w:rPr>
          <w:rFonts w:ascii="Arial" w:cs="Arial" w:eastAsia="Arial" w:hAnsi="Arial"/>
          <w:sz w:val="20"/>
          <w:szCs w:val="20"/>
          <w:color w:val="auto"/>
        </w:rPr>
        <w:t>compensation costs net of an estimated forfeiture rate on a straight-line basis over the requisite service period of the reward, which is typically the vesting term of five years.</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Net Income Per Common Share </w:t>
      </w:r>
      <w:r>
        <w:rPr>
          <w:rFonts w:ascii="Arial" w:cs="Arial" w:eastAsia="Arial" w:hAnsi="Arial"/>
          <w:sz w:val="19"/>
          <w:szCs w:val="19"/>
          <w:color w:val="auto"/>
        </w:rPr>
        <w:t>– In accordance with ASC 260, net income per common share, on a basic and diluted basis, is</w:t>
      </w:r>
      <w:r>
        <w:rPr>
          <w:rFonts w:ascii="Arial" w:cs="Arial" w:eastAsia="Arial" w:hAnsi="Arial"/>
          <w:sz w:val="19"/>
          <w:szCs w:val="19"/>
          <w:i w:val="1"/>
          <w:iCs w:val="1"/>
          <w:color w:val="auto"/>
        </w:rPr>
        <w:t xml:space="preserve"> </w:t>
      </w:r>
      <w:r>
        <w:rPr>
          <w:rFonts w:ascii="Arial" w:cs="Arial" w:eastAsia="Arial" w:hAnsi="Arial"/>
          <w:sz w:val="19"/>
          <w:szCs w:val="19"/>
          <w:color w:val="auto"/>
        </w:rPr>
        <w:t>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Concentration of Risk – </w:t>
      </w:r>
      <w:r>
        <w:rPr>
          <w:rFonts w:ascii="Arial" w:cs="Arial" w:eastAsia="Arial" w:hAnsi="Arial"/>
          <w:sz w:val="20"/>
          <w:szCs w:val="20"/>
          <w:color w:val="auto"/>
        </w:rPr>
        <w:t>Certain of the Company’s products utilize components (raw materials and/or co-packing services) from a</w:t>
      </w:r>
      <w:r>
        <w:rPr>
          <w:rFonts w:ascii="Arial" w:cs="Arial" w:eastAsia="Arial" w:hAnsi="Arial"/>
          <w:sz w:val="20"/>
          <w:szCs w:val="20"/>
          <w:i w:val="1"/>
          <w:iCs w:val="1"/>
          <w:color w:val="auto"/>
        </w:rPr>
        <w:t xml:space="preserve"> </w:t>
      </w:r>
      <w:r>
        <w:rPr>
          <w:rFonts w:ascii="Arial" w:cs="Arial" w:eastAsia="Arial" w:hAnsi="Arial"/>
          <w:sz w:val="20"/>
          <w:szCs w:val="20"/>
          <w:color w:val="auto"/>
        </w:rPr>
        <w:t>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take steps on an ongoing basis to secure the availability of alternative sources for such components and minimize the risk of any disruption in production.</w:t>
      </w:r>
    </w:p>
    <w:p>
      <w:pPr>
        <w:spacing w:after="0" w:line="208"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Coca-Cola Enterprises, Inc. (“CCE”), a customer of the DSD segment with sales within specific markets in the United States, Canada, the United Kingdom and certain countries in Europe, accounted for approximately 27% of our net sales for the year ended December 31, 2009. The Dr. Pepper Snapple Group, Inc., a former customer of the DSD division, accounted for approximately 13% and 16% of our net sales for the years ended December 31, 2008 and 2007, respectively. Wal-Mart, Inc. (including Sam’s Club), a customer of both the DSD and Warehouse divisions, accounted for approximately 9%, 11% and 12% of our net sales for the years ended December 31, 2009, 2008 and 2007, respectively.</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Credit Risk </w:t>
      </w:r>
      <w:r>
        <w:rPr>
          <w:rFonts w:ascii="Arial" w:cs="Arial" w:eastAsia="Arial" w:hAnsi="Arial"/>
          <w:sz w:val="19"/>
          <w:szCs w:val="19"/>
          <w:color w:val="auto"/>
        </w:rPr>
        <w:t>– The Company sells its products nationally and internationally, primarily to retailers and beverage distributors.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performs ongoing credit evaluations of its customers and generally does not require collateral. The Company maintains reserves for estimated credit losses, and historically, such losses have been within management’s expectations.</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Fair Value of Financial Instruments </w:t>
      </w:r>
      <w:r>
        <w:rPr>
          <w:rFonts w:ascii="Arial" w:cs="Arial" w:eastAsia="Arial" w:hAnsi="Arial"/>
          <w:sz w:val="20"/>
          <w:szCs w:val="20"/>
          <w:color w:val="auto"/>
        </w:rPr>
        <w:t>– The carrying value of the Company’s financial instruments, including cash and cash equivalents,</w:t>
      </w:r>
      <w:r>
        <w:rPr>
          <w:rFonts w:ascii="Arial" w:cs="Arial" w:eastAsia="Arial" w:hAnsi="Arial"/>
          <w:sz w:val="20"/>
          <w:szCs w:val="20"/>
          <w:i w:val="1"/>
          <w:iCs w:val="1"/>
          <w:color w:val="auto"/>
        </w:rPr>
        <w:t xml:space="preserve"> </w:t>
      </w:r>
      <w:r>
        <w:rPr>
          <w:rFonts w:ascii="Arial" w:cs="Arial" w:eastAsia="Arial" w:hAnsi="Arial"/>
          <w:sz w:val="20"/>
          <w:szCs w:val="20"/>
          <w:color w:val="auto"/>
        </w:rPr>
        <w:t>accounts receivable, accounts payable and accrued liabilities, approximate fair value due to the relatively short maturity of the respective instruments.</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Use of Estimates </w:t>
      </w:r>
      <w:r>
        <w:rPr>
          <w:rFonts w:ascii="Arial" w:cs="Arial" w:eastAsia="Arial" w:hAnsi="Arial"/>
          <w:sz w:val="20"/>
          <w:szCs w:val="20"/>
          <w:color w:val="auto"/>
        </w:rPr>
        <w:t>– The preparation of the consolidated financial statements in conformity with GAAP requires management to make</w:t>
      </w:r>
      <w:r>
        <w:rPr>
          <w:rFonts w:ascii="Arial" w:cs="Arial" w:eastAsia="Arial" w:hAnsi="Arial"/>
          <w:sz w:val="20"/>
          <w:szCs w:val="20"/>
          <w:i w:val="1"/>
          <w:iCs w:val="1"/>
          <w:color w:val="auto"/>
        </w:rPr>
        <w:t xml:space="preserve"> </w:t>
      </w:r>
      <w:r>
        <w:rPr>
          <w:rFonts w:ascii="Arial" w:cs="Arial" w:eastAsia="Arial" w:hAnsi="Arial"/>
          <w:sz w:val="20"/>
          <w:szCs w:val="20"/>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Recent Accounting Pronouncements </w:t>
      </w:r>
      <w:r>
        <w:rPr>
          <w:rFonts w:ascii="Arial" w:cs="Arial" w:eastAsia="Arial" w:hAnsi="Arial"/>
          <w:sz w:val="20"/>
          <w:szCs w:val="20"/>
          <w:color w:val="auto"/>
        </w:rPr>
        <w:t>– On July 1, 2009, the Company adopted ASC 105 which established only two levels of U.S.</w:t>
      </w:r>
      <w:r>
        <w:rPr>
          <w:rFonts w:ascii="Arial" w:cs="Arial" w:eastAsia="Arial" w:hAnsi="Arial"/>
          <w:sz w:val="20"/>
          <w:szCs w:val="20"/>
          <w:i w:val="1"/>
          <w:iCs w:val="1"/>
          <w:color w:val="auto"/>
        </w:rPr>
        <w:t xml:space="preserve"> </w:t>
      </w:r>
      <w:r>
        <w:rPr>
          <w:rFonts w:ascii="Arial" w:cs="Arial" w:eastAsia="Arial" w:hAnsi="Arial"/>
          <w:sz w:val="20"/>
          <w:szCs w:val="20"/>
          <w:color w:val="auto"/>
        </w:rPr>
        <w:t>GAAP, authoritative and nonauthoritative. The FASB Accounting Standards Codification (the “Codification”) became the source of authoritative, nongovernmental GAAP, except for rules and interpretive releases of the Securities and Exchange Commission (the “SEC”), which are sources of authoritative GAAP for SEC registrants. All other non-grandfathered, non-SEC accounting literature not included in the Codification became nonauthoritative. The adoption of the Codification did not have any impact on the Company’s consolidated financial position, results of operations or liquidity.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On January 1, 2008, the Company adopted ASC 820 for its financial assets and liabilities. The Company’s adoption of ASC 820 did not have a material impact on its financial position, results of operations or liquidity. In accordance with ASC 820-10-55, the Company elected to defer until January 1, 2009 the adoption of ASC 820 for all non-financial assets and liabilities that are not recognized or disclosed at fair value in the financial statements on a recurring basis. The adoption of ASC 820 for those assets and liabilities within the ASC 820-10-55 did not have a material impact on the Company’s financial position, results of operations or liquidity.</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April 1, 2009, the Company adopted ASC 825-10-65, which amended ASC 825-50 to require disclosures about fair value of financial instruments for interim reporting periods of publicly traded companies as well as in annual financial statements. ASC 825-10-65 also amends ASC 825-10 to require those disclosures in summarized financial information at interim reporting periods. ASC 825-10-65 does not require disclosures for earlier periods presented for comparative purposes at initial adoption. Comparative disclosures are required for periods ending after initial adoption. The Company’s adoption of ASC 825-10-65 did not have a material impact on its financial position, results of operations or liquidity.</w:t>
      </w:r>
    </w:p>
    <w:p>
      <w:pPr>
        <w:spacing w:after="0" w:line="2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On April 1, 2009, the Company adopted ASC 320-10-65, which modifies the requirements for recognizing other-than-temporary impairment on debt securities and significantly changes the impairment model for such securities. Under ASC 320-10-65,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more likely than not will be required, to sell the security before recovery of the security’s amortized cost basis. If an other-than-temporary impairment exists, the charge to earnings is limited to the amount of Credit Loss if the investor does not intend to sell the security, and it is more likely than not that it will not be required to sell the security, before recovery of the security’s amortized cost basis. Any remaining difference between fair value and amortized cost is recognized in other comprehensive income (loss), net of applicable taxes. Otherwise, the entire difference between fair value and amortized cost is charged to earnings. This standard also modifies</w:t>
      </w:r>
    </w:p>
    <w:p>
      <w:pPr>
        <w:sectPr>
          <w:pgSz w:w="11900" w:h="16838" w:orient="portrait"/>
          <w:cols w:equalWidth="0" w:num="1">
            <w:col w:w="11420"/>
          </w:cols>
          <w:pgMar w:left="240" w:top="122" w:right="239" w:bottom="0" w:gutter="0" w:footer="0" w:header="0"/>
        </w:sectPr>
      </w:pPr>
    </w:p>
    <w:bookmarkStart w:id="53" w:name="page54"/>
    <w:bookmarkEnd w:id="53"/>
    <w:p>
      <w:pPr>
        <w:spacing w:after="0" w:line="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presentation of other-than-temporary impairment losses and increases related disclosure requirements. The Company’s adoption of this standard did not have a material impact on its financial position, results of operations or liquidity (see Note 2).</w:t>
      </w:r>
    </w:p>
    <w:p>
      <w:pPr>
        <w:spacing w:after="0" w:line="18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April 1, 2009, the Company adopted ASC 820-10-65, which provides additional guidance for estimating fair value in accordance with ASC 820 when the volume and level of activity for the asset or liability have significantly decreased. ASC 820-10-65 also includes guidance on identifying circumstances that indicate a transaction is not orderly. This standard does not require disclosures for earlier periods presented for comparative purposes at initial adoption. In periods after initial adoption, comparative disclosures are required for periods ending after initial adoption. The Company’s adoption of this standard did not have a material impact on its financial position, results of operations or liquidity.</w:t>
      </w:r>
    </w:p>
    <w:p>
      <w:pPr>
        <w:spacing w:after="0" w:line="21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April 1, 2009, the Company adopted ASC 855, which establishes general standards of accounting for and disclosure of events that occur after the balance sheet date but before financial statements are issued or are available to be issued. Specifically, it sets forth the period after the balance sheet date during which management of a reporting entity should evaluate events or transactions that may occur for potential recognition or disclosure in the financial statements, the circumstances under which an entity should recognize events or transactions occurring after the balance sheet date in its financial statements, and the disclosure that an entity should make about events or transactions that occurred after the balance sheet date. The Company’s adoption of this standard did not have an impact on its financial position, results of operations or liquidity.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June 2009, the FASB issued SFAS No. 167, “Amendments to FASB Interpretation No. 46(R)” (“SFAS No. 167”) codified in December 2009 as Update No. 2009-17 under ASC 810-50. ASC 810-50 amends the consolidation guidance applicable to variable interest entities and requires enhanced disclosures about an enterprise’s involvement in a variable interest entity. This statement also requires ongoing assessments of whether an enterprise is the primary beneficiary of a variable interest entity. ASC 810-50 is effective beginning January 1, 2010. The Company is currently evaluating the effect of ASC 810-50 on its financial position, results of operations and liquidity.</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In August 2009, the FASB issued Update No. 2009-05 (“ASU 2009-05”), which amends ASC 820 to provide further guidance on measuring the fair value of a liability. It primarily does three things: 1) sets forth the types of valuation techniques to be used to value a liability when a quoted price in an active market for the identical liability is not available, 2) clarifies that when estimating the fair value of a liability, a reporting entity is not required to include a separate input or adjustment to other inputs relating to the existence of a restriction that prevents the transfer of the liability, and 3) clarifies that both a quoted price in an active market for the identical liability at the measurement date and the quoted price for the identical liability when traded as an asset in an active market, when no adjustments to the quoted price of the asset are required, are Level 1 fair value measurements. This standard became effective for the Company beginning in the fourth quarter of 2009. The Company’s adoption of ASU 2009-05 did not have a material impact on its financial position, results of operations or liquidity.</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In September 2009, the FASB issued Update No. 2009-13, which updates the existing guidance regarding multiple-element revenue arrangements currently included under ASC 605-25. The revised guidance primarily provides two significant changes: 1) eliminates the need for objective and reliable evidence of the fair-value for the undelivered element in order for a delivered item to be treated as a separate unit of accounting, and 2) eliminates the residual method to allocate the arrangement consideration. The guidance also expands the disclosure requirements for revenue recognition and will be effective for the first annual reporting period beginning on or after June 15, 2010, with early adoption permitted provided that the revised guidance is retroactively applied to the beginning of the year of adoption. The Company is currently evaluating the effect of this update on its financial position, results of operations and liquidity.</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 January 2010, the FASB issued Update No. 2010-6, “Improving Disclosures About Fair Value Measurements” (“ASU 2010-6”), which requires reporting entities to make new disclosures about recurring or nonrecurring fair-value measurements including significant transfers into and out of Level 1 and Level 2 fair-value measurements and information on purchases, sales, issuances, and settlements on a gross basis in the reconciliation of Level 3 fair-value measurements. ASU 2010-6 is effective for annual reporting periods beginning after December 15, 2009, except for Level 3 reconciliation disclosures, which are effective for annual periods beginning after December 15, 2010. The Company is currently evaluating the effect of this update on its financial position, results of operations and liquidity.</w:t>
      </w:r>
    </w:p>
    <w:p>
      <w:pPr>
        <w:spacing w:after="0" w:line="179"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41"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41" w:orient="portrait"/>
          <w:cols w:equalWidth="0" w:num="1">
            <w:col w:w="11420"/>
          </w:cols>
          <w:pgMar w:left="240" w:top="122" w:right="239" w:bottom="0" w:gutter="0" w:footer="0" w:header="0"/>
          <w:type w:val="continuous"/>
        </w:sectPr>
      </w:pPr>
    </w:p>
    <w:bookmarkStart w:id="54" w:name="page55"/>
    <w:bookmarkEnd w:id="54"/>
    <w:p>
      <w:pPr>
        <w:ind w:left="620" w:hanging="288"/>
        <w:spacing w:after="0"/>
        <w:tabs>
          <w:tab w:leader="none" w:pos="62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60" w:right="40" w:hanging="328"/>
        <w:spacing w:after="0" w:line="253" w:lineRule="auto"/>
        <w:tabs>
          <w:tab w:leader="none" w:pos="642"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rFonts w:ascii="Arial" w:cs="Arial" w:eastAsia="Arial" w:hAnsi="Arial"/>
          <w:sz w:val="20"/>
          <w:szCs w:val="20"/>
          <w:color w:val="auto"/>
        </w:rPr>
      </w:pPr>
    </w:p>
    <w:p>
      <w:pPr>
        <w:ind w:left="660" w:right="40" w:hanging="328"/>
        <w:spacing w:after="0" w:line="267" w:lineRule="auto"/>
        <w:tabs>
          <w:tab w:leader="none" w:pos="709"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pacing w:after="0" w:line="183"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90"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The following tables present the fair value of the Company’s financial assets recorded at fair value on a recurring basis segregated among the appropriate levels within the fair value hierarchy, at December 31, 2009 and 2008: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0" w:type="dxa"/>
            <w:vAlign w:val="bottom"/>
          </w:tcPr>
          <w:p>
            <w:pPr>
              <w:spacing w:after="0"/>
              <w:rPr>
                <w:sz w:val="22"/>
                <w:szCs w:val="22"/>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December 31, 2009</w:t>
            </w: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36"/>
              <w:spacing w:after="0"/>
              <w:rPr>
                <w:sz w:val="20"/>
                <w:szCs w:val="20"/>
                <w:color w:val="auto"/>
              </w:rPr>
            </w:pPr>
            <w:r>
              <w:rPr>
                <w:rFonts w:ascii="Arial" w:cs="Arial" w:eastAsia="Arial" w:hAnsi="Arial"/>
                <w:sz w:val="21"/>
                <w:szCs w:val="21"/>
                <w:color w:val="auto"/>
              </w:rPr>
              <w:t>Level 1</w:t>
            </w: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58"/>
              <w:spacing w:after="0"/>
              <w:rPr>
                <w:sz w:val="20"/>
                <w:szCs w:val="20"/>
                <w:color w:val="auto"/>
              </w:rPr>
            </w:pPr>
            <w:r>
              <w:rPr>
                <w:rFonts w:ascii="Arial" w:cs="Arial" w:eastAsia="Arial" w:hAnsi="Arial"/>
                <w:sz w:val="21"/>
                <w:szCs w:val="21"/>
                <w:color w:val="auto"/>
              </w:rPr>
              <w:t>Level 2</w:t>
            </w:r>
          </w:p>
        </w:tc>
        <w:tc>
          <w:tcPr>
            <w:tcW w:w="6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56"/>
              <w:spacing w:after="0"/>
              <w:rPr>
                <w:sz w:val="20"/>
                <w:szCs w:val="20"/>
                <w:color w:val="auto"/>
              </w:rPr>
            </w:pPr>
            <w:r>
              <w:rPr>
                <w:rFonts w:ascii="Arial" w:cs="Arial" w:eastAsia="Arial" w:hAnsi="Arial"/>
                <w:sz w:val="21"/>
                <w:szCs w:val="21"/>
                <w:color w:val="auto"/>
              </w:rPr>
              <w:t>Level 3</w:t>
            </w:r>
          </w:p>
        </w:tc>
        <w:tc>
          <w:tcPr>
            <w:tcW w:w="5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36"/>
              <w:spacing w:after="0"/>
              <w:rPr>
                <w:sz w:val="20"/>
                <w:szCs w:val="20"/>
                <w:color w:val="auto"/>
              </w:rPr>
            </w:pPr>
            <w:r>
              <w:rPr>
                <w:rFonts w:ascii="Arial" w:cs="Arial" w:eastAsia="Arial" w:hAnsi="Arial"/>
                <w:sz w:val="21"/>
                <w:szCs w:val="21"/>
                <w:color w:val="auto"/>
              </w:rPr>
              <w:t>Total</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2900" w:type="dxa"/>
            <w:vAlign w:val="bottom"/>
          </w:tcPr>
          <w:p>
            <w:pPr>
              <w:spacing w:after="0" w:line="223" w:lineRule="exact"/>
              <w:rPr>
                <w:sz w:val="20"/>
                <w:szCs w:val="20"/>
                <w:color w:val="auto"/>
              </w:rPr>
            </w:pPr>
            <w:r>
              <w:rPr>
                <w:rFonts w:ascii="Arial" w:cs="Arial" w:eastAsia="Arial" w:hAnsi="Arial"/>
                <w:sz w:val="21"/>
                <w:szCs w:val="21"/>
                <w:color w:val="auto"/>
              </w:rPr>
              <w:t>Cash</w:t>
            </w:r>
          </w:p>
        </w:tc>
        <w:tc>
          <w:tcPr>
            <w:tcW w:w="440" w:type="dxa"/>
            <w:vAlign w:val="bottom"/>
            <w:gridSpan w:val="2"/>
          </w:tcPr>
          <w:p>
            <w:pPr>
              <w:jc w:val="right"/>
              <w:ind w:right="56"/>
              <w:spacing w:after="0" w:line="223" w:lineRule="exact"/>
              <w:rPr>
                <w:sz w:val="20"/>
                <w:szCs w:val="20"/>
                <w:color w:val="auto"/>
              </w:rPr>
            </w:pPr>
            <w:r>
              <w:rPr>
                <w:rFonts w:ascii="Arial" w:cs="Arial" w:eastAsia="Arial" w:hAnsi="Arial"/>
                <w:sz w:val="21"/>
                <w:szCs w:val="21"/>
                <w:color w:val="auto"/>
              </w:rPr>
              <w:t>$</w:t>
            </w:r>
          </w:p>
        </w:tc>
        <w:tc>
          <w:tcPr>
            <w:tcW w:w="1440" w:type="dxa"/>
            <w:vAlign w:val="bottom"/>
          </w:tcPr>
          <w:p>
            <w:pPr>
              <w:jc w:val="right"/>
              <w:ind w:right="116"/>
              <w:spacing w:after="0" w:line="223" w:lineRule="exact"/>
              <w:rPr>
                <w:sz w:val="20"/>
                <w:szCs w:val="20"/>
                <w:color w:val="auto"/>
              </w:rPr>
            </w:pPr>
            <w:r>
              <w:rPr>
                <w:rFonts w:ascii="Arial" w:cs="Arial" w:eastAsia="Arial" w:hAnsi="Arial"/>
                <w:sz w:val="21"/>
                <w:szCs w:val="21"/>
                <w:color w:val="auto"/>
              </w:rPr>
              <w:t>16,474</w:t>
            </w:r>
          </w:p>
        </w:tc>
        <w:tc>
          <w:tcPr>
            <w:tcW w:w="320" w:type="dxa"/>
            <w:vAlign w:val="bottom"/>
          </w:tcPr>
          <w:p>
            <w:pPr>
              <w:jc w:val="right"/>
              <w:ind w:right="36"/>
              <w:spacing w:after="0" w:line="223" w:lineRule="exact"/>
              <w:rPr>
                <w:sz w:val="20"/>
                <w:szCs w:val="20"/>
                <w:color w:val="auto"/>
              </w:rPr>
            </w:pPr>
            <w:r>
              <w:rPr>
                <w:rFonts w:ascii="Arial" w:cs="Arial" w:eastAsia="Arial" w:hAnsi="Arial"/>
                <w:sz w:val="21"/>
                <w:szCs w:val="21"/>
                <w:color w:val="auto"/>
              </w:rPr>
              <w:t>$</w:t>
            </w:r>
          </w:p>
        </w:tc>
        <w:tc>
          <w:tcPr>
            <w:tcW w:w="1580" w:type="dxa"/>
            <w:vAlign w:val="bottom"/>
          </w:tcPr>
          <w:p>
            <w:pPr>
              <w:jc w:val="right"/>
              <w:ind w:right="198"/>
              <w:spacing w:after="0" w:line="223" w:lineRule="exact"/>
              <w:rPr>
                <w:sz w:val="20"/>
                <w:szCs w:val="20"/>
                <w:color w:val="auto"/>
              </w:rPr>
            </w:pPr>
            <w:r>
              <w:rPr>
                <w:rFonts w:ascii="Arial" w:cs="Arial" w:eastAsia="Arial" w:hAnsi="Arial"/>
                <w:sz w:val="21"/>
                <w:szCs w:val="21"/>
                <w:color w:val="auto"/>
              </w:rPr>
              <w:t>-</w:t>
            </w:r>
          </w:p>
        </w:tc>
        <w:tc>
          <w:tcPr>
            <w:tcW w:w="680" w:type="dxa"/>
            <w:vAlign w:val="bottom"/>
          </w:tcPr>
          <w:p>
            <w:pPr>
              <w:jc w:val="right"/>
              <w:ind w:right="96"/>
              <w:spacing w:after="0" w:line="223" w:lineRule="exact"/>
              <w:rPr>
                <w:sz w:val="20"/>
                <w:szCs w:val="20"/>
                <w:color w:val="auto"/>
              </w:rPr>
            </w:pPr>
            <w:r>
              <w:rPr>
                <w:rFonts w:ascii="Arial" w:cs="Arial" w:eastAsia="Arial" w:hAnsi="Arial"/>
                <w:sz w:val="21"/>
                <w:szCs w:val="21"/>
                <w:color w:val="auto"/>
              </w:rPr>
              <w:t>$</w:t>
            </w:r>
          </w:p>
        </w:tc>
        <w:tc>
          <w:tcPr>
            <w:tcW w:w="1520" w:type="dxa"/>
            <w:vAlign w:val="bottom"/>
          </w:tcPr>
          <w:p>
            <w:pPr>
              <w:jc w:val="right"/>
              <w:ind w:right="276"/>
              <w:spacing w:after="0" w:line="223" w:lineRule="exact"/>
              <w:rPr>
                <w:sz w:val="20"/>
                <w:szCs w:val="20"/>
                <w:color w:val="auto"/>
              </w:rPr>
            </w:pPr>
            <w:r>
              <w:rPr>
                <w:rFonts w:ascii="Arial" w:cs="Arial" w:eastAsia="Arial" w:hAnsi="Arial"/>
                <w:sz w:val="21"/>
                <w:szCs w:val="21"/>
                <w:color w:val="auto"/>
              </w:rPr>
              <w:t>-</w:t>
            </w:r>
          </w:p>
        </w:tc>
        <w:tc>
          <w:tcPr>
            <w:tcW w:w="500" w:type="dxa"/>
            <w:vAlign w:val="bottom"/>
          </w:tcPr>
          <w:p>
            <w:pPr>
              <w:jc w:val="right"/>
              <w:ind w:right="116"/>
              <w:spacing w:after="0" w:line="223" w:lineRule="exact"/>
              <w:rPr>
                <w:sz w:val="20"/>
                <w:szCs w:val="20"/>
                <w:color w:val="auto"/>
              </w:rPr>
            </w:pPr>
            <w:r>
              <w:rPr>
                <w:rFonts w:ascii="Arial" w:cs="Arial" w:eastAsia="Arial" w:hAnsi="Arial"/>
                <w:sz w:val="21"/>
                <w:szCs w:val="21"/>
                <w:color w:val="auto"/>
              </w:rPr>
              <w:t>$</w:t>
            </w:r>
          </w:p>
        </w:tc>
        <w:tc>
          <w:tcPr>
            <w:tcW w:w="1420" w:type="dxa"/>
            <w:vAlign w:val="bottom"/>
          </w:tcPr>
          <w:p>
            <w:pPr>
              <w:jc w:val="right"/>
              <w:ind w:right="56"/>
              <w:spacing w:after="0" w:line="223" w:lineRule="exact"/>
              <w:rPr>
                <w:sz w:val="20"/>
                <w:szCs w:val="20"/>
                <w:color w:val="auto"/>
              </w:rPr>
            </w:pPr>
            <w:r>
              <w:rPr>
                <w:rFonts w:ascii="Arial" w:cs="Arial" w:eastAsia="Arial" w:hAnsi="Arial"/>
                <w:sz w:val="21"/>
                <w:szCs w:val="21"/>
                <w:color w:val="auto"/>
              </w:rPr>
              <w:t>16,474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900" w:type="dxa"/>
            <w:vAlign w:val="bottom"/>
          </w:tcPr>
          <w:p>
            <w:pPr>
              <w:spacing w:after="0"/>
              <w:rPr>
                <w:sz w:val="20"/>
                <w:szCs w:val="20"/>
                <w:color w:val="auto"/>
              </w:rPr>
            </w:pPr>
            <w:r>
              <w:rPr>
                <w:rFonts w:ascii="Arial" w:cs="Arial" w:eastAsia="Arial" w:hAnsi="Arial"/>
                <w:sz w:val="21"/>
                <w:szCs w:val="21"/>
                <w:color w:val="auto"/>
              </w:rPr>
              <w:t>Money market funds</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116"/>
              <w:spacing w:after="0"/>
              <w:rPr>
                <w:sz w:val="20"/>
                <w:szCs w:val="20"/>
                <w:color w:val="auto"/>
              </w:rPr>
            </w:pPr>
            <w:r>
              <w:rPr>
                <w:rFonts w:ascii="Arial" w:cs="Arial" w:eastAsia="Arial" w:hAnsi="Arial"/>
                <w:sz w:val="21"/>
                <w:szCs w:val="21"/>
                <w:color w:val="auto"/>
              </w:rPr>
              <w:t>266,877</w:t>
            </w:r>
          </w:p>
        </w:tc>
        <w:tc>
          <w:tcPr>
            <w:tcW w:w="320" w:type="dxa"/>
            <w:vAlign w:val="bottom"/>
          </w:tcPr>
          <w:p>
            <w:pPr>
              <w:spacing w:after="0"/>
              <w:rPr>
                <w:sz w:val="21"/>
                <w:szCs w:val="21"/>
                <w:color w:val="auto"/>
              </w:rPr>
            </w:pPr>
          </w:p>
        </w:tc>
        <w:tc>
          <w:tcPr>
            <w:tcW w:w="1580" w:type="dxa"/>
            <w:vAlign w:val="bottom"/>
          </w:tcPr>
          <w:p>
            <w:pPr>
              <w:jc w:val="right"/>
              <w:ind w:right="198"/>
              <w:spacing w:after="0"/>
              <w:rPr>
                <w:sz w:val="20"/>
                <w:szCs w:val="20"/>
                <w:color w:val="auto"/>
              </w:rPr>
            </w:pPr>
            <w:r>
              <w:rPr>
                <w:rFonts w:ascii="Arial" w:cs="Arial" w:eastAsia="Arial" w:hAnsi="Arial"/>
                <w:sz w:val="21"/>
                <w:szCs w:val="21"/>
                <w:color w:val="auto"/>
              </w:rPr>
              <w:t>-</w:t>
            </w:r>
          </w:p>
        </w:tc>
        <w:tc>
          <w:tcPr>
            <w:tcW w:w="680" w:type="dxa"/>
            <w:vAlign w:val="bottom"/>
          </w:tcPr>
          <w:p>
            <w:pPr>
              <w:spacing w:after="0"/>
              <w:rPr>
                <w:sz w:val="21"/>
                <w:szCs w:val="21"/>
                <w:color w:val="auto"/>
              </w:rPr>
            </w:pPr>
          </w:p>
        </w:tc>
        <w:tc>
          <w:tcPr>
            <w:tcW w:w="1520" w:type="dxa"/>
            <w:vAlign w:val="bottom"/>
          </w:tcPr>
          <w:p>
            <w:pPr>
              <w:jc w:val="right"/>
              <w:ind w:right="276"/>
              <w:spacing w:after="0"/>
              <w:rPr>
                <w:sz w:val="20"/>
                <w:szCs w:val="20"/>
                <w:color w:val="auto"/>
              </w:rPr>
            </w:pPr>
            <w:r>
              <w:rPr>
                <w:rFonts w:ascii="Arial" w:cs="Arial" w:eastAsia="Arial" w:hAnsi="Arial"/>
                <w:sz w:val="21"/>
                <w:szCs w:val="21"/>
                <w:color w:val="auto"/>
              </w:rPr>
              <w:t>-</w:t>
            </w:r>
          </w:p>
        </w:tc>
        <w:tc>
          <w:tcPr>
            <w:tcW w:w="500" w:type="dxa"/>
            <w:vAlign w:val="bottom"/>
          </w:tcPr>
          <w:p>
            <w:pPr>
              <w:spacing w:after="0"/>
              <w:rPr>
                <w:sz w:val="21"/>
                <w:szCs w:val="21"/>
                <w:color w:val="auto"/>
              </w:rPr>
            </w:pPr>
          </w:p>
        </w:tc>
        <w:tc>
          <w:tcPr>
            <w:tcW w:w="1420" w:type="dxa"/>
            <w:vAlign w:val="bottom"/>
          </w:tcPr>
          <w:p>
            <w:pPr>
              <w:jc w:val="right"/>
              <w:ind w:right="56"/>
              <w:spacing w:after="0"/>
              <w:rPr>
                <w:sz w:val="20"/>
                <w:szCs w:val="20"/>
                <w:color w:val="auto"/>
              </w:rPr>
            </w:pPr>
            <w:r>
              <w:rPr>
                <w:rFonts w:ascii="Arial" w:cs="Arial" w:eastAsia="Arial" w:hAnsi="Arial"/>
                <w:sz w:val="21"/>
                <w:szCs w:val="21"/>
                <w:color w:val="auto"/>
              </w:rPr>
              <w:t>266,877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900" w:type="dxa"/>
            <w:vAlign w:val="bottom"/>
          </w:tcPr>
          <w:p>
            <w:pPr>
              <w:spacing w:after="0"/>
              <w:rPr>
                <w:sz w:val="20"/>
                <w:szCs w:val="20"/>
                <w:color w:val="auto"/>
              </w:rPr>
            </w:pPr>
            <w:r>
              <w:rPr>
                <w:rFonts w:ascii="Arial" w:cs="Arial" w:eastAsia="Arial" w:hAnsi="Arial"/>
                <w:sz w:val="21"/>
                <w:szCs w:val="21"/>
                <w:color w:val="auto"/>
              </w:rPr>
              <w:t>U.S. Treasuries</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116"/>
              <w:spacing w:after="0"/>
              <w:rPr>
                <w:sz w:val="20"/>
                <w:szCs w:val="20"/>
                <w:color w:val="auto"/>
              </w:rPr>
            </w:pPr>
            <w:r>
              <w:rPr>
                <w:rFonts w:ascii="Arial" w:cs="Arial" w:eastAsia="Arial" w:hAnsi="Arial"/>
                <w:sz w:val="21"/>
                <w:szCs w:val="21"/>
                <w:color w:val="auto"/>
              </w:rPr>
              <w:t>59,996</w:t>
            </w:r>
          </w:p>
        </w:tc>
        <w:tc>
          <w:tcPr>
            <w:tcW w:w="320" w:type="dxa"/>
            <w:vAlign w:val="bottom"/>
          </w:tcPr>
          <w:p>
            <w:pPr>
              <w:spacing w:after="0"/>
              <w:rPr>
                <w:sz w:val="21"/>
                <w:szCs w:val="21"/>
                <w:color w:val="auto"/>
              </w:rPr>
            </w:pPr>
          </w:p>
        </w:tc>
        <w:tc>
          <w:tcPr>
            <w:tcW w:w="1580" w:type="dxa"/>
            <w:vAlign w:val="bottom"/>
          </w:tcPr>
          <w:p>
            <w:pPr>
              <w:jc w:val="right"/>
              <w:ind w:right="198"/>
              <w:spacing w:after="0"/>
              <w:rPr>
                <w:sz w:val="20"/>
                <w:szCs w:val="20"/>
                <w:color w:val="auto"/>
              </w:rPr>
            </w:pPr>
            <w:r>
              <w:rPr>
                <w:rFonts w:ascii="Arial" w:cs="Arial" w:eastAsia="Arial" w:hAnsi="Arial"/>
                <w:sz w:val="21"/>
                <w:szCs w:val="21"/>
                <w:color w:val="auto"/>
              </w:rPr>
              <w:t>-</w:t>
            </w:r>
          </w:p>
        </w:tc>
        <w:tc>
          <w:tcPr>
            <w:tcW w:w="680" w:type="dxa"/>
            <w:vAlign w:val="bottom"/>
          </w:tcPr>
          <w:p>
            <w:pPr>
              <w:spacing w:after="0"/>
              <w:rPr>
                <w:sz w:val="21"/>
                <w:szCs w:val="21"/>
                <w:color w:val="auto"/>
              </w:rPr>
            </w:pPr>
          </w:p>
        </w:tc>
        <w:tc>
          <w:tcPr>
            <w:tcW w:w="1520" w:type="dxa"/>
            <w:vAlign w:val="bottom"/>
          </w:tcPr>
          <w:p>
            <w:pPr>
              <w:jc w:val="right"/>
              <w:ind w:right="276"/>
              <w:spacing w:after="0"/>
              <w:rPr>
                <w:sz w:val="20"/>
                <w:szCs w:val="20"/>
                <w:color w:val="auto"/>
              </w:rPr>
            </w:pPr>
            <w:r>
              <w:rPr>
                <w:rFonts w:ascii="Arial" w:cs="Arial" w:eastAsia="Arial" w:hAnsi="Arial"/>
                <w:sz w:val="21"/>
                <w:szCs w:val="21"/>
                <w:color w:val="auto"/>
              </w:rPr>
              <w:t>-</w:t>
            </w:r>
          </w:p>
        </w:tc>
        <w:tc>
          <w:tcPr>
            <w:tcW w:w="500" w:type="dxa"/>
            <w:vAlign w:val="bottom"/>
          </w:tcPr>
          <w:p>
            <w:pPr>
              <w:spacing w:after="0"/>
              <w:rPr>
                <w:sz w:val="21"/>
                <w:szCs w:val="21"/>
                <w:color w:val="auto"/>
              </w:rPr>
            </w:pPr>
          </w:p>
        </w:tc>
        <w:tc>
          <w:tcPr>
            <w:tcW w:w="1420" w:type="dxa"/>
            <w:vAlign w:val="bottom"/>
          </w:tcPr>
          <w:p>
            <w:pPr>
              <w:jc w:val="right"/>
              <w:ind w:right="56"/>
              <w:spacing w:after="0"/>
              <w:rPr>
                <w:sz w:val="20"/>
                <w:szCs w:val="20"/>
                <w:color w:val="auto"/>
              </w:rPr>
            </w:pPr>
            <w:r>
              <w:rPr>
                <w:rFonts w:ascii="Arial" w:cs="Arial" w:eastAsia="Arial" w:hAnsi="Arial"/>
                <w:sz w:val="21"/>
                <w:szCs w:val="21"/>
                <w:color w:val="auto"/>
              </w:rPr>
              <w:t>59,996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0" w:type="dxa"/>
            <w:vAlign w:val="bottom"/>
          </w:tcPr>
          <w:p>
            <w:pPr>
              <w:spacing w:after="0"/>
              <w:rPr>
                <w:sz w:val="22"/>
                <w:szCs w:val="22"/>
                <w:color w:val="auto"/>
              </w:rPr>
            </w:pPr>
          </w:p>
        </w:tc>
        <w:tc>
          <w:tcPr>
            <w:tcW w:w="2900" w:type="dxa"/>
            <w:vAlign w:val="bottom"/>
          </w:tcPr>
          <w:p>
            <w:pPr>
              <w:spacing w:after="0"/>
              <w:rPr>
                <w:sz w:val="20"/>
                <w:szCs w:val="20"/>
                <w:color w:val="auto"/>
              </w:rPr>
            </w:pPr>
            <w:r>
              <w:rPr>
                <w:rFonts w:ascii="Arial" w:cs="Arial" w:eastAsia="Arial" w:hAnsi="Arial"/>
                <w:sz w:val="21"/>
                <w:szCs w:val="21"/>
                <w:color w:val="auto"/>
              </w:rPr>
              <w:t>Auction rate securities</w:t>
            </w: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76"/>
              <w:spacing w:after="0"/>
              <w:rPr>
                <w:sz w:val="20"/>
                <w:szCs w:val="20"/>
                <w:color w:val="auto"/>
              </w:rPr>
            </w:pPr>
            <w:r>
              <w:rPr>
                <w:rFonts w:ascii="Arial" w:cs="Arial" w:eastAsia="Arial" w:hAnsi="Arial"/>
                <w:sz w:val="21"/>
                <w:szCs w:val="21"/>
                <w:color w:val="auto"/>
              </w:rPr>
              <w:t>-</w:t>
            </w: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8"/>
              <w:spacing w:after="0"/>
              <w:rPr>
                <w:sz w:val="20"/>
                <w:szCs w:val="20"/>
                <w:color w:val="auto"/>
              </w:rPr>
            </w:pPr>
            <w:r>
              <w:rPr>
                <w:rFonts w:ascii="Arial" w:cs="Arial" w:eastAsia="Arial" w:hAnsi="Arial"/>
                <w:sz w:val="21"/>
                <w:szCs w:val="21"/>
                <w:color w:val="auto"/>
              </w:rPr>
              <w:t>-</w:t>
            </w:r>
          </w:p>
        </w:tc>
        <w:tc>
          <w:tcPr>
            <w:tcW w:w="6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84,325</w:t>
            </w:r>
          </w:p>
        </w:tc>
        <w:tc>
          <w:tcPr>
            <w:tcW w:w="5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84,325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2900" w:type="dxa"/>
            <w:vAlign w:val="bottom"/>
          </w:tcPr>
          <w:p>
            <w:pPr>
              <w:ind w:left="360"/>
              <w:spacing w:after="0" w:line="237" w:lineRule="exact"/>
              <w:rPr>
                <w:sz w:val="20"/>
                <w:szCs w:val="20"/>
                <w:color w:val="auto"/>
              </w:rPr>
            </w:pPr>
            <w:r>
              <w:rPr>
                <w:rFonts w:ascii="Arial" w:cs="Arial" w:eastAsia="Arial" w:hAnsi="Arial"/>
                <w:sz w:val="21"/>
                <w:szCs w:val="21"/>
                <w:color w:val="auto"/>
              </w:rPr>
              <w:t>Total</w:t>
            </w:r>
          </w:p>
        </w:tc>
        <w:tc>
          <w:tcPr>
            <w:tcW w:w="440" w:type="dxa"/>
            <w:vAlign w:val="bottom"/>
            <w:tcBorders>
              <w:bottom w:val="single" w:sz="8" w:color="auto"/>
            </w:tcBorders>
            <w:gridSpan w:val="2"/>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440" w:type="dxa"/>
            <w:vAlign w:val="bottom"/>
            <w:tcBorders>
              <w:bottom w:val="single" w:sz="8" w:color="auto"/>
            </w:tcBorders>
          </w:tcPr>
          <w:p>
            <w:pPr>
              <w:jc w:val="right"/>
              <w:ind w:right="116"/>
              <w:spacing w:after="0" w:line="237" w:lineRule="exact"/>
              <w:rPr>
                <w:sz w:val="20"/>
                <w:szCs w:val="20"/>
                <w:color w:val="auto"/>
              </w:rPr>
            </w:pPr>
            <w:r>
              <w:rPr>
                <w:rFonts w:ascii="Arial" w:cs="Arial" w:eastAsia="Arial" w:hAnsi="Arial"/>
                <w:sz w:val="21"/>
                <w:szCs w:val="21"/>
                <w:color w:val="auto"/>
              </w:rPr>
              <w:t>343,347</w:t>
            </w:r>
          </w:p>
        </w:tc>
        <w:tc>
          <w:tcPr>
            <w:tcW w:w="32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580" w:type="dxa"/>
            <w:vAlign w:val="bottom"/>
            <w:tcBorders>
              <w:bottom w:val="single" w:sz="8" w:color="auto"/>
            </w:tcBorders>
          </w:tcPr>
          <w:p>
            <w:pPr>
              <w:jc w:val="right"/>
              <w:ind w:right="198"/>
              <w:spacing w:after="0" w:line="237" w:lineRule="exact"/>
              <w:rPr>
                <w:sz w:val="20"/>
                <w:szCs w:val="20"/>
                <w:color w:val="auto"/>
              </w:rPr>
            </w:pPr>
            <w:r>
              <w:rPr>
                <w:rFonts w:ascii="Arial" w:cs="Arial" w:eastAsia="Arial" w:hAnsi="Arial"/>
                <w:sz w:val="21"/>
                <w:szCs w:val="21"/>
                <w:color w:val="auto"/>
              </w:rPr>
              <w:t>-</w:t>
            </w:r>
          </w:p>
        </w:tc>
        <w:tc>
          <w:tcPr>
            <w:tcW w:w="680" w:type="dxa"/>
            <w:vAlign w:val="bottom"/>
            <w:tcBorders>
              <w:bottom w:val="single" w:sz="8" w:color="auto"/>
            </w:tcBorders>
          </w:tcPr>
          <w:p>
            <w:pPr>
              <w:jc w:val="right"/>
              <w:ind w:right="96"/>
              <w:spacing w:after="0" w:line="237" w:lineRule="exact"/>
              <w:rPr>
                <w:sz w:val="20"/>
                <w:szCs w:val="20"/>
                <w:color w:val="auto"/>
              </w:rPr>
            </w:pPr>
            <w:r>
              <w:rPr>
                <w:rFonts w:ascii="Arial" w:cs="Arial" w:eastAsia="Arial" w:hAnsi="Arial"/>
                <w:sz w:val="21"/>
                <w:szCs w:val="21"/>
                <w:color w:val="auto"/>
              </w:rPr>
              <w:t>$</w:t>
            </w:r>
          </w:p>
        </w:tc>
        <w:tc>
          <w:tcPr>
            <w:tcW w:w="152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84,325</w:t>
            </w:r>
          </w:p>
        </w:tc>
        <w:tc>
          <w:tcPr>
            <w:tcW w:w="500" w:type="dxa"/>
            <w:vAlign w:val="bottom"/>
            <w:tcBorders>
              <w:bottom w:val="single" w:sz="8" w:color="auto"/>
            </w:tcBorders>
          </w:tcPr>
          <w:p>
            <w:pPr>
              <w:jc w:val="right"/>
              <w:ind w:right="116"/>
              <w:spacing w:after="0" w:line="237" w:lineRule="exact"/>
              <w:rPr>
                <w:sz w:val="20"/>
                <w:szCs w:val="20"/>
                <w:color w:val="auto"/>
              </w:rPr>
            </w:pPr>
            <w:r>
              <w:rPr>
                <w:rFonts w:ascii="Arial" w:cs="Arial" w:eastAsia="Arial" w:hAnsi="Arial"/>
                <w:sz w:val="21"/>
                <w:szCs w:val="21"/>
                <w:color w:val="auto"/>
              </w:rPr>
              <w:t>$</w:t>
            </w:r>
          </w:p>
        </w:tc>
        <w:tc>
          <w:tcPr>
            <w:tcW w:w="142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427,672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900" w:type="dxa"/>
            <w:vAlign w:val="bottom"/>
            <w:vMerge w:val="restart"/>
          </w:tcPr>
          <w:p>
            <w:pPr>
              <w:spacing w:after="0"/>
              <w:rPr>
                <w:sz w:val="20"/>
                <w:szCs w:val="20"/>
                <w:color w:val="auto"/>
              </w:rPr>
            </w:pPr>
            <w:r>
              <w:rPr>
                <w:rFonts w:ascii="Arial" w:cs="Arial" w:eastAsia="Arial" w:hAnsi="Arial"/>
                <w:sz w:val="21"/>
                <w:szCs w:val="21"/>
                <w:color w:val="auto"/>
              </w:rPr>
              <w:t>Amounts included in:</w:t>
            </w: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900" w:type="dxa"/>
            <w:vAlign w:val="bottom"/>
          </w:tcPr>
          <w:p>
            <w:pPr>
              <w:ind w:left="180"/>
              <w:spacing w:after="0"/>
              <w:rPr>
                <w:sz w:val="20"/>
                <w:szCs w:val="20"/>
                <w:color w:val="auto"/>
              </w:rPr>
            </w:pPr>
            <w:r>
              <w:rPr>
                <w:rFonts w:ascii="Arial" w:cs="Arial" w:eastAsia="Arial" w:hAnsi="Arial"/>
                <w:sz w:val="21"/>
                <w:szCs w:val="21"/>
                <w:color w:val="auto"/>
              </w:rPr>
              <w:t>Cash and cash equivalents</w:t>
            </w:r>
          </w:p>
        </w:tc>
        <w:tc>
          <w:tcPr>
            <w:tcW w:w="440" w:type="dxa"/>
            <w:vAlign w:val="bottom"/>
            <w:gridSpan w:val="2"/>
          </w:tcPr>
          <w:p>
            <w:pPr>
              <w:jc w:val="right"/>
              <w:ind w:right="56"/>
              <w:spacing w:after="0"/>
              <w:rPr>
                <w:sz w:val="20"/>
                <w:szCs w:val="20"/>
                <w:color w:val="auto"/>
              </w:rPr>
            </w:pPr>
            <w:r>
              <w:rPr>
                <w:rFonts w:ascii="Arial" w:cs="Arial" w:eastAsia="Arial" w:hAnsi="Arial"/>
                <w:sz w:val="21"/>
                <w:szCs w:val="21"/>
                <w:color w:val="auto"/>
              </w:rPr>
              <w:t>$</w:t>
            </w:r>
          </w:p>
        </w:tc>
        <w:tc>
          <w:tcPr>
            <w:tcW w:w="1440" w:type="dxa"/>
            <w:vAlign w:val="bottom"/>
          </w:tcPr>
          <w:p>
            <w:pPr>
              <w:jc w:val="right"/>
              <w:ind w:right="116"/>
              <w:spacing w:after="0"/>
              <w:rPr>
                <w:sz w:val="20"/>
                <w:szCs w:val="20"/>
                <w:color w:val="auto"/>
              </w:rPr>
            </w:pPr>
            <w:r>
              <w:rPr>
                <w:rFonts w:ascii="Arial" w:cs="Arial" w:eastAsia="Arial" w:hAnsi="Arial"/>
                <w:sz w:val="21"/>
                <w:szCs w:val="21"/>
                <w:color w:val="auto"/>
              </w:rPr>
              <w:t>328,349</w:t>
            </w:r>
          </w:p>
        </w:tc>
        <w:tc>
          <w:tcPr>
            <w:tcW w:w="32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1580" w:type="dxa"/>
            <w:vAlign w:val="bottom"/>
          </w:tcPr>
          <w:p>
            <w:pPr>
              <w:jc w:val="right"/>
              <w:ind w:right="198"/>
              <w:spacing w:after="0"/>
              <w:rPr>
                <w:sz w:val="20"/>
                <w:szCs w:val="20"/>
                <w:color w:val="auto"/>
              </w:rPr>
            </w:pPr>
            <w:r>
              <w:rPr>
                <w:rFonts w:ascii="Arial" w:cs="Arial" w:eastAsia="Arial" w:hAnsi="Arial"/>
                <w:sz w:val="21"/>
                <w:szCs w:val="21"/>
                <w:color w:val="auto"/>
              </w:rPr>
              <w:t>-</w:t>
            </w:r>
          </w:p>
        </w:tc>
        <w:tc>
          <w:tcPr>
            <w:tcW w:w="680" w:type="dxa"/>
            <w:vAlign w:val="bottom"/>
          </w:tcPr>
          <w:p>
            <w:pPr>
              <w:jc w:val="right"/>
              <w:ind w:right="96"/>
              <w:spacing w:after="0"/>
              <w:rPr>
                <w:sz w:val="20"/>
                <w:szCs w:val="20"/>
                <w:color w:val="auto"/>
              </w:rPr>
            </w:pPr>
            <w:r>
              <w:rPr>
                <w:rFonts w:ascii="Arial" w:cs="Arial" w:eastAsia="Arial" w:hAnsi="Arial"/>
                <w:sz w:val="21"/>
                <w:szCs w:val="21"/>
                <w:color w:val="auto"/>
              </w:rPr>
              <w:t>$</w:t>
            </w:r>
          </w:p>
        </w:tc>
        <w:tc>
          <w:tcPr>
            <w:tcW w:w="1520" w:type="dxa"/>
            <w:vAlign w:val="bottom"/>
          </w:tcPr>
          <w:p>
            <w:pPr>
              <w:jc w:val="right"/>
              <w:ind w:right="276"/>
              <w:spacing w:after="0"/>
              <w:rPr>
                <w:sz w:val="20"/>
                <w:szCs w:val="20"/>
                <w:color w:val="auto"/>
              </w:rPr>
            </w:pPr>
            <w:r>
              <w:rPr>
                <w:rFonts w:ascii="Arial" w:cs="Arial" w:eastAsia="Arial" w:hAnsi="Arial"/>
                <w:sz w:val="21"/>
                <w:szCs w:val="21"/>
                <w:color w:val="auto"/>
              </w:rPr>
              <w:t>-</w:t>
            </w:r>
          </w:p>
        </w:tc>
        <w:tc>
          <w:tcPr>
            <w:tcW w:w="500" w:type="dxa"/>
            <w:vAlign w:val="bottom"/>
          </w:tcPr>
          <w:p>
            <w:pPr>
              <w:jc w:val="right"/>
              <w:ind w:right="116"/>
              <w:spacing w:after="0"/>
              <w:rPr>
                <w:sz w:val="20"/>
                <w:szCs w:val="20"/>
                <w:color w:val="auto"/>
              </w:rPr>
            </w:pPr>
            <w:r>
              <w:rPr>
                <w:rFonts w:ascii="Arial" w:cs="Arial" w:eastAsia="Arial" w:hAnsi="Arial"/>
                <w:sz w:val="21"/>
                <w:szCs w:val="21"/>
                <w:color w:val="auto"/>
              </w:rPr>
              <w:t>$</w:t>
            </w:r>
          </w:p>
        </w:tc>
        <w:tc>
          <w:tcPr>
            <w:tcW w:w="1420" w:type="dxa"/>
            <w:vAlign w:val="bottom"/>
          </w:tcPr>
          <w:p>
            <w:pPr>
              <w:jc w:val="right"/>
              <w:ind w:right="56"/>
              <w:spacing w:after="0"/>
              <w:rPr>
                <w:sz w:val="20"/>
                <w:szCs w:val="20"/>
                <w:color w:val="auto"/>
              </w:rPr>
            </w:pPr>
            <w:r>
              <w:rPr>
                <w:rFonts w:ascii="Arial" w:cs="Arial" w:eastAsia="Arial" w:hAnsi="Arial"/>
                <w:sz w:val="21"/>
                <w:szCs w:val="21"/>
                <w:color w:val="auto"/>
              </w:rPr>
              <w:t>328,349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900" w:type="dxa"/>
            <w:vAlign w:val="bottom"/>
          </w:tcPr>
          <w:p>
            <w:pPr>
              <w:ind w:left="180"/>
              <w:spacing w:after="0"/>
              <w:rPr>
                <w:sz w:val="20"/>
                <w:szCs w:val="20"/>
                <w:color w:val="auto"/>
              </w:rPr>
            </w:pPr>
            <w:r>
              <w:rPr>
                <w:rFonts w:ascii="Arial" w:cs="Arial" w:eastAsia="Arial" w:hAnsi="Arial"/>
                <w:sz w:val="21"/>
                <w:szCs w:val="21"/>
                <w:color w:val="auto"/>
              </w:rPr>
              <w:t>Short-term investments</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116"/>
              <w:spacing w:after="0"/>
              <w:rPr>
                <w:sz w:val="20"/>
                <w:szCs w:val="20"/>
                <w:color w:val="auto"/>
              </w:rPr>
            </w:pPr>
            <w:r>
              <w:rPr>
                <w:rFonts w:ascii="Arial" w:cs="Arial" w:eastAsia="Arial" w:hAnsi="Arial"/>
                <w:sz w:val="21"/>
                <w:szCs w:val="21"/>
                <w:color w:val="auto"/>
              </w:rPr>
              <w:t>14,998</w:t>
            </w:r>
          </w:p>
        </w:tc>
        <w:tc>
          <w:tcPr>
            <w:tcW w:w="320" w:type="dxa"/>
            <w:vAlign w:val="bottom"/>
          </w:tcPr>
          <w:p>
            <w:pPr>
              <w:spacing w:after="0"/>
              <w:rPr>
                <w:sz w:val="21"/>
                <w:szCs w:val="21"/>
                <w:color w:val="auto"/>
              </w:rPr>
            </w:pPr>
          </w:p>
        </w:tc>
        <w:tc>
          <w:tcPr>
            <w:tcW w:w="1580" w:type="dxa"/>
            <w:vAlign w:val="bottom"/>
          </w:tcPr>
          <w:p>
            <w:pPr>
              <w:jc w:val="right"/>
              <w:ind w:right="198"/>
              <w:spacing w:after="0"/>
              <w:rPr>
                <w:sz w:val="20"/>
                <w:szCs w:val="20"/>
                <w:color w:val="auto"/>
              </w:rPr>
            </w:pPr>
            <w:r>
              <w:rPr>
                <w:rFonts w:ascii="Arial" w:cs="Arial" w:eastAsia="Arial" w:hAnsi="Arial"/>
                <w:sz w:val="21"/>
                <w:szCs w:val="21"/>
                <w:color w:val="auto"/>
              </w:rPr>
              <w:t>-</w:t>
            </w:r>
          </w:p>
        </w:tc>
        <w:tc>
          <w:tcPr>
            <w:tcW w:w="68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21"/>
                <w:szCs w:val="21"/>
                <w:color w:val="auto"/>
              </w:rPr>
              <w:t>3,489</w:t>
            </w:r>
          </w:p>
        </w:tc>
        <w:tc>
          <w:tcPr>
            <w:tcW w:w="500" w:type="dxa"/>
            <w:vAlign w:val="bottom"/>
          </w:tcPr>
          <w:p>
            <w:pPr>
              <w:spacing w:after="0"/>
              <w:rPr>
                <w:sz w:val="21"/>
                <w:szCs w:val="21"/>
                <w:color w:val="auto"/>
              </w:rPr>
            </w:pPr>
          </w:p>
        </w:tc>
        <w:tc>
          <w:tcPr>
            <w:tcW w:w="1420" w:type="dxa"/>
            <w:vAlign w:val="bottom"/>
          </w:tcPr>
          <w:p>
            <w:pPr>
              <w:jc w:val="right"/>
              <w:ind w:right="56"/>
              <w:spacing w:after="0"/>
              <w:rPr>
                <w:sz w:val="20"/>
                <w:szCs w:val="20"/>
                <w:color w:val="auto"/>
              </w:rPr>
            </w:pPr>
            <w:r>
              <w:rPr>
                <w:rFonts w:ascii="Arial" w:cs="Arial" w:eastAsia="Arial" w:hAnsi="Arial"/>
                <w:sz w:val="21"/>
                <w:szCs w:val="21"/>
                <w:color w:val="auto"/>
              </w:rPr>
              <w:t>18,487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0" w:type="dxa"/>
            <w:vAlign w:val="bottom"/>
          </w:tcPr>
          <w:p>
            <w:pPr>
              <w:spacing w:after="0"/>
              <w:rPr>
                <w:sz w:val="22"/>
                <w:szCs w:val="22"/>
                <w:color w:val="auto"/>
              </w:rPr>
            </w:pPr>
          </w:p>
        </w:tc>
        <w:tc>
          <w:tcPr>
            <w:tcW w:w="2900" w:type="dxa"/>
            <w:vAlign w:val="bottom"/>
          </w:tcPr>
          <w:p>
            <w:pPr>
              <w:ind w:left="180"/>
              <w:spacing w:after="0"/>
              <w:rPr>
                <w:sz w:val="20"/>
                <w:szCs w:val="20"/>
                <w:color w:val="auto"/>
              </w:rPr>
            </w:pPr>
            <w:r>
              <w:rPr>
                <w:rFonts w:ascii="Arial" w:cs="Arial" w:eastAsia="Arial" w:hAnsi="Arial"/>
                <w:sz w:val="21"/>
                <w:szCs w:val="21"/>
                <w:color w:val="auto"/>
              </w:rPr>
              <w:t>Investments</w:t>
            </w: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76"/>
              <w:spacing w:after="0"/>
              <w:rPr>
                <w:sz w:val="20"/>
                <w:szCs w:val="20"/>
                <w:color w:val="auto"/>
              </w:rPr>
            </w:pPr>
            <w:r>
              <w:rPr>
                <w:rFonts w:ascii="Arial" w:cs="Arial" w:eastAsia="Arial" w:hAnsi="Arial"/>
                <w:sz w:val="21"/>
                <w:szCs w:val="21"/>
                <w:color w:val="auto"/>
              </w:rPr>
              <w:t>-</w:t>
            </w: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8"/>
              <w:spacing w:after="0"/>
              <w:rPr>
                <w:sz w:val="20"/>
                <w:szCs w:val="20"/>
                <w:color w:val="auto"/>
              </w:rPr>
            </w:pPr>
            <w:r>
              <w:rPr>
                <w:rFonts w:ascii="Arial" w:cs="Arial" w:eastAsia="Arial" w:hAnsi="Arial"/>
                <w:sz w:val="21"/>
                <w:szCs w:val="21"/>
                <w:color w:val="auto"/>
              </w:rPr>
              <w:t>-</w:t>
            </w:r>
          </w:p>
        </w:tc>
        <w:tc>
          <w:tcPr>
            <w:tcW w:w="6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80,836</w:t>
            </w:r>
          </w:p>
        </w:tc>
        <w:tc>
          <w:tcPr>
            <w:tcW w:w="5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80,836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2900" w:type="dxa"/>
            <w:vAlign w:val="bottom"/>
          </w:tcPr>
          <w:p>
            <w:pPr>
              <w:ind w:left="360"/>
              <w:spacing w:after="0" w:line="237" w:lineRule="exact"/>
              <w:rPr>
                <w:sz w:val="20"/>
                <w:szCs w:val="20"/>
                <w:color w:val="auto"/>
              </w:rPr>
            </w:pPr>
            <w:r>
              <w:rPr>
                <w:rFonts w:ascii="Arial" w:cs="Arial" w:eastAsia="Arial" w:hAnsi="Arial"/>
                <w:sz w:val="21"/>
                <w:szCs w:val="21"/>
                <w:color w:val="auto"/>
              </w:rPr>
              <w:t>Total</w:t>
            </w:r>
          </w:p>
        </w:tc>
        <w:tc>
          <w:tcPr>
            <w:tcW w:w="440" w:type="dxa"/>
            <w:vAlign w:val="bottom"/>
            <w:tcBorders>
              <w:bottom w:val="single" w:sz="8" w:color="auto"/>
            </w:tcBorders>
            <w:gridSpan w:val="2"/>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440" w:type="dxa"/>
            <w:vAlign w:val="bottom"/>
            <w:tcBorders>
              <w:bottom w:val="single" w:sz="8" w:color="auto"/>
            </w:tcBorders>
          </w:tcPr>
          <w:p>
            <w:pPr>
              <w:jc w:val="right"/>
              <w:ind w:right="116"/>
              <w:spacing w:after="0" w:line="237" w:lineRule="exact"/>
              <w:rPr>
                <w:sz w:val="20"/>
                <w:szCs w:val="20"/>
                <w:color w:val="auto"/>
              </w:rPr>
            </w:pPr>
            <w:r>
              <w:rPr>
                <w:rFonts w:ascii="Arial" w:cs="Arial" w:eastAsia="Arial" w:hAnsi="Arial"/>
                <w:sz w:val="21"/>
                <w:szCs w:val="21"/>
                <w:color w:val="auto"/>
              </w:rPr>
              <w:t>343,347</w:t>
            </w:r>
          </w:p>
        </w:tc>
        <w:tc>
          <w:tcPr>
            <w:tcW w:w="32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580" w:type="dxa"/>
            <w:vAlign w:val="bottom"/>
            <w:tcBorders>
              <w:bottom w:val="single" w:sz="8" w:color="auto"/>
            </w:tcBorders>
          </w:tcPr>
          <w:p>
            <w:pPr>
              <w:jc w:val="right"/>
              <w:ind w:right="198"/>
              <w:spacing w:after="0" w:line="237" w:lineRule="exact"/>
              <w:rPr>
                <w:sz w:val="20"/>
                <w:szCs w:val="20"/>
                <w:color w:val="auto"/>
              </w:rPr>
            </w:pPr>
            <w:r>
              <w:rPr>
                <w:rFonts w:ascii="Arial" w:cs="Arial" w:eastAsia="Arial" w:hAnsi="Arial"/>
                <w:sz w:val="21"/>
                <w:szCs w:val="21"/>
                <w:color w:val="auto"/>
              </w:rPr>
              <w:t>-</w:t>
            </w:r>
          </w:p>
        </w:tc>
        <w:tc>
          <w:tcPr>
            <w:tcW w:w="680" w:type="dxa"/>
            <w:vAlign w:val="bottom"/>
            <w:tcBorders>
              <w:bottom w:val="single" w:sz="8" w:color="auto"/>
            </w:tcBorders>
          </w:tcPr>
          <w:p>
            <w:pPr>
              <w:jc w:val="right"/>
              <w:ind w:right="96"/>
              <w:spacing w:after="0" w:line="237" w:lineRule="exact"/>
              <w:rPr>
                <w:sz w:val="20"/>
                <w:szCs w:val="20"/>
                <w:color w:val="auto"/>
              </w:rPr>
            </w:pPr>
            <w:r>
              <w:rPr>
                <w:rFonts w:ascii="Arial" w:cs="Arial" w:eastAsia="Arial" w:hAnsi="Arial"/>
                <w:sz w:val="21"/>
                <w:szCs w:val="21"/>
                <w:color w:val="auto"/>
              </w:rPr>
              <w:t>$</w:t>
            </w:r>
          </w:p>
        </w:tc>
        <w:tc>
          <w:tcPr>
            <w:tcW w:w="152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84,325</w:t>
            </w:r>
          </w:p>
        </w:tc>
        <w:tc>
          <w:tcPr>
            <w:tcW w:w="500" w:type="dxa"/>
            <w:vAlign w:val="bottom"/>
            <w:tcBorders>
              <w:bottom w:val="single" w:sz="8" w:color="auto"/>
            </w:tcBorders>
          </w:tcPr>
          <w:p>
            <w:pPr>
              <w:jc w:val="right"/>
              <w:ind w:right="116"/>
              <w:spacing w:after="0" w:line="237" w:lineRule="exact"/>
              <w:rPr>
                <w:sz w:val="20"/>
                <w:szCs w:val="20"/>
                <w:color w:val="auto"/>
              </w:rPr>
            </w:pPr>
            <w:r>
              <w:rPr>
                <w:rFonts w:ascii="Arial" w:cs="Arial" w:eastAsia="Arial" w:hAnsi="Arial"/>
                <w:sz w:val="21"/>
                <w:szCs w:val="21"/>
                <w:color w:val="auto"/>
              </w:rPr>
              <w:t>$</w:t>
            </w:r>
          </w:p>
        </w:tc>
        <w:tc>
          <w:tcPr>
            <w:tcW w:w="142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427,672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0" w:type="dxa"/>
            <w:vAlign w:val="bottom"/>
          </w:tcPr>
          <w:p>
            <w:pPr>
              <w:spacing w:after="0"/>
              <w:rPr>
                <w:sz w:val="24"/>
                <w:szCs w:val="24"/>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December 31, 2008</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36"/>
              <w:spacing w:after="0"/>
              <w:rPr>
                <w:sz w:val="20"/>
                <w:szCs w:val="20"/>
                <w:color w:val="auto"/>
              </w:rPr>
            </w:pPr>
            <w:r>
              <w:rPr>
                <w:rFonts w:ascii="Arial" w:cs="Arial" w:eastAsia="Arial" w:hAnsi="Arial"/>
                <w:sz w:val="21"/>
                <w:szCs w:val="21"/>
                <w:color w:val="auto"/>
              </w:rPr>
              <w:t>Level 1</w:t>
            </w: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418"/>
              <w:spacing w:after="0"/>
              <w:rPr>
                <w:sz w:val="20"/>
                <w:szCs w:val="20"/>
                <w:color w:val="auto"/>
              </w:rPr>
            </w:pPr>
            <w:r>
              <w:rPr>
                <w:rFonts w:ascii="Arial" w:cs="Arial" w:eastAsia="Arial" w:hAnsi="Arial"/>
                <w:sz w:val="21"/>
                <w:szCs w:val="21"/>
                <w:color w:val="auto"/>
              </w:rPr>
              <w:t>Level 2</w:t>
            </w:r>
          </w:p>
        </w:tc>
        <w:tc>
          <w:tcPr>
            <w:tcW w:w="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16"/>
              <w:spacing w:after="0"/>
              <w:rPr>
                <w:sz w:val="20"/>
                <w:szCs w:val="20"/>
                <w:color w:val="auto"/>
              </w:rPr>
            </w:pPr>
            <w:r>
              <w:rPr>
                <w:rFonts w:ascii="Arial" w:cs="Arial" w:eastAsia="Arial" w:hAnsi="Arial"/>
                <w:sz w:val="21"/>
                <w:szCs w:val="21"/>
                <w:color w:val="auto"/>
              </w:rPr>
              <w:t>Level 3</w:t>
            </w:r>
          </w:p>
        </w:tc>
        <w:tc>
          <w:tcPr>
            <w:tcW w:w="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6"/>
              <w:spacing w:after="0"/>
              <w:rPr>
                <w:sz w:val="20"/>
                <w:szCs w:val="20"/>
                <w:color w:val="auto"/>
              </w:rPr>
            </w:pPr>
            <w:r>
              <w:rPr>
                <w:rFonts w:ascii="Arial" w:cs="Arial" w:eastAsia="Arial" w:hAnsi="Arial"/>
                <w:sz w:val="21"/>
                <w:szCs w:val="21"/>
                <w:color w:val="auto"/>
              </w:rPr>
              <w:t>Total</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2900" w:type="dxa"/>
            <w:vAlign w:val="bottom"/>
          </w:tcPr>
          <w:p>
            <w:pPr>
              <w:spacing w:after="0" w:line="223" w:lineRule="exact"/>
              <w:rPr>
                <w:sz w:val="20"/>
                <w:szCs w:val="20"/>
                <w:color w:val="auto"/>
              </w:rPr>
            </w:pPr>
            <w:r>
              <w:rPr>
                <w:rFonts w:ascii="Arial" w:cs="Arial" w:eastAsia="Arial" w:hAnsi="Arial"/>
                <w:sz w:val="21"/>
                <w:szCs w:val="21"/>
                <w:color w:val="auto"/>
              </w:rPr>
              <w:t>Cash</w:t>
            </w:r>
          </w:p>
        </w:tc>
        <w:tc>
          <w:tcPr>
            <w:tcW w:w="440" w:type="dxa"/>
            <w:vAlign w:val="bottom"/>
            <w:gridSpan w:val="2"/>
          </w:tcPr>
          <w:p>
            <w:pPr>
              <w:jc w:val="right"/>
              <w:spacing w:after="0" w:line="223" w:lineRule="exact"/>
              <w:rPr>
                <w:sz w:val="20"/>
                <w:szCs w:val="20"/>
                <w:color w:val="auto"/>
              </w:rPr>
            </w:pPr>
            <w:r>
              <w:rPr>
                <w:rFonts w:ascii="Arial" w:cs="Arial" w:eastAsia="Arial" w:hAnsi="Arial"/>
                <w:sz w:val="21"/>
                <w:szCs w:val="21"/>
                <w:color w:val="auto"/>
              </w:rPr>
              <w:t>$</w:t>
            </w:r>
          </w:p>
        </w:tc>
        <w:tc>
          <w:tcPr>
            <w:tcW w:w="1440" w:type="dxa"/>
            <w:vAlign w:val="bottom"/>
          </w:tcPr>
          <w:p>
            <w:pPr>
              <w:jc w:val="right"/>
              <w:spacing w:after="0" w:line="223" w:lineRule="exact"/>
              <w:rPr>
                <w:sz w:val="20"/>
                <w:szCs w:val="20"/>
                <w:color w:val="auto"/>
              </w:rPr>
            </w:pPr>
            <w:r>
              <w:rPr>
                <w:rFonts w:ascii="Arial" w:cs="Arial" w:eastAsia="Arial" w:hAnsi="Arial"/>
                <w:sz w:val="21"/>
                <w:szCs w:val="21"/>
                <w:color w:val="auto"/>
              </w:rPr>
              <w:t>23,944</w:t>
            </w:r>
          </w:p>
        </w:tc>
        <w:tc>
          <w:tcPr>
            <w:tcW w:w="32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1580" w:type="dxa"/>
            <w:vAlign w:val="bottom"/>
          </w:tcPr>
          <w:p>
            <w:pPr>
              <w:jc w:val="right"/>
              <w:ind w:right="278"/>
              <w:spacing w:after="0" w:line="223" w:lineRule="exact"/>
              <w:rPr>
                <w:sz w:val="20"/>
                <w:szCs w:val="20"/>
                <w:color w:val="auto"/>
              </w:rPr>
            </w:pPr>
            <w:r>
              <w:rPr>
                <w:rFonts w:ascii="Arial" w:cs="Arial" w:eastAsia="Arial" w:hAnsi="Arial"/>
                <w:sz w:val="21"/>
                <w:szCs w:val="21"/>
                <w:color w:val="auto"/>
              </w:rPr>
              <w:t>-</w:t>
            </w:r>
          </w:p>
        </w:tc>
        <w:tc>
          <w:tcPr>
            <w:tcW w:w="680" w:type="dxa"/>
            <w:vAlign w:val="bottom"/>
          </w:tcPr>
          <w:p>
            <w:pPr>
              <w:jc w:val="right"/>
              <w:ind w:right="156"/>
              <w:spacing w:after="0" w:line="223" w:lineRule="exact"/>
              <w:rPr>
                <w:sz w:val="20"/>
                <w:szCs w:val="20"/>
                <w:color w:val="auto"/>
              </w:rPr>
            </w:pPr>
            <w:r>
              <w:rPr>
                <w:rFonts w:ascii="Arial" w:cs="Arial" w:eastAsia="Arial" w:hAnsi="Arial"/>
                <w:sz w:val="21"/>
                <w:szCs w:val="21"/>
                <w:color w:val="auto"/>
              </w:rPr>
              <w:t>$</w:t>
            </w:r>
          </w:p>
        </w:tc>
        <w:tc>
          <w:tcPr>
            <w:tcW w:w="1520" w:type="dxa"/>
            <w:vAlign w:val="bottom"/>
          </w:tcPr>
          <w:p>
            <w:pPr>
              <w:jc w:val="right"/>
              <w:ind w:right="316"/>
              <w:spacing w:after="0" w:line="223" w:lineRule="exact"/>
              <w:rPr>
                <w:sz w:val="20"/>
                <w:szCs w:val="20"/>
                <w:color w:val="auto"/>
              </w:rPr>
            </w:pPr>
            <w:r>
              <w:rPr>
                <w:rFonts w:ascii="Arial" w:cs="Arial" w:eastAsia="Arial" w:hAnsi="Arial"/>
                <w:sz w:val="21"/>
                <w:szCs w:val="21"/>
                <w:color w:val="auto"/>
              </w:rPr>
              <w:t>-</w:t>
            </w:r>
          </w:p>
        </w:tc>
        <w:tc>
          <w:tcPr>
            <w:tcW w:w="500" w:type="dxa"/>
            <w:vAlign w:val="bottom"/>
          </w:tcPr>
          <w:p>
            <w:pPr>
              <w:jc w:val="right"/>
              <w:ind w:right="156"/>
              <w:spacing w:after="0" w:line="223" w:lineRule="exact"/>
              <w:rPr>
                <w:sz w:val="20"/>
                <w:szCs w:val="20"/>
                <w:color w:val="auto"/>
              </w:rPr>
            </w:pPr>
            <w:r>
              <w:rPr>
                <w:rFonts w:ascii="Arial" w:cs="Arial" w:eastAsia="Arial" w:hAnsi="Arial"/>
                <w:sz w:val="21"/>
                <w:szCs w:val="21"/>
                <w:color w:val="auto"/>
              </w:rPr>
              <w:t>$</w:t>
            </w:r>
          </w:p>
        </w:tc>
        <w:tc>
          <w:tcPr>
            <w:tcW w:w="1420" w:type="dxa"/>
            <w:vAlign w:val="bottom"/>
          </w:tcPr>
          <w:p>
            <w:pPr>
              <w:jc w:val="right"/>
              <w:ind w:right="56"/>
              <w:spacing w:after="0" w:line="223" w:lineRule="exact"/>
              <w:rPr>
                <w:sz w:val="20"/>
                <w:szCs w:val="20"/>
                <w:color w:val="auto"/>
              </w:rPr>
            </w:pPr>
            <w:r>
              <w:rPr>
                <w:rFonts w:ascii="Arial" w:cs="Arial" w:eastAsia="Arial" w:hAnsi="Arial"/>
                <w:sz w:val="21"/>
                <w:szCs w:val="21"/>
                <w:color w:val="auto"/>
              </w:rPr>
              <w:t>23,944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900" w:type="dxa"/>
            <w:vAlign w:val="bottom"/>
          </w:tcPr>
          <w:p>
            <w:pPr>
              <w:spacing w:after="0"/>
              <w:rPr>
                <w:sz w:val="20"/>
                <w:szCs w:val="20"/>
                <w:color w:val="auto"/>
              </w:rPr>
            </w:pPr>
            <w:r>
              <w:rPr>
                <w:rFonts w:ascii="Arial" w:cs="Arial" w:eastAsia="Arial" w:hAnsi="Arial"/>
                <w:sz w:val="21"/>
                <w:szCs w:val="21"/>
                <w:color w:val="auto"/>
              </w:rPr>
              <w:t>Money market funds</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1"/>
                <w:szCs w:val="21"/>
                <w:color w:val="auto"/>
              </w:rPr>
              <w:t>172,558</w:t>
            </w:r>
          </w:p>
        </w:tc>
        <w:tc>
          <w:tcPr>
            <w:tcW w:w="320" w:type="dxa"/>
            <w:vAlign w:val="bottom"/>
          </w:tcPr>
          <w:p>
            <w:pPr>
              <w:spacing w:after="0"/>
              <w:rPr>
                <w:sz w:val="21"/>
                <w:szCs w:val="21"/>
                <w:color w:val="auto"/>
              </w:rPr>
            </w:pPr>
          </w:p>
        </w:tc>
        <w:tc>
          <w:tcPr>
            <w:tcW w:w="1580" w:type="dxa"/>
            <w:vAlign w:val="bottom"/>
          </w:tcPr>
          <w:p>
            <w:pPr>
              <w:jc w:val="right"/>
              <w:ind w:right="278"/>
              <w:spacing w:after="0"/>
              <w:rPr>
                <w:sz w:val="20"/>
                <w:szCs w:val="20"/>
                <w:color w:val="auto"/>
              </w:rPr>
            </w:pPr>
            <w:r>
              <w:rPr>
                <w:rFonts w:ascii="Arial" w:cs="Arial" w:eastAsia="Arial" w:hAnsi="Arial"/>
                <w:sz w:val="21"/>
                <w:szCs w:val="21"/>
                <w:color w:val="auto"/>
              </w:rPr>
              <w:t>-</w:t>
            </w:r>
          </w:p>
        </w:tc>
        <w:tc>
          <w:tcPr>
            <w:tcW w:w="680" w:type="dxa"/>
            <w:vAlign w:val="bottom"/>
          </w:tcPr>
          <w:p>
            <w:pPr>
              <w:spacing w:after="0"/>
              <w:rPr>
                <w:sz w:val="21"/>
                <w:szCs w:val="21"/>
                <w:color w:val="auto"/>
              </w:rPr>
            </w:pPr>
          </w:p>
        </w:tc>
        <w:tc>
          <w:tcPr>
            <w:tcW w:w="1520" w:type="dxa"/>
            <w:vAlign w:val="bottom"/>
          </w:tcPr>
          <w:p>
            <w:pPr>
              <w:jc w:val="right"/>
              <w:ind w:right="316"/>
              <w:spacing w:after="0"/>
              <w:rPr>
                <w:sz w:val="20"/>
                <w:szCs w:val="20"/>
                <w:color w:val="auto"/>
              </w:rPr>
            </w:pPr>
            <w:r>
              <w:rPr>
                <w:rFonts w:ascii="Arial" w:cs="Arial" w:eastAsia="Arial" w:hAnsi="Arial"/>
                <w:sz w:val="21"/>
                <w:szCs w:val="21"/>
                <w:color w:val="auto"/>
              </w:rPr>
              <w:t>-</w:t>
            </w:r>
          </w:p>
        </w:tc>
        <w:tc>
          <w:tcPr>
            <w:tcW w:w="500" w:type="dxa"/>
            <w:vAlign w:val="bottom"/>
          </w:tcPr>
          <w:p>
            <w:pPr>
              <w:spacing w:after="0"/>
              <w:rPr>
                <w:sz w:val="21"/>
                <w:szCs w:val="21"/>
                <w:color w:val="auto"/>
              </w:rPr>
            </w:pPr>
          </w:p>
        </w:tc>
        <w:tc>
          <w:tcPr>
            <w:tcW w:w="1420" w:type="dxa"/>
            <w:vAlign w:val="bottom"/>
          </w:tcPr>
          <w:p>
            <w:pPr>
              <w:jc w:val="right"/>
              <w:ind w:right="56"/>
              <w:spacing w:after="0"/>
              <w:rPr>
                <w:sz w:val="20"/>
                <w:szCs w:val="20"/>
                <w:color w:val="auto"/>
              </w:rPr>
            </w:pPr>
            <w:r>
              <w:rPr>
                <w:rFonts w:ascii="Arial" w:cs="Arial" w:eastAsia="Arial" w:hAnsi="Arial"/>
                <w:sz w:val="21"/>
                <w:szCs w:val="21"/>
                <w:color w:val="auto"/>
              </w:rPr>
              <w:t>172,558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900" w:type="dxa"/>
            <w:vAlign w:val="bottom"/>
          </w:tcPr>
          <w:p>
            <w:pPr>
              <w:spacing w:after="0"/>
              <w:rPr>
                <w:sz w:val="20"/>
                <w:szCs w:val="20"/>
                <w:color w:val="auto"/>
              </w:rPr>
            </w:pPr>
            <w:r>
              <w:rPr>
                <w:rFonts w:ascii="Arial" w:cs="Arial" w:eastAsia="Arial" w:hAnsi="Arial"/>
                <w:sz w:val="21"/>
                <w:szCs w:val="21"/>
                <w:color w:val="auto"/>
              </w:rPr>
              <w:t>U.S. Treasuries</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1"/>
                <w:szCs w:val="21"/>
                <w:color w:val="auto"/>
              </w:rPr>
              <w:t>80,240</w:t>
            </w:r>
          </w:p>
        </w:tc>
        <w:tc>
          <w:tcPr>
            <w:tcW w:w="320" w:type="dxa"/>
            <w:vAlign w:val="bottom"/>
          </w:tcPr>
          <w:p>
            <w:pPr>
              <w:spacing w:after="0"/>
              <w:rPr>
                <w:sz w:val="21"/>
                <w:szCs w:val="21"/>
                <w:color w:val="auto"/>
              </w:rPr>
            </w:pPr>
          </w:p>
        </w:tc>
        <w:tc>
          <w:tcPr>
            <w:tcW w:w="1580" w:type="dxa"/>
            <w:vAlign w:val="bottom"/>
          </w:tcPr>
          <w:p>
            <w:pPr>
              <w:jc w:val="right"/>
              <w:ind w:right="278"/>
              <w:spacing w:after="0"/>
              <w:rPr>
                <w:sz w:val="20"/>
                <w:szCs w:val="20"/>
                <w:color w:val="auto"/>
              </w:rPr>
            </w:pPr>
            <w:r>
              <w:rPr>
                <w:rFonts w:ascii="Arial" w:cs="Arial" w:eastAsia="Arial" w:hAnsi="Arial"/>
                <w:sz w:val="21"/>
                <w:szCs w:val="21"/>
                <w:color w:val="auto"/>
              </w:rPr>
              <w:t>-</w:t>
            </w:r>
          </w:p>
        </w:tc>
        <w:tc>
          <w:tcPr>
            <w:tcW w:w="680" w:type="dxa"/>
            <w:vAlign w:val="bottom"/>
          </w:tcPr>
          <w:p>
            <w:pPr>
              <w:spacing w:after="0"/>
              <w:rPr>
                <w:sz w:val="21"/>
                <w:szCs w:val="21"/>
                <w:color w:val="auto"/>
              </w:rPr>
            </w:pPr>
          </w:p>
        </w:tc>
        <w:tc>
          <w:tcPr>
            <w:tcW w:w="1520" w:type="dxa"/>
            <w:vAlign w:val="bottom"/>
          </w:tcPr>
          <w:p>
            <w:pPr>
              <w:jc w:val="right"/>
              <w:ind w:right="316"/>
              <w:spacing w:after="0"/>
              <w:rPr>
                <w:sz w:val="20"/>
                <w:szCs w:val="20"/>
                <w:color w:val="auto"/>
              </w:rPr>
            </w:pPr>
            <w:r>
              <w:rPr>
                <w:rFonts w:ascii="Arial" w:cs="Arial" w:eastAsia="Arial" w:hAnsi="Arial"/>
                <w:sz w:val="21"/>
                <w:szCs w:val="21"/>
                <w:color w:val="auto"/>
              </w:rPr>
              <w:t>-</w:t>
            </w:r>
          </w:p>
        </w:tc>
        <w:tc>
          <w:tcPr>
            <w:tcW w:w="500" w:type="dxa"/>
            <w:vAlign w:val="bottom"/>
          </w:tcPr>
          <w:p>
            <w:pPr>
              <w:spacing w:after="0"/>
              <w:rPr>
                <w:sz w:val="21"/>
                <w:szCs w:val="21"/>
                <w:color w:val="auto"/>
              </w:rPr>
            </w:pPr>
          </w:p>
        </w:tc>
        <w:tc>
          <w:tcPr>
            <w:tcW w:w="1420" w:type="dxa"/>
            <w:vAlign w:val="bottom"/>
          </w:tcPr>
          <w:p>
            <w:pPr>
              <w:jc w:val="right"/>
              <w:ind w:right="56"/>
              <w:spacing w:after="0"/>
              <w:rPr>
                <w:sz w:val="20"/>
                <w:szCs w:val="20"/>
                <w:color w:val="auto"/>
              </w:rPr>
            </w:pPr>
            <w:r>
              <w:rPr>
                <w:rFonts w:ascii="Arial" w:cs="Arial" w:eastAsia="Arial" w:hAnsi="Arial"/>
                <w:sz w:val="21"/>
                <w:szCs w:val="21"/>
                <w:color w:val="auto"/>
              </w:rPr>
              <w:t>80,240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900" w:type="dxa"/>
            <w:vAlign w:val="bottom"/>
          </w:tcPr>
          <w:p>
            <w:pPr>
              <w:spacing w:after="0"/>
              <w:rPr>
                <w:sz w:val="20"/>
                <w:szCs w:val="20"/>
                <w:color w:val="auto"/>
              </w:rPr>
            </w:pPr>
            <w:r>
              <w:rPr>
                <w:rFonts w:ascii="Arial" w:cs="Arial" w:eastAsia="Arial" w:hAnsi="Arial"/>
                <w:sz w:val="21"/>
                <w:szCs w:val="21"/>
                <w:color w:val="auto"/>
              </w:rPr>
              <w:t>Municipal securities</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1"/>
                <w:szCs w:val="21"/>
                <w:color w:val="auto"/>
              </w:rPr>
              <w:t>1,154</w:t>
            </w:r>
          </w:p>
        </w:tc>
        <w:tc>
          <w:tcPr>
            <w:tcW w:w="320" w:type="dxa"/>
            <w:vAlign w:val="bottom"/>
          </w:tcPr>
          <w:p>
            <w:pPr>
              <w:spacing w:after="0"/>
              <w:rPr>
                <w:sz w:val="21"/>
                <w:szCs w:val="21"/>
                <w:color w:val="auto"/>
              </w:rPr>
            </w:pPr>
          </w:p>
        </w:tc>
        <w:tc>
          <w:tcPr>
            <w:tcW w:w="1580" w:type="dxa"/>
            <w:vAlign w:val="bottom"/>
          </w:tcPr>
          <w:p>
            <w:pPr>
              <w:jc w:val="right"/>
              <w:ind w:right="278"/>
              <w:spacing w:after="0"/>
              <w:rPr>
                <w:sz w:val="20"/>
                <w:szCs w:val="20"/>
                <w:color w:val="auto"/>
              </w:rPr>
            </w:pPr>
            <w:r>
              <w:rPr>
                <w:rFonts w:ascii="Arial" w:cs="Arial" w:eastAsia="Arial" w:hAnsi="Arial"/>
                <w:sz w:val="21"/>
                <w:szCs w:val="21"/>
                <w:color w:val="auto"/>
              </w:rPr>
              <w:t>-</w:t>
            </w:r>
          </w:p>
        </w:tc>
        <w:tc>
          <w:tcPr>
            <w:tcW w:w="680" w:type="dxa"/>
            <w:vAlign w:val="bottom"/>
          </w:tcPr>
          <w:p>
            <w:pPr>
              <w:spacing w:after="0"/>
              <w:rPr>
                <w:sz w:val="21"/>
                <w:szCs w:val="21"/>
                <w:color w:val="auto"/>
              </w:rPr>
            </w:pPr>
          </w:p>
        </w:tc>
        <w:tc>
          <w:tcPr>
            <w:tcW w:w="1520" w:type="dxa"/>
            <w:vAlign w:val="bottom"/>
          </w:tcPr>
          <w:p>
            <w:pPr>
              <w:jc w:val="right"/>
              <w:ind w:right="316"/>
              <w:spacing w:after="0"/>
              <w:rPr>
                <w:sz w:val="20"/>
                <w:szCs w:val="20"/>
                <w:color w:val="auto"/>
              </w:rPr>
            </w:pPr>
            <w:r>
              <w:rPr>
                <w:rFonts w:ascii="Arial" w:cs="Arial" w:eastAsia="Arial" w:hAnsi="Arial"/>
                <w:sz w:val="21"/>
                <w:szCs w:val="21"/>
                <w:color w:val="auto"/>
              </w:rPr>
              <w:t>-</w:t>
            </w:r>
          </w:p>
        </w:tc>
        <w:tc>
          <w:tcPr>
            <w:tcW w:w="500" w:type="dxa"/>
            <w:vAlign w:val="bottom"/>
          </w:tcPr>
          <w:p>
            <w:pPr>
              <w:spacing w:after="0"/>
              <w:rPr>
                <w:sz w:val="21"/>
                <w:szCs w:val="21"/>
                <w:color w:val="auto"/>
              </w:rPr>
            </w:pPr>
          </w:p>
        </w:tc>
        <w:tc>
          <w:tcPr>
            <w:tcW w:w="1420" w:type="dxa"/>
            <w:vAlign w:val="bottom"/>
          </w:tcPr>
          <w:p>
            <w:pPr>
              <w:jc w:val="right"/>
              <w:ind w:right="56"/>
              <w:spacing w:after="0"/>
              <w:rPr>
                <w:sz w:val="20"/>
                <w:szCs w:val="20"/>
                <w:color w:val="auto"/>
              </w:rPr>
            </w:pPr>
            <w:r>
              <w:rPr>
                <w:rFonts w:ascii="Arial" w:cs="Arial" w:eastAsia="Arial" w:hAnsi="Arial"/>
                <w:sz w:val="21"/>
                <w:szCs w:val="21"/>
                <w:color w:val="auto"/>
              </w:rPr>
              <w:t>1,154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0" w:type="dxa"/>
            <w:vAlign w:val="bottom"/>
          </w:tcPr>
          <w:p>
            <w:pPr>
              <w:spacing w:after="0"/>
              <w:rPr>
                <w:sz w:val="22"/>
                <w:szCs w:val="22"/>
                <w:color w:val="auto"/>
              </w:rPr>
            </w:pPr>
          </w:p>
        </w:tc>
        <w:tc>
          <w:tcPr>
            <w:tcW w:w="2900" w:type="dxa"/>
            <w:vAlign w:val="bottom"/>
          </w:tcPr>
          <w:p>
            <w:pPr>
              <w:spacing w:after="0"/>
              <w:rPr>
                <w:sz w:val="20"/>
                <w:szCs w:val="20"/>
                <w:color w:val="auto"/>
              </w:rPr>
            </w:pPr>
            <w:r>
              <w:rPr>
                <w:rFonts w:ascii="Arial" w:cs="Arial" w:eastAsia="Arial" w:hAnsi="Arial"/>
                <w:sz w:val="21"/>
                <w:szCs w:val="21"/>
                <w:color w:val="auto"/>
              </w:rPr>
              <w:t>Auction rate securities</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56"/>
              <w:spacing w:after="0"/>
              <w:rPr>
                <w:sz w:val="20"/>
                <w:szCs w:val="20"/>
                <w:color w:val="auto"/>
              </w:rPr>
            </w:pPr>
            <w:r>
              <w:rPr>
                <w:rFonts w:ascii="Arial" w:cs="Arial" w:eastAsia="Arial" w:hAnsi="Arial"/>
                <w:sz w:val="21"/>
                <w:szCs w:val="21"/>
                <w:color w:val="auto"/>
              </w:rPr>
              <w:t>-</w:t>
            </w: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78"/>
              <w:spacing w:after="0"/>
              <w:rPr>
                <w:sz w:val="20"/>
                <w:szCs w:val="20"/>
                <w:color w:val="auto"/>
              </w:rPr>
            </w:pPr>
            <w:r>
              <w:rPr>
                <w:rFonts w:ascii="Arial" w:cs="Arial" w:eastAsia="Arial" w:hAnsi="Arial"/>
                <w:sz w:val="21"/>
                <w:szCs w:val="21"/>
                <w:color w:val="auto"/>
              </w:rPr>
              <w:t>-</w:t>
            </w:r>
          </w:p>
        </w:tc>
        <w:tc>
          <w:tcPr>
            <w:tcW w:w="6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21"/>
                <w:szCs w:val="21"/>
                <w:color w:val="auto"/>
              </w:rPr>
              <w:t>97,617</w:t>
            </w:r>
          </w:p>
        </w:tc>
        <w:tc>
          <w:tcPr>
            <w:tcW w:w="5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97,617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2900" w:type="dxa"/>
            <w:vAlign w:val="bottom"/>
          </w:tcPr>
          <w:p>
            <w:pPr>
              <w:ind w:left="360"/>
              <w:spacing w:after="0" w:line="237" w:lineRule="exact"/>
              <w:rPr>
                <w:sz w:val="20"/>
                <w:szCs w:val="20"/>
                <w:color w:val="auto"/>
              </w:rPr>
            </w:pPr>
            <w:r>
              <w:rPr>
                <w:rFonts w:ascii="Arial" w:cs="Arial" w:eastAsia="Arial" w:hAnsi="Arial"/>
                <w:sz w:val="21"/>
                <w:szCs w:val="21"/>
                <w:color w:val="auto"/>
              </w:rPr>
              <w:t>Total</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4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277,896</w:t>
            </w:r>
          </w:p>
        </w:tc>
        <w:tc>
          <w:tcPr>
            <w:tcW w:w="3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580" w:type="dxa"/>
            <w:vAlign w:val="bottom"/>
            <w:tcBorders>
              <w:bottom w:val="single" w:sz="8" w:color="auto"/>
            </w:tcBorders>
          </w:tcPr>
          <w:p>
            <w:pPr>
              <w:jc w:val="right"/>
              <w:ind w:right="278"/>
              <w:spacing w:after="0" w:line="237" w:lineRule="exact"/>
              <w:rPr>
                <w:sz w:val="20"/>
                <w:szCs w:val="20"/>
                <w:color w:val="auto"/>
              </w:rPr>
            </w:pPr>
            <w:r>
              <w:rPr>
                <w:rFonts w:ascii="Arial" w:cs="Arial" w:eastAsia="Arial" w:hAnsi="Arial"/>
                <w:sz w:val="21"/>
                <w:szCs w:val="21"/>
                <w:color w:val="auto"/>
              </w:rPr>
              <w:t>-</w:t>
            </w:r>
          </w:p>
        </w:tc>
        <w:tc>
          <w:tcPr>
            <w:tcW w:w="680" w:type="dxa"/>
            <w:vAlign w:val="bottom"/>
            <w:tcBorders>
              <w:bottom w:val="single" w:sz="8" w:color="auto"/>
            </w:tcBorders>
          </w:tcPr>
          <w:p>
            <w:pPr>
              <w:jc w:val="right"/>
              <w:ind w:right="156"/>
              <w:spacing w:after="0" w:line="237" w:lineRule="exact"/>
              <w:rPr>
                <w:sz w:val="20"/>
                <w:szCs w:val="20"/>
                <w:color w:val="auto"/>
              </w:rPr>
            </w:pPr>
            <w:r>
              <w:rPr>
                <w:rFonts w:ascii="Arial" w:cs="Arial" w:eastAsia="Arial" w:hAnsi="Arial"/>
                <w:sz w:val="21"/>
                <w:szCs w:val="21"/>
                <w:color w:val="auto"/>
              </w:rPr>
              <w:t>$</w:t>
            </w:r>
          </w:p>
        </w:tc>
        <w:tc>
          <w:tcPr>
            <w:tcW w:w="152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97,617</w:t>
            </w:r>
          </w:p>
        </w:tc>
        <w:tc>
          <w:tcPr>
            <w:tcW w:w="500" w:type="dxa"/>
            <w:vAlign w:val="bottom"/>
            <w:tcBorders>
              <w:bottom w:val="single" w:sz="8" w:color="auto"/>
            </w:tcBorders>
          </w:tcPr>
          <w:p>
            <w:pPr>
              <w:jc w:val="right"/>
              <w:ind w:right="156"/>
              <w:spacing w:after="0" w:line="237" w:lineRule="exact"/>
              <w:rPr>
                <w:sz w:val="20"/>
                <w:szCs w:val="20"/>
                <w:color w:val="auto"/>
              </w:rPr>
            </w:pPr>
            <w:r>
              <w:rPr>
                <w:rFonts w:ascii="Arial" w:cs="Arial" w:eastAsia="Arial" w:hAnsi="Arial"/>
                <w:sz w:val="21"/>
                <w:szCs w:val="21"/>
                <w:color w:val="auto"/>
              </w:rPr>
              <w:t>$</w:t>
            </w:r>
          </w:p>
        </w:tc>
        <w:tc>
          <w:tcPr>
            <w:tcW w:w="142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375,513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900" w:type="dxa"/>
            <w:vAlign w:val="bottom"/>
            <w:vMerge w:val="restart"/>
          </w:tcPr>
          <w:p>
            <w:pPr>
              <w:spacing w:after="0"/>
              <w:rPr>
                <w:sz w:val="20"/>
                <w:szCs w:val="20"/>
                <w:color w:val="auto"/>
              </w:rPr>
            </w:pPr>
            <w:r>
              <w:rPr>
                <w:rFonts w:ascii="Arial" w:cs="Arial" w:eastAsia="Arial" w:hAnsi="Arial"/>
                <w:sz w:val="21"/>
                <w:szCs w:val="21"/>
                <w:color w:val="auto"/>
              </w:rPr>
              <w:t>Amounts included in:</w:t>
            </w: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900" w:type="dxa"/>
            <w:vAlign w:val="bottom"/>
          </w:tcPr>
          <w:p>
            <w:pPr>
              <w:ind w:left="180"/>
              <w:spacing w:after="0"/>
              <w:rPr>
                <w:sz w:val="20"/>
                <w:szCs w:val="20"/>
                <w:color w:val="auto"/>
              </w:rPr>
            </w:pPr>
            <w:r>
              <w:rPr>
                <w:rFonts w:ascii="Arial" w:cs="Arial" w:eastAsia="Arial" w:hAnsi="Arial"/>
                <w:sz w:val="21"/>
                <w:szCs w:val="21"/>
                <w:color w:val="auto"/>
              </w:rPr>
              <w:t>Cash and cash equivalents</w:t>
            </w:r>
          </w:p>
        </w:tc>
        <w:tc>
          <w:tcPr>
            <w:tcW w:w="4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1440" w:type="dxa"/>
            <w:vAlign w:val="bottom"/>
          </w:tcPr>
          <w:p>
            <w:pPr>
              <w:jc w:val="right"/>
              <w:spacing w:after="0"/>
              <w:rPr>
                <w:sz w:val="20"/>
                <w:szCs w:val="20"/>
                <w:color w:val="auto"/>
              </w:rPr>
            </w:pPr>
            <w:r>
              <w:rPr>
                <w:rFonts w:ascii="Arial" w:cs="Arial" w:eastAsia="Arial" w:hAnsi="Arial"/>
                <w:sz w:val="21"/>
                <w:szCs w:val="21"/>
                <w:color w:val="auto"/>
              </w:rPr>
              <w:t>256,801</w:t>
            </w:r>
          </w:p>
        </w:tc>
        <w:tc>
          <w:tcPr>
            <w:tcW w:w="320" w:type="dxa"/>
            <w:vAlign w:val="bottom"/>
          </w:tcPr>
          <w:p>
            <w:pPr>
              <w:jc w:val="right"/>
              <w:spacing w:after="0"/>
              <w:rPr>
                <w:sz w:val="20"/>
                <w:szCs w:val="20"/>
                <w:color w:val="auto"/>
              </w:rPr>
            </w:pPr>
            <w:r>
              <w:rPr>
                <w:rFonts w:ascii="Arial" w:cs="Arial" w:eastAsia="Arial" w:hAnsi="Arial"/>
                <w:sz w:val="21"/>
                <w:szCs w:val="21"/>
                <w:color w:val="auto"/>
              </w:rPr>
              <w:t>$</w:t>
            </w:r>
          </w:p>
        </w:tc>
        <w:tc>
          <w:tcPr>
            <w:tcW w:w="1580" w:type="dxa"/>
            <w:vAlign w:val="bottom"/>
          </w:tcPr>
          <w:p>
            <w:pPr>
              <w:jc w:val="right"/>
              <w:ind w:right="278"/>
              <w:spacing w:after="0"/>
              <w:rPr>
                <w:sz w:val="20"/>
                <w:szCs w:val="20"/>
                <w:color w:val="auto"/>
              </w:rPr>
            </w:pPr>
            <w:r>
              <w:rPr>
                <w:rFonts w:ascii="Arial" w:cs="Arial" w:eastAsia="Arial" w:hAnsi="Arial"/>
                <w:sz w:val="21"/>
                <w:szCs w:val="21"/>
                <w:color w:val="auto"/>
              </w:rPr>
              <w:t>-</w:t>
            </w:r>
          </w:p>
        </w:tc>
        <w:tc>
          <w:tcPr>
            <w:tcW w:w="680" w:type="dxa"/>
            <w:vAlign w:val="bottom"/>
          </w:tcPr>
          <w:p>
            <w:pPr>
              <w:jc w:val="right"/>
              <w:ind w:right="156"/>
              <w:spacing w:after="0"/>
              <w:rPr>
                <w:sz w:val="20"/>
                <w:szCs w:val="20"/>
                <w:color w:val="auto"/>
              </w:rPr>
            </w:pPr>
            <w:r>
              <w:rPr>
                <w:rFonts w:ascii="Arial" w:cs="Arial" w:eastAsia="Arial" w:hAnsi="Arial"/>
                <w:sz w:val="21"/>
                <w:szCs w:val="21"/>
                <w:color w:val="auto"/>
              </w:rPr>
              <w:t>$</w:t>
            </w:r>
          </w:p>
        </w:tc>
        <w:tc>
          <w:tcPr>
            <w:tcW w:w="1520" w:type="dxa"/>
            <w:vAlign w:val="bottom"/>
          </w:tcPr>
          <w:p>
            <w:pPr>
              <w:jc w:val="right"/>
              <w:ind w:right="316"/>
              <w:spacing w:after="0"/>
              <w:rPr>
                <w:sz w:val="20"/>
                <w:szCs w:val="20"/>
                <w:color w:val="auto"/>
              </w:rPr>
            </w:pPr>
            <w:r>
              <w:rPr>
                <w:rFonts w:ascii="Arial" w:cs="Arial" w:eastAsia="Arial" w:hAnsi="Arial"/>
                <w:sz w:val="21"/>
                <w:szCs w:val="21"/>
                <w:color w:val="auto"/>
              </w:rPr>
              <w:t>-</w:t>
            </w:r>
          </w:p>
        </w:tc>
        <w:tc>
          <w:tcPr>
            <w:tcW w:w="500" w:type="dxa"/>
            <w:vAlign w:val="bottom"/>
          </w:tcPr>
          <w:p>
            <w:pPr>
              <w:jc w:val="right"/>
              <w:ind w:right="156"/>
              <w:spacing w:after="0"/>
              <w:rPr>
                <w:sz w:val="20"/>
                <w:szCs w:val="20"/>
                <w:color w:val="auto"/>
              </w:rPr>
            </w:pPr>
            <w:r>
              <w:rPr>
                <w:rFonts w:ascii="Arial" w:cs="Arial" w:eastAsia="Arial" w:hAnsi="Arial"/>
                <w:sz w:val="21"/>
                <w:szCs w:val="21"/>
                <w:color w:val="auto"/>
              </w:rPr>
              <w:t>$</w:t>
            </w:r>
          </w:p>
        </w:tc>
        <w:tc>
          <w:tcPr>
            <w:tcW w:w="1420" w:type="dxa"/>
            <w:vAlign w:val="bottom"/>
          </w:tcPr>
          <w:p>
            <w:pPr>
              <w:jc w:val="right"/>
              <w:ind w:right="56"/>
              <w:spacing w:after="0"/>
              <w:rPr>
                <w:sz w:val="20"/>
                <w:szCs w:val="20"/>
                <w:color w:val="auto"/>
              </w:rPr>
            </w:pPr>
            <w:r>
              <w:rPr>
                <w:rFonts w:ascii="Arial" w:cs="Arial" w:eastAsia="Arial" w:hAnsi="Arial"/>
                <w:sz w:val="21"/>
                <w:szCs w:val="21"/>
                <w:color w:val="auto"/>
              </w:rPr>
              <w:t>256,801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900" w:type="dxa"/>
            <w:vAlign w:val="bottom"/>
          </w:tcPr>
          <w:p>
            <w:pPr>
              <w:ind w:left="180"/>
              <w:spacing w:after="0"/>
              <w:rPr>
                <w:sz w:val="20"/>
                <w:szCs w:val="20"/>
                <w:color w:val="auto"/>
              </w:rPr>
            </w:pPr>
            <w:r>
              <w:rPr>
                <w:rFonts w:ascii="Arial" w:cs="Arial" w:eastAsia="Arial" w:hAnsi="Arial"/>
                <w:sz w:val="21"/>
                <w:szCs w:val="21"/>
                <w:color w:val="auto"/>
              </w:rPr>
              <w:t>Short-term investments</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1"/>
                <w:szCs w:val="21"/>
                <w:color w:val="auto"/>
              </w:rPr>
              <w:t>21,095</w:t>
            </w:r>
          </w:p>
        </w:tc>
        <w:tc>
          <w:tcPr>
            <w:tcW w:w="320" w:type="dxa"/>
            <w:vAlign w:val="bottom"/>
          </w:tcPr>
          <w:p>
            <w:pPr>
              <w:spacing w:after="0"/>
              <w:rPr>
                <w:sz w:val="21"/>
                <w:szCs w:val="21"/>
                <w:color w:val="auto"/>
              </w:rPr>
            </w:pPr>
          </w:p>
        </w:tc>
        <w:tc>
          <w:tcPr>
            <w:tcW w:w="1580" w:type="dxa"/>
            <w:vAlign w:val="bottom"/>
          </w:tcPr>
          <w:p>
            <w:pPr>
              <w:jc w:val="right"/>
              <w:ind w:right="278"/>
              <w:spacing w:after="0"/>
              <w:rPr>
                <w:sz w:val="20"/>
                <w:szCs w:val="20"/>
                <w:color w:val="auto"/>
              </w:rPr>
            </w:pPr>
            <w:r>
              <w:rPr>
                <w:rFonts w:ascii="Arial" w:cs="Arial" w:eastAsia="Arial" w:hAnsi="Arial"/>
                <w:sz w:val="21"/>
                <w:szCs w:val="21"/>
                <w:color w:val="auto"/>
              </w:rPr>
              <w:t>-</w:t>
            </w:r>
          </w:p>
        </w:tc>
        <w:tc>
          <w:tcPr>
            <w:tcW w:w="680" w:type="dxa"/>
            <w:vAlign w:val="bottom"/>
          </w:tcPr>
          <w:p>
            <w:pPr>
              <w:spacing w:after="0"/>
              <w:rPr>
                <w:sz w:val="21"/>
                <w:szCs w:val="21"/>
                <w:color w:val="auto"/>
              </w:rPr>
            </w:pPr>
          </w:p>
        </w:tc>
        <w:tc>
          <w:tcPr>
            <w:tcW w:w="1520" w:type="dxa"/>
            <w:vAlign w:val="bottom"/>
          </w:tcPr>
          <w:p>
            <w:pPr>
              <w:jc w:val="right"/>
              <w:ind w:right="76"/>
              <w:spacing w:after="0"/>
              <w:rPr>
                <w:sz w:val="20"/>
                <w:szCs w:val="20"/>
                <w:color w:val="auto"/>
              </w:rPr>
            </w:pPr>
            <w:r>
              <w:rPr>
                <w:rFonts w:ascii="Arial" w:cs="Arial" w:eastAsia="Arial" w:hAnsi="Arial"/>
                <w:sz w:val="21"/>
                <w:szCs w:val="21"/>
                <w:color w:val="auto"/>
              </w:rPr>
              <w:t>8,050</w:t>
            </w:r>
          </w:p>
        </w:tc>
        <w:tc>
          <w:tcPr>
            <w:tcW w:w="500" w:type="dxa"/>
            <w:vAlign w:val="bottom"/>
          </w:tcPr>
          <w:p>
            <w:pPr>
              <w:spacing w:after="0"/>
              <w:rPr>
                <w:sz w:val="21"/>
                <w:szCs w:val="21"/>
                <w:color w:val="auto"/>
              </w:rPr>
            </w:pPr>
          </w:p>
        </w:tc>
        <w:tc>
          <w:tcPr>
            <w:tcW w:w="1420" w:type="dxa"/>
            <w:vAlign w:val="bottom"/>
          </w:tcPr>
          <w:p>
            <w:pPr>
              <w:jc w:val="right"/>
              <w:ind w:right="56"/>
              <w:spacing w:after="0"/>
              <w:rPr>
                <w:sz w:val="20"/>
                <w:szCs w:val="20"/>
                <w:color w:val="auto"/>
              </w:rPr>
            </w:pPr>
            <w:r>
              <w:rPr>
                <w:rFonts w:ascii="Arial" w:cs="Arial" w:eastAsia="Arial" w:hAnsi="Arial"/>
                <w:sz w:val="21"/>
                <w:szCs w:val="21"/>
                <w:color w:val="auto"/>
              </w:rPr>
              <w:t>29,145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0" w:type="dxa"/>
            <w:vAlign w:val="bottom"/>
          </w:tcPr>
          <w:p>
            <w:pPr>
              <w:spacing w:after="0"/>
              <w:rPr>
                <w:sz w:val="22"/>
                <w:szCs w:val="22"/>
                <w:color w:val="auto"/>
              </w:rPr>
            </w:pPr>
          </w:p>
        </w:tc>
        <w:tc>
          <w:tcPr>
            <w:tcW w:w="2900" w:type="dxa"/>
            <w:vAlign w:val="bottom"/>
          </w:tcPr>
          <w:p>
            <w:pPr>
              <w:ind w:left="180"/>
              <w:spacing w:after="0"/>
              <w:rPr>
                <w:sz w:val="20"/>
                <w:szCs w:val="20"/>
                <w:color w:val="auto"/>
              </w:rPr>
            </w:pPr>
            <w:r>
              <w:rPr>
                <w:rFonts w:ascii="Arial" w:cs="Arial" w:eastAsia="Arial" w:hAnsi="Arial"/>
                <w:sz w:val="21"/>
                <w:szCs w:val="21"/>
                <w:color w:val="auto"/>
              </w:rPr>
              <w:t>Investments</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56"/>
              <w:spacing w:after="0"/>
              <w:rPr>
                <w:sz w:val="20"/>
                <w:szCs w:val="20"/>
                <w:color w:val="auto"/>
              </w:rPr>
            </w:pPr>
            <w:r>
              <w:rPr>
                <w:rFonts w:ascii="Arial" w:cs="Arial" w:eastAsia="Arial" w:hAnsi="Arial"/>
                <w:sz w:val="21"/>
                <w:szCs w:val="21"/>
                <w:color w:val="auto"/>
              </w:rPr>
              <w:t>-</w:t>
            </w: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78"/>
              <w:spacing w:after="0"/>
              <w:rPr>
                <w:sz w:val="20"/>
                <w:szCs w:val="20"/>
                <w:color w:val="auto"/>
              </w:rPr>
            </w:pPr>
            <w:r>
              <w:rPr>
                <w:rFonts w:ascii="Arial" w:cs="Arial" w:eastAsia="Arial" w:hAnsi="Arial"/>
                <w:sz w:val="21"/>
                <w:szCs w:val="21"/>
                <w:color w:val="auto"/>
              </w:rPr>
              <w:t>-</w:t>
            </w:r>
          </w:p>
        </w:tc>
        <w:tc>
          <w:tcPr>
            <w:tcW w:w="6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21"/>
                <w:szCs w:val="21"/>
                <w:color w:val="auto"/>
              </w:rPr>
              <w:t>89,567</w:t>
            </w:r>
          </w:p>
        </w:tc>
        <w:tc>
          <w:tcPr>
            <w:tcW w:w="5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89,567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2900" w:type="dxa"/>
            <w:vAlign w:val="bottom"/>
          </w:tcPr>
          <w:p>
            <w:pPr>
              <w:ind w:left="360"/>
              <w:spacing w:after="0" w:line="237" w:lineRule="exact"/>
              <w:rPr>
                <w:sz w:val="20"/>
                <w:szCs w:val="20"/>
                <w:color w:val="auto"/>
              </w:rPr>
            </w:pPr>
            <w:r>
              <w:rPr>
                <w:rFonts w:ascii="Arial" w:cs="Arial" w:eastAsia="Arial" w:hAnsi="Arial"/>
                <w:sz w:val="21"/>
                <w:szCs w:val="21"/>
                <w:color w:val="auto"/>
              </w:rPr>
              <w:t>Total</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4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277,896</w:t>
            </w:r>
          </w:p>
        </w:tc>
        <w:tc>
          <w:tcPr>
            <w:tcW w:w="3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580" w:type="dxa"/>
            <w:vAlign w:val="bottom"/>
            <w:tcBorders>
              <w:bottom w:val="single" w:sz="8" w:color="auto"/>
            </w:tcBorders>
          </w:tcPr>
          <w:p>
            <w:pPr>
              <w:jc w:val="right"/>
              <w:ind w:right="278"/>
              <w:spacing w:after="0" w:line="237" w:lineRule="exact"/>
              <w:rPr>
                <w:sz w:val="20"/>
                <w:szCs w:val="20"/>
                <w:color w:val="auto"/>
              </w:rPr>
            </w:pPr>
            <w:r>
              <w:rPr>
                <w:rFonts w:ascii="Arial" w:cs="Arial" w:eastAsia="Arial" w:hAnsi="Arial"/>
                <w:sz w:val="21"/>
                <w:szCs w:val="21"/>
                <w:color w:val="auto"/>
              </w:rPr>
              <w:t>-</w:t>
            </w:r>
          </w:p>
        </w:tc>
        <w:tc>
          <w:tcPr>
            <w:tcW w:w="680" w:type="dxa"/>
            <w:vAlign w:val="bottom"/>
            <w:tcBorders>
              <w:bottom w:val="single" w:sz="8" w:color="auto"/>
            </w:tcBorders>
          </w:tcPr>
          <w:p>
            <w:pPr>
              <w:jc w:val="right"/>
              <w:ind w:right="156"/>
              <w:spacing w:after="0" w:line="237" w:lineRule="exact"/>
              <w:rPr>
                <w:sz w:val="20"/>
                <w:szCs w:val="20"/>
                <w:color w:val="auto"/>
              </w:rPr>
            </w:pPr>
            <w:r>
              <w:rPr>
                <w:rFonts w:ascii="Arial" w:cs="Arial" w:eastAsia="Arial" w:hAnsi="Arial"/>
                <w:sz w:val="21"/>
                <w:szCs w:val="21"/>
                <w:color w:val="auto"/>
              </w:rPr>
              <w:t>$</w:t>
            </w:r>
          </w:p>
        </w:tc>
        <w:tc>
          <w:tcPr>
            <w:tcW w:w="152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97,617</w:t>
            </w:r>
          </w:p>
        </w:tc>
        <w:tc>
          <w:tcPr>
            <w:tcW w:w="500" w:type="dxa"/>
            <w:vAlign w:val="bottom"/>
            <w:tcBorders>
              <w:bottom w:val="single" w:sz="8" w:color="auto"/>
            </w:tcBorders>
          </w:tcPr>
          <w:p>
            <w:pPr>
              <w:jc w:val="right"/>
              <w:ind w:right="156"/>
              <w:spacing w:after="0" w:line="237" w:lineRule="exact"/>
              <w:rPr>
                <w:sz w:val="20"/>
                <w:szCs w:val="20"/>
                <w:color w:val="auto"/>
              </w:rPr>
            </w:pPr>
            <w:r>
              <w:rPr>
                <w:rFonts w:ascii="Arial" w:cs="Arial" w:eastAsia="Arial" w:hAnsi="Arial"/>
                <w:sz w:val="21"/>
                <w:szCs w:val="21"/>
                <w:color w:val="auto"/>
              </w:rPr>
              <w:t>$</w:t>
            </w:r>
          </w:p>
        </w:tc>
        <w:tc>
          <w:tcPr>
            <w:tcW w:w="142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375,513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right"/>
              <w:ind w:right="1298"/>
              <w:spacing w:after="0"/>
              <w:rPr>
                <w:sz w:val="20"/>
                <w:szCs w:val="20"/>
                <w:color w:val="auto"/>
              </w:rPr>
            </w:pPr>
            <w:r>
              <w:rPr>
                <w:rFonts w:ascii="Arial" w:cs="Arial" w:eastAsia="Arial" w:hAnsi="Arial"/>
                <w:sz w:val="16"/>
                <w:szCs w:val="16"/>
                <w:color w:val="auto"/>
                <w:w w:val="89"/>
              </w:rPr>
              <w:t>86</w:t>
            </w: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20" w:type="dxa"/>
            <w:vAlign w:val="bottom"/>
            <w:tcBorders>
              <w:bottom w:val="single" w:sz="8" w:color="010101"/>
            </w:tcBorders>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right="566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changes in fair value of the Company’s Level 3 financial assets as of December 31, 2009:</w:t>
      </w:r>
    </w:p>
    <w:p>
      <w:pPr>
        <w:spacing w:after="0" w:line="242" w:lineRule="exact"/>
        <w:rPr>
          <w:sz w:val="20"/>
          <w:szCs w:val="20"/>
          <w:color w:val="auto"/>
        </w:rPr>
      </w:pPr>
    </w:p>
    <w:tbl>
      <w:tblPr>
        <w:tblLayout w:type="fixed"/>
        <w:tblInd w:w="1960" w:type="dxa"/>
        <w:tblCellMar>
          <w:top w:w="0" w:type="dxa"/>
          <w:left w:w="0" w:type="dxa"/>
          <w:bottom w:w="0" w:type="dxa"/>
          <w:right w:w="0" w:type="dxa"/>
        </w:tblCellMar>
      </w:tblPr>
      <w:tr>
        <w:trPr>
          <w:trHeight w:val="243"/>
        </w:trPr>
        <w:tc>
          <w:tcPr>
            <w:tcW w:w="4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76"/>
              <w:spacing w:after="0"/>
              <w:rPr>
                <w:sz w:val="20"/>
                <w:szCs w:val="20"/>
                <w:color w:val="auto"/>
              </w:rPr>
            </w:pPr>
            <w:r>
              <w:rPr>
                <w:rFonts w:ascii="Arial" w:cs="Arial" w:eastAsia="Arial" w:hAnsi="Arial"/>
                <w:sz w:val="21"/>
                <w:szCs w:val="21"/>
                <w:color w:val="auto"/>
              </w:rPr>
              <w:t>Level 3</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460" w:type="dxa"/>
            <w:vAlign w:val="bottom"/>
            <w:gridSpan w:val="2"/>
          </w:tcPr>
          <w:p>
            <w:pPr>
              <w:ind w:left="120"/>
              <w:spacing w:after="0"/>
              <w:rPr>
                <w:sz w:val="20"/>
                <w:szCs w:val="20"/>
                <w:color w:val="auto"/>
              </w:rPr>
            </w:pPr>
            <w:r>
              <w:rPr>
                <w:rFonts w:ascii="Arial" w:cs="Arial" w:eastAsia="Arial" w:hAnsi="Arial"/>
                <w:sz w:val="21"/>
                <w:szCs w:val="21"/>
                <w:color w:val="auto"/>
              </w:rPr>
              <w:t>Auction Rate</w:t>
            </w:r>
          </w:p>
        </w:tc>
        <w:tc>
          <w:tcPr>
            <w:tcW w:w="0" w:type="dxa"/>
            <w:vAlign w:val="bottom"/>
          </w:tcPr>
          <w:p>
            <w:pPr>
              <w:spacing w:after="0"/>
              <w:rPr>
                <w:sz w:val="1"/>
                <w:szCs w:val="1"/>
                <w:color w:val="auto"/>
              </w:rPr>
            </w:pPr>
          </w:p>
        </w:tc>
      </w:tr>
      <w:tr>
        <w:trPr>
          <w:trHeight w:val="256"/>
        </w:trPr>
        <w:tc>
          <w:tcPr>
            <w:tcW w:w="4620" w:type="dxa"/>
            <w:vAlign w:val="bottom"/>
            <w:vMerge w:val="restart"/>
          </w:tcPr>
          <w:p>
            <w:pPr>
              <w:spacing w:after="0"/>
              <w:rPr>
                <w:sz w:val="20"/>
                <w:szCs w:val="20"/>
                <w:color w:val="auto"/>
              </w:rPr>
            </w:pPr>
            <w:r>
              <w:rPr>
                <w:rFonts w:ascii="Arial" w:cs="Arial" w:eastAsia="Arial" w:hAnsi="Arial"/>
                <w:sz w:val="21"/>
                <w:szCs w:val="21"/>
                <w:color w:val="auto"/>
              </w:rPr>
              <w:t>Balance at December 31, 2008</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6"/>
              <w:spacing w:after="0"/>
              <w:rPr>
                <w:sz w:val="20"/>
                <w:szCs w:val="20"/>
                <w:color w:val="auto"/>
              </w:rPr>
            </w:pPr>
            <w:r>
              <w:rPr>
                <w:rFonts w:ascii="Arial" w:cs="Arial" w:eastAsia="Arial" w:hAnsi="Arial"/>
                <w:sz w:val="21"/>
                <w:szCs w:val="21"/>
                <w:color w:val="auto"/>
                <w:w w:val="88"/>
              </w:rPr>
              <w:t>Securities</w:t>
            </w:r>
          </w:p>
        </w:tc>
        <w:tc>
          <w:tcPr>
            <w:tcW w:w="0" w:type="dxa"/>
            <w:vAlign w:val="bottom"/>
          </w:tcPr>
          <w:p>
            <w:pPr>
              <w:spacing w:after="0"/>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240" w:type="dxa"/>
            <w:vAlign w:val="bottom"/>
          </w:tcPr>
          <w:p>
            <w:pPr>
              <w:ind w:left="140"/>
              <w:spacing w:after="0" w:line="223" w:lineRule="exact"/>
              <w:rPr>
                <w:sz w:val="20"/>
                <w:szCs w:val="20"/>
                <w:color w:val="auto"/>
              </w:rPr>
            </w:pPr>
            <w:r>
              <w:rPr>
                <w:rFonts w:ascii="Arial" w:cs="Arial" w:eastAsia="Arial" w:hAnsi="Arial"/>
                <w:sz w:val="20"/>
                <w:szCs w:val="20"/>
                <w:color w:val="auto"/>
                <w:w w:val="71"/>
              </w:rPr>
              <w:t>$</w:t>
            </w:r>
          </w:p>
        </w:tc>
        <w:tc>
          <w:tcPr>
            <w:tcW w:w="1220" w:type="dxa"/>
            <w:vAlign w:val="bottom"/>
          </w:tcPr>
          <w:p>
            <w:pPr>
              <w:jc w:val="right"/>
              <w:ind w:right="16"/>
              <w:spacing w:after="0" w:line="223" w:lineRule="exact"/>
              <w:rPr>
                <w:sz w:val="20"/>
                <w:szCs w:val="20"/>
                <w:color w:val="auto"/>
              </w:rPr>
            </w:pPr>
            <w:r>
              <w:rPr>
                <w:rFonts w:ascii="Arial" w:cs="Arial" w:eastAsia="Arial" w:hAnsi="Arial"/>
                <w:sz w:val="21"/>
                <w:szCs w:val="21"/>
                <w:color w:val="auto"/>
              </w:rPr>
              <w:t>97,617</w:t>
            </w: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21"/>
                <w:szCs w:val="21"/>
                <w:color w:val="auto"/>
              </w:rPr>
              <w:t>Transfers to Level 3</w:t>
            </w:r>
          </w:p>
        </w:tc>
        <w:tc>
          <w:tcPr>
            <w:tcW w:w="2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21"/>
                <w:szCs w:val="21"/>
                <w:color w:val="auto"/>
              </w:rPr>
              <w:t>Recognized loss included in income</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1"/>
                <w:szCs w:val="21"/>
                <w:color w:val="auto"/>
              </w:rPr>
              <w:t>(3,887)</w:t>
            </w: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21"/>
                <w:szCs w:val="21"/>
                <w:color w:val="auto"/>
                <w:w w:val="97"/>
              </w:rPr>
              <w:t>Unrealized gain included in other comprehensive</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360"/>
              <w:spacing w:after="0"/>
              <w:rPr>
                <w:sz w:val="20"/>
                <w:szCs w:val="20"/>
                <w:color w:val="auto"/>
              </w:rPr>
            </w:pPr>
            <w:r>
              <w:rPr>
                <w:rFonts w:ascii="Arial" w:cs="Arial" w:eastAsia="Arial" w:hAnsi="Arial"/>
                <w:sz w:val="21"/>
                <w:szCs w:val="21"/>
                <w:color w:val="auto"/>
              </w:rPr>
              <w:t>loss</w:t>
            </w:r>
          </w:p>
        </w:tc>
        <w:tc>
          <w:tcPr>
            <w:tcW w:w="2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21"/>
                <w:szCs w:val="21"/>
                <w:color w:val="auto"/>
              </w:rPr>
              <w:t>6,695</w:t>
            </w:r>
          </w:p>
        </w:tc>
        <w:tc>
          <w:tcPr>
            <w:tcW w:w="0" w:type="dxa"/>
            <w:vAlign w:val="bottom"/>
          </w:tcPr>
          <w:p>
            <w:pPr>
              <w:spacing w:after="0"/>
              <w:rPr>
                <w:sz w:val="1"/>
                <w:szCs w:val="1"/>
                <w:color w:val="auto"/>
              </w:rPr>
            </w:pPr>
          </w:p>
        </w:tc>
      </w:tr>
      <w:tr>
        <w:trPr>
          <w:trHeight w:val="256"/>
        </w:trPr>
        <w:tc>
          <w:tcPr>
            <w:tcW w:w="4620" w:type="dxa"/>
            <w:vAlign w:val="bottom"/>
          </w:tcPr>
          <w:p>
            <w:pPr>
              <w:ind w:left="180"/>
              <w:spacing w:after="0"/>
              <w:rPr>
                <w:sz w:val="20"/>
                <w:szCs w:val="20"/>
                <w:color w:val="auto"/>
              </w:rPr>
            </w:pPr>
            <w:r>
              <w:rPr>
                <w:rFonts w:ascii="Arial" w:cs="Arial" w:eastAsia="Arial" w:hAnsi="Arial"/>
                <w:sz w:val="21"/>
                <w:szCs w:val="21"/>
                <w:color w:val="auto"/>
              </w:rPr>
              <w:t>Net settlements</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(16,100)</w:t>
            </w:r>
          </w:p>
        </w:tc>
        <w:tc>
          <w:tcPr>
            <w:tcW w:w="0" w:type="dxa"/>
            <w:vAlign w:val="bottom"/>
          </w:tcPr>
          <w:p>
            <w:pPr>
              <w:spacing w:after="0"/>
              <w:rPr>
                <w:sz w:val="1"/>
                <w:szCs w:val="1"/>
                <w:color w:val="auto"/>
              </w:rPr>
            </w:pPr>
          </w:p>
        </w:tc>
      </w:tr>
      <w:tr>
        <w:trPr>
          <w:trHeight w:val="237"/>
        </w:trPr>
        <w:tc>
          <w:tcPr>
            <w:tcW w:w="4620" w:type="dxa"/>
            <w:vAlign w:val="bottom"/>
          </w:tcPr>
          <w:p>
            <w:pPr>
              <w:spacing w:after="0" w:line="237" w:lineRule="exact"/>
              <w:rPr>
                <w:sz w:val="20"/>
                <w:szCs w:val="20"/>
                <w:color w:val="auto"/>
              </w:rPr>
            </w:pPr>
            <w:r>
              <w:rPr>
                <w:rFonts w:ascii="Arial" w:cs="Arial" w:eastAsia="Arial" w:hAnsi="Arial"/>
                <w:sz w:val="21"/>
                <w:szCs w:val="21"/>
                <w:color w:val="auto"/>
              </w:rPr>
              <w:t>Balance at December 31, 2009</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84,325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The Company’s Level 3 assets are comprised of municipal or educational related or other public body notes with an auction reset feature (“auction rate securities”). The majority of these notes carry an investment grade or better credit rating and are additionally backed by various federal agencies and/or monoline insurance companies. The applicable interest rate is reset at pre-determined intervals, usually every 7</w:t>
      </w:r>
    </w:p>
    <w:p>
      <w:pPr>
        <w:sectPr>
          <w:pgSz w:w="11900" w:h="16838" w:orient="portrait"/>
          <w:cols w:equalWidth="0" w:num="1">
            <w:col w:w="11460"/>
          </w:cols>
          <w:pgMar w:left="240" w:top="333" w:right="199" w:bottom="0" w:gutter="0" w:footer="0" w:header="0"/>
        </w:sectPr>
      </w:pPr>
    </w:p>
    <w:bookmarkStart w:id="55" w:name="page56"/>
    <w:bookmarkEnd w:id="55"/>
    <w:p>
      <w:pPr>
        <w:spacing w:after="0" w:line="5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to 35 days. Liquidity for these auction rate securities was typically provided by an auction process which allowed holders to sell their notes at periodic auctions. During the years ended December 31, 2009 and 2008, the auctions for these auction rate securities failed. The auction failures have been attributable to inadequate buyers and/or buying demand and/or the lack of support from financial advisors and sponsors. In the event that there is a failed auction, the indenture governing the security in some cases requires the issuer to pay interest at a default rate that may be above market rates for similar instruments. The securities for which auctions have failed will continue to accrue and/or pay interest at their pre-determined rates and be auctioned every 7 to 35 days until their respective auction succeeds, the issuer calls the securities, they mature or the Company is able to sell the securities to third parties. As a result, the Company’s ability to liquidate and fully recover the carrying value of its auction rate securities in the near term may be limited. Consequently, these securities, except those that were redeemed at par after December 31, 2009 and 2008, are classified as long-term investments in the accompanying consolidated balance sheets.</w:t>
      </w:r>
    </w:p>
    <w:p>
      <w:pPr>
        <w:spacing w:after="0" w:line="1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At December 31, 2009, the Company held auction rate securities with a face value of $96.4 million (amortized cost basis of $92.0 million). A Level 3 valuation was performed on the Company’s auction rate securities as of December 31, 2009, which indicated an impairment of $12.1 million, a decrease of $2.8 million from $14.9 million as of December 31, 2008, resulting in a fair value of $84.3 million, which is included in short- and long-term investments. This valuation utilized a mark-to-model approach which included estimates for interest rates, timing and amount of cash flows, credit and liquidity premiums, and expected holding periods for the auction rate securities. These assumptions are typically volatile and subject to change as the underlying data sources and market conditions evolve.</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On April 1, 2009, the Company adopted ASC 320-10-65 which indicates that an other-than-temporary impairment must be recognized through earnings if an investor has the intent to sell the debt security or if it is more likely than not that the investor will be required to sell the debt security before recovery of its amortized cost basis. However, even if an investor does not expect to sell a debt security, it must evaluate expected cash flows to be received and determine if a Credit Loss has occurred. In the event of a Credit Loss and absent the intent or requirement to sell a debt security before recovery of its amortized cost, only the amount associated with the Credit Loss is recognized as a loss in the income statement. The amount of loss relating to other factors is recorded in accumulated other comprehensive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loss. ASC 320-10-65 also requires additional disclosures regarding the calculation of the Credit Loss and the factors considered in reaching a conclusion that an investment is not other-than-temporarily impaired.</w:t>
      </w:r>
    </w:p>
    <w:p>
      <w:pPr>
        <w:spacing w:after="0" w:line="1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Company determined that of the $12.1 million impairment of its auction rate securities at December 31, 2009, $7.7 million was temporary and $4.4 million was other-than-temporary. The other-than-temporary impairment was deemed Credit Loss related. The Company recorded $3.9 million and $0.5 million of other-than-temporary impairment that was deemed Credit Loss related through earnings during the years ended December 31, 2009 and 2008, respectively. At December 31, 2009, $7.7 million of temporary impairment has been recorded, less a tax benefit of $3.1 million, as a component of accumulated other comprehensive loss. The factors evaluated to differentiate between temporary impairment and other-than-temporary impairment included the projected future cash flows, credit ratings actions, and assessment of the credit quality of the underlying collateral, as well as the other factors included in the valuation model for debt securities described above.</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Based on the Company’s ability to access cash and cash equivalents and other short-term investments and based on the Company’s expected operating cash flows, the Company does not anticipate that the current lack of liquidity of these investments will have a material effect on its liquidity or working capital. If uncertainties in the credit and capital markets continue or there are ratings downgrades on the auction rate securities held by the Company, the Company may be required to recognize additional impairments on these investments.</w:t>
      </w:r>
    </w:p>
    <w:p>
      <w:pPr>
        <w:spacing w:after="0" w:line="175"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20"/>
          <w:szCs w:val="20"/>
          <w:color w:val="auto"/>
        </w:rPr>
        <w:t>The following table summarizes the Company’s investments at December 31, 2009 and 2008:</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jc w:val="center"/>
              <w:ind w:left="155"/>
              <w:spacing w:after="0"/>
              <w:rPr>
                <w:sz w:val="20"/>
                <w:szCs w:val="20"/>
                <w:color w:val="auto"/>
              </w:rPr>
            </w:pPr>
            <w:r>
              <w:rPr>
                <w:rFonts w:ascii="Arial" w:cs="Arial" w:eastAsia="Arial" w:hAnsi="Arial"/>
                <w:sz w:val="17"/>
                <w:szCs w:val="17"/>
                <w:color w:val="auto"/>
                <w:w w:val="90"/>
              </w:rPr>
              <w:t>Continuous</w:t>
            </w:r>
          </w:p>
        </w:tc>
        <w:tc>
          <w:tcPr>
            <w:tcW w:w="28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7"/>
                <w:szCs w:val="17"/>
                <w:color w:val="auto"/>
                <w:w w:val="90"/>
              </w:rPr>
              <w:t>Continuous</w:t>
            </w:r>
          </w:p>
        </w:tc>
      </w:tr>
      <w:tr>
        <w:trPr>
          <w:trHeight w:val="203"/>
        </w:trPr>
        <w:tc>
          <w:tcPr>
            <w:tcW w:w="2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jc w:val="center"/>
              <w:ind w:left="195"/>
              <w:spacing w:after="0"/>
              <w:rPr>
                <w:sz w:val="20"/>
                <w:szCs w:val="20"/>
                <w:color w:val="auto"/>
              </w:rPr>
            </w:pPr>
            <w:r>
              <w:rPr>
                <w:rFonts w:ascii="Arial" w:cs="Arial" w:eastAsia="Arial" w:hAnsi="Arial"/>
                <w:sz w:val="17"/>
                <w:szCs w:val="17"/>
                <w:color w:val="auto"/>
                <w:w w:val="88"/>
              </w:rPr>
              <w:t>Gross</w:t>
            </w:r>
          </w:p>
        </w:tc>
        <w:tc>
          <w:tcPr>
            <w:tcW w:w="340" w:type="dxa"/>
            <w:vAlign w:val="bottom"/>
          </w:tcPr>
          <w:p>
            <w:pPr>
              <w:spacing w:after="0"/>
              <w:rPr>
                <w:sz w:val="17"/>
                <w:szCs w:val="17"/>
                <w:color w:val="auto"/>
              </w:rPr>
            </w:pPr>
          </w:p>
        </w:tc>
        <w:tc>
          <w:tcPr>
            <w:tcW w:w="1040" w:type="dxa"/>
            <w:vAlign w:val="bottom"/>
          </w:tcPr>
          <w:p>
            <w:pPr>
              <w:jc w:val="center"/>
              <w:ind w:left="195"/>
              <w:spacing w:after="0"/>
              <w:rPr>
                <w:sz w:val="20"/>
                <w:szCs w:val="20"/>
                <w:color w:val="auto"/>
              </w:rPr>
            </w:pPr>
            <w:r>
              <w:rPr>
                <w:rFonts w:ascii="Arial" w:cs="Arial" w:eastAsia="Arial" w:hAnsi="Arial"/>
                <w:sz w:val="17"/>
                <w:szCs w:val="17"/>
                <w:color w:val="auto"/>
                <w:w w:val="88"/>
              </w:rPr>
              <w:t>Gross</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jc w:val="center"/>
              <w:ind w:left="155"/>
              <w:spacing w:after="0"/>
              <w:rPr>
                <w:sz w:val="20"/>
                <w:szCs w:val="20"/>
                <w:color w:val="auto"/>
              </w:rPr>
            </w:pPr>
            <w:r>
              <w:rPr>
                <w:rFonts w:ascii="Arial" w:cs="Arial" w:eastAsia="Arial" w:hAnsi="Arial"/>
                <w:sz w:val="17"/>
                <w:szCs w:val="17"/>
                <w:color w:val="auto"/>
                <w:w w:val="91"/>
              </w:rPr>
              <w:t>Unrealized</w:t>
            </w:r>
          </w:p>
        </w:tc>
        <w:tc>
          <w:tcPr>
            <w:tcW w:w="280" w:type="dxa"/>
            <w:vAlign w:val="bottom"/>
          </w:tcPr>
          <w:p>
            <w:pPr>
              <w:spacing w:after="0"/>
              <w:rPr>
                <w:sz w:val="17"/>
                <w:szCs w:val="17"/>
                <w:color w:val="auto"/>
              </w:rPr>
            </w:pPr>
          </w:p>
        </w:tc>
        <w:tc>
          <w:tcPr>
            <w:tcW w:w="1060" w:type="dxa"/>
            <w:vAlign w:val="bottom"/>
          </w:tcPr>
          <w:p>
            <w:pPr>
              <w:jc w:val="center"/>
              <w:ind w:left="235"/>
              <w:spacing w:after="0"/>
              <w:rPr>
                <w:sz w:val="20"/>
                <w:szCs w:val="20"/>
                <w:color w:val="auto"/>
              </w:rPr>
            </w:pPr>
            <w:r>
              <w:rPr>
                <w:rFonts w:ascii="Arial" w:cs="Arial" w:eastAsia="Arial" w:hAnsi="Arial"/>
                <w:sz w:val="17"/>
                <w:szCs w:val="17"/>
                <w:color w:val="auto"/>
                <w:w w:val="91"/>
              </w:rPr>
              <w:t>Unrealized</w:t>
            </w:r>
          </w:p>
        </w:tc>
        <w:tc>
          <w:tcPr>
            <w:tcW w:w="3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jc w:val="center"/>
              <w:ind w:left="195"/>
              <w:spacing w:after="0"/>
              <w:rPr>
                <w:sz w:val="20"/>
                <w:szCs w:val="20"/>
                <w:color w:val="auto"/>
              </w:rPr>
            </w:pPr>
            <w:r>
              <w:rPr>
                <w:rFonts w:ascii="Arial" w:cs="Arial" w:eastAsia="Arial" w:hAnsi="Arial"/>
                <w:sz w:val="17"/>
                <w:szCs w:val="17"/>
                <w:color w:val="auto"/>
                <w:w w:val="93"/>
              </w:rPr>
              <w:t>Unrealized</w:t>
            </w:r>
          </w:p>
        </w:tc>
        <w:tc>
          <w:tcPr>
            <w:tcW w:w="340" w:type="dxa"/>
            <w:vAlign w:val="bottom"/>
          </w:tcPr>
          <w:p>
            <w:pPr>
              <w:spacing w:after="0"/>
              <w:rPr>
                <w:sz w:val="17"/>
                <w:szCs w:val="17"/>
                <w:color w:val="auto"/>
              </w:rPr>
            </w:pPr>
          </w:p>
        </w:tc>
        <w:tc>
          <w:tcPr>
            <w:tcW w:w="1040" w:type="dxa"/>
            <w:vAlign w:val="bottom"/>
          </w:tcPr>
          <w:p>
            <w:pPr>
              <w:jc w:val="center"/>
              <w:ind w:left="175"/>
              <w:spacing w:after="0"/>
              <w:rPr>
                <w:sz w:val="20"/>
                <w:szCs w:val="20"/>
                <w:color w:val="auto"/>
              </w:rPr>
            </w:pPr>
            <w:r>
              <w:rPr>
                <w:rFonts w:ascii="Arial" w:cs="Arial" w:eastAsia="Arial" w:hAnsi="Arial"/>
                <w:sz w:val="17"/>
                <w:szCs w:val="17"/>
                <w:color w:val="auto"/>
                <w:w w:val="91"/>
              </w:rPr>
              <w:t>Unrealized</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Arial" w:cs="Arial" w:eastAsia="Arial" w:hAnsi="Arial"/>
                <w:sz w:val="17"/>
                <w:szCs w:val="17"/>
                <w:color w:val="auto"/>
                <w:w w:val="90"/>
              </w:rPr>
              <w:t>Loss Position</w:t>
            </w:r>
          </w:p>
        </w:tc>
        <w:tc>
          <w:tcPr>
            <w:tcW w:w="1360" w:type="dxa"/>
            <w:vAlign w:val="bottom"/>
            <w:gridSpan w:val="2"/>
          </w:tcPr>
          <w:p>
            <w:pPr>
              <w:jc w:val="center"/>
              <w:spacing w:after="0"/>
              <w:rPr>
                <w:sz w:val="20"/>
                <w:szCs w:val="20"/>
                <w:color w:val="auto"/>
              </w:rPr>
            </w:pPr>
            <w:r>
              <w:rPr>
                <w:rFonts w:ascii="Arial" w:cs="Arial" w:eastAsia="Arial" w:hAnsi="Arial"/>
                <w:sz w:val="17"/>
                <w:szCs w:val="17"/>
                <w:color w:val="auto"/>
                <w:w w:val="92"/>
              </w:rPr>
              <w:t>Loss Position</w:t>
            </w:r>
          </w:p>
        </w:tc>
      </w:tr>
      <w:tr>
        <w:trPr>
          <w:trHeight w:val="203"/>
        </w:trPr>
        <w:tc>
          <w:tcPr>
            <w:tcW w:w="2640" w:type="dxa"/>
            <w:vAlign w:val="bottom"/>
          </w:tcPr>
          <w:p>
            <w:pPr>
              <w:spacing w:after="0"/>
              <w:rPr>
                <w:sz w:val="17"/>
                <w:szCs w:val="17"/>
                <w:color w:val="auto"/>
              </w:rPr>
            </w:pPr>
          </w:p>
        </w:tc>
        <w:tc>
          <w:tcPr>
            <w:tcW w:w="2000" w:type="dxa"/>
            <w:vAlign w:val="bottom"/>
            <w:gridSpan w:val="2"/>
          </w:tcPr>
          <w:p>
            <w:pPr>
              <w:ind w:left="900"/>
              <w:spacing w:after="0"/>
              <w:rPr>
                <w:sz w:val="20"/>
                <w:szCs w:val="20"/>
                <w:color w:val="auto"/>
              </w:rPr>
            </w:pPr>
            <w:r>
              <w:rPr>
                <w:rFonts w:ascii="Arial" w:cs="Arial" w:eastAsia="Arial" w:hAnsi="Arial"/>
                <w:sz w:val="17"/>
                <w:szCs w:val="17"/>
                <w:color w:val="auto"/>
              </w:rPr>
              <w:t>Amortized</w:t>
            </w:r>
          </w:p>
        </w:tc>
        <w:tc>
          <w:tcPr>
            <w:tcW w:w="1040" w:type="dxa"/>
            <w:vAlign w:val="bottom"/>
          </w:tcPr>
          <w:p>
            <w:pPr>
              <w:jc w:val="center"/>
              <w:ind w:left="195"/>
              <w:spacing w:after="0"/>
              <w:rPr>
                <w:sz w:val="20"/>
                <w:szCs w:val="20"/>
                <w:color w:val="auto"/>
              </w:rPr>
            </w:pPr>
            <w:r>
              <w:rPr>
                <w:rFonts w:ascii="Arial" w:cs="Arial" w:eastAsia="Arial" w:hAnsi="Arial"/>
                <w:sz w:val="17"/>
                <w:szCs w:val="17"/>
                <w:color w:val="auto"/>
                <w:w w:val="97"/>
              </w:rPr>
              <w:t>Holding</w:t>
            </w:r>
          </w:p>
        </w:tc>
        <w:tc>
          <w:tcPr>
            <w:tcW w:w="340" w:type="dxa"/>
            <w:vAlign w:val="bottom"/>
          </w:tcPr>
          <w:p>
            <w:pPr>
              <w:spacing w:after="0"/>
              <w:rPr>
                <w:sz w:val="17"/>
                <w:szCs w:val="17"/>
                <w:color w:val="auto"/>
              </w:rPr>
            </w:pPr>
          </w:p>
        </w:tc>
        <w:tc>
          <w:tcPr>
            <w:tcW w:w="1040" w:type="dxa"/>
            <w:vAlign w:val="bottom"/>
          </w:tcPr>
          <w:p>
            <w:pPr>
              <w:jc w:val="center"/>
              <w:ind w:left="195"/>
              <w:spacing w:after="0"/>
              <w:rPr>
                <w:sz w:val="20"/>
                <w:szCs w:val="20"/>
                <w:color w:val="auto"/>
              </w:rPr>
            </w:pPr>
            <w:r>
              <w:rPr>
                <w:rFonts w:ascii="Arial" w:cs="Arial" w:eastAsia="Arial" w:hAnsi="Arial"/>
                <w:sz w:val="17"/>
                <w:szCs w:val="17"/>
                <w:color w:val="auto"/>
                <w:w w:val="97"/>
              </w:rPr>
              <w:t>Holding</w:t>
            </w:r>
          </w:p>
        </w:tc>
        <w:tc>
          <w:tcPr>
            <w:tcW w:w="340" w:type="dxa"/>
            <w:vAlign w:val="bottom"/>
          </w:tcPr>
          <w:p>
            <w:pPr>
              <w:spacing w:after="0"/>
              <w:rPr>
                <w:sz w:val="17"/>
                <w:szCs w:val="17"/>
                <w:color w:val="auto"/>
              </w:rPr>
            </w:pPr>
          </w:p>
        </w:tc>
        <w:tc>
          <w:tcPr>
            <w:tcW w:w="1280" w:type="dxa"/>
            <w:vAlign w:val="bottom"/>
          </w:tcPr>
          <w:p>
            <w:pPr>
              <w:jc w:val="right"/>
              <w:ind w:right="415"/>
              <w:spacing w:after="0"/>
              <w:rPr>
                <w:sz w:val="20"/>
                <w:szCs w:val="20"/>
                <w:color w:val="auto"/>
              </w:rPr>
            </w:pPr>
            <w:r>
              <w:rPr>
                <w:rFonts w:ascii="Arial" w:cs="Arial" w:eastAsia="Arial" w:hAnsi="Arial"/>
                <w:sz w:val="17"/>
                <w:szCs w:val="17"/>
                <w:color w:val="auto"/>
              </w:rPr>
              <w:t>Fair</w:t>
            </w:r>
          </w:p>
        </w:tc>
        <w:tc>
          <w:tcPr>
            <w:tcW w:w="1100" w:type="dxa"/>
            <w:vAlign w:val="bottom"/>
          </w:tcPr>
          <w:p>
            <w:pPr>
              <w:jc w:val="center"/>
              <w:ind w:left="175"/>
              <w:spacing w:after="0"/>
              <w:rPr>
                <w:sz w:val="20"/>
                <w:szCs w:val="20"/>
                <w:color w:val="auto"/>
              </w:rPr>
            </w:pPr>
            <w:r>
              <w:rPr>
                <w:rFonts w:ascii="Arial" w:cs="Arial" w:eastAsia="Arial" w:hAnsi="Arial"/>
                <w:sz w:val="17"/>
                <w:szCs w:val="17"/>
                <w:color w:val="auto"/>
                <w:w w:val="87"/>
              </w:rPr>
              <w:t>less than 12</w:t>
            </w:r>
          </w:p>
        </w:tc>
        <w:tc>
          <w:tcPr>
            <w:tcW w:w="28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7"/>
                <w:szCs w:val="17"/>
                <w:color w:val="auto"/>
                <w:w w:val="89"/>
              </w:rPr>
              <w:t>greater than</w:t>
            </w:r>
          </w:p>
        </w:tc>
      </w:tr>
      <w:tr>
        <w:trPr>
          <w:trHeight w:val="227"/>
        </w:trPr>
        <w:tc>
          <w:tcPr>
            <w:tcW w:w="2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December 31, 2009</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w w:val="97"/>
              </w:rPr>
              <w:t>Cost</w:t>
            </w:r>
          </w:p>
        </w:tc>
        <w:tc>
          <w:tcPr>
            <w:tcW w:w="1040" w:type="dxa"/>
            <w:vAlign w:val="bottom"/>
            <w:tcBorders>
              <w:bottom w:val="single" w:sz="8" w:color="auto"/>
            </w:tcBorders>
          </w:tcPr>
          <w:p>
            <w:pPr>
              <w:jc w:val="center"/>
              <w:ind w:left="195"/>
              <w:spacing w:after="0"/>
              <w:rPr>
                <w:sz w:val="20"/>
                <w:szCs w:val="20"/>
                <w:color w:val="auto"/>
              </w:rPr>
            </w:pPr>
            <w:r>
              <w:rPr>
                <w:rFonts w:ascii="Arial" w:cs="Arial" w:eastAsia="Arial" w:hAnsi="Arial"/>
                <w:sz w:val="17"/>
                <w:szCs w:val="17"/>
                <w:color w:val="auto"/>
                <w:w w:val="89"/>
              </w:rPr>
              <w:t>Gains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175"/>
              <w:spacing w:after="0"/>
              <w:rPr>
                <w:sz w:val="20"/>
                <w:szCs w:val="20"/>
                <w:color w:val="auto"/>
              </w:rPr>
            </w:pPr>
            <w:r>
              <w:rPr>
                <w:rFonts w:ascii="Arial" w:cs="Arial" w:eastAsia="Arial" w:hAnsi="Arial"/>
                <w:sz w:val="17"/>
                <w:szCs w:val="17"/>
                <w:color w:val="auto"/>
                <w:w w:val="85"/>
              </w:rPr>
              <w:t>Losses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Value</w:t>
            </w:r>
          </w:p>
        </w:tc>
        <w:tc>
          <w:tcPr>
            <w:tcW w:w="1100" w:type="dxa"/>
            <w:vAlign w:val="bottom"/>
            <w:tcBorders>
              <w:bottom w:val="single" w:sz="8" w:color="auto"/>
            </w:tcBorders>
          </w:tcPr>
          <w:p>
            <w:pPr>
              <w:jc w:val="center"/>
              <w:ind w:left="175"/>
              <w:spacing w:after="0"/>
              <w:rPr>
                <w:sz w:val="20"/>
                <w:szCs w:val="20"/>
                <w:color w:val="auto"/>
              </w:rPr>
            </w:pPr>
            <w:r>
              <w:rPr>
                <w:rFonts w:ascii="Arial" w:cs="Arial" w:eastAsia="Arial" w:hAnsi="Arial"/>
                <w:sz w:val="17"/>
                <w:szCs w:val="17"/>
                <w:color w:val="auto"/>
                <w:w w:val="93"/>
              </w:rPr>
              <w:t>Months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235"/>
              <w:spacing w:after="0"/>
              <w:rPr>
                <w:sz w:val="20"/>
                <w:szCs w:val="20"/>
                <w:color w:val="auto"/>
              </w:rPr>
            </w:pPr>
            <w:r>
              <w:rPr>
                <w:rFonts w:ascii="Arial" w:cs="Arial" w:eastAsia="Arial" w:hAnsi="Arial"/>
                <w:sz w:val="17"/>
                <w:szCs w:val="17"/>
                <w:color w:val="auto"/>
                <w:w w:val="93"/>
              </w:rPr>
              <w:t>12 Months</w:t>
            </w:r>
          </w:p>
        </w:tc>
        <w:tc>
          <w:tcPr>
            <w:tcW w:w="300" w:type="dxa"/>
            <w:vAlign w:val="bottom"/>
            <w:tcBorders>
              <w:bottom w:val="single" w:sz="8" w:color="auto"/>
            </w:tcBorders>
          </w:tcPr>
          <w:p>
            <w:pPr>
              <w:spacing w:after="0"/>
              <w:rPr>
                <w:sz w:val="19"/>
                <w:szCs w:val="19"/>
                <w:color w:val="auto"/>
              </w:rPr>
            </w:pPr>
          </w:p>
        </w:tc>
      </w:tr>
      <w:tr>
        <w:trPr>
          <w:trHeight w:val="185"/>
        </w:trPr>
        <w:tc>
          <w:tcPr>
            <w:tcW w:w="2640" w:type="dxa"/>
            <w:vAlign w:val="bottom"/>
          </w:tcPr>
          <w:p>
            <w:pPr>
              <w:spacing w:after="0" w:line="185" w:lineRule="exact"/>
              <w:rPr>
                <w:sz w:val="20"/>
                <w:szCs w:val="20"/>
                <w:color w:val="auto"/>
              </w:rPr>
            </w:pPr>
            <w:r>
              <w:rPr>
                <w:rFonts w:ascii="Arial" w:cs="Arial" w:eastAsia="Arial" w:hAnsi="Arial"/>
                <w:sz w:val="17"/>
                <w:szCs w:val="17"/>
                <w:b w:val="1"/>
                <w:bCs w:val="1"/>
                <w:color w:val="auto"/>
              </w:rPr>
              <w:t>Held to Maturity</w:t>
            </w: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3"/>
        </w:trPr>
        <w:tc>
          <w:tcPr>
            <w:tcW w:w="2640" w:type="dxa"/>
            <w:vAlign w:val="bottom"/>
          </w:tcPr>
          <w:p>
            <w:pPr>
              <w:spacing w:after="0"/>
              <w:rPr>
                <w:sz w:val="20"/>
                <w:szCs w:val="20"/>
                <w:color w:val="auto"/>
              </w:rPr>
            </w:pPr>
            <w:r>
              <w:rPr>
                <w:rFonts w:ascii="Arial" w:cs="Arial" w:eastAsia="Arial" w:hAnsi="Arial"/>
                <w:sz w:val="17"/>
                <w:szCs w:val="17"/>
                <w:color w:val="auto"/>
              </w:rPr>
              <w:t>Short-term:</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7"/>
                <w:szCs w:val="17"/>
                <w:color w:val="auto"/>
              </w:rPr>
              <w:t>U.S. Treasuries</w:t>
            </w:r>
          </w:p>
        </w:tc>
        <w:tc>
          <w:tcPr>
            <w:tcW w:w="1060" w:type="dxa"/>
            <w:vAlign w:val="bottom"/>
          </w:tcPr>
          <w:p>
            <w:pPr>
              <w:ind w:left="90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95"/>
              <w:spacing w:after="0"/>
              <w:rPr>
                <w:sz w:val="20"/>
                <w:szCs w:val="20"/>
                <w:color w:val="auto"/>
              </w:rPr>
            </w:pPr>
            <w:r>
              <w:rPr>
                <w:rFonts w:ascii="Arial" w:cs="Arial" w:eastAsia="Arial" w:hAnsi="Arial"/>
                <w:sz w:val="17"/>
                <w:szCs w:val="17"/>
                <w:color w:val="auto"/>
              </w:rPr>
              <w:t>14,998</w:t>
            </w:r>
          </w:p>
        </w:tc>
        <w:tc>
          <w:tcPr>
            <w:tcW w:w="1040" w:type="dxa"/>
            <w:vAlign w:val="bottom"/>
          </w:tcPr>
          <w:p>
            <w:pPr>
              <w:jc w:val="right"/>
              <w:ind w:right="575"/>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040" w:type="dxa"/>
            <w:vAlign w:val="bottom"/>
          </w:tcPr>
          <w:p>
            <w:pPr>
              <w:jc w:val="right"/>
              <w:ind w:right="575"/>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   14,998</w:t>
            </w:r>
          </w:p>
        </w:tc>
        <w:tc>
          <w:tcPr>
            <w:tcW w:w="1100" w:type="dxa"/>
            <w:vAlign w:val="bottom"/>
          </w:tcPr>
          <w:p>
            <w:pPr>
              <w:jc w:val="right"/>
              <w:ind w:right="555"/>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060" w:type="dxa"/>
            <w:vAlign w:val="bottom"/>
          </w:tcPr>
          <w:p>
            <w:pPr>
              <w:jc w:val="right"/>
              <w:ind w:right="575"/>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r>
      <w:tr>
        <w:trPr>
          <w:trHeight w:val="391"/>
        </w:trPr>
        <w:tc>
          <w:tcPr>
            <w:tcW w:w="2640" w:type="dxa"/>
            <w:vAlign w:val="bottom"/>
          </w:tcPr>
          <w:p>
            <w:pPr>
              <w:spacing w:after="0"/>
              <w:rPr>
                <w:sz w:val="20"/>
                <w:szCs w:val="20"/>
                <w:color w:val="auto"/>
              </w:rPr>
            </w:pPr>
            <w:r>
              <w:rPr>
                <w:rFonts w:ascii="Arial" w:cs="Arial" w:eastAsia="Arial" w:hAnsi="Arial"/>
                <w:sz w:val="17"/>
                <w:szCs w:val="17"/>
                <w:b w:val="1"/>
                <w:bCs w:val="1"/>
                <w:color w:val="auto"/>
              </w:rPr>
              <w:t>Available-for-sale</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3"/>
        </w:trPr>
        <w:tc>
          <w:tcPr>
            <w:tcW w:w="2640" w:type="dxa"/>
            <w:vAlign w:val="bottom"/>
          </w:tcPr>
          <w:p>
            <w:pPr>
              <w:spacing w:after="0"/>
              <w:rPr>
                <w:sz w:val="20"/>
                <w:szCs w:val="20"/>
                <w:color w:val="auto"/>
              </w:rPr>
            </w:pPr>
            <w:r>
              <w:rPr>
                <w:rFonts w:ascii="Arial" w:cs="Arial" w:eastAsia="Arial" w:hAnsi="Arial"/>
                <w:sz w:val="17"/>
                <w:szCs w:val="17"/>
                <w:color w:val="auto"/>
              </w:rPr>
              <w:t>Short-term:</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2640" w:type="dxa"/>
            <w:vAlign w:val="bottom"/>
          </w:tcPr>
          <w:p>
            <w:pPr>
              <w:ind w:left="180"/>
              <w:spacing w:after="0"/>
              <w:rPr>
                <w:sz w:val="20"/>
                <w:szCs w:val="20"/>
                <w:color w:val="auto"/>
              </w:rPr>
            </w:pPr>
            <w:r>
              <w:rPr>
                <w:rFonts w:ascii="Arial" w:cs="Arial" w:eastAsia="Arial" w:hAnsi="Arial"/>
                <w:sz w:val="17"/>
                <w:szCs w:val="17"/>
                <w:color w:val="auto"/>
              </w:rPr>
              <w:t>Auction rate securities</w:t>
            </w:r>
          </w:p>
        </w:tc>
        <w:tc>
          <w:tcPr>
            <w:tcW w:w="1060" w:type="dxa"/>
            <w:vAlign w:val="bottom"/>
          </w:tcPr>
          <w:p>
            <w:pPr>
              <w:spacing w:after="0"/>
              <w:rPr>
                <w:sz w:val="17"/>
                <w:szCs w:val="17"/>
                <w:color w:val="auto"/>
              </w:rPr>
            </w:pPr>
          </w:p>
        </w:tc>
        <w:tc>
          <w:tcPr>
            <w:tcW w:w="940" w:type="dxa"/>
            <w:vAlign w:val="bottom"/>
          </w:tcPr>
          <w:p>
            <w:pPr>
              <w:jc w:val="right"/>
              <w:ind w:right="195"/>
              <w:spacing w:after="0"/>
              <w:rPr>
                <w:sz w:val="20"/>
                <w:szCs w:val="20"/>
                <w:color w:val="auto"/>
              </w:rPr>
            </w:pPr>
            <w:r>
              <w:rPr>
                <w:rFonts w:ascii="Arial" w:cs="Arial" w:eastAsia="Arial" w:hAnsi="Arial"/>
                <w:sz w:val="17"/>
                <w:szCs w:val="17"/>
                <w:color w:val="auto"/>
              </w:rPr>
              <w:t>3,651</w:t>
            </w:r>
          </w:p>
        </w:tc>
        <w:tc>
          <w:tcPr>
            <w:tcW w:w="1040" w:type="dxa"/>
            <w:vAlign w:val="bottom"/>
          </w:tcPr>
          <w:p>
            <w:pPr>
              <w:spacing w:after="0"/>
              <w:rPr>
                <w:sz w:val="17"/>
                <w:szCs w:val="17"/>
                <w:color w:val="auto"/>
              </w:rPr>
            </w:pP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162</w:t>
            </w: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3,489</w:t>
            </w:r>
          </w:p>
        </w:tc>
        <w:tc>
          <w:tcPr>
            <w:tcW w:w="1100" w:type="dxa"/>
            <w:vAlign w:val="bottom"/>
          </w:tcPr>
          <w:p>
            <w:pPr>
              <w:spacing w:after="0"/>
              <w:rPr>
                <w:sz w:val="17"/>
                <w:szCs w:val="17"/>
                <w:color w:val="auto"/>
              </w:rPr>
            </w:pP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162</w:t>
            </w:r>
          </w:p>
        </w:tc>
      </w:tr>
      <w:tr>
        <w:trPr>
          <w:trHeight w:val="216"/>
        </w:trPr>
        <w:tc>
          <w:tcPr>
            <w:tcW w:w="2640" w:type="dxa"/>
            <w:vAlign w:val="bottom"/>
          </w:tcPr>
          <w:p>
            <w:pPr>
              <w:spacing w:after="0"/>
              <w:rPr>
                <w:sz w:val="20"/>
                <w:szCs w:val="20"/>
                <w:color w:val="auto"/>
              </w:rPr>
            </w:pPr>
            <w:r>
              <w:rPr>
                <w:rFonts w:ascii="Arial" w:cs="Arial" w:eastAsia="Arial" w:hAnsi="Arial"/>
                <w:sz w:val="17"/>
                <w:szCs w:val="17"/>
                <w:color w:val="auto"/>
              </w:rPr>
              <w:t>Long-term:</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r>
    </w:tbl>
    <w:p>
      <w:pPr>
        <w:sectPr>
          <w:pgSz w:w="11900" w:h="16893" w:orient="portrait"/>
          <w:cols w:equalWidth="0" w:num="1">
            <w:col w:w="11420"/>
          </w:cols>
          <w:pgMar w:left="240" w:top="122" w:right="23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40" w:type="dxa"/>
            <w:vAlign w:val="bottom"/>
          </w:tcPr>
          <w:p>
            <w:pPr>
              <w:ind w:left="180"/>
              <w:spacing w:after="0"/>
              <w:rPr>
                <w:sz w:val="20"/>
                <w:szCs w:val="20"/>
                <w:color w:val="auto"/>
              </w:rPr>
            </w:pPr>
            <w:r>
              <w:rPr>
                <w:rFonts w:ascii="Arial" w:cs="Arial" w:eastAsia="Arial" w:hAnsi="Arial"/>
                <w:sz w:val="17"/>
                <w:szCs w:val="17"/>
                <w:color w:val="auto"/>
              </w:rPr>
              <w:t>Auction rate securities</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88,334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7,498</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80,836</w:t>
            </w: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7,498</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3340" w:type="dxa"/>
            <w:vAlign w:val="bottom"/>
          </w:tcPr>
          <w:p>
            <w:pPr>
              <w:ind w:left="18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106,983</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7,660</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99,323</w:t>
            </w:r>
          </w:p>
        </w:tc>
        <w:tc>
          <w:tcPr>
            <w:tcW w:w="1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7,660</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5"/>
          </w:tcPr>
          <w:p>
            <w:pPr>
              <w:jc w:val="center"/>
              <w:ind w:right="380"/>
              <w:spacing w:after="0"/>
              <w:rPr>
                <w:sz w:val="20"/>
                <w:szCs w:val="20"/>
                <w:color w:val="auto"/>
              </w:rPr>
            </w:pPr>
            <w:r>
              <w:rPr>
                <w:rFonts w:ascii="Arial" w:cs="Arial" w:eastAsia="Arial" w:hAnsi="Arial"/>
                <w:sz w:val="17"/>
                <w:szCs w:val="17"/>
                <w:color w:val="auto"/>
                <w:w w:val="92"/>
              </w:rPr>
              <w:t>Continuous</w:t>
            </w:r>
          </w:p>
        </w:tc>
        <w:tc>
          <w:tcPr>
            <w:tcW w:w="1120" w:type="dxa"/>
            <w:vAlign w:val="bottom"/>
            <w:gridSpan w:val="3"/>
          </w:tcPr>
          <w:p>
            <w:pPr>
              <w:jc w:val="center"/>
              <w:ind w:right="200"/>
              <w:spacing w:after="0"/>
              <w:rPr>
                <w:sz w:val="20"/>
                <w:szCs w:val="20"/>
                <w:color w:val="auto"/>
              </w:rPr>
            </w:pPr>
            <w:r>
              <w:rPr>
                <w:rFonts w:ascii="Arial" w:cs="Arial" w:eastAsia="Arial" w:hAnsi="Arial"/>
                <w:sz w:val="17"/>
                <w:szCs w:val="17"/>
                <w:color w:val="auto"/>
                <w:w w:val="92"/>
              </w:rPr>
              <w:t>Continuous</w:t>
            </w:r>
          </w:p>
        </w:tc>
        <w:tc>
          <w:tcPr>
            <w:tcW w:w="100" w:type="dxa"/>
            <w:vAlign w:val="bottom"/>
          </w:tcPr>
          <w:p>
            <w:pPr>
              <w:spacing w:after="0"/>
              <w:rPr>
                <w:sz w:val="24"/>
                <w:szCs w:val="24"/>
                <w:color w:val="auto"/>
              </w:rPr>
            </w:pPr>
          </w:p>
        </w:tc>
      </w:tr>
      <w:tr>
        <w:trPr>
          <w:trHeight w:val="203"/>
        </w:trPr>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ind w:left="95"/>
              <w:spacing w:after="0"/>
              <w:rPr>
                <w:sz w:val="20"/>
                <w:szCs w:val="20"/>
                <w:color w:val="auto"/>
              </w:rPr>
            </w:pPr>
            <w:r>
              <w:rPr>
                <w:rFonts w:ascii="Arial" w:cs="Arial" w:eastAsia="Arial" w:hAnsi="Arial"/>
                <w:sz w:val="17"/>
                <w:szCs w:val="17"/>
                <w:color w:val="auto"/>
                <w:w w:val="88"/>
              </w:rPr>
              <w:t>Gross</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5"/>
          </w:tcPr>
          <w:p>
            <w:pPr>
              <w:jc w:val="center"/>
              <w:ind w:right="380"/>
              <w:spacing w:after="0"/>
              <w:rPr>
                <w:sz w:val="20"/>
                <w:szCs w:val="20"/>
                <w:color w:val="auto"/>
              </w:rPr>
            </w:pPr>
            <w:r>
              <w:rPr>
                <w:rFonts w:ascii="Arial" w:cs="Arial" w:eastAsia="Arial" w:hAnsi="Arial"/>
                <w:sz w:val="17"/>
                <w:szCs w:val="17"/>
                <w:color w:val="auto"/>
                <w:w w:val="88"/>
              </w:rPr>
              <w:t>Gross</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5"/>
          </w:tcPr>
          <w:p>
            <w:pPr>
              <w:jc w:val="center"/>
              <w:ind w:right="380"/>
              <w:spacing w:after="0"/>
              <w:rPr>
                <w:sz w:val="20"/>
                <w:szCs w:val="20"/>
                <w:color w:val="auto"/>
              </w:rPr>
            </w:pPr>
            <w:r>
              <w:rPr>
                <w:rFonts w:ascii="Arial" w:cs="Arial" w:eastAsia="Arial" w:hAnsi="Arial"/>
                <w:sz w:val="17"/>
                <w:szCs w:val="17"/>
                <w:color w:val="auto"/>
                <w:w w:val="93"/>
              </w:rPr>
              <w:t>Unrealized</w:t>
            </w:r>
          </w:p>
        </w:tc>
        <w:tc>
          <w:tcPr>
            <w:tcW w:w="1120" w:type="dxa"/>
            <w:vAlign w:val="bottom"/>
            <w:gridSpan w:val="3"/>
          </w:tcPr>
          <w:p>
            <w:pPr>
              <w:jc w:val="center"/>
              <w:ind w:right="200"/>
              <w:spacing w:after="0"/>
              <w:rPr>
                <w:sz w:val="20"/>
                <w:szCs w:val="20"/>
                <w:color w:val="auto"/>
              </w:rPr>
            </w:pPr>
            <w:r>
              <w:rPr>
                <w:rFonts w:ascii="Arial" w:cs="Arial" w:eastAsia="Arial" w:hAnsi="Arial"/>
                <w:sz w:val="17"/>
                <w:szCs w:val="17"/>
                <w:color w:val="auto"/>
                <w:w w:val="93"/>
              </w:rPr>
              <w:t>Unrealized</w:t>
            </w:r>
          </w:p>
        </w:tc>
        <w:tc>
          <w:tcPr>
            <w:tcW w:w="10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ind w:left="75"/>
              <w:spacing w:after="0"/>
              <w:rPr>
                <w:sz w:val="20"/>
                <w:szCs w:val="20"/>
                <w:color w:val="auto"/>
              </w:rPr>
            </w:pPr>
            <w:r>
              <w:rPr>
                <w:rFonts w:ascii="Arial" w:cs="Arial" w:eastAsia="Arial" w:hAnsi="Arial"/>
                <w:sz w:val="17"/>
                <w:szCs w:val="17"/>
                <w:color w:val="auto"/>
                <w:w w:val="91"/>
              </w:rPr>
              <w:t>Unrealized</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5"/>
          </w:tcPr>
          <w:p>
            <w:pPr>
              <w:jc w:val="center"/>
              <w:ind w:right="400"/>
              <w:spacing w:after="0"/>
              <w:rPr>
                <w:sz w:val="20"/>
                <w:szCs w:val="20"/>
                <w:color w:val="auto"/>
              </w:rPr>
            </w:pPr>
            <w:r>
              <w:rPr>
                <w:rFonts w:ascii="Arial" w:cs="Arial" w:eastAsia="Arial" w:hAnsi="Arial"/>
                <w:sz w:val="17"/>
                <w:szCs w:val="17"/>
                <w:color w:val="auto"/>
                <w:w w:val="91"/>
              </w:rPr>
              <w:t>Unrealized</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5"/>
          </w:tcPr>
          <w:p>
            <w:pPr>
              <w:jc w:val="center"/>
              <w:ind w:right="380"/>
              <w:spacing w:after="0"/>
              <w:rPr>
                <w:sz w:val="20"/>
                <w:szCs w:val="20"/>
                <w:color w:val="auto"/>
              </w:rPr>
            </w:pPr>
            <w:r>
              <w:rPr>
                <w:rFonts w:ascii="Arial" w:cs="Arial" w:eastAsia="Arial" w:hAnsi="Arial"/>
                <w:sz w:val="17"/>
                <w:szCs w:val="17"/>
                <w:color w:val="auto"/>
                <w:w w:val="90"/>
              </w:rPr>
              <w:t>Loss Position</w:t>
            </w:r>
          </w:p>
        </w:tc>
        <w:tc>
          <w:tcPr>
            <w:tcW w:w="1120" w:type="dxa"/>
            <w:vAlign w:val="bottom"/>
            <w:gridSpan w:val="3"/>
          </w:tcPr>
          <w:p>
            <w:pPr>
              <w:jc w:val="center"/>
              <w:ind w:right="200"/>
              <w:spacing w:after="0"/>
              <w:rPr>
                <w:sz w:val="20"/>
                <w:szCs w:val="20"/>
                <w:color w:val="auto"/>
              </w:rPr>
            </w:pPr>
            <w:r>
              <w:rPr>
                <w:rFonts w:ascii="Arial" w:cs="Arial" w:eastAsia="Arial" w:hAnsi="Arial"/>
                <w:sz w:val="17"/>
                <w:szCs w:val="17"/>
                <w:color w:val="auto"/>
                <w:w w:val="90"/>
              </w:rPr>
              <w:t>Loss Position</w:t>
            </w:r>
          </w:p>
        </w:tc>
        <w:tc>
          <w:tcPr>
            <w:tcW w:w="10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380" w:type="dxa"/>
            <w:vAlign w:val="bottom"/>
            <w:gridSpan w:val="5"/>
          </w:tcPr>
          <w:p>
            <w:pPr>
              <w:ind w:left="200"/>
              <w:spacing w:after="0"/>
              <w:rPr>
                <w:sz w:val="20"/>
                <w:szCs w:val="20"/>
                <w:color w:val="auto"/>
              </w:rPr>
            </w:pPr>
            <w:r>
              <w:rPr>
                <w:rFonts w:ascii="Arial" w:cs="Arial" w:eastAsia="Arial" w:hAnsi="Arial"/>
                <w:sz w:val="17"/>
                <w:szCs w:val="17"/>
                <w:color w:val="auto"/>
              </w:rPr>
              <w:t>Amortized</w:t>
            </w:r>
          </w:p>
        </w:tc>
        <w:tc>
          <w:tcPr>
            <w:tcW w:w="900" w:type="dxa"/>
            <w:vAlign w:val="bottom"/>
          </w:tcPr>
          <w:p>
            <w:pPr>
              <w:jc w:val="center"/>
              <w:ind w:left="95"/>
              <w:spacing w:after="0"/>
              <w:rPr>
                <w:sz w:val="20"/>
                <w:szCs w:val="20"/>
                <w:color w:val="auto"/>
              </w:rPr>
            </w:pPr>
            <w:r>
              <w:rPr>
                <w:rFonts w:ascii="Arial" w:cs="Arial" w:eastAsia="Arial" w:hAnsi="Arial"/>
                <w:sz w:val="17"/>
                <w:szCs w:val="17"/>
                <w:color w:val="auto"/>
                <w:w w:val="97"/>
              </w:rPr>
              <w:t>Holding</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5"/>
          </w:tcPr>
          <w:p>
            <w:pPr>
              <w:jc w:val="center"/>
              <w:ind w:right="380"/>
              <w:spacing w:after="0"/>
              <w:rPr>
                <w:sz w:val="20"/>
                <w:szCs w:val="20"/>
                <w:color w:val="auto"/>
              </w:rPr>
            </w:pPr>
            <w:r>
              <w:rPr>
                <w:rFonts w:ascii="Arial" w:cs="Arial" w:eastAsia="Arial" w:hAnsi="Arial"/>
                <w:sz w:val="17"/>
                <w:szCs w:val="17"/>
                <w:color w:val="auto"/>
                <w:w w:val="97"/>
              </w:rPr>
              <w:t>Holding</w:t>
            </w:r>
          </w:p>
        </w:tc>
        <w:tc>
          <w:tcPr>
            <w:tcW w:w="300" w:type="dxa"/>
            <w:vAlign w:val="bottom"/>
          </w:tcPr>
          <w:p>
            <w:pPr>
              <w:spacing w:after="0"/>
              <w:rPr>
                <w:sz w:val="17"/>
                <w:szCs w:val="17"/>
                <w:color w:val="auto"/>
              </w:rPr>
            </w:pPr>
          </w:p>
        </w:tc>
        <w:tc>
          <w:tcPr>
            <w:tcW w:w="960" w:type="dxa"/>
            <w:vAlign w:val="bottom"/>
            <w:gridSpan w:val="4"/>
          </w:tcPr>
          <w:p>
            <w:pPr>
              <w:jc w:val="center"/>
              <w:ind w:right="660"/>
              <w:spacing w:after="0"/>
              <w:rPr>
                <w:sz w:val="20"/>
                <w:szCs w:val="20"/>
                <w:color w:val="auto"/>
              </w:rPr>
            </w:pPr>
            <w:r>
              <w:rPr>
                <w:rFonts w:ascii="Arial" w:cs="Arial" w:eastAsia="Arial" w:hAnsi="Arial"/>
                <w:sz w:val="17"/>
                <w:szCs w:val="17"/>
                <w:color w:val="auto"/>
                <w:w w:val="88"/>
              </w:rPr>
              <w:t>Fair</w:t>
            </w:r>
          </w:p>
        </w:tc>
        <w:tc>
          <w:tcPr>
            <w:tcW w:w="1460" w:type="dxa"/>
            <w:vAlign w:val="bottom"/>
            <w:gridSpan w:val="5"/>
          </w:tcPr>
          <w:p>
            <w:pPr>
              <w:jc w:val="center"/>
              <w:ind w:right="380"/>
              <w:spacing w:after="0"/>
              <w:rPr>
                <w:sz w:val="20"/>
                <w:szCs w:val="20"/>
                <w:color w:val="auto"/>
              </w:rPr>
            </w:pPr>
            <w:r>
              <w:rPr>
                <w:rFonts w:ascii="Arial" w:cs="Arial" w:eastAsia="Arial" w:hAnsi="Arial"/>
                <w:sz w:val="17"/>
                <w:szCs w:val="17"/>
                <w:color w:val="auto"/>
                <w:w w:val="87"/>
              </w:rPr>
              <w:t>less than 12</w:t>
            </w:r>
          </w:p>
        </w:tc>
        <w:tc>
          <w:tcPr>
            <w:tcW w:w="1120" w:type="dxa"/>
            <w:vAlign w:val="bottom"/>
            <w:gridSpan w:val="3"/>
          </w:tcPr>
          <w:p>
            <w:pPr>
              <w:jc w:val="center"/>
              <w:ind w:right="200"/>
              <w:spacing w:after="0"/>
              <w:rPr>
                <w:sz w:val="20"/>
                <w:szCs w:val="20"/>
                <w:color w:val="auto"/>
              </w:rPr>
            </w:pPr>
            <w:r>
              <w:rPr>
                <w:rFonts w:ascii="Arial" w:cs="Arial" w:eastAsia="Arial" w:hAnsi="Arial"/>
                <w:sz w:val="17"/>
                <w:szCs w:val="17"/>
                <w:color w:val="auto"/>
                <w:w w:val="87"/>
              </w:rPr>
              <w:t>greater than</w:t>
            </w:r>
          </w:p>
        </w:tc>
        <w:tc>
          <w:tcPr>
            <w:tcW w:w="100" w:type="dxa"/>
            <w:vAlign w:val="bottom"/>
          </w:tcPr>
          <w:p>
            <w:pPr>
              <w:spacing w:after="0"/>
              <w:rPr>
                <w:sz w:val="17"/>
                <w:szCs w:val="17"/>
                <w:color w:val="auto"/>
              </w:rPr>
            </w:pPr>
          </w:p>
        </w:tc>
      </w:tr>
      <w:tr>
        <w:trPr>
          <w:trHeight w:val="227"/>
        </w:trPr>
        <w:tc>
          <w:tcPr>
            <w:tcW w:w="33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December 31, 2008</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color w:val="auto"/>
              </w:rPr>
              <w:t>Cost</w:t>
            </w:r>
          </w:p>
        </w:tc>
        <w:tc>
          <w:tcPr>
            <w:tcW w:w="900" w:type="dxa"/>
            <w:vAlign w:val="bottom"/>
            <w:tcBorders>
              <w:bottom w:val="single" w:sz="8" w:color="auto"/>
            </w:tcBorders>
          </w:tcPr>
          <w:p>
            <w:pPr>
              <w:jc w:val="center"/>
              <w:ind w:left="95"/>
              <w:spacing w:after="0"/>
              <w:rPr>
                <w:sz w:val="20"/>
                <w:szCs w:val="20"/>
                <w:color w:val="auto"/>
              </w:rPr>
            </w:pPr>
            <w:r>
              <w:rPr>
                <w:rFonts w:ascii="Arial" w:cs="Arial" w:eastAsia="Arial" w:hAnsi="Arial"/>
                <w:sz w:val="17"/>
                <w:szCs w:val="17"/>
                <w:color w:val="auto"/>
                <w:w w:val="89"/>
              </w:rPr>
              <w:t>Gains</w:t>
            </w: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7"/>
                <w:szCs w:val="17"/>
                <w:color w:val="auto"/>
                <w:w w:val="85"/>
              </w:rPr>
              <w:t>Losses</w:t>
            </w:r>
          </w:p>
        </w:tc>
        <w:tc>
          <w:tcPr>
            <w:tcW w:w="12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7"/>
                <w:szCs w:val="17"/>
                <w:color w:val="auto"/>
                <w:w w:val="87"/>
              </w:rPr>
              <w:t>Value</w:t>
            </w:r>
          </w:p>
        </w:tc>
        <w:tc>
          <w:tcPr>
            <w:tcW w:w="14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7"/>
                <w:szCs w:val="17"/>
                <w:color w:val="auto"/>
                <w:w w:val="93"/>
              </w:rPr>
              <w:t>Months</w:t>
            </w:r>
          </w:p>
        </w:tc>
        <w:tc>
          <w:tcPr>
            <w:tcW w:w="11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7"/>
                <w:szCs w:val="17"/>
                <w:color w:val="auto"/>
                <w:w w:val="93"/>
              </w:rPr>
              <w:t>12 Months</w:t>
            </w:r>
          </w:p>
        </w:tc>
        <w:tc>
          <w:tcPr>
            <w:tcW w:w="100" w:type="dxa"/>
            <w:vAlign w:val="bottom"/>
            <w:tcBorders>
              <w:bottom w:val="single" w:sz="8" w:color="auto"/>
            </w:tcBorders>
          </w:tcPr>
          <w:p>
            <w:pPr>
              <w:spacing w:after="0"/>
              <w:rPr>
                <w:sz w:val="19"/>
                <w:szCs w:val="19"/>
                <w:color w:val="auto"/>
              </w:rPr>
            </w:pPr>
          </w:p>
        </w:tc>
      </w:tr>
      <w:tr>
        <w:trPr>
          <w:trHeight w:val="185"/>
        </w:trPr>
        <w:tc>
          <w:tcPr>
            <w:tcW w:w="3340" w:type="dxa"/>
            <w:vAlign w:val="bottom"/>
          </w:tcPr>
          <w:p>
            <w:pPr>
              <w:spacing w:after="0" w:line="185" w:lineRule="exact"/>
              <w:rPr>
                <w:sz w:val="20"/>
                <w:szCs w:val="20"/>
                <w:color w:val="auto"/>
              </w:rPr>
            </w:pPr>
            <w:r>
              <w:rPr>
                <w:rFonts w:ascii="Arial" w:cs="Arial" w:eastAsia="Arial" w:hAnsi="Arial"/>
                <w:sz w:val="17"/>
                <w:szCs w:val="17"/>
                <w:b w:val="1"/>
                <w:bCs w:val="1"/>
                <w:color w:val="auto"/>
              </w:rPr>
              <w:t>Held to Maturity</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7"/>
                <w:szCs w:val="17"/>
                <w:color w:val="auto"/>
              </w:rPr>
              <w:t>Short-term:</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7"/>
                <w:szCs w:val="17"/>
                <w:color w:val="auto"/>
              </w:rPr>
              <w:t>U.S. Treasuries</w:t>
            </w:r>
          </w:p>
        </w:tc>
        <w:tc>
          <w:tcPr>
            <w:tcW w:w="340" w:type="dxa"/>
            <w:vAlign w:val="bottom"/>
          </w:tcPr>
          <w:p>
            <w:pPr>
              <w:ind w:left="20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19,941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555"/>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58"/>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19,941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1"/>
        </w:trPr>
        <w:tc>
          <w:tcPr>
            <w:tcW w:w="3340" w:type="dxa"/>
            <w:vAlign w:val="bottom"/>
          </w:tcPr>
          <w:p>
            <w:pPr>
              <w:spacing w:after="0"/>
              <w:rPr>
                <w:sz w:val="20"/>
                <w:szCs w:val="20"/>
                <w:color w:val="auto"/>
              </w:rPr>
            </w:pPr>
            <w:r>
              <w:rPr>
                <w:rFonts w:ascii="Arial" w:cs="Arial" w:eastAsia="Arial" w:hAnsi="Arial"/>
                <w:sz w:val="17"/>
                <w:szCs w:val="17"/>
                <w:b w:val="1"/>
                <w:bCs w:val="1"/>
                <w:color w:val="auto"/>
              </w:rPr>
              <w:t>Available-for-sale</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7"/>
                <w:szCs w:val="17"/>
                <w:color w:val="auto"/>
              </w:rPr>
              <w:t>Short-term:</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40" w:type="dxa"/>
            <w:vAlign w:val="bottom"/>
          </w:tcPr>
          <w:p>
            <w:pPr>
              <w:ind w:left="180"/>
              <w:spacing w:after="0"/>
              <w:rPr>
                <w:sz w:val="20"/>
                <w:szCs w:val="20"/>
                <w:color w:val="auto"/>
              </w:rPr>
            </w:pPr>
            <w:r>
              <w:rPr>
                <w:rFonts w:ascii="Arial" w:cs="Arial" w:eastAsia="Arial" w:hAnsi="Arial"/>
                <w:sz w:val="17"/>
                <w:szCs w:val="17"/>
                <w:color w:val="auto"/>
              </w:rPr>
              <w:t>Municipal securities</w:t>
            </w:r>
          </w:p>
        </w:tc>
        <w:tc>
          <w:tcPr>
            <w:tcW w:w="340" w:type="dxa"/>
            <w:vAlign w:val="bottom"/>
          </w:tcPr>
          <w:p>
            <w:pPr>
              <w:spacing w:after="0"/>
              <w:rPr>
                <w:sz w:val="17"/>
                <w:szCs w:val="17"/>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1,154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jc w:val="right"/>
              <w:ind w:right="58"/>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1,154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40" w:type="dxa"/>
            <w:vAlign w:val="bottom"/>
          </w:tcPr>
          <w:p>
            <w:pPr>
              <w:ind w:left="180"/>
              <w:spacing w:after="0"/>
              <w:rPr>
                <w:sz w:val="20"/>
                <w:szCs w:val="20"/>
                <w:color w:val="auto"/>
              </w:rPr>
            </w:pPr>
            <w:r>
              <w:rPr>
                <w:rFonts w:ascii="Arial" w:cs="Arial" w:eastAsia="Arial" w:hAnsi="Arial"/>
                <w:sz w:val="17"/>
                <w:szCs w:val="17"/>
                <w:color w:val="auto"/>
              </w:rPr>
              <w:t>Auction rate securities</w:t>
            </w:r>
          </w:p>
        </w:tc>
        <w:tc>
          <w:tcPr>
            <w:tcW w:w="340" w:type="dxa"/>
            <w:vAlign w:val="bottom"/>
          </w:tcPr>
          <w:p>
            <w:pPr>
              <w:spacing w:after="0"/>
              <w:rPr>
                <w:sz w:val="17"/>
                <w:szCs w:val="17"/>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8,050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jc w:val="right"/>
              <w:ind w:right="58"/>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8,050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7"/>
                <w:szCs w:val="17"/>
                <w:color w:val="auto"/>
              </w:rPr>
              <w:t>Long-term:</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7"/>
                <w:szCs w:val="17"/>
                <w:color w:val="auto"/>
              </w:rPr>
              <w:t>Auction rate securities</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103,923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9"/>
              </w:rPr>
              <w:t>14,356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89,567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9"/>
              </w:rPr>
              <w:t>14,356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3340" w:type="dxa"/>
            <w:vAlign w:val="bottom"/>
          </w:tcPr>
          <w:p>
            <w:pPr>
              <w:ind w:left="18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133,068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9"/>
              </w:rPr>
              <w:t>14,356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1"/>
              </w:rPr>
              <w:t>118,712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9"/>
              </w:rPr>
              <w:t>14,356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maturities of the Company’s investments at December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jc w:val="right"/>
              <w:ind w:right="201"/>
              <w:spacing w:after="0"/>
              <w:rPr>
                <w:sz w:val="20"/>
                <w:szCs w:val="20"/>
                <w:color w:val="auto"/>
              </w:rPr>
            </w:pPr>
            <w:r>
              <w:rPr>
                <w:rFonts w:ascii="Arial" w:cs="Arial" w:eastAsia="Arial" w:hAnsi="Arial"/>
                <w:sz w:val="20"/>
                <w:szCs w:val="20"/>
                <w:color w:val="auto"/>
                <w:w w:val="94"/>
              </w:rPr>
              <w:t>2009</w:t>
            </w:r>
          </w:p>
        </w:tc>
        <w:tc>
          <w:tcPr>
            <w:tcW w:w="144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20"/>
                <w:szCs w:val="20"/>
                <w:color w:val="auto"/>
                <w:w w:val="94"/>
              </w:rPr>
              <w:t>2008</w:t>
            </w:r>
          </w:p>
        </w:tc>
        <w:tc>
          <w:tcPr>
            <w:tcW w:w="14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100" w:type="dxa"/>
            <w:vAlign w:val="bottom"/>
            <w:vMerge w:val="restart"/>
          </w:tcPr>
          <w:p>
            <w:pPr>
              <w:ind w:left="460"/>
              <w:spacing w:after="0"/>
              <w:rPr>
                <w:sz w:val="20"/>
                <w:szCs w:val="20"/>
                <w:color w:val="auto"/>
              </w:rPr>
            </w:pPr>
            <w:r>
              <w:rPr>
                <w:rFonts w:ascii="Arial" w:cs="Arial" w:eastAsia="Arial" w:hAnsi="Arial"/>
                <w:sz w:val="20"/>
                <w:szCs w:val="20"/>
                <w:color w:val="auto"/>
              </w:rPr>
              <w:t>Less than 1 year</w:t>
            </w:r>
          </w:p>
        </w:tc>
        <w:tc>
          <w:tcPr>
            <w:tcW w:w="240" w:type="dxa"/>
            <w:vAlign w:val="bottom"/>
          </w:tcPr>
          <w:p>
            <w:pPr>
              <w:spacing w:after="0"/>
              <w:rPr>
                <w:sz w:val="24"/>
                <w:szCs w:val="24"/>
                <w:color w:val="auto"/>
              </w:rPr>
            </w:pPr>
          </w:p>
        </w:tc>
        <w:tc>
          <w:tcPr>
            <w:tcW w:w="1460" w:type="dxa"/>
            <w:vAlign w:val="bottom"/>
          </w:tcPr>
          <w:p>
            <w:pPr>
              <w:jc w:val="right"/>
              <w:ind w:right="81"/>
              <w:spacing w:after="0"/>
              <w:rPr>
                <w:sz w:val="20"/>
                <w:szCs w:val="20"/>
                <w:color w:val="auto"/>
              </w:rPr>
            </w:pPr>
            <w:r>
              <w:rPr>
                <w:rFonts w:ascii="Arial" w:cs="Arial" w:eastAsia="Arial" w:hAnsi="Arial"/>
                <w:sz w:val="20"/>
                <w:szCs w:val="20"/>
                <w:color w:val="auto"/>
                <w:w w:val="92"/>
              </w:rPr>
              <w:t>Amortized Cost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20"/>
                <w:szCs w:val="20"/>
                <w:color w:val="auto"/>
              </w:rPr>
              <w:t>Fair Value</w:t>
            </w:r>
          </w:p>
        </w:tc>
        <w:tc>
          <w:tcPr>
            <w:tcW w:w="1680" w:type="dxa"/>
            <w:vAlign w:val="bottom"/>
            <w:gridSpan w:val="2"/>
          </w:tcPr>
          <w:p>
            <w:pPr>
              <w:jc w:val="right"/>
              <w:ind w:right="81"/>
              <w:spacing w:after="0"/>
              <w:rPr>
                <w:sz w:val="20"/>
                <w:szCs w:val="20"/>
                <w:color w:val="auto"/>
              </w:rPr>
            </w:pPr>
            <w:r>
              <w:rPr>
                <w:rFonts w:ascii="Arial" w:cs="Arial" w:eastAsia="Arial" w:hAnsi="Arial"/>
                <w:sz w:val="20"/>
                <w:szCs w:val="20"/>
                <w:color w:val="auto"/>
              </w:rPr>
              <w:t>Amortized Cost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right"/>
              <w:ind w:right="381"/>
              <w:spacing w:after="0"/>
              <w:rPr>
                <w:sz w:val="20"/>
                <w:szCs w:val="20"/>
                <w:color w:val="auto"/>
              </w:rPr>
            </w:pPr>
            <w:r>
              <w:rPr>
                <w:rFonts w:ascii="Arial" w:cs="Arial" w:eastAsia="Arial" w:hAnsi="Arial"/>
                <w:sz w:val="20"/>
                <w:szCs w:val="20"/>
                <w:color w:val="auto"/>
              </w:rPr>
              <w:t>Fair Value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100" w:type="dxa"/>
            <w:vAlign w:val="bottom"/>
            <w:vMerge w:val="continue"/>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4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18,649</w:t>
            </w:r>
          </w:p>
        </w:tc>
        <w:tc>
          <w:tcPr>
            <w:tcW w:w="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440" w:type="dxa"/>
            <w:vAlign w:val="bottom"/>
            <w:tcBorders>
              <w:top w:val="single" w:sz="8" w:color="auto"/>
            </w:tcBorders>
          </w:tcPr>
          <w:p>
            <w:pPr>
              <w:jc w:val="right"/>
              <w:ind w:right="43"/>
              <w:spacing w:after="0" w:line="207" w:lineRule="exact"/>
              <w:rPr>
                <w:sz w:val="20"/>
                <w:szCs w:val="20"/>
                <w:color w:val="auto"/>
              </w:rPr>
            </w:pPr>
            <w:r>
              <w:rPr>
                <w:rFonts w:ascii="Arial" w:cs="Arial" w:eastAsia="Arial" w:hAnsi="Arial"/>
                <w:sz w:val="20"/>
                <w:szCs w:val="20"/>
                <w:color w:val="auto"/>
              </w:rPr>
              <w:t>18,487</w:t>
            </w:r>
          </w:p>
        </w:tc>
        <w:tc>
          <w:tcPr>
            <w:tcW w:w="360" w:type="dxa"/>
            <w:vAlign w:val="bottom"/>
          </w:tcPr>
          <w:p>
            <w:pPr>
              <w:spacing w:after="0"/>
              <w:rPr>
                <w:sz w:val="17"/>
                <w:szCs w:val="17"/>
                <w:color w:val="auto"/>
              </w:rPr>
            </w:pPr>
          </w:p>
        </w:tc>
        <w:tc>
          <w:tcPr>
            <w:tcW w:w="620" w:type="dxa"/>
            <w:vAlign w:val="bottom"/>
            <w:tcBorders>
              <w:top w:val="single" w:sz="8" w:color="auto"/>
            </w:tcBorders>
          </w:tcPr>
          <w:p>
            <w:pPr>
              <w:jc w:val="right"/>
              <w:ind w:right="261"/>
              <w:spacing w:after="0" w:line="207" w:lineRule="exact"/>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29,145</w:t>
            </w:r>
          </w:p>
        </w:tc>
        <w:tc>
          <w:tcPr>
            <w:tcW w:w="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42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29,145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60"/>
              <w:spacing w:after="0"/>
              <w:rPr>
                <w:sz w:val="20"/>
                <w:szCs w:val="20"/>
                <w:color w:val="auto"/>
              </w:rPr>
            </w:pPr>
            <w:r>
              <w:rPr>
                <w:rFonts w:ascii="Arial" w:cs="Arial" w:eastAsia="Arial" w:hAnsi="Arial"/>
                <w:sz w:val="20"/>
                <w:szCs w:val="20"/>
                <w:color w:val="auto"/>
              </w:rPr>
              <w:t>Due 1 - 10 years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300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43"/>
              <w:spacing w:after="0"/>
              <w:rPr>
                <w:sz w:val="20"/>
                <w:szCs w:val="20"/>
                <w:color w:val="auto"/>
              </w:rPr>
            </w:pPr>
            <w:r>
              <w:rPr>
                <w:rFonts w:ascii="Arial" w:cs="Arial" w:eastAsia="Arial" w:hAnsi="Arial"/>
                <w:sz w:val="20"/>
                <w:szCs w:val="20"/>
                <w:color w:val="auto"/>
              </w:rPr>
              <w:t>282</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700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20"/>
                <w:szCs w:val="20"/>
                <w:color w:val="auto"/>
              </w:rPr>
              <w:t>662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60"/>
              <w:spacing w:after="0"/>
              <w:rPr>
                <w:sz w:val="20"/>
                <w:szCs w:val="20"/>
                <w:color w:val="auto"/>
              </w:rPr>
            </w:pPr>
            <w:r>
              <w:rPr>
                <w:rFonts w:ascii="Arial" w:cs="Arial" w:eastAsia="Arial" w:hAnsi="Arial"/>
                <w:sz w:val="20"/>
                <w:szCs w:val="20"/>
                <w:color w:val="auto"/>
              </w:rPr>
              <w:t>Due 11 - 20 years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4,950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43"/>
              <w:spacing w:after="0"/>
              <w:rPr>
                <w:sz w:val="20"/>
                <w:szCs w:val="20"/>
                <w:color w:val="auto"/>
              </w:rPr>
            </w:pPr>
            <w:r>
              <w:rPr>
                <w:rFonts w:ascii="Arial" w:cs="Arial" w:eastAsia="Arial" w:hAnsi="Arial"/>
                <w:sz w:val="20"/>
                <w:szCs w:val="20"/>
                <w:color w:val="auto"/>
              </w:rPr>
              <w:t>4,578</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8,325</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20"/>
                <w:szCs w:val="20"/>
                <w:color w:val="auto"/>
              </w:rPr>
              <w:t>7,485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60"/>
              <w:spacing w:after="0"/>
              <w:rPr>
                <w:sz w:val="20"/>
                <w:szCs w:val="20"/>
                <w:color w:val="auto"/>
              </w:rPr>
            </w:pPr>
            <w:r>
              <w:rPr>
                <w:rFonts w:ascii="Arial" w:cs="Arial" w:eastAsia="Arial" w:hAnsi="Arial"/>
                <w:sz w:val="20"/>
                <w:szCs w:val="20"/>
                <w:color w:val="auto"/>
              </w:rPr>
              <w:t>Due 21 - 30 years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58,925</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43"/>
              <w:spacing w:after="0"/>
              <w:rPr>
                <w:sz w:val="20"/>
                <w:szCs w:val="20"/>
                <w:color w:val="auto"/>
              </w:rPr>
            </w:pPr>
            <w:r>
              <w:rPr>
                <w:rFonts w:ascii="Arial" w:cs="Arial" w:eastAsia="Arial" w:hAnsi="Arial"/>
                <w:sz w:val="20"/>
                <w:szCs w:val="20"/>
                <w:color w:val="auto"/>
              </w:rPr>
              <w:t>53,570</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63,000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20"/>
                <w:szCs w:val="20"/>
                <w:color w:val="auto"/>
              </w:rPr>
              <w:t>55,881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00" w:type="dxa"/>
            <w:vAlign w:val="bottom"/>
          </w:tcPr>
          <w:p>
            <w:pPr>
              <w:ind w:left="460"/>
              <w:spacing w:after="0"/>
              <w:rPr>
                <w:sz w:val="20"/>
                <w:szCs w:val="20"/>
                <w:color w:val="auto"/>
              </w:rPr>
            </w:pPr>
            <w:r>
              <w:rPr>
                <w:rFonts w:ascii="Arial" w:cs="Arial" w:eastAsia="Arial" w:hAnsi="Arial"/>
                <w:sz w:val="20"/>
                <w:szCs w:val="20"/>
                <w:color w:val="auto"/>
              </w:rPr>
              <w:t>Due 31 - 40 years</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24,159</w:t>
            </w:r>
          </w:p>
        </w:tc>
        <w:tc>
          <w:tcPr>
            <w:tcW w:w="6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22,406</w:t>
            </w:r>
          </w:p>
        </w:tc>
        <w:tc>
          <w:tcPr>
            <w:tcW w:w="36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31,898</w:t>
            </w:r>
          </w:p>
        </w:tc>
        <w:tc>
          <w:tcPr>
            <w:tcW w:w="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25,539</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00" w:type="dxa"/>
            <w:vAlign w:val="bottom"/>
          </w:tcPr>
          <w:p>
            <w:pPr>
              <w:ind w:left="640"/>
              <w:spacing w:after="0" w:line="223" w:lineRule="exact"/>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106,983</w:t>
            </w:r>
          </w:p>
        </w:tc>
        <w:tc>
          <w:tcPr>
            <w:tcW w:w="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jc w:val="right"/>
              <w:ind w:right="43"/>
              <w:spacing w:after="0" w:line="223" w:lineRule="exact"/>
              <w:rPr>
                <w:sz w:val="20"/>
                <w:szCs w:val="20"/>
                <w:color w:val="auto"/>
              </w:rPr>
            </w:pPr>
            <w:r>
              <w:rPr>
                <w:rFonts w:ascii="Arial" w:cs="Arial" w:eastAsia="Arial" w:hAnsi="Arial"/>
                <w:sz w:val="20"/>
                <w:szCs w:val="20"/>
                <w:color w:val="auto"/>
              </w:rPr>
              <w:t>99,323</w:t>
            </w:r>
          </w:p>
        </w:tc>
        <w:tc>
          <w:tcPr>
            <w:tcW w:w="360" w:type="dxa"/>
            <w:vAlign w:val="bottom"/>
          </w:tcPr>
          <w:p>
            <w:pPr>
              <w:spacing w:after="0"/>
              <w:rPr>
                <w:sz w:val="19"/>
                <w:szCs w:val="19"/>
                <w:color w:val="auto"/>
              </w:rPr>
            </w:pPr>
          </w:p>
        </w:tc>
        <w:tc>
          <w:tcPr>
            <w:tcW w:w="620" w:type="dxa"/>
            <w:vAlign w:val="bottom"/>
            <w:tcBorders>
              <w:bottom w:val="single" w:sz="8" w:color="auto"/>
            </w:tcBorders>
          </w:tcPr>
          <w:p>
            <w:pPr>
              <w:jc w:val="right"/>
              <w:ind w:right="26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133,068</w:t>
            </w:r>
          </w:p>
        </w:tc>
        <w:tc>
          <w:tcPr>
            <w:tcW w:w="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118,712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ind w:right="1083"/>
              <w:spacing w:after="0"/>
              <w:rPr>
                <w:sz w:val="20"/>
                <w:szCs w:val="20"/>
                <w:color w:val="auto"/>
              </w:rPr>
            </w:pPr>
            <w:r>
              <w:rPr>
                <w:rFonts w:ascii="Arial" w:cs="Arial" w:eastAsia="Arial" w:hAnsi="Arial"/>
                <w:sz w:val="16"/>
                <w:szCs w:val="16"/>
                <w:color w:val="auto"/>
              </w:rPr>
              <w:t>89</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1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right="566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 December 31:</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5840" w:type="dxa"/>
            <w:vAlign w:val="bottom"/>
            <w:vMerge w:val="restart"/>
          </w:tcPr>
          <w:p>
            <w:pPr>
              <w:spacing w:after="0"/>
              <w:rPr>
                <w:sz w:val="20"/>
                <w:szCs w:val="20"/>
                <w:color w:val="auto"/>
              </w:rPr>
            </w:pPr>
            <w:r>
              <w:rPr>
                <w:rFonts w:ascii="Arial" w:cs="Arial" w:eastAsia="Arial" w:hAnsi="Arial"/>
                <w:sz w:val="21"/>
                <w:szCs w:val="21"/>
                <w:color w:val="auto"/>
              </w:rPr>
              <w:t>Raw materials</w:t>
            </w: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16"/>
              <w:spacing w:after="0"/>
              <w:rPr>
                <w:sz w:val="20"/>
                <w:szCs w:val="20"/>
                <w:color w:val="auto"/>
              </w:rPr>
            </w:pPr>
            <w:r>
              <w:rPr>
                <w:rFonts w:ascii="Arial" w:cs="Arial" w:eastAsia="Arial" w:hAnsi="Arial"/>
                <w:sz w:val="21"/>
                <w:szCs w:val="21"/>
                <w:color w:val="auto"/>
              </w:rPr>
              <w:t>2009</w:t>
            </w:r>
          </w:p>
        </w:tc>
        <w:tc>
          <w:tcPr>
            <w:tcW w:w="3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6"/>
              <w:spacing w:after="0"/>
              <w:rPr>
                <w:sz w:val="20"/>
                <w:szCs w:val="20"/>
                <w:color w:val="auto"/>
              </w:rPr>
            </w:pPr>
            <w:r>
              <w:rPr>
                <w:rFonts w:ascii="Arial" w:cs="Arial" w:eastAsia="Arial" w:hAnsi="Arial"/>
                <w:sz w:val="21"/>
                <w:szCs w:val="21"/>
                <w:color w:val="auto"/>
              </w:rPr>
              <w:t>2008</w:t>
            </w: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60" w:type="dxa"/>
            <w:vAlign w:val="bottom"/>
          </w:tcPr>
          <w:p>
            <w:pPr>
              <w:jc w:val="right"/>
              <w:ind w:right="156"/>
              <w:spacing w:after="0" w:line="223" w:lineRule="exact"/>
              <w:rPr>
                <w:sz w:val="20"/>
                <w:szCs w:val="20"/>
                <w:color w:val="auto"/>
              </w:rPr>
            </w:pPr>
            <w:r>
              <w:rPr>
                <w:rFonts w:ascii="Arial" w:cs="Arial" w:eastAsia="Arial" w:hAnsi="Arial"/>
                <w:sz w:val="21"/>
                <w:szCs w:val="21"/>
                <w:color w:val="auto"/>
              </w:rPr>
              <w:t>$</w:t>
            </w:r>
          </w:p>
        </w:tc>
        <w:tc>
          <w:tcPr>
            <w:tcW w:w="1380" w:type="dxa"/>
            <w:vAlign w:val="bottom"/>
          </w:tcPr>
          <w:p>
            <w:pPr>
              <w:jc w:val="right"/>
              <w:ind w:right="16"/>
              <w:spacing w:after="0" w:line="223" w:lineRule="exact"/>
              <w:rPr>
                <w:sz w:val="20"/>
                <w:szCs w:val="20"/>
                <w:color w:val="auto"/>
              </w:rPr>
            </w:pPr>
            <w:r>
              <w:rPr>
                <w:rFonts w:ascii="Arial" w:cs="Arial" w:eastAsia="Arial" w:hAnsi="Arial"/>
                <w:sz w:val="21"/>
                <w:szCs w:val="21"/>
                <w:color w:val="auto"/>
              </w:rPr>
              <w:t>43,663</w:t>
            </w:r>
          </w:p>
        </w:tc>
        <w:tc>
          <w:tcPr>
            <w:tcW w:w="320" w:type="dxa"/>
            <w:vAlign w:val="bottom"/>
          </w:tcPr>
          <w:p>
            <w:pPr>
              <w:spacing w:after="0"/>
              <w:rPr>
                <w:sz w:val="19"/>
                <w:szCs w:val="19"/>
                <w:color w:val="auto"/>
              </w:rPr>
            </w:pPr>
          </w:p>
        </w:tc>
        <w:tc>
          <w:tcPr>
            <w:tcW w:w="420" w:type="dxa"/>
            <w:vAlign w:val="bottom"/>
          </w:tcPr>
          <w:p>
            <w:pPr>
              <w:jc w:val="right"/>
              <w:ind w:right="96"/>
              <w:spacing w:after="0" w:line="223" w:lineRule="exact"/>
              <w:rPr>
                <w:sz w:val="20"/>
                <w:szCs w:val="20"/>
                <w:color w:val="auto"/>
              </w:rPr>
            </w:pPr>
            <w:r>
              <w:rPr>
                <w:rFonts w:ascii="Arial" w:cs="Arial" w:eastAsia="Arial" w:hAnsi="Arial"/>
                <w:sz w:val="21"/>
                <w:szCs w:val="21"/>
                <w:color w:val="auto"/>
              </w:rPr>
              <w:t>$</w:t>
            </w:r>
          </w:p>
        </w:tc>
        <w:tc>
          <w:tcPr>
            <w:tcW w:w="1340" w:type="dxa"/>
            <w:vAlign w:val="bottom"/>
          </w:tcPr>
          <w:p>
            <w:pPr>
              <w:jc w:val="right"/>
              <w:ind w:right="116"/>
              <w:spacing w:after="0" w:line="223" w:lineRule="exact"/>
              <w:rPr>
                <w:sz w:val="20"/>
                <w:szCs w:val="20"/>
                <w:color w:val="auto"/>
              </w:rPr>
            </w:pPr>
            <w:r>
              <w:rPr>
                <w:rFonts w:ascii="Arial" w:cs="Arial" w:eastAsia="Arial" w:hAnsi="Arial"/>
                <w:sz w:val="21"/>
                <w:szCs w:val="21"/>
                <w:color w:val="auto"/>
              </w:rPr>
              <w:t>24,454</w:t>
            </w:r>
          </w:p>
        </w:tc>
        <w:tc>
          <w:tcPr>
            <w:tcW w:w="0" w:type="dxa"/>
            <w:vAlign w:val="bottom"/>
          </w:tcPr>
          <w:p>
            <w:pPr>
              <w:spacing w:after="0"/>
              <w:rPr>
                <w:sz w:val="1"/>
                <w:szCs w:val="1"/>
                <w:color w:val="auto"/>
              </w:rPr>
            </w:pPr>
          </w:p>
        </w:tc>
      </w:tr>
      <w:tr>
        <w:trPr>
          <w:trHeight w:val="256"/>
        </w:trPr>
        <w:tc>
          <w:tcPr>
            <w:tcW w:w="5840" w:type="dxa"/>
            <w:vAlign w:val="bottom"/>
          </w:tcPr>
          <w:p>
            <w:pPr>
              <w:spacing w:after="0"/>
              <w:rPr>
                <w:sz w:val="20"/>
                <w:szCs w:val="20"/>
                <w:color w:val="auto"/>
              </w:rPr>
            </w:pPr>
            <w:r>
              <w:rPr>
                <w:rFonts w:ascii="Arial" w:cs="Arial" w:eastAsia="Arial" w:hAnsi="Arial"/>
                <w:sz w:val="21"/>
                <w:szCs w:val="21"/>
                <w:color w:val="auto"/>
              </w:rPr>
              <w:t>Finished goods</w:t>
            </w: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64,480</w:t>
            </w:r>
          </w:p>
        </w:tc>
        <w:tc>
          <w:tcPr>
            <w:tcW w:w="3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6"/>
              <w:spacing w:after="0"/>
              <w:rPr>
                <w:sz w:val="20"/>
                <w:szCs w:val="20"/>
                <w:color w:val="auto"/>
              </w:rPr>
            </w:pPr>
            <w:r>
              <w:rPr>
                <w:rFonts w:ascii="Arial" w:cs="Arial" w:eastAsia="Arial" w:hAnsi="Arial"/>
                <w:sz w:val="21"/>
                <w:szCs w:val="21"/>
                <w:color w:val="auto"/>
              </w:rPr>
              <w:t>91,872</w:t>
            </w: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460" w:type="dxa"/>
            <w:vAlign w:val="bottom"/>
            <w:tcBorders>
              <w:bottom w:val="single" w:sz="8" w:color="auto"/>
            </w:tcBorders>
          </w:tcPr>
          <w:p>
            <w:pPr>
              <w:jc w:val="right"/>
              <w:ind w:right="156"/>
              <w:spacing w:after="0" w:line="237" w:lineRule="exact"/>
              <w:rPr>
                <w:sz w:val="20"/>
                <w:szCs w:val="20"/>
                <w:color w:val="auto"/>
              </w:rPr>
            </w:pPr>
            <w:r>
              <w:rPr>
                <w:rFonts w:ascii="Arial" w:cs="Arial" w:eastAsia="Arial" w:hAnsi="Arial"/>
                <w:sz w:val="21"/>
                <w:szCs w:val="21"/>
                <w:color w:val="auto"/>
              </w:rPr>
              <w:t>$</w:t>
            </w:r>
          </w:p>
        </w:tc>
        <w:tc>
          <w:tcPr>
            <w:tcW w:w="138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108,143</w:t>
            </w:r>
          </w:p>
        </w:tc>
        <w:tc>
          <w:tcPr>
            <w:tcW w:w="320" w:type="dxa"/>
            <w:vAlign w:val="bottom"/>
          </w:tcPr>
          <w:p>
            <w:pPr>
              <w:spacing w:after="0"/>
              <w:rPr>
                <w:sz w:val="20"/>
                <w:szCs w:val="20"/>
                <w:color w:val="auto"/>
              </w:rPr>
            </w:pPr>
          </w:p>
        </w:tc>
        <w:tc>
          <w:tcPr>
            <w:tcW w:w="420" w:type="dxa"/>
            <w:vAlign w:val="bottom"/>
            <w:tcBorders>
              <w:bottom w:val="single" w:sz="8" w:color="auto"/>
            </w:tcBorders>
          </w:tcPr>
          <w:p>
            <w:pPr>
              <w:jc w:val="right"/>
              <w:ind w:right="96"/>
              <w:spacing w:after="0" w:line="237" w:lineRule="exact"/>
              <w:rPr>
                <w:sz w:val="20"/>
                <w:szCs w:val="20"/>
                <w:color w:val="auto"/>
              </w:rPr>
            </w:pPr>
            <w:r>
              <w:rPr>
                <w:rFonts w:ascii="Arial" w:cs="Arial" w:eastAsia="Arial" w:hAnsi="Arial"/>
                <w:sz w:val="21"/>
                <w:szCs w:val="21"/>
                <w:color w:val="auto"/>
              </w:rPr>
              <w:t>$</w:t>
            </w:r>
          </w:p>
        </w:tc>
        <w:tc>
          <w:tcPr>
            <w:tcW w:w="1340" w:type="dxa"/>
            <w:vAlign w:val="bottom"/>
            <w:tcBorders>
              <w:bottom w:val="single" w:sz="8" w:color="auto"/>
            </w:tcBorders>
          </w:tcPr>
          <w:p>
            <w:pPr>
              <w:jc w:val="right"/>
              <w:ind w:right="116"/>
              <w:spacing w:after="0" w:line="237" w:lineRule="exact"/>
              <w:rPr>
                <w:sz w:val="20"/>
                <w:szCs w:val="20"/>
                <w:color w:val="auto"/>
              </w:rPr>
            </w:pPr>
            <w:r>
              <w:rPr>
                <w:rFonts w:ascii="Arial" w:cs="Arial" w:eastAsia="Arial" w:hAnsi="Arial"/>
                <w:sz w:val="21"/>
                <w:szCs w:val="21"/>
                <w:color w:val="auto"/>
              </w:rPr>
              <w:t>116,326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 December 31:</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5840" w:type="dxa"/>
            <w:vAlign w:val="bottom"/>
            <w:vMerge w:val="restart"/>
          </w:tcPr>
          <w:p>
            <w:pPr>
              <w:spacing w:after="0"/>
              <w:rPr>
                <w:sz w:val="20"/>
                <w:szCs w:val="20"/>
                <w:color w:val="auto"/>
              </w:rPr>
            </w:pPr>
            <w:r>
              <w:rPr>
                <w:rFonts w:ascii="Arial" w:cs="Arial" w:eastAsia="Arial" w:hAnsi="Arial"/>
                <w:sz w:val="21"/>
                <w:szCs w:val="21"/>
                <w:color w:val="auto"/>
              </w:rPr>
              <w:t>Land</w:t>
            </w:r>
          </w:p>
        </w:tc>
        <w:tc>
          <w:tcPr>
            <w:tcW w:w="4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16"/>
              <w:spacing w:after="0"/>
              <w:rPr>
                <w:sz w:val="20"/>
                <w:szCs w:val="20"/>
                <w:color w:val="auto"/>
              </w:rPr>
            </w:pPr>
            <w:r>
              <w:rPr>
                <w:rFonts w:ascii="Arial" w:cs="Arial" w:eastAsia="Arial" w:hAnsi="Arial"/>
                <w:sz w:val="21"/>
                <w:szCs w:val="21"/>
                <w:color w:val="auto"/>
              </w:rPr>
              <w:t>2009</w:t>
            </w:r>
          </w:p>
        </w:tc>
        <w:tc>
          <w:tcPr>
            <w:tcW w:w="3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21"/>
                <w:szCs w:val="21"/>
                <w:color w:val="auto"/>
              </w:rPr>
              <w:t>2008</w:t>
            </w: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80" w:type="dxa"/>
            <w:vAlign w:val="bottom"/>
          </w:tcPr>
          <w:p>
            <w:pPr>
              <w:jc w:val="right"/>
              <w:ind w:right="136"/>
              <w:spacing w:after="0" w:line="223" w:lineRule="exact"/>
              <w:rPr>
                <w:sz w:val="20"/>
                <w:szCs w:val="20"/>
                <w:color w:val="auto"/>
              </w:rPr>
            </w:pPr>
            <w:r>
              <w:rPr>
                <w:rFonts w:ascii="Arial" w:cs="Arial" w:eastAsia="Arial" w:hAnsi="Arial"/>
                <w:sz w:val="21"/>
                <w:szCs w:val="21"/>
                <w:color w:val="auto"/>
              </w:rPr>
              <w:t>$</w:t>
            </w:r>
          </w:p>
        </w:tc>
        <w:tc>
          <w:tcPr>
            <w:tcW w:w="1380" w:type="dxa"/>
            <w:vAlign w:val="bottom"/>
          </w:tcPr>
          <w:p>
            <w:pPr>
              <w:jc w:val="right"/>
              <w:ind w:right="36"/>
              <w:spacing w:after="0" w:line="223" w:lineRule="exact"/>
              <w:rPr>
                <w:sz w:val="20"/>
                <w:szCs w:val="20"/>
                <w:color w:val="auto"/>
              </w:rPr>
            </w:pPr>
            <w:r>
              <w:rPr>
                <w:rFonts w:ascii="Arial" w:cs="Arial" w:eastAsia="Arial" w:hAnsi="Arial"/>
                <w:sz w:val="21"/>
                <w:szCs w:val="21"/>
                <w:color w:val="auto"/>
              </w:rPr>
              <w:t>3,076</w:t>
            </w:r>
          </w:p>
        </w:tc>
        <w:tc>
          <w:tcPr>
            <w:tcW w:w="320" w:type="dxa"/>
            <w:vAlign w:val="bottom"/>
          </w:tcPr>
          <w:p>
            <w:pPr>
              <w:spacing w:after="0"/>
              <w:rPr>
                <w:sz w:val="19"/>
                <w:szCs w:val="19"/>
                <w:color w:val="auto"/>
              </w:rPr>
            </w:pPr>
          </w:p>
        </w:tc>
        <w:tc>
          <w:tcPr>
            <w:tcW w:w="420" w:type="dxa"/>
            <w:vAlign w:val="bottom"/>
          </w:tcPr>
          <w:p>
            <w:pPr>
              <w:jc w:val="right"/>
              <w:ind w:right="96"/>
              <w:spacing w:after="0" w:line="223" w:lineRule="exact"/>
              <w:rPr>
                <w:sz w:val="20"/>
                <w:szCs w:val="20"/>
                <w:color w:val="auto"/>
              </w:rPr>
            </w:pPr>
            <w:r>
              <w:rPr>
                <w:rFonts w:ascii="Arial" w:cs="Arial" w:eastAsia="Arial" w:hAnsi="Arial"/>
                <w:sz w:val="21"/>
                <w:szCs w:val="21"/>
                <w:color w:val="auto"/>
              </w:rPr>
              <w:t>$</w:t>
            </w:r>
          </w:p>
        </w:tc>
        <w:tc>
          <w:tcPr>
            <w:tcW w:w="1240" w:type="dxa"/>
            <w:vAlign w:val="bottom"/>
          </w:tcPr>
          <w:p>
            <w:pPr>
              <w:jc w:val="right"/>
              <w:ind w:right="16"/>
              <w:spacing w:after="0" w:line="223" w:lineRule="exact"/>
              <w:rPr>
                <w:sz w:val="20"/>
                <w:szCs w:val="20"/>
                <w:color w:val="auto"/>
              </w:rPr>
            </w:pPr>
            <w:r>
              <w:rPr>
                <w:rFonts w:ascii="Arial" w:cs="Arial" w:eastAsia="Arial" w:hAnsi="Arial"/>
                <w:sz w:val="21"/>
                <w:szCs w:val="21"/>
                <w:color w:val="auto"/>
              </w:rPr>
              <w:t>1,417</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21"/>
                <w:szCs w:val="21"/>
                <w:color w:val="auto"/>
              </w:rPr>
              <w:t>Leasehold improvements</w:t>
            </w:r>
          </w:p>
        </w:tc>
        <w:tc>
          <w:tcPr>
            <w:tcW w:w="48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21"/>
                <w:szCs w:val="21"/>
                <w:color w:val="auto"/>
              </w:rPr>
              <w:t>2,365</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21"/>
                <w:szCs w:val="21"/>
                <w:color w:val="auto"/>
              </w:rPr>
              <w:t>2,112</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21"/>
                <w:szCs w:val="21"/>
                <w:color w:val="auto"/>
              </w:rPr>
              <w:t>Furniture and fixtures</w:t>
            </w:r>
          </w:p>
        </w:tc>
        <w:tc>
          <w:tcPr>
            <w:tcW w:w="48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21"/>
                <w:szCs w:val="21"/>
                <w:color w:val="auto"/>
              </w:rPr>
              <w:t>1,752</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21"/>
                <w:szCs w:val="21"/>
                <w:color w:val="auto"/>
              </w:rPr>
              <w:t>1,182</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21"/>
                <w:szCs w:val="21"/>
                <w:color w:val="auto"/>
              </w:rPr>
              <w:t>Office and computer equipment</w:t>
            </w:r>
          </w:p>
        </w:tc>
        <w:tc>
          <w:tcPr>
            <w:tcW w:w="48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21"/>
                <w:szCs w:val="21"/>
                <w:color w:val="auto"/>
              </w:rPr>
              <w:t>5,585</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21"/>
                <w:szCs w:val="21"/>
                <w:color w:val="auto"/>
              </w:rPr>
              <w:t>2,998</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21"/>
                <w:szCs w:val="21"/>
                <w:color w:val="auto"/>
              </w:rPr>
              <w:t>Computer software</w:t>
            </w:r>
          </w:p>
        </w:tc>
        <w:tc>
          <w:tcPr>
            <w:tcW w:w="48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21"/>
                <w:szCs w:val="21"/>
                <w:color w:val="auto"/>
              </w:rPr>
              <w:t>8,313</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21"/>
                <w:szCs w:val="21"/>
                <w:color w:val="auto"/>
              </w:rPr>
              <w:t>1,845</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21"/>
                <w:szCs w:val="21"/>
                <w:color w:val="auto"/>
              </w:rPr>
              <w:t>Equipment</w:t>
            </w:r>
          </w:p>
        </w:tc>
        <w:tc>
          <w:tcPr>
            <w:tcW w:w="48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21"/>
                <w:szCs w:val="21"/>
                <w:color w:val="auto"/>
              </w:rPr>
              <w:t>12,377</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21"/>
                <w:szCs w:val="21"/>
                <w:color w:val="auto"/>
              </w:rPr>
              <w:t>3,850</w:t>
            </w:r>
          </w:p>
        </w:tc>
        <w:tc>
          <w:tcPr>
            <w:tcW w:w="0" w:type="dxa"/>
            <w:vAlign w:val="bottom"/>
          </w:tcPr>
          <w:p>
            <w:pPr>
              <w:spacing w:after="0"/>
              <w:rPr>
                <w:sz w:val="1"/>
                <w:szCs w:val="1"/>
                <w:color w:val="auto"/>
              </w:rPr>
            </w:pPr>
          </w:p>
        </w:tc>
      </w:tr>
      <w:tr>
        <w:trPr>
          <w:trHeight w:val="256"/>
        </w:trPr>
        <w:tc>
          <w:tcPr>
            <w:tcW w:w="5840" w:type="dxa"/>
            <w:vAlign w:val="bottom"/>
          </w:tcPr>
          <w:p>
            <w:pPr>
              <w:spacing w:after="0"/>
              <w:rPr>
                <w:sz w:val="20"/>
                <w:szCs w:val="20"/>
                <w:color w:val="auto"/>
              </w:rPr>
            </w:pPr>
            <w:r>
              <w:rPr>
                <w:rFonts w:ascii="Arial" w:cs="Arial" w:eastAsia="Arial" w:hAnsi="Arial"/>
                <w:sz w:val="21"/>
                <w:szCs w:val="21"/>
                <w:color w:val="auto"/>
              </w:rPr>
              <w:t>Vehicles</w:t>
            </w:r>
          </w:p>
        </w:tc>
        <w:tc>
          <w:tcPr>
            <w:tcW w:w="4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21"/>
                <w:szCs w:val="21"/>
                <w:color w:val="auto"/>
              </w:rPr>
              <w:t>12,170</w:t>
            </w:r>
          </w:p>
        </w:tc>
        <w:tc>
          <w:tcPr>
            <w:tcW w:w="3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8,175</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ind w:right="36"/>
              <w:spacing w:after="0" w:line="223" w:lineRule="exact"/>
              <w:rPr>
                <w:sz w:val="20"/>
                <w:szCs w:val="20"/>
                <w:color w:val="auto"/>
              </w:rPr>
            </w:pPr>
            <w:r>
              <w:rPr>
                <w:rFonts w:ascii="Arial" w:cs="Arial" w:eastAsia="Arial" w:hAnsi="Arial"/>
                <w:sz w:val="21"/>
                <w:szCs w:val="21"/>
                <w:color w:val="auto"/>
              </w:rPr>
              <w:t>45,638</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ind w:right="16"/>
              <w:spacing w:after="0" w:line="223" w:lineRule="exact"/>
              <w:rPr>
                <w:sz w:val="20"/>
                <w:szCs w:val="20"/>
                <w:color w:val="auto"/>
              </w:rPr>
            </w:pPr>
            <w:r>
              <w:rPr>
                <w:rFonts w:ascii="Arial" w:cs="Arial" w:eastAsia="Arial" w:hAnsi="Arial"/>
                <w:sz w:val="21"/>
                <w:szCs w:val="21"/>
                <w:color w:val="auto"/>
              </w:rPr>
              <w:t>21,579</w:t>
            </w:r>
          </w:p>
        </w:tc>
        <w:tc>
          <w:tcPr>
            <w:tcW w:w="0" w:type="dxa"/>
            <w:vAlign w:val="bottom"/>
          </w:tcPr>
          <w:p>
            <w:pPr>
              <w:spacing w:after="0"/>
              <w:rPr>
                <w:sz w:val="1"/>
                <w:szCs w:val="1"/>
                <w:color w:val="auto"/>
              </w:rPr>
            </w:pPr>
          </w:p>
        </w:tc>
      </w:tr>
      <w:tr>
        <w:trPr>
          <w:trHeight w:val="256"/>
        </w:trPr>
        <w:tc>
          <w:tcPr>
            <w:tcW w:w="5840" w:type="dxa"/>
            <w:vAlign w:val="bottom"/>
          </w:tcPr>
          <w:p>
            <w:pPr>
              <w:spacing w:after="0"/>
              <w:rPr>
                <w:sz w:val="20"/>
                <w:szCs w:val="20"/>
                <w:color w:val="auto"/>
              </w:rPr>
            </w:pPr>
            <w:r>
              <w:rPr>
                <w:rFonts w:ascii="Arial" w:cs="Arial" w:eastAsia="Arial" w:hAnsi="Arial"/>
                <w:sz w:val="21"/>
                <w:szCs w:val="21"/>
                <w:color w:val="auto"/>
              </w:rPr>
              <w:t>Less: accumulated depreciation and amortization</w:t>
            </w:r>
          </w:p>
        </w:tc>
        <w:tc>
          <w:tcPr>
            <w:tcW w:w="4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(12,324)</w:t>
            </w:r>
          </w:p>
        </w:tc>
        <w:tc>
          <w:tcPr>
            <w:tcW w:w="3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(7,190)</w:t>
            </w: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480" w:type="dxa"/>
            <w:vAlign w:val="bottom"/>
            <w:tcBorders>
              <w:bottom w:val="single" w:sz="8" w:color="auto"/>
            </w:tcBorders>
          </w:tcPr>
          <w:p>
            <w:pPr>
              <w:jc w:val="right"/>
              <w:ind w:right="136"/>
              <w:spacing w:after="0" w:line="237" w:lineRule="exact"/>
              <w:rPr>
                <w:sz w:val="20"/>
                <w:szCs w:val="20"/>
                <w:color w:val="auto"/>
              </w:rPr>
            </w:pPr>
            <w:r>
              <w:rPr>
                <w:rFonts w:ascii="Arial" w:cs="Arial" w:eastAsia="Arial" w:hAnsi="Arial"/>
                <w:sz w:val="21"/>
                <w:szCs w:val="21"/>
                <w:color w:val="auto"/>
              </w:rPr>
              <w:t>$</w:t>
            </w:r>
          </w:p>
        </w:tc>
        <w:tc>
          <w:tcPr>
            <w:tcW w:w="138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33,314</w:t>
            </w:r>
          </w:p>
        </w:tc>
        <w:tc>
          <w:tcPr>
            <w:tcW w:w="320" w:type="dxa"/>
            <w:vAlign w:val="bottom"/>
          </w:tcPr>
          <w:p>
            <w:pPr>
              <w:spacing w:after="0"/>
              <w:rPr>
                <w:sz w:val="20"/>
                <w:szCs w:val="20"/>
                <w:color w:val="auto"/>
              </w:rPr>
            </w:pPr>
          </w:p>
        </w:tc>
        <w:tc>
          <w:tcPr>
            <w:tcW w:w="420" w:type="dxa"/>
            <w:vAlign w:val="bottom"/>
            <w:tcBorders>
              <w:bottom w:val="single" w:sz="8" w:color="auto"/>
            </w:tcBorders>
          </w:tcPr>
          <w:p>
            <w:pPr>
              <w:jc w:val="right"/>
              <w:ind w:right="96"/>
              <w:spacing w:after="0" w:line="237" w:lineRule="exact"/>
              <w:rPr>
                <w:sz w:val="20"/>
                <w:szCs w:val="20"/>
                <w:color w:val="auto"/>
              </w:rPr>
            </w:pPr>
            <w:r>
              <w:rPr>
                <w:rFonts w:ascii="Arial" w:cs="Arial" w:eastAsia="Arial" w:hAnsi="Arial"/>
                <w:sz w:val="21"/>
                <w:szCs w:val="21"/>
                <w:color w:val="auto"/>
              </w:rPr>
              <w:t>$</w:t>
            </w:r>
          </w:p>
        </w:tc>
        <w:tc>
          <w:tcPr>
            <w:tcW w:w="124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14,389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INTANGIBLES,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provides additional information concerning the Company’s intangibles as of December 31:</w:t>
      </w:r>
    </w:p>
    <w:p>
      <w:pPr>
        <w:spacing w:after="0" w:line="219" w:lineRule="exact"/>
        <w:rPr>
          <w:sz w:val="20"/>
          <w:szCs w:val="20"/>
          <w:color w:val="auto"/>
        </w:rPr>
      </w:pPr>
    </w:p>
    <w:p>
      <w:pPr>
        <w:ind w:left="7200"/>
        <w:spacing w:after="0"/>
        <w:tabs>
          <w:tab w:leader="none" w:pos="9260" w:val="left"/>
        </w:tabs>
        <w:rPr>
          <w:sz w:val="20"/>
          <w:szCs w:val="20"/>
          <w:color w:val="auto"/>
        </w:rPr>
      </w:pPr>
      <w:r>
        <w:rPr>
          <w:rFonts w:ascii="Arial" w:cs="Arial" w:eastAsia="Arial" w:hAnsi="Arial"/>
          <w:sz w:val="21"/>
          <w:szCs w:val="21"/>
          <w:color w:val="auto"/>
        </w:rPr>
        <w:t>2009</w:t>
      </w:r>
      <w:r>
        <w:rPr>
          <w:sz w:val="20"/>
          <w:szCs w:val="20"/>
          <w:color w:val="auto"/>
        </w:rPr>
        <w:tab/>
      </w:r>
      <w:r>
        <w:rPr>
          <w:rFonts w:ascii="Arial" w:cs="Arial" w:eastAsia="Arial" w:hAnsi="Arial"/>
          <w:sz w:val="21"/>
          <w:szCs w:val="2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9525</wp:posOffset>
            </wp:positionV>
            <wp:extent cx="24269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660"/>
        <w:spacing w:after="0"/>
        <w:tabs>
          <w:tab w:leader="none" w:pos="6640" w:val="left"/>
          <w:tab w:leader="none" w:pos="7720" w:val="left"/>
          <w:tab w:leader="none" w:pos="8800" w:val="left"/>
          <w:tab w:leader="none" w:pos="9720" w:val="left"/>
        </w:tabs>
        <w:rPr>
          <w:sz w:val="20"/>
          <w:szCs w:val="20"/>
          <w:color w:val="auto"/>
        </w:rPr>
      </w:pPr>
      <w:r>
        <w:rPr>
          <w:rFonts w:ascii="Arial" w:cs="Arial" w:eastAsia="Arial" w:hAnsi="Arial"/>
          <w:sz w:val="21"/>
          <w:szCs w:val="21"/>
          <w:color w:val="auto"/>
        </w:rPr>
        <w:t>Amortizing intangibles</w:t>
      </w:r>
      <w:r>
        <w:rPr>
          <w:sz w:val="20"/>
          <w:szCs w:val="20"/>
          <w:color w:val="auto"/>
        </w:rPr>
        <w:tab/>
      </w:r>
      <w:r>
        <w:rPr>
          <w:rFonts w:ascii="Arial" w:cs="Arial" w:eastAsia="Arial" w:hAnsi="Arial"/>
          <w:sz w:val="21"/>
          <w:szCs w:val="21"/>
          <w:color w:val="auto"/>
        </w:rPr>
        <w:t>$</w:t>
      </w:r>
      <w:r>
        <w:rPr>
          <w:sz w:val="20"/>
          <w:szCs w:val="20"/>
          <w:color w:val="auto"/>
        </w:rPr>
        <w:tab/>
      </w:r>
      <w:r>
        <w:rPr>
          <w:rFonts w:ascii="Arial" w:cs="Arial" w:eastAsia="Arial" w:hAnsi="Arial"/>
          <w:sz w:val="21"/>
          <w:szCs w:val="21"/>
          <w:color w:val="auto"/>
        </w:rPr>
        <w:t>1,073</w:t>
      </w:r>
      <w:r>
        <w:rPr>
          <w:sz w:val="20"/>
          <w:szCs w:val="20"/>
          <w:color w:val="auto"/>
        </w:rPr>
        <w:tab/>
      </w:r>
      <w:r>
        <w:rPr>
          <w:rFonts w:ascii="Arial" w:cs="Arial" w:eastAsia="Arial" w:hAnsi="Arial"/>
          <w:sz w:val="21"/>
          <w:szCs w:val="21"/>
          <w:color w:val="auto"/>
        </w:rPr>
        <w:t>$</w:t>
      </w:r>
      <w:r>
        <w:rPr>
          <w:sz w:val="20"/>
          <w:szCs w:val="20"/>
          <w:color w:val="auto"/>
        </w:rPr>
        <w:tab/>
      </w:r>
      <w:r>
        <w:rPr>
          <w:rFonts w:ascii="Arial" w:cs="Arial" w:eastAsia="Arial" w:hAnsi="Arial"/>
          <w:sz w:val="18"/>
          <w:szCs w:val="18"/>
          <w:color w:val="auto"/>
        </w:rPr>
        <w:t>1,169</w:t>
      </w:r>
    </w:p>
    <w:p>
      <w:pPr>
        <w:sectPr>
          <w:pgSz w:w="11900" w:h="16838" w:orient="portrait"/>
          <w:cols w:equalWidth="0" w:num="1">
            <w:col w:w="11460"/>
          </w:cols>
          <w:pgMar w:left="240" w:top="122" w:right="199" w:bottom="0" w:gutter="0" w:footer="0" w:header="0"/>
        </w:sectPr>
      </w:pPr>
    </w:p>
    <w:bookmarkStart w:id="57" w:name="page58"/>
    <w:bookmarkEnd w:id="57"/>
    <w:tbl>
      <w:tblPr>
        <w:tblLayout w:type="fixed"/>
        <w:tblInd w:w="660" w:type="dxa"/>
        <w:tblCellMar>
          <w:top w:w="0" w:type="dxa"/>
          <w:left w:w="0" w:type="dxa"/>
          <w:bottom w:w="0" w:type="dxa"/>
          <w:right w:w="0" w:type="dxa"/>
        </w:tblCellMar>
      </w:tblPr>
      <w:tr>
        <w:trPr>
          <w:trHeight w:val="256"/>
        </w:trPr>
        <w:tc>
          <w:tcPr>
            <w:tcW w:w="6540" w:type="dxa"/>
            <w:vAlign w:val="bottom"/>
            <w:gridSpan w:val="2"/>
          </w:tcPr>
          <w:p>
            <w:pPr>
              <w:spacing w:after="0"/>
              <w:rPr>
                <w:sz w:val="20"/>
                <w:szCs w:val="20"/>
                <w:color w:val="auto"/>
              </w:rPr>
            </w:pPr>
            <w:r>
              <w:rPr>
                <w:rFonts w:ascii="Arial" w:cs="Arial" w:eastAsia="Arial" w:hAnsi="Arial"/>
                <w:sz w:val="21"/>
                <w:szCs w:val="21"/>
                <w:color w:val="auto"/>
              </w:rPr>
              <w:t>Accumulated amortization</w:t>
            </w:r>
          </w:p>
        </w:tc>
        <w:tc>
          <w:tcPr>
            <w:tcW w:w="1120" w:type="dxa"/>
            <w:vAlign w:val="bottom"/>
          </w:tcPr>
          <w:p>
            <w:pPr>
              <w:jc w:val="right"/>
              <w:spacing w:after="0"/>
              <w:rPr>
                <w:sz w:val="20"/>
                <w:szCs w:val="20"/>
                <w:color w:val="auto"/>
              </w:rPr>
            </w:pPr>
            <w:r>
              <w:rPr>
                <w:rFonts w:ascii="Arial" w:cs="Arial" w:eastAsia="Arial" w:hAnsi="Arial"/>
                <w:sz w:val="21"/>
                <w:szCs w:val="21"/>
                <w:color w:val="auto"/>
              </w:rPr>
              <w:t>(414)</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1"/>
                <w:szCs w:val="21"/>
                <w:color w:val="auto"/>
              </w:rPr>
              <w:t>(456)</w:t>
            </w:r>
          </w:p>
        </w:tc>
      </w:tr>
      <w:tr>
        <w:trPr>
          <w:trHeight w:val="223"/>
        </w:trPr>
        <w:tc>
          <w:tcPr>
            <w:tcW w:w="58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6"/>
              <w:spacing w:after="0" w:line="223" w:lineRule="exact"/>
              <w:rPr>
                <w:sz w:val="20"/>
                <w:szCs w:val="20"/>
                <w:color w:val="auto"/>
              </w:rPr>
            </w:pPr>
            <w:r>
              <w:rPr>
                <w:rFonts w:ascii="Arial" w:cs="Arial" w:eastAsia="Arial" w:hAnsi="Arial"/>
                <w:sz w:val="21"/>
                <w:szCs w:val="21"/>
                <w:color w:val="auto"/>
              </w:rPr>
              <w:t>659</w:t>
            </w:r>
          </w:p>
        </w:tc>
        <w:tc>
          <w:tcPr>
            <w:tcW w:w="3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6"/>
              <w:spacing w:after="0" w:line="223" w:lineRule="exact"/>
              <w:rPr>
                <w:sz w:val="20"/>
                <w:szCs w:val="20"/>
                <w:color w:val="auto"/>
              </w:rPr>
            </w:pPr>
            <w:r>
              <w:rPr>
                <w:rFonts w:ascii="Arial" w:cs="Arial" w:eastAsia="Arial" w:hAnsi="Arial"/>
                <w:sz w:val="21"/>
                <w:szCs w:val="21"/>
                <w:color w:val="auto"/>
              </w:rPr>
              <w:t>713</w:t>
            </w:r>
          </w:p>
        </w:tc>
      </w:tr>
      <w:tr>
        <w:trPr>
          <w:trHeight w:val="256"/>
        </w:trPr>
        <w:tc>
          <w:tcPr>
            <w:tcW w:w="6540" w:type="dxa"/>
            <w:vAlign w:val="bottom"/>
            <w:gridSpan w:val="2"/>
          </w:tcPr>
          <w:p>
            <w:pPr>
              <w:spacing w:after="0"/>
              <w:rPr>
                <w:sz w:val="20"/>
                <w:szCs w:val="20"/>
                <w:color w:val="auto"/>
              </w:rPr>
            </w:pPr>
            <w:r>
              <w:rPr>
                <w:rFonts w:ascii="Arial" w:cs="Arial" w:eastAsia="Arial" w:hAnsi="Arial"/>
                <w:sz w:val="21"/>
                <w:szCs w:val="21"/>
                <w:color w:val="auto"/>
              </w:rPr>
              <w:t>Non-amortizing trademarks</w:t>
            </w:r>
          </w:p>
        </w:tc>
        <w:tc>
          <w:tcPr>
            <w:tcW w:w="1120" w:type="dxa"/>
            <w:vAlign w:val="bottom"/>
          </w:tcPr>
          <w:p>
            <w:pPr>
              <w:jc w:val="right"/>
              <w:ind w:right="16"/>
              <w:spacing w:after="0"/>
              <w:rPr>
                <w:sz w:val="20"/>
                <w:szCs w:val="20"/>
                <w:color w:val="auto"/>
              </w:rPr>
            </w:pPr>
            <w:r>
              <w:rPr>
                <w:rFonts w:ascii="Arial" w:cs="Arial" w:eastAsia="Arial" w:hAnsi="Arial"/>
                <w:sz w:val="21"/>
                <w:szCs w:val="21"/>
                <w:color w:val="auto"/>
              </w:rPr>
              <w:t>32,853</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21"/>
                <w:szCs w:val="21"/>
                <w:color w:val="auto"/>
              </w:rPr>
              <w:t>27,652</w:t>
            </w:r>
          </w:p>
        </w:tc>
      </w:tr>
      <w:tr>
        <w:trPr>
          <w:trHeight w:val="237"/>
        </w:trPr>
        <w:tc>
          <w:tcPr>
            <w:tcW w:w="58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ind w:right="336"/>
              <w:spacing w:after="0" w:line="237" w:lineRule="exact"/>
              <w:rPr>
                <w:sz w:val="20"/>
                <w:szCs w:val="20"/>
                <w:color w:val="auto"/>
              </w:rPr>
            </w:pPr>
            <w:r>
              <w:rPr>
                <w:rFonts w:ascii="Arial" w:cs="Arial" w:eastAsia="Arial" w:hAnsi="Arial"/>
                <w:sz w:val="21"/>
                <w:szCs w:val="21"/>
                <w:color w:val="auto"/>
              </w:rPr>
              <w:t>$</w:t>
            </w:r>
          </w:p>
        </w:tc>
        <w:tc>
          <w:tcPr>
            <w:tcW w:w="1120" w:type="dxa"/>
            <w:vAlign w:val="bottom"/>
            <w:tcBorders>
              <w:top w:val="single" w:sz="8" w:color="auto"/>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33,512</w:t>
            </w:r>
          </w:p>
        </w:tc>
        <w:tc>
          <w:tcPr>
            <w:tcW w:w="3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ind w:right="256"/>
              <w:spacing w:after="0" w:line="237" w:lineRule="exact"/>
              <w:rPr>
                <w:sz w:val="20"/>
                <w:szCs w:val="20"/>
                <w:color w:val="auto"/>
              </w:rPr>
            </w:pPr>
            <w:r>
              <w:rPr>
                <w:rFonts w:ascii="Arial" w:cs="Arial" w:eastAsia="Arial" w:hAnsi="Arial"/>
                <w:sz w:val="21"/>
                <w:szCs w:val="21"/>
                <w:color w:val="auto"/>
              </w:rPr>
              <w:t>$</w:t>
            </w:r>
          </w:p>
        </w:tc>
        <w:tc>
          <w:tcPr>
            <w:tcW w:w="1040" w:type="dxa"/>
            <w:vAlign w:val="bottom"/>
            <w:tcBorders>
              <w:top w:val="single" w:sz="8" w:color="auto"/>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28,365</w:t>
            </w:r>
          </w:p>
        </w:tc>
      </w:tr>
      <w:tr>
        <w:trPr>
          <w:trHeight w:val="20"/>
        </w:trPr>
        <w:tc>
          <w:tcPr>
            <w:tcW w:w="5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All amortizing trademarks have been assigned an estimated finite useful life and such trademarks are amortized on a straight-line basis over the number of years that approximate their respective useful lives ranging from one to 25 years (weighted-average life of 20 years). Total amortization expense recorded was $0.07 million, $0.06 million and $0.06 million for the years ended December 31, 2009, 2008 and 2007, respectively. As of December 31, 2009, future estimated amortization expense related to amortizing trademarks through the year ending December 31, 2014 is approximately $0.05 million per year.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8"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DEBT</w:t>
      </w:r>
    </w:p>
    <w:p>
      <w:pPr>
        <w:spacing w:after="0" w:line="22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HBC has a credit facility with Comerica Bank (“Comerica”) consisting of a revolving line of credit which was amended in May 2007. In accordance with the amended provisions of the credit facility, HBC increased its available borrowings under the revolving line of credit to $10.0 million of non-collateralized debt. The revolving line of credit is effective through June 1, 2010. Interest on borrowings under the line of credit is based on Comerica’s base (prime) rate minus up to 1.5%, or varying London Interbank Offered Rates (“LIBOR”) up to 180 days, plus an additional percentage of up to 1.75%, depending upon certain financial ratios maintained by HBC. The Company had no outstanding borrowings on this line of credit at December 31, 2009 and 2008. Letters of credit issued on behalf of the Company totaling $0.2 million and $0.3 million under this credit facility were outstanding as of December 31, 2009 and 2008, respectively.</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terms of the Company’s line of credit contain certain financial covenants, including certain financial ratios. The Company was in compliance with these covenants at December 31, 2009.</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If any event of default shall occur for any reason, whether voluntary or involuntary, Comerica may declare all or any portion outstanding on the line of credit immediately due and payable, exercise rights and remedies available to them, including instituting legal proceedings.</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7080" w:type="dxa"/>
            <w:vAlign w:val="bottom"/>
          </w:tcPr>
          <w:p>
            <w:pPr>
              <w:spacing w:after="0"/>
              <w:rPr>
                <w:sz w:val="20"/>
                <w:szCs w:val="20"/>
                <w:color w:val="auto"/>
              </w:rPr>
            </w:pPr>
            <w:r>
              <w:rPr>
                <w:rFonts w:ascii="Arial" w:cs="Arial" w:eastAsia="Arial" w:hAnsi="Arial"/>
                <w:sz w:val="20"/>
                <w:szCs w:val="20"/>
                <w:color w:val="auto"/>
              </w:rPr>
              <w:t>Debt consists of the following at December 31:</w:t>
            </w: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401"/>
        </w:trPr>
        <w:tc>
          <w:tcPr>
            <w:tcW w:w="7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20"/>
                <w:szCs w:val="20"/>
                <w:color w:val="auto"/>
                <w:w w:val="80"/>
              </w:rPr>
              <w:t>2009</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w w:val="85"/>
              </w:rPr>
              <w:t>2008</w:t>
            </w:r>
          </w:p>
        </w:tc>
        <w:tc>
          <w:tcPr>
            <w:tcW w:w="640" w:type="dxa"/>
            <w:vAlign w:val="bottom"/>
          </w:tcPr>
          <w:p>
            <w:pPr>
              <w:spacing w:after="0"/>
              <w:rPr>
                <w:sz w:val="24"/>
                <w:szCs w:val="24"/>
                <w:color w:val="auto"/>
              </w:rPr>
            </w:pPr>
          </w:p>
        </w:tc>
      </w:tr>
      <w:tr>
        <w:trPr>
          <w:trHeight w:val="665"/>
        </w:trPr>
        <w:tc>
          <w:tcPr>
            <w:tcW w:w="7080" w:type="dxa"/>
            <w:vAlign w:val="bottom"/>
          </w:tcPr>
          <w:p>
            <w:pPr>
              <w:spacing w:after="0"/>
              <w:rPr>
                <w:sz w:val="20"/>
                <w:szCs w:val="20"/>
                <w:color w:val="auto"/>
              </w:rPr>
            </w:pPr>
            <w:r>
              <w:rPr>
                <w:rFonts w:ascii="Arial" w:cs="Arial" w:eastAsia="Arial" w:hAnsi="Arial"/>
                <w:sz w:val="20"/>
                <w:szCs w:val="20"/>
                <w:color w:val="auto"/>
              </w:rPr>
              <w:t>Capital leases, collateralized by vehicles, payable over 12 months in monthly</w:t>
            </w:r>
          </w:p>
        </w:tc>
        <w:tc>
          <w:tcPr>
            <w:tcW w:w="6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20"/>
                <w:szCs w:val="20"/>
                <w:color w:val="auto"/>
                <w:w w:val="96"/>
              </w:rPr>
              <w:t>installments at various effective interest rates ranging from 4.6% to 8.6%, with final</w:t>
            </w: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46"/>
        </w:trPr>
        <w:tc>
          <w:tcPr>
            <w:tcW w:w="7080" w:type="dxa"/>
            <w:vAlign w:val="bottom"/>
          </w:tcPr>
          <w:p>
            <w:pPr>
              <w:spacing w:after="0"/>
              <w:rPr>
                <w:sz w:val="20"/>
                <w:szCs w:val="20"/>
                <w:color w:val="auto"/>
              </w:rPr>
            </w:pPr>
            <w:r>
              <w:rPr>
                <w:rFonts w:ascii="Arial" w:cs="Arial" w:eastAsia="Arial" w:hAnsi="Arial"/>
                <w:sz w:val="20"/>
                <w:szCs w:val="20"/>
                <w:color w:val="auto"/>
              </w:rPr>
              <w:t>payments ending on or before December 31, 2010.</w:t>
            </w:r>
          </w:p>
        </w:tc>
        <w:tc>
          <w:tcPr>
            <w:tcW w:w="60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206</w:t>
            </w:r>
          </w:p>
        </w:tc>
        <w:tc>
          <w:tcPr>
            <w:tcW w:w="6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Borders>
              <w:bottom w:val="single" w:sz="8" w:color="auto"/>
            </w:tcBorders>
          </w:tcPr>
          <w:p>
            <w:pPr>
              <w:jc w:val="right"/>
              <w:ind w:right="305"/>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959</w:t>
            </w:r>
          </w:p>
        </w:tc>
        <w:tc>
          <w:tcPr>
            <w:tcW w:w="640" w:type="dxa"/>
            <w:vAlign w:val="bottom"/>
            <w:tcBorders>
              <w:bottom w:val="single" w:sz="8" w:color="auto"/>
            </w:tcBorders>
          </w:tcPr>
          <w:p>
            <w:pPr>
              <w:spacing w:after="0"/>
              <w:rPr>
                <w:sz w:val="21"/>
                <w:szCs w:val="21"/>
                <w:color w:val="auto"/>
              </w:rPr>
            </w:pPr>
          </w:p>
        </w:tc>
      </w:tr>
      <w:tr>
        <w:trPr>
          <w:trHeight w:val="206"/>
        </w:trPr>
        <w:tc>
          <w:tcPr>
            <w:tcW w:w="7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jc w:val="right"/>
              <w:spacing w:after="0" w:line="207" w:lineRule="exact"/>
              <w:rPr>
                <w:sz w:val="20"/>
                <w:szCs w:val="20"/>
                <w:color w:val="auto"/>
              </w:rPr>
            </w:pPr>
            <w:r>
              <w:rPr>
                <w:rFonts w:ascii="Arial" w:cs="Arial" w:eastAsia="Arial" w:hAnsi="Arial"/>
                <w:sz w:val="20"/>
                <w:szCs w:val="20"/>
                <w:color w:val="auto"/>
              </w:rPr>
              <w:t>206</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jc w:val="right"/>
              <w:spacing w:after="0" w:line="207" w:lineRule="exact"/>
              <w:rPr>
                <w:sz w:val="20"/>
                <w:szCs w:val="20"/>
                <w:color w:val="auto"/>
              </w:rPr>
            </w:pPr>
            <w:r>
              <w:rPr>
                <w:rFonts w:ascii="Arial" w:cs="Arial" w:eastAsia="Arial" w:hAnsi="Arial"/>
                <w:sz w:val="20"/>
                <w:szCs w:val="20"/>
                <w:color w:val="auto"/>
              </w:rPr>
              <w:t>959</w:t>
            </w:r>
          </w:p>
        </w:tc>
        <w:tc>
          <w:tcPr>
            <w:tcW w:w="640" w:type="dxa"/>
            <w:vAlign w:val="bottom"/>
          </w:tcPr>
          <w:p>
            <w:pPr>
              <w:spacing w:after="0"/>
              <w:rPr>
                <w:sz w:val="17"/>
                <w:szCs w:val="17"/>
                <w:color w:val="auto"/>
              </w:rPr>
            </w:pPr>
          </w:p>
        </w:tc>
      </w:tr>
      <w:tr>
        <w:trPr>
          <w:trHeight w:val="246"/>
        </w:trPr>
        <w:tc>
          <w:tcPr>
            <w:tcW w:w="7080" w:type="dxa"/>
            <w:vAlign w:val="bottom"/>
          </w:tcPr>
          <w:p>
            <w:pPr>
              <w:spacing w:after="0"/>
              <w:rPr>
                <w:sz w:val="20"/>
                <w:szCs w:val="20"/>
                <w:color w:val="auto"/>
              </w:rPr>
            </w:pPr>
            <w:r>
              <w:rPr>
                <w:rFonts w:ascii="Arial" w:cs="Arial" w:eastAsia="Arial" w:hAnsi="Arial"/>
                <w:sz w:val="20"/>
                <w:szCs w:val="20"/>
                <w:color w:val="auto"/>
              </w:rPr>
              <w:t>Less: current portion of long-term debt</w:t>
            </w: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20"/>
                <w:szCs w:val="20"/>
                <w:color w:val="auto"/>
                <w:w w:val="89"/>
              </w:rPr>
              <w:t>(206)</w:t>
            </w:r>
          </w:p>
        </w:tc>
        <w:tc>
          <w:tcPr>
            <w:tcW w:w="30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20"/>
                <w:szCs w:val="20"/>
                <w:color w:val="auto"/>
                <w:w w:val="94"/>
              </w:rPr>
              <w:t>(959)</w:t>
            </w:r>
          </w:p>
        </w:tc>
      </w:tr>
      <w:tr>
        <w:trPr>
          <w:trHeight w:val="223"/>
        </w:trPr>
        <w:tc>
          <w:tcPr>
            <w:tcW w:w="7080" w:type="dxa"/>
            <w:vAlign w:val="bottom"/>
          </w:tcPr>
          <w:p>
            <w:pPr>
              <w:spacing w:after="0"/>
              <w:rPr>
                <w:sz w:val="19"/>
                <w:szCs w:val="19"/>
                <w:color w:val="auto"/>
              </w:rPr>
            </w:pPr>
          </w:p>
        </w:tc>
        <w:tc>
          <w:tcPr>
            <w:tcW w:w="600" w:type="dxa"/>
            <w:vAlign w:val="bottom"/>
            <w:tcBorders>
              <w:bottom w:val="single" w:sz="8" w:color="auto"/>
            </w:tcBorders>
          </w:tcPr>
          <w:p>
            <w:pPr>
              <w:jc w:val="right"/>
              <w:ind w:right="301"/>
              <w:spacing w:after="0" w:line="223" w:lineRule="exact"/>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bottom w:val="single" w:sz="8" w:color="auto"/>
            </w:tcBorders>
          </w:tcPr>
          <w:p>
            <w:pPr>
              <w:jc w:val="right"/>
              <w:ind w:right="30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640" w:type="dxa"/>
            <w:vAlign w:val="bottom"/>
            <w:tcBorders>
              <w:bottom w:val="single" w:sz="8" w:color="auto"/>
            </w:tcBorders>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At December 31, 2009 and 2008, the assets acquired under capital leases had a net book value of $2.5 million and $2.7 million, net of accumulated depreciation of $1.7 million and $1.3 million, respectively.</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Interest expense, including amounts for capital lease obligations, amounted to $0.05 million, $0.04 million and $0.05 million for the years ended December 31, 2009, 2008 and 2007, respectively.</w:t>
      </w:r>
    </w:p>
    <w:p>
      <w:pPr>
        <w:spacing w:after="0" w:line="190"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components of accumulated other comprehensive loss are as follows: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5480" w:type="dxa"/>
            <w:vAlign w:val="bottom"/>
            <w:vMerge w:val="restart"/>
          </w:tcPr>
          <w:p>
            <w:pPr>
              <w:spacing w:after="0"/>
              <w:rPr>
                <w:sz w:val="20"/>
                <w:szCs w:val="20"/>
                <w:color w:val="auto"/>
              </w:rPr>
            </w:pPr>
            <w:r>
              <w:rPr>
                <w:rFonts w:ascii="Arial" w:cs="Arial" w:eastAsia="Arial" w:hAnsi="Arial"/>
                <w:sz w:val="21"/>
                <w:szCs w:val="21"/>
                <w:color w:val="auto"/>
              </w:rPr>
              <w:t>Accumulated net unrealized loss on available-for-sale</w:t>
            </w:r>
          </w:p>
        </w:tc>
        <w:tc>
          <w:tcPr>
            <w:tcW w:w="2340" w:type="dxa"/>
            <w:vAlign w:val="bottom"/>
            <w:gridSpan w:val="3"/>
          </w:tcPr>
          <w:p>
            <w:pPr>
              <w:ind w:left="160"/>
              <w:spacing w:after="0"/>
              <w:rPr>
                <w:sz w:val="20"/>
                <w:szCs w:val="20"/>
                <w:color w:val="auto"/>
              </w:rPr>
            </w:pPr>
            <w:r>
              <w:rPr>
                <w:rFonts w:ascii="Arial" w:cs="Arial" w:eastAsia="Arial" w:hAnsi="Arial"/>
                <w:sz w:val="21"/>
                <w:szCs w:val="21"/>
                <w:color w:val="auto"/>
              </w:rPr>
              <w:t>December 31, 2009</w:t>
            </w:r>
          </w:p>
        </w:tc>
        <w:tc>
          <w:tcPr>
            <w:tcW w:w="200" w:type="dxa"/>
            <w:vAlign w:val="bottom"/>
          </w:tcPr>
          <w:p>
            <w:pPr>
              <w:spacing w:after="0"/>
              <w:rPr>
                <w:sz w:val="22"/>
                <w:szCs w:val="22"/>
                <w:color w:val="auto"/>
              </w:rPr>
            </w:pPr>
          </w:p>
        </w:tc>
        <w:tc>
          <w:tcPr>
            <w:tcW w:w="1840" w:type="dxa"/>
            <w:vAlign w:val="bottom"/>
          </w:tcPr>
          <w:p>
            <w:pPr>
              <w:jc w:val="right"/>
              <w:ind w:right="96"/>
              <w:spacing w:after="0"/>
              <w:rPr>
                <w:sz w:val="20"/>
                <w:szCs w:val="20"/>
                <w:color w:val="auto"/>
              </w:rPr>
            </w:pPr>
            <w:r>
              <w:rPr>
                <w:rFonts w:ascii="Arial" w:cs="Arial" w:eastAsia="Arial" w:hAnsi="Arial"/>
                <w:sz w:val="21"/>
                <w:szCs w:val="21"/>
                <w:color w:val="auto"/>
                <w:w w:val="87"/>
              </w:rPr>
              <w:t>December 31, 2008</w:t>
            </w:r>
          </w:p>
        </w:tc>
        <w:tc>
          <w:tcPr>
            <w:tcW w:w="0" w:type="dxa"/>
            <w:vAlign w:val="bottom"/>
          </w:tcPr>
          <w:p>
            <w:pPr>
              <w:spacing w:after="0"/>
              <w:rPr>
                <w:sz w:val="1"/>
                <w:szCs w:val="1"/>
                <w:color w:val="auto"/>
              </w:rPr>
            </w:pPr>
          </w:p>
        </w:tc>
      </w:tr>
      <w:tr>
        <w:trPr>
          <w:trHeight w:val="210"/>
        </w:trPr>
        <w:tc>
          <w:tcPr>
            <w:tcW w:w="5480" w:type="dxa"/>
            <w:vAlign w:val="bottom"/>
            <w:vMerge w:val="continue"/>
          </w:tcPr>
          <w:p>
            <w:pPr>
              <w:spacing w:after="0"/>
              <w:rPr>
                <w:sz w:val="18"/>
                <w:szCs w:val="18"/>
                <w:color w:val="auto"/>
              </w:rPr>
            </w:pPr>
          </w:p>
        </w:tc>
        <w:tc>
          <w:tcPr>
            <w:tcW w:w="740" w:type="dxa"/>
            <w:vAlign w:val="bottom"/>
            <w:tcBorders>
              <w:top w:val="single" w:sz="8" w:color="auto"/>
            </w:tcBorders>
          </w:tcPr>
          <w:p>
            <w:pPr>
              <w:jc w:val="right"/>
              <w:ind w:right="436"/>
              <w:spacing w:after="0" w:line="210" w:lineRule="exact"/>
              <w:rPr>
                <w:sz w:val="20"/>
                <w:szCs w:val="20"/>
                <w:color w:val="auto"/>
              </w:rPr>
            </w:pPr>
            <w:r>
              <w:rPr>
                <w:rFonts w:ascii="Arial" w:cs="Arial" w:eastAsia="Arial" w:hAnsi="Arial"/>
                <w:sz w:val="21"/>
                <w:szCs w:val="21"/>
                <w:color w:val="auto"/>
              </w:rPr>
              <w:t>$</w:t>
            </w:r>
          </w:p>
        </w:tc>
        <w:tc>
          <w:tcPr>
            <w:tcW w:w="1200" w:type="dxa"/>
            <w:vAlign w:val="bottom"/>
            <w:tcBorders>
              <w:top w:val="single" w:sz="8" w:color="auto"/>
            </w:tcBorders>
          </w:tcPr>
          <w:p>
            <w:pPr>
              <w:jc w:val="right"/>
              <w:spacing w:after="0" w:line="210" w:lineRule="exact"/>
              <w:rPr>
                <w:sz w:val="20"/>
                <w:szCs w:val="20"/>
                <w:color w:val="auto"/>
              </w:rPr>
            </w:pPr>
            <w:r>
              <w:rPr>
                <w:rFonts w:ascii="Arial" w:cs="Arial" w:eastAsia="Arial" w:hAnsi="Arial"/>
                <w:sz w:val="21"/>
                <w:szCs w:val="21"/>
                <w:color w:val="auto"/>
              </w:rPr>
              <w:t>(4,589)</w:t>
            </w:r>
          </w:p>
        </w:tc>
        <w:tc>
          <w:tcPr>
            <w:tcW w:w="400" w:type="dxa"/>
            <w:vAlign w:val="bottom"/>
          </w:tcPr>
          <w:p>
            <w:pPr>
              <w:spacing w:after="0"/>
              <w:rPr>
                <w:sz w:val="18"/>
                <w:szCs w:val="18"/>
                <w:color w:val="auto"/>
              </w:rPr>
            </w:pPr>
          </w:p>
        </w:tc>
        <w:tc>
          <w:tcPr>
            <w:tcW w:w="200" w:type="dxa"/>
            <w:vAlign w:val="bottom"/>
            <w:tcBorders>
              <w:top w:val="single" w:sz="8" w:color="auto"/>
            </w:tcBorders>
          </w:tcPr>
          <w:p>
            <w:pPr>
              <w:jc w:val="right"/>
              <w:spacing w:after="0" w:line="210" w:lineRule="exact"/>
              <w:rPr>
                <w:sz w:val="20"/>
                <w:szCs w:val="20"/>
                <w:color w:val="auto"/>
              </w:rPr>
            </w:pPr>
            <w:r>
              <w:rPr>
                <w:rFonts w:ascii="Arial" w:cs="Arial" w:eastAsia="Arial" w:hAnsi="Arial"/>
                <w:sz w:val="21"/>
                <w:szCs w:val="21"/>
                <w:color w:val="auto"/>
              </w:rPr>
              <w:t>$</w:t>
            </w:r>
          </w:p>
        </w:tc>
        <w:tc>
          <w:tcPr>
            <w:tcW w:w="1840" w:type="dxa"/>
            <w:vAlign w:val="bottom"/>
            <w:tcBorders>
              <w:top w:val="single" w:sz="8" w:color="auto"/>
            </w:tcBorders>
          </w:tcPr>
          <w:p>
            <w:pPr>
              <w:jc w:val="right"/>
              <w:ind w:right="16"/>
              <w:spacing w:after="0" w:line="210" w:lineRule="exact"/>
              <w:rPr>
                <w:sz w:val="20"/>
                <w:szCs w:val="20"/>
                <w:color w:val="auto"/>
              </w:rPr>
            </w:pPr>
            <w:r>
              <w:rPr>
                <w:rFonts w:ascii="Arial" w:cs="Arial" w:eastAsia="Arial" w:hAnsi="Arial"/>
                <w:sz w:val="21"/>
                <w:szCs w:val="21"/>
                <w:color w:val="auto"/>
              </w:rPr>
              <w:t>(8,660)</w:t>
            </w:r>
          </w:p>
        </w:tc>
        <w:tc>
          <w:tcPr>
            <w:tcW w:w="0" w:type="dxa"/>
            <w:vAlign w:val="bottom"/>
          </w:tcPr>
          <w:p>
            <w:pPr>
              <w:spacing w:after="0"/>
              <w:rPr>
                <w:sz w:val="1"/>
                <w:szCs w:val="1"/>
                <w:color w:val="auto"/>
              </w:rPr>
            </w:pPr>
          </w:p>
        </w:tc>
      </w:tr>
      <w:tr>
        <w:trPr>
          <w:trHeight w:val="264"/>
        </w:trPr>
        <w:tc>
          <w:tcPr>
            <w:tcW w:w="5480" w:type="dxa"/>
            <w:vAlign w:val="bottom"/>
          </w:tcPr>
          <w:p>
            <w:pPr>
              <w:ind w:left="180"/>
              <w:spacing w:after="0"/>
              <w:rPr>
                <w:sz w:val="20"/>
                <w:szCs w:val="20"/>
                <w:color w:val="auto"/>
              </w:rPr>
            </w:pPr>
            <w:r>
              <w:rPr>
                <w:rFonts w:ascii="Arial" w:cs="Arial" w:eastAsia="Arial" w:hAnsi="Arial"/>
                <w:sz w:val="21"/>
                <w:szCs w:val="21"/>
                <w:color w:val="auto"/>
              </w:rPr>
              <w:t>securities, net of tax benefit of $3.1 million and $5.7</w:t>
            </w:r>
          </w:p>
        </w:tc>
        <w:tc>
          <w:tcPr>
            <w:tcW w:w="7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0" w:gutter="0" w:footer="0" w:header="0"/>
        </w:sectPr>
      </w:pPr>
    </w:p>
    <w:bookmarkStart w:id="58" w:name="page59"/>
    <w:bookmarkEnd w:id="58"/>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5480" w:type="dxa"/>
            <w:vAlign w:val="bottom"/>
          </w:tcPr>
          <w:p>
            <w:pPr>
              <w:ind w:left="180"/>
              <w:spacing w:after="0"/>
              <w:rPr>
                <w:sz w:val="20"/>
                <w:szCs w:val="20"/>
                <w:color w:val="auto"/>
              </w:rPr>
            </w:pPr>
            <w:r>
              <w:rPr>
                <w:rFonts w:ascii="Arial" w:cs="Arial" w:eastAsia="Arial" w:hAnsi="Arial"/>
                <w:sz w:val="21"/>
                <w:szCs w:val="21"/>
                <w:color w:val="auto"/>
              </w:rPr>
              <w:t>million as of December 31, 2009 and 2008, respectively</w:t>
            </w:r>
          </w:p>
        </w:tc>
        <w:tc>
          <w:tcPr>
            <w:tcW w:w="7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6"/>
        </w:trPr>
        <w:tc>
          <w:tcPr>
            <w:tcW w:w="5480" w:type="dxa"/>
            <w:vAlign w:val="bottom"/>
          </w:tcPr>
          <w:p>
            <w:pPr>
              <w:spacing w:after="0"/>
              <w:rPr>
                <w:sz w:val="20"/>
                <w:szCs w:val="20"/>
                <w:color w:val="auto"/>
              </w:rPr>
            </w:pPr>
            <w:r>
              <w:rPr>
                <w:rFonts w:ascii="Arial" w:cs="Arial" w:eastAsia="Arial" w:hAnsi="Arial"/>
                <w:sz w:val="21"/>
                <w:szCs w:val="21"/>
                <w:color w:val="auto"/>
              </w:rPr>
              <w:t>Foreign currency translation adjustments</w:t>
            </w:r>
          </w:p>
        </w:tc>
        <w:tc>
          <w:tcPr>
            <w:tcW w:w="7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(78)</w:t>
            </w:r>
          </w:p>
        </w:tc>
        <w:tc>
          <w:tcPr>
            <w:tcW w:w="40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(2,165)</w:t>
            </w:r>
          </w:p>
        </w:tc>
      </w:tr>
      <w:tr>
        <w:trPr>
          <w:trHeight w:val="237"/>
        </w:trPr>
        <w:tc>
          <w:tcPr>
            <w:tcW w:w="5480" w:type="dxa"/>
            <w:vAlign w:val="bottom"/>
          </w:tcPr>
          <w:p>
            <w:pPr>
              <w:spacing w:after="0" w:line="237" w:lineRule="exact"/>
              <w:rPr>
                <w:sz w:val="20"/>
                <w:szCs w:val="20"/>
                <w:color w:val="auto"/>
              </w:rPr>
            </w:pPr>
            <w:r>
              <w:rPr>
                <w:rFonts w:ascii="Arial" w:cs="Arial" w:eastAsia="Arial" w:hAnsi="Arial"/>
                <w:sz w:val="21"/>
                <w:szCs w:val="21"/>
                <w:color w:val="auto"/>
              </w:rPr>
              <w:t>Total accumulated other comprehensive loss</w:t>
            </w:r>
          </w:p>
        </w:tc>
        <w:tc>
          <w:tcPr>
            <w:tcW w:w="740" w:type="dxa"/>
            <w:vAlign w:val="bottom"/>
            <w:tcBorders>
              <w:bottom w:val="single" w:sz="8" w:color="auto"/>
            </w:tcBorders>
          </w:tcPr>
          <w:p>
            <w:pPr>
              <w:jc w:val="right"/>
              <w:ind w:right="436"/>
              <w:spacing w:after="0" w:line="237" w:lineRule="exact"/>
              <w:rPr>
                <w:sz w:val="20"/>
                <w:szCs w:val="20"/>
                <w:color w:val="auto"/>
              </w:rPr>
            </w:pPr>
            <w:r>
              <w:rPr>
                <w:rFonts w:ascii="Arial" w:cs="Arial" w:eastAsia="Arial" w:hAnsi="Arial"/>
                <w:sz w:val="21"/>
                <w:szCs w:val="21"/>
                <w:color w:val="auto"/>
              </w:rPr>
              <w:t>$</w:t>
            </w:r>
          </w:p>
        </w:tc>
        <w:tc>
          <w:tcPr>
            <w:tcW w:w="12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(4,667)</w:t>
            </w:r>
          </w:p>
        </w:tc>
        <w:tc>
          <w:tcPr>
            <w:tcW w:w="400" w:type="dxa"/>
            <w:vAlign w:val="bottom"/>
          </w:tcPr>
          <w:p>
            <w:pPr>
              <w:spacing w:after="0"/>
              <w:rPr>
                <w:sz w:val="20"/>
                <w:szCs w:val="20"/>
                <w:color w:val="auto"/>
              </w:rPr>
            </w:pPr>
          </w:p>
        </w:tc>
        <w:tc>
          <w:tcPr>
            <w:tcW w:w="720" w:type="dxa"/>
            <w:vAlign w:val="bottom"/>
            <w:tcBorders>
              <w:bottom w:val="single" w:sz="8" w:color="auto"/>
            </w:tcBorders>
          </w:tcPr>
          <w:p>
            <w:pPr>
              <w:jc w:val="right"/>
              <w:ind w:right="416"/>
              <w:spacing w:after="0" w:line="237" w:lineRule="exact"/>
              <w:rPr>
                <w:sz w:val="20"/>
                <w:szCs w:val="20"/>
                <w:color w:val="auto"/>
              </w:rPr>
            </w:pPr>
            <w:r>
              <w:rPr>
                <w:rFonts w:ascii="Arial" w:cs="Arial" w:eastAsia="Arial" w:hAnsi="Arial"/>
                <w:sz w:val="21"/>
                <w:szCs w:val="21"/>
                <w:color w:val="auto"/>
              </w:rPr>
              <w:t>$</w:t>
            </w:r>
          </w:p>
        </w:tc>
        <w:tc>
          <w:tcPr>
            <w:tcW w:w="132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(10,825)</w:t>
            </w:r>
          </w:p>
        </w:tc>
      </w:tr>
      <w:tr>
        <w:trPr>
          <w:trHeight w:val="20"/>
        </w:trPr>
        <w:tc>
          <w:tcPr>
            <w:tcW w:w="5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TREASURY STOCK PURCHASE</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the years ended December 31, 2009 and 2008, the Company purchased 2.6 million and 3.9 million shares, respectively, of common stock at an average purchase price of $33.10 per share and $26.77 per share, respectively, which the Company holds in treasury. No shares were purchased during the year ended December 31, 2007.</w:t>
      </w:r>
    </w:p>
    <w:p>
      <w:pPr>
        <w:spacing w:after="0" w:line="200"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A reconciliation of the weighted average shares used in the basic and diluted earnings per common share computations for the years ended December 31, 2009, 2008 and 2007 is presented below (in thousands):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800" w:type="dxa"/>
            <w:vAlign w:val="bottom"/>
            <w:vMerge w:val="restart"/>
          </w:tcPr>
          <w:p>
            <w:pPr>
              <w:spacing w:after="0"/>
              <w:rPr>
                <w:sz w:val="20"/>
                <w:szCs w:val="20"/>
                <w:color w:val="auto"/>
              </w:rPr>
            </w:pPr>
            <w:r>
              <w:rPr>
                <w:rFonts w:ascii="Arial" w:cs="Arial" w:eastAsia="Arial" w:hAnsi="Arial"/>
                <w:sz w:val="19"/>
                <w:szCs w:val="19"/>
                <w:color w:val="auto"/>
              </w:rPr>
              <w:t>Weighted-average shares outstanding:</w:t>
            </w:r>
          </w:p>
        </w:tc>
        <w:tc>
          <w:tcPr>
            <w:tcW w:w="1340" w:type="dxa"/>
            <w:vAlign w:val="bottom"/>
            <w:tcBorders>
              <w:bottom w:val="single" w:sz="8" w:color="auto"/>
            </w:tcBorders>
          </w:tcPr>
          <w:p>
            <w:pPr>
              <w:jc w:val="right"/>
              <w:ind w:right="385"/>
              <w:spacing w:after="0"/>
              <w:rPr>
                <w:sz w:val="20"/>
                <w:szCs w:val="20"/>
                <w:color w:val="auto"/>
              </w:rPr>
            </w:pPr>
            <w:r>
              <w:rPr>
                <w:rFonts w:ascii="Arial" w:cs="Arial" w:eastAsia="Arial" w:hAnsi="Arial"/>
                <w:sz w:val="19"/>
                <w:szCs w:val="19"/>
                <w:color w:val="auto"/>
              </w:rPr>
              <w:t>2009</w:t>
            </w:r>
          </w:p>
        </w:tc>
        <w:tc>
          <w:tcPr>
            <w:tcW w:w="300" w:type="dxa"/>
            <w:vAlign w:val="bottom"/>
          </w:tcPr>
          <w:p>
            <w:pPr>
              <w:spacing w:after="0"/>
              <w:rPr>
                <w:sz w:val="20"/>
                <w:szCs w:val="20"/>
                <w:color w:val="auto"/>
              </w:rPr>
            </w:pPr>
          </w:p>
        </w:tc>
        <w:tc>
          <w:tcPr>
            <w:tcW w:w="1320" w:type="dxa"/>
            <w:vAlign w:val="bottom"/>
            <w:tcBorders>
              <w:bottom w:val="single" w:sz="8" w:color="auto"/>
            </w:tcBorders>
          </w:tcPr>
          <w:p>
            <w:pPr>
              <w:jc w:val="right"/>
              <w:ind w:right="385"/>
              <w:spacing w:after="0"/>
              <w:rPr>
                <w:sz w:val="20"/>
                <w:szCs w:val="20"/>
                <w:color w:val="auto"/>
              </w:rPr>
            </w:pPr>
            <w:r>
              <w:rPr>
                <w:rFonts w:ascii="Arial" w:cs="Arial" w:eastAsia="Arial" w:hAnsi="Arial"/>
                <w:sz w:val="19"/>
                <w:szCs w:val="19"/>
                <w:color w:val="auto"/>
              </w:rPr>
              <w:t>2008</w:t>
            </w:r>
          </w:p>
        </w:tc>
        <w:tc>
          <w:tcPr>
            <w:tcW w:w="300" w:type="dxa"/>
            <w:vAlign w:val="bottom"/>
          </w:tcPr>
          <w:p>
            <w:pPr>
              <w:spacing w:after="0"/>
              <w:rPr>
                <w:sz w:val="20"/>
                <w:szCs w:val="20"/>
                <w:color w:val="auto"/>
              </w:rPr>
            </w:pPr>
          </w:p>
        </w:tc>
        <w:tc>
          <w:tcPr>
            <w:tcW w:w="1420" w:type="dxa"/>
            <w:vAlign w:val="bottom"/>
            <w:tcBorders>
              <w:bottom w:val="single" w:sz="8" w:color="auto"/>
            </w:tcBorders>
          </w:tcPr>
          <w:p>
            <w:pPr>
              <w:jc w:val="right"/>
              <w:ind w:right="425"/>
              <w:spacing w:after="0"/>
              <w:rPr>
                <w:sz w:val="20"/>
                <w:szCs w:val="20"/>
                <w:color w:val="auto"/>
              </w:rPr>
            </w:pPr>
            <w:r>
              <w:rPr>
                <w:rFonts w:ascii="Arial" w:cs="Arial" w:eastAsia="Arial" w:hAnsi="Arial"/>
                <w:sz w:val="19"/>
                <w:szCs w:val="19"/>
                <w:color w:val="auto"/>
              </w:rPr>
              <w:t>2007</w:t>
            </w:r>
          </w:p>
        </w:tc>
        <w:tc>
          <w:tcPr>
            <w:tcW w:w="0" w:type="dxa"/>
            <w:vAlign w:val="bottom"/>
          </w:tcPr>
          <w:p>
            <w:pPr>
              <w:spacing w:after="0"/>
              <w:rPr>
                <w:sz w:val="1"/>
                <w:szCs w:val="1"/>
                <w:color w:val="auto"/>
              </w:rPr>
            </w:pPr>
          </w:p>
        </w:tc>
      </w:tr>
      <w:tr>
        <w:trPr>
          <w:trHeight w:val="174"/>
        </w:trPr>
        <w:tc>
          <w:tcPr>
            <w:tcW w:w="580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840"/>
              <w:spacing w:after="0" w:line="216" w:lineRule="exact"/>
              <w:rPr>
                <w:sz w:val="20"/>
                <w:szCs w:val="20"/>
                <w:color w:val="auto"/>
              </w:rPr>
            </w:pPr>
            <w:r>
              <w:rPr>
                <w:rFonts w:ascii="Arial" w:cs="Arial" w:eastAsia="Arial" w:hAnsi="Arial"/>
                <w:sz w:val="19"/>
                <w:szCs w:val="19"/>
                <w:color w:val="auto"/>
              </w:rPr>
              <w:t>Basic</w:t>
            </w:r>
          </w:p>
        </w:tc>
        <w:tc>
          <w:tcPr>
            <w:tcW w:w="13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89,967</w:t>
            </w:r>
          </w:p>
        </w:tc>
        <w:tc>
          <w:tcPr>
            <w:tcW w:w="300" w:type="dxa"/>
            <w:vAlign w:val="bottom"/>
          </w:tcPr>
          <w:p>
            <w:pPr>
              <w:spacing w:after="0"/>
              <w:rPr>
                <w:sz w:val="18"/>
                <w:szCs w:val="18"/>
                <w:color w:val="auto"/>
              </w:rPr>
            </w:pPr>
          </w:p>
        </w:tc>
        <w:tc>
          <w:tcPr>
            <w:tcW w:w="13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92,515</w:t>
            </w:r>
          </w:p>
        </w:tc>
        <w:tc>
          <w:tcPr>
            <w:tcW w:w="300" w:type="dxa"/>
            <w:vAlign w:val="bottom"/>
          </w:tcPr>
          <w:p>
            <w:pPr>
              <w:spacing w:after="0"/>
              <w:rPr>
                <w:sz w:val="18"/>
                <w:szCs w:val="18"/>
                <w:color w:val="auto"/>
              </w:rPr>
            </w:pPr>
          </w:p>
        </w:tc>
        <w:tc>
          <w:tcPr>
            <w:tcW w:w="1420" w:type="dxa"/>
            <w:vAlign w:val="bottom"/>
          </w:tcPr>
          <w:p>
            <w:pPr>
              <w:jc w:val="right"/>
              <w:ind w:right="65"/>
              <w:spacing w:after="0" w:line="216" w:lineRule="exact"/>
              <w:rPr>
                <w:sz w:val="20"/>
                <w:szCs w:val="20"/>
                <w:color w:val="auto"/>
              </w:rPr>
            </w:pPr>
            <w:r>
              <w:rPr>
                <w:rFonts w:ascii="Arial" w:cs="Arial" w:eastAsia="Arial" w:hAnsi="Arial"/>
                <w:sz w:val="19"/>
                <w:szCs w:val="19"/>
                <w:color w:val="auto"/>
              </w:rPr>
              <w:t>91,178</w:t>
            </w:r>
          </w:p>
        </w:tc>
        <w:tc>
          <w:tcPr>
            <w:tcW w:w="0" w:type="dxa"/>
            <w:vAlign w:val="bottom"/>
          </w:tcPr>
          <w:p>
            <w:pPr>
              <w:spacing w:after="0"/>
              <w:rPr>
                <w:sz w:val="1"/>
                <w:szCs w:val="1"/>
                <w:color w:val="auto"/>
              </w:rPr>
            </w:pPr>
          </w:p>
        </w:tc>
      </w:tr>
      <w:tr>
        <w:trPr>
          <w:trHeight w:val="216"/>
        </w:trPr>
        <w:tc>
          <w:tcPr>
            <w:tcW w:w="5800" w:type="dxa"/>
            <w:vAlign w:val="bottom"/>
          </w:tcPr>
          <w:p>
            <w:pPr>
              <w:ind w:left="840"/>
              <w:spacing w:after="0" w:line="216" w:lineRule="exact"/>
              <w:rPr>
                <w:sz w:val="20"/>
                <w:szCs w:val="20"/>
                <w:color w:val="auto"/>
              </w:rPr>
            </w:pPr>
            <w:r>
              <w:rPr>
                <w:rFonts w:ascii="Arial" w:cs="Arial" w:eastAsia="Arial" w:hAnsi="Arial"/>
                <w:sz w:val="19"/>
                <w:szCs w:val="19"/>
                <w:color w:val="auto"/>
              </w:rPr>
              <w:t>Dilutive securities</w:t>
            </w:r>
          </w:p>
        </w:tc>
        <w:tc>
          <w:tcPr>
            <w:tcW w:w="13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4,676</w:t>
            </w:r>
          </w:p>
        </w:tc>
        <w:tc>
          <w:tcPr>
            <w:tcW w:w="300" w:type="dxa"/>
            <w:vAlign w:val="bottom"/>
          </w:tcPr>
          <w:p>
            <w:pPr>
              <w:spacing w:after="0"/>
              <w:rPr>
                <w:sz w:val="18"/>
                <w:szCs w:val="18"/>
                <w:color w:val="auto"/>
              </w:rPr>
            </w:pPr>
          </w:p>
        </w:tc>
        <w:tc>
          <w:tcPr>
            <w:tcW w:w="13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5,015</w:t>
            </w:r>
          </w:p>
        </w:tc>
        <w:tc>
          <w:tcPr>
            <w:tcW w:w="300" w:type="dxa"/>
            <w:vAlign w:val="bottom"/>
          </w:tcPr>
          <w:p>
            <w:pPr>
              <w:spacing w:after="0"/>
              <w:rPr>
                <w:sz w:val="18"/>
                <w:szCs w:val="18"/>
                <w:color w:val="auto"/>
              </w:rPr>
            </w:pPr>
          </w:p>
        </w:tc>
        <w:tc>
          <w:tcPr>
            <w:tcW w:w="1420" w:type="dxa"/>
            <w:vAlign w:val="bottom"/>
          </w:tcPr>
          <w:p>
            <w:pPr>
              <w:jc w:val="right"/>
              <w:ind w:right="65"/>
              <w:spacing w:after="0" w:line="216" w:lineRule="exact"/>
              <w:rPr>
                <w:sz w:val="20"/>
                <w:szCs w:val="20"/>
                <w:color w:val="auto"/>
              </w:rPr>
            </w:pPr>
            <w:r>
              <w:rPr>
                <w:rFonts w:ascii="Arial" w:cs="Arial" w:eastAsia="Arial" w:hAnsi="Arial"/>
                <w:sz w:val="19"/>
                <w:szCs w:val="19"/>
                <w:color w:val="auto"/>
              </w:rPr>
              <w:t>7,696</w:t>
            </w:r>
          </w:p>
        </w:tc>
        <w:tc>
          <w:tcPr>
            <w:tcW w:w="0" w:type="dxa"/>
            <w:vAlign w:val="bottom"/>
          </w:tcPr>
          <w:p>
            <w:pPr>
              <w:spacing w:after="0"/>
              <w:rPr>
                <w:sz w:val="1"/>
                <w:szCs w:val="1"/>
                <w:color w:val="auto"/>
              </w:rPr>
            </w:pPr>
          </w:p>
        </w:tc>
      </w:tr>
      <w:tr>
        <w:trPr>
          <w:trHeight w:val="22"/>
        </w:trPr>
        <w:tc>
          <w:tcPr>
            <w:tcW w:w="5800" w:type="dxa"/>
            <w:vAlign w:val="bottom"/>
            <w:vMerge w:val="restart"/>
          </w:tcPr>
          <w:p>
            <w:pPr>
              <w:ind w:left="840"/>
              <w:spacing w:after="0"/>
              <w:rPr>
                <w:sz w:val="20"/>
                <w:szCs w:val="20"/>
                <w:color w:val="auto"/>
              </w:rPr>
            </w:pPr>
            <w:r>
              <w:rPr>
                <w:rFonts w:ascii="Arial" w:cs="Arial" w:eastAsia="Arial" w:hAnsi="Arial"/>
                <w:sz w:val="19"/>
                <w:szCs w:val="19"/>
                <w:color w:val="auto"/>
              </w:rPr>
              <w:t>Diluted</w:t>
            </w: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134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94,643</w:t>
            </w:r>
          </w:p>
        </w:tc>
        <w:tc>
          <w:tcPr>
            <w:tcW w:w="300" w:type="dxa"/>
            <w:vAlign w:val="bottom"/>
          </w:tcPr>
          <w:p>
            <w:pPr>
              <w:spacing w:after="0"/>
              <w:rPr>
                <w:sz w:val="18"/>
                <w:szCs w:val="18"/>
                <w:color w:val="auto"/>
              </w:rPr>
            </w:pPr>
          </w:p>
        </w:tc>
        <w:tc>
          <w:tcPr>
            <w:tcW w:w="132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97,530</w:t>
            </w:r>
          </w:p>
        </w:tc>
        <w:tc>
          <w:tcPr>
            <w:tcW w:w="300" w:type="dxa"/>
            <w:vAlign w:val="bottom"/>
          </w:tcPr>
          <w:p>
            <w:pPr>
              <w:spacing w:after="0"/>
              <w:rPr>
                <w:sz w:val="18"/>
                <w:szCs w:val="18"/>
                <w:color w:val="auto"/>
              </w:rPr>
            </w:pPr>
          </w:p>
        </w:tc>
        <w:tc>
          <w:tcPr>
            <w:tcW w:w="1420" w:type="dxa"/>
            <w:vAlign w:val="bottom"/>
            <w:tcBorders>
              <w:bottom w:val="single" w:sz="8" w:color="auto"/>
            </w:tcBorders>
          </w:tcPr>
          <w:p>
            <w:pPr>
              <w:jc w:val="right"/>
              <w:ind w:right="65"/>
              <w:spacing w:after="0" w:line="210" w:lineRule="exact"/>
              <w:rPr>
                <w:sz w:val="20"/>
                <w:szCs w:val="20"/>
                <w:color w:val="auto"/>
              </w:rPr>
            </w:pPr>
            <w:r>
              <w:rPr>
                <w:rFonts w:ascii="Arial" w:cs="Arial" w:eastAsia="Arial" w:hAnsi="Arial"/>
                <w:sz w:val="19"/>
                <w:szCs w:val="19"/>
                <w:color w:val="auto"/>
              </w:rPr>
              <w:t>98,874</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the years ended December 31, 2009, 2008 and 2007, options outstanding totaling 2.5 million shares, 1.4 million shares and 0.2 million shares respectively, were excluded from the calculations as their effect would have been antidilutive.</w:t>
      </w:r>
    </w:p>
    <w:p>
      <w:pPr>
        <w:spacing w:after="0" w:line="190"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Operating Leases </w:t>
      </w:r>
      <w:r>
        <w:rPr>
          <w:rFonts w:ascii="Arial" w:cs="Arial" w:eastAsia="Arial" w:hAnsi="Arial"/>
          <w:sz w:val="19"/>
          <w:szCs w:val="19"/>
          <w:color w:val="auto"/>
        </w:rPr>
        <w:t>– In October 2006, the Company entered into a lease agreement pursuant to which the Company leased 346,495</w:t>
      </w:r>
      <w:r>
        <w:rPr>
          <w:rFonts w:ascii="Arial" w:cs="Arial" w:eastAsia="Arial" w:hAnsi="Arial"/>
          <w:sz w:val="19"/>
          <w:szCs w:val="19"/>
          <w:i w:val="1"/>
          <w:iCs w:val="1"/>
          <w:color w:val="auto"/>
        </w:rPr>
        <w:t xml:space="preserve"> </w:t>
      </w:r>
      <w:r>
        <w:rPr>
          <w:rFonts w:ascii="Arial" w:cs="Arial" w:eastAsia="Arial" w:hAnsi="Arial"/>
          <w:sz w:val="19"/>
          <w:szCs w:val="19"/>
          <w:color w:val="auto"/>
        </w:rPr>
        <w:t>square feet of warehouse and distribution space located in Corona, California. This lease commitment provides for minimum rental payments for 120 months, commencing March 2007, excluding renewal options. The monthly rental payments are $167,586 at the commencement of the lease and increase over the lease term by 7.5% at the end of each 30 month period. This warehouse and distribution space replaced the Company’s previous warehouse and distribution space also located in Corona, California. In September 2007, the Company relocated its corporate offices to newly leased offices in Corona, California. The Company has sublet a small portion of its previous office, warehouse and distribution space on a month to month basis. In addition, the Company continues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to utilize the remaining portion of this space as overflow for its main warehouse. This lease expires in October 2010.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also rents additional warehouse space on a short-term basis from time to time in the countries in which it operates.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was $3.8 million, $3.5 million and $3.3 million for the years ended December 31, 2009, 2008 and 2007, respectively.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Future minimum rental payments at December 31, 2009 under the operating leases referred to above are as follows:</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0"/>
        </w:trPr>
        <w:tc>
          <w:tcPr>
            <w:tcW w:w="4120" w:type="dxa"/>
            <w:vAlign w:val="bottom"/>
          </w:tcPr>
          <w:p>
            <w:pPr>
              <w:spacing w:after="0"/>
              <w:rPr>
                <w:sz w:val="20"/>
                <w:szCs w:val="20"/>
                <w:color w:val="auto"/>
              </w:rPr>
            </w:pPr>
            <w:r>
              <w:rPr>
                <w:rFonts w:ascii="Arial" w:cs="Arial" w:eastAsia="Arial" w:hAnsi="Arial"/>
                <w:sz w:val="19"/>
                <w:szCs w:val="19"/>
                <w:color w:val="auto"/>
              </w:rPr>
              <w:t>Year ending December 31:</w:t>
            </w: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27"/>
        </w:trPr>
        <w:tc>
          <w:tcPr>
            <w:tcW w:w="4120" w:type="dxa"/>
            <w:vAlign w:val="bottom"/>
          </w:tcPr>
          <w:p>
            <w:pPr>
              <w:spacing w:after="0"/>
              <w:rPr>
                <w:sz w:val="20"/>
                <w:szCs w:val="20"/>
                <w:color w:val="auto"/>
              </w:rPr>
            </w:pPr>
            <w:r>
              <w:rPr>
                <w:rFonts w:ascii="Arial" w:cs="Arial" w:eastAsia="Arial" w:hAnsi="Arial"/>
                <w:sz w:val="20"/>
                <w:szCs w:val="20"/>
                <w:color w:val="auto"/>
              </w:rPr>
              <w:t>2010</w:t>
            </w:r>
          </w:p>
        </w:tc>
        <w:tc>
          <w:tcPr>
            <w:tcW w:w="560" w:type="dxa"/>
            <w:vAlign w:val="bottom"/>
          </w:tcPr>
          <w:p>
            <w:pPr>
              <w:jc w:val="right"/>
              <w:ind w:right="285"/>
              <w:spacing w:after="0"/>
              <w:rPr>
                <w:sz w:val="20"/>
                <w:szCs w:val="20"/>
                <w:color w:val="auto"/>
              </w:rPr>
            </w:pPr>
            <w:r>
              <w:rPr>
                <w:rFonts w:ascii="Arial" w:cs="Arial" w:eastAsia="Arial" w:hAnsi="Arial"/>
                <w:sz w:val="19"/>
                <w:szCs w:val="19"/>
                <w:color w:val="auto"/>
              </w:rPr>
              <w:t>$</w:t>
            </w: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3,276</w:t>
            </w:r>
          </w:p>
        </w:tc>
      </w:tr>
      <w:tr>
        <w:trPr>
          <w:trHeight w:val="230"/>
        </w:trPr>
        <w:tc>
          <w:tcPr>
            <w:tcW w:w="4120" w:type="dxa"/>
            <w:vAlign w:val="bottom"/>
          </w:tcPr>
          <w:p>
            <w:pPr>
              <w:spacing w:after="0"/>
              <w:rPr>
                <w:sz w:val="20"/>
                <w:szCs w:val="20"/>
                <w:color w:val="auto"/>
              </w:rPr>
            </w:pPr>
            <w:r>
              <w:rPr>
                <w:rFonts w:ascii="Arial" w:cs="Arial" w:eastAsia="Arial" w:hAnsi="Arial"/>
                <w:sz w:val="20"/>
                <w:szCs w:val="20"/>
                <w:color w:val="auto"/>
              </w:rPr>
              <w:t>2011</w:t>
            </w:r>
          </w:p>
        </w:tc>
        <w:tc>
          <w:tcPr>
            <w:tcW w:w="56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2,513</w:t>
            </w:r>
          </w:p>
        </w:tc>
      </w:tr>
      <w:tr>
        <w:trPr>
          <w:trHeight w:val="230"/>
        </w:trPr>
        <w:tc>
          <w:tcPr>
            <w:tcW w:w="4120" w:type="dxa"/>
            <w:vAlign w:val="bottom"/>
          </w:tcPr>
          <w:p>
            <w:pPr>
              <w:spacing w:after="0"/>
              <w:rPr>
                <w:sz w:val="20"/>
                <w:szCs w:val="20"/>
                <w:color w:val="auto"/>
              </w:rPr>
            </w:pPr>
            <w:r>
              <w:rPr>
                <w:rFonts w:ascii="Arial" w:cs="Arial" w:eastAsia="Arial" w:hAnsi="Arial"/>
                <w:sz w:val="20"/>
                <w:szCs w:val="20"/>
                <w:color w:val="auto"/>
              </w:rPr>
              <w:t>2012</w:t>
            </w:r>
          </w:p>
        </w:tc>
        <w:tc>
          <w:tcPr>
            <w:tcW w:w="56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2,582</w:t>
            </w:r>
          </w:p>
        </w:tc>
      </w:tr>
      <w:tr>
        <w:trPr>
          <w:trHeight w:val="230"/>
        </w:trPr>
        <w:tc>
          <w:tcPr>
            <w:tcW w:w="4120" w:type="dxa"/>
            <w:vAlign w:val="bottom"/>
          </w:tcPr>
          <w:p>
            <w:pPr>
              <w:spacing w:after="0"/>
              <w:rPr>
                <w:sz w:val="20"/>
                <w:szCs w:val="20"/>
                <w:color w:val="auto"/>
              </w:rPr>
            </w:pPr>
            <w:r>
              <w:rPr>
                <w:rFonts w:ascii="Arial" w:cs="Arial" w:eastAsia="Arial" w:hAnsi="Arial"/>
                <w:sz w:val="20"/>
                <w:szCs w:val="20"/>
                <w:color w:val="auto"/>
              </w:rPr>
              <w:t>2013</w:t>
            </w:r>
          </w:p>
        </w:tc>
        <w:tc>
          <w:tcPr>
            <w:tcW w:w="56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2,453</w:t>
            </w:r>
          </w:p>
        </w:tc>
      </w:tr>
      <w:tr>
        <w:trPr>
          <w:trHeight w:val="246"/>
        </w:trPr>
        <w:tc>
          <w:tcPr>
            <w:tcW w:w="4120" w:type="dxa"/>
            <w:vAlign w:val="bottom"/>
          </w:tcPr>
          <w:p>
            <w:pPr>
              <w:spacing w:after="0"/>
              <w:rPr>
                <w:sz w:val="20"/>
                <w:szCs w:val="20"/>
                <w:color w:val="auto"/>
              </w:rPr>
            </w:pPr>
            <w:r>
              <w:rPr>
                <w:rFonts w:ascii="Arial" w:cs="Arial" w:eastAsia="Arial" w:hAnsi="Arial"/>
                <w:sz w:val="20"/>
                <w:szCs w:val="20"/>
                <w:color w:val="auto"/>
              </w:rPr>
              <w:t>2014 and thereafter</w:t>
            </w:r>
          </w:p>
        </w:tc>
        <w:tc>
          <w:tcPr>
            <w:tcW w:w="5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8,514</w:t>
            </w:r>
          </w:p>
        </w:tc>
      </w:tr>
      <w:tr>
        <w:trPr>
          <w:trHeight w:val="223"/>
        </w:trPr>
        <w:tc>
          <w:tcPr>
            <w:tcW w:w="4120" w:type="dxa"/>
            <w:vAlign w:val="bottom"/>
          </w:tcPr>
          <w:p>
            <w:pPr>
              <w:spacing w:after="0"/>
              <w:rPr>
                <w:sz w:val="19"/>
                <w:szCs w:val="19"/>
                <w:color w:val="auto"/>
              </w:rPr>
            </w:pPr>
          </w:p>
        </w:tc>
        <w:tc>
          <w:tcPr>
            <w:tcW w:w="560" w:type="dxa"/>
            <w:vAlign w:val="bottom"/>
            <w:tcBorders>
              <w:bottom w:val="single" w:sz="8" w:color="auto"/>
            </w:tcBorders>
          </w:tcPr>
          <w:p>
            <w:pPr>
              <w:jc w:val="right"/>
              <w:ind w:right="285"/>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19,338</w:t>
            </w:r>
          </w:p>
        </w:tc>
      </w:tr>
      <w:tr>
        <w:trPr>
          <w:trHeight w:val="20"/>
        </w:trPr>
        <w:tc>
          <w:tcPr>
            <w:tcW w:w="4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Purchase Commitments </w:t>
      </w:r>
      <w:r>
        <w:rPr>
          <w:rFonts w:ascii="Arial" w:cs="Arial" w:eastAsia="Arial" w:hAnsi="Arial"/>
          <w:sz w:val="20"/>
          <w:szCs w:val="20"/>
          <w:color w:val="auto"/>
        </w:rPr>
        <w:t>– The Company has purchase commitments aggregating approximately $42.2 million, which represent</w:t>
      </w:r>
      <w:r>
        <w:rPr>
          <w:rFonts w:ascii="Arial" w:cs="Arial" w:eastAsia="Arial" w:hAnsi="Arial"/>
          <w:sz w:val="20"/>
          <w:szCs w:val="20"/>
          <w:i w:val="1"/>
          <w:iCs w:val="1"/>
          <w:color w:val="auto"/>
        </w:rPr>
        <w:t xml:space="preserve"> </w:t>
      </w:r>
      <w:r>
        <w:rPr>
          <w:rFonts w:ascii="Arial" w:cs="Arial" w:eastAsia="Arial" w:hAnsi="Arial"/>
          <w:sz w:val="20"/>
          <w:szCs w:val="20"/>
          <w:color w:val="auto"/>
        </w:rPr>
        <w:t>commitments made by the Company and its subsidiaries to various suppliers of raw materials for the manufacturing and packaging of its products. These obligations vary in terms.</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to the above purchase obligations, pursuant to a can supply agreement between the Company and Rexam Beverage Can Company (“Rexam”), the Company has undertaken to purchase a minimum volume of 24-ounce re-sealable aluminum beverage cans through December 31, 2010. The Company’s minimum purchase obligation under this agreement is approximately $27.3 million, subject to compliance by Rexam with certain conditions.</w:t>
      </w:r>
    </w:p>
    <w:p>
      <w:pPr>
        <w:spacing w:after="0" w:line="20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2008, the Company entered into licensing and programming agreements with SAP America, Inc. to use its global enterprise resource planning software initiative to replace the Company’s existing legacy software in North America. The Company also entered into agreements with Axon Solutions, Inc. and Vistex Inc. for the implementation and configuration of the SAP software. As of January 2010, the Company had</w:t>
      </w:r>
    </w:p>
    <w:p>
      <w:pPr>
        <w:sectPr>
          <w:pgSz w:w="11900" w:h="16838" w:orient="portrait"/>
          <w:cols w:equalWidth="0" w:num="1">
            <w:col w:w="11420"/>
          </w:cols>
          <w:pgMar w:left="240" w:top="126" w:right="239" w:bottom="0" w:gutter="0" w:footer="0" w:header="0"/>
        </w:sectPr>
      </w:pPr>
    </w:p>
    <w:bookmarkStart w:id="59" w:name="page60"/>
    <w:bookmarkEnd w:id="59"/>
    <w:p>
      <w:pPr>
        <w:jc w:val="both"/>
        <w:spacing w:after="0" w:line="250" w:lineRule="auto"/>
        <w:rPr>
          <w:sz w:val="20"/>
          <w:szCs w:val="20"/>
          <w:color w:val="auto"/>
        </w:rPr>
      </w:pPr>
      <w:r>
        <w:rPr>
          <w:rFonts w:ascii="Arial" w:cs="Arial" w:eastAsia="Arial" w:hAnsi="Arial"/>
          <w:sz w:val="20"/>
          <w:szCs w:val="20"/>
          <w:color w:val="auto"/>
        </w:rPr>
        <w:t>completed its North American transition to the SAP enterprise resource planning system. The Company intends to complete its transition for the Company’s international operations within fiscal 2010. The Company estimates the remaining cost for implementation of the initiative will be approximately $0.8 million.</w:t>
      </w:r>
    </w:p>
    <w:p>
      <w:pPr>
        <w:spacing w:after="0" w:line="20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Company purchases various raw material items, including, but not limited to, flavors, ingredients, containers, milk and cream, from a limited number of resources. An interruption in supply from any of such resources could result in the Company’s inability to produce certain products for limited or possibly extended periods of time. The aggregate value of purchases from suppliers of such limited resources described above for the years ended December 31, 2009, 2008 and 2007 was $168.6 million, $116.2 million and $107.1 million,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Noncancelable contractual obligations </w:t>
      </w:r>
      <w:r>
        <w:rPr>
          <w:rFonts w:ascii="Arial" w:cs="Arial" w:eastAsia="Arial" w:hAnsi="Arial"/>
          <w:sz w:val="20"/>
          <w:szCs w:val="20"/>
          <w:color w:val="auto"/>
        </w:rPr>
        <w:t>– The Company has noncancelable contractual obligations aggregating approximately $51.2</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related primarily to sponsorships and other commitments, payable over four years.</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Licensing Agreements </w:t>
      </w:r>
      <w:r>
        <w:rPr>
          <w:rFonts w:ascii="Arial" w:cs="Arial" w:eastAsia="Arial" w:hAnsi="Arial"/>
          <w:sz w:val="20"/>
          <w:szCs w:val="20"/>
          <w:color w:val="auto"/>
        </w:rPr>
        <w:t>– The Company produces, sells and distributes Lost® Energy</w:t>
      </w:r>
      <w:r>
        <w:rPr>
          <w:rFonts w:ascii="Arial" w:cs="Arial" w:eastAsia="Arial" w:hAnsi="Arial"/>
          <w:sz w:val="11"/>
          <w:szCs w:val="11"/>
          <w:color w:val="auto"/>
        </w:rPr>
        <w:t>TM</w:t>
      </w:r>
      <w:r>
        <w:rPr>
          <w:rFonts w:ascii="Arial" w:cs="Arial" w:eastAsia="Arial" w:hAnsi="Arial"/>
          <w:sz w:val="20"/>
          <w:szCs w:val="20"/>
          <w:i w:val="1"/>
          <w:iCs w:val="1"/>
          <w:color w:val="auto"/>
        </w:rPr>
        <w:t xml:space="preserve"> </w:t>
      </w:r>
      <w:r>
        <w:rPr>
          <w:rFonts w:ascii="Arial" w:cs="Arial" w:eastAsia="Arial" w:hAnsi="Arial"/>
          <w:sz w:val="20"/>
          <w:szCs w:val="20"/>
          <w:color w:val="auto"/>
        </w:rPr>
        <w:t>drinks under an exclusive license with Lost</w:t>
      </w:r>
      <w:r>
        <w:rPr>
          <w:rFonts w:ascii="Arial" w:cs="Arial" w:eastAsia="Arial" w:hAnsi="Arial"/>
          <w:sz w:val="20"/>
          <w:szCs w:val="20"/>
          <w:i w:val="1"/>
          <w:iCs w:val="1"/>
          <w:color w:val="auto"/>
        </w:rPr>
        <w:t xml:space="preserve"> </w:t>
      </w:r>
      <w:r>
        <w:rPr>
          <w:rFonts w:ascii="Arial" w:cs="Arial" w:eastAsia="Arial" w:hAnsi="Arial"/>
          <w:sz w:val="20"/>
          <w:szCs w:val="20"/>
          <w:color w:val="auto"/>
        </w:rPr>
        <w:t>International LLC. The license agreement requires certain royalty payments to be made related to the sale of Lost® brand products. Royalty expense under this agreement for the years ended December 31, 2009, 2008 and 2007 was $0.1 million, $0.3 million, and $0.5 million, respectively.</w:t>
      </w:r>
    </w:p>
    <w:p>
      <w:pPr>
        <w:spacing w:after="0" w:line="2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Guarantees </w:t>
      </w:r>
      <w:r>
        <w:rPr>
          <w:rFonts w:ascii="Arial" w:cs="Arial" w:eastAsia="Arial" w:hAnsi="Arial"/>
          <w:sz w:val="19"/>
          <w:szCs w:val="19"/>
          <w:color w:val="auto"/>
        </w:rPr>
        <w:t>– The Company from time to time enters into certain types of contracts that contingently require the Company to</w:t>
      </w:r>
      <w:r>
        <w:rPr>
          <w:rFonts w:ascii="Arial" w:cs="Arial" w:eastAsia="Arial" w:hAnsi="Arial"/>
          <w:sz w:val="19"/>
          <w:szCs w:val="19"/>
          <w:i w:val="1"/>
          <w:iCs w:val="1"/>
          <w:color w:val="auto"/>
        </w:rPr>
        <w:t xml:space="preserve"> </w:t>
      </w:r>
      <w:r>
        <w:rPr>
          <w:rFonts w:ascii="Arial" w:cs="Arial" w:eastAsia="Arial" w:hAnsi="Arial"/>
          <w:sz w:val="19"/>
          <w:szCs w:val="19"/>
          <w:color w:val="auto"/>
        </w:rPr>
        <w:t>indemnify parties against third 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and (iii) certain real estate leases, under which the Company may be required to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resulting liabilities or claims. Consequently, the Company does not believe the fair value of these guarantees is material to the Company’s consolidated financial statements.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Litigation </w:t>
      </w:r>
      <w:r>
        <w:rPr>
          <w:rFonts w:ascii="Arial" w:cs="Arial" w:eastAsia="Arial" w:hAnsi="Arial"/>
          <w:sz w:val="19"/>
          <w:szCs w:val="19"/>
          <w:color w:val="auto"/>
        </w:rPr>
        <w:t>– In September 2006, Christopher Chavez purporting to act on behalf of himself and a class of consumers yet to be defined</w:t>
      </w:r>
      <w:r>
        <w:rPr>
          <w:rFonts w:ascii="Arial" w:cs="Arial" w:eastAsia="Arial" w:hAnsi="Arial"/>
          <w:sz w:val="19"/>
          <w:szCs w:val="19"/>
          <w:i w:val="1"/>
          <w:iCs w:val="1"/>
          <w:color w:val="auto"/>
        </w:rPr>
        <w:t xml:space="preserve"> </w:t>
      </w:r>
      <w:r>
        <w:rPr>
          <w:rFonts w:ascii="Arial" w:cs="Arial" w:eastAsia="Arial" w:hAnsi="Arial"/>
          <w:sz w:val="19"/>
          <w:szCs w:val="19"/>
          <w:color w:val="auto"/>
        </w:rPr>
        <w:t>filed an action in the Superior Court of the State of California, City and County of San Francisco, against the Company and its subsidiaries for unfair business practices, false advertising, violation of California Consumers Legal Remedies Act, fraud, deceit and/or misrepresentation alleging that the Company misleadingly labels its Blue Sky beverages as manufactured and canned/bottled wholly in Santa Fe, New Mexico. Defendants removed this Superior Court action to the United States District Court for the Northern District of California under the Class Action Fairness Act, and filed motions for dismissal or transfer. On June 11, 2007, the United States District Court, Northern District of California granted the Company’s motion to dismiss Chavez’s complaint with prejudice. On June 23, 2009, the United States Court of Appeals for the Ninth Circuit filed a memorandum opinion reversing the opinion of the United States District Court and remanded the case to the United States District Court for further proceedings. A class certification hearing is scheduled for March 2010. The Company has filed a motion to dismiss the Consumer Legal Remedies Act claims that is set for hearing on March 4, 2010. Chavez has filed a motion for a decision on a preemption issue that will be heard on the same day. The Company believes it has meritorious defenses to the allegations and plans a vigorous defense. Discovery has just begun.</w:t>
      </w:r>
    </w:p>
    <w:p>
      <w:pPr>
        <w:spacing w:after="0" w:line="19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July 11, 2008, the Company initiated an action against Citigroup Inc., Citigroup Global Markets, Inc., and Citi Smith Barney, in the United States District Court, Central District of California, for violations of federal securities laws and the Investment Advisers Act of 1940, as amended, arising out of the Company’s purchase of auction rate securities. The Court granted the defendants’ motion to compel arbitration before the Financial Industry Regulatory Authority (“FINRA”). The matter is now proceeding before FINRA and has been set for hearing in March 2010.</w:t>
      </w:r>
    </w:p>
    <w:p>
      <w:pPr>
        <w:spacing w:after="0" w:line="20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On August 28, 2008, the Company initiated an action against Oppenheimer Holdings Inc., Oppenheimer &amp; Co. Inc., and Oppenheimer Asset Management Inc., in the United States District Court,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Central District of California, for violations of federal securities laws and the Investment Advisors Act, arising out of the Company’s purchase of auction rate securities. The defendants answered the complaint on October 14, 2008 denying the allegations set forth therein. The Oppenheimer action was deemed a related case to the Company’s action against Citigroup Inc. (described above). After the Court granted the defendants’ motion to compel arbitration in the Citigroup Inc. case, the Company stipulated to arbitration before FINRA, where the matter is</w:t>
      </w:r>
    </w:p>
    <w:p>
      <w:pPr>
        <w:sectPr>
          <w:pgSz w:w="11900" w:h="16838" w:orient="portrait"/>
          <w:cols w:equalWidth="0" w:num="1">
            <w:col w:w="11420"/>
          </w:cols>
          <w:pgMar w:left="240" w:top="122" w:right="239" w:bottom="0" w:gutter="0" w:footer="0" w:header="0"/>
        </w:sectPr>
      </w:pPr>
    </w:p>
    <w:bookmarkStart w:id="60" w:name="page61"/>
    <w:bookmarkEnd w:id="60"/>
    <w:p>
      <w:pPr>
        <w:jc w:val="both"/>
        <w:ind w:right="20"/>
        <w:spacing w:after="0" w:line="317" w:lineRule="auto"/>
        <w:rPr>
          <w:sz w:val="20"/>
          <w:szCs w:val="20"/>
          <w:color w:val="auto"/>
        </w:rPr>
      </w:pPr>
      <w:r>
        <w:rPr>
          <w:rFonts w:ascii="Arial" w:cs="Arial" w:eastAsia="Arial" w:hAnsi="Arial"/>
          <w:sz w:val="18"/>
          <w:szCs w:val="18"/>
          <w:color w:val="auto"/>
        </w:rPr>
        <w:t>now proceeding and has been set for hearing in August, 2010. The Company has voluntarily dismissed, without prejudice, its claims against Oppenheimer Asset Management, Inc. The Panel denied Oppenheimer Holdings, Inc.’s motion to be dismissed from the proceeding.</w:t>
      </w:r>
    </w:p>
    <w:p>
      <w:pPr>
        <w:spacing w:after="0" w:line="1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May 2009, Avraham Wellman, purporting to act on behalf of himself and a class of consumers in Canada, filed a putative class action in the Ontario Superior Court of Justice, in the City of Toronto, Ontario, Canada, against the Company and its former Canadian distributor, Pepsi-Cola Canada Ltd., as defendants.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The plaintiff claims general damages on behalf of the putative class in the amount of CDN$20 million, together with punitive damages of CDN$5 million, plus legal costs and interest. The plaintiff’s certification motion materials have not yet been filed. In accordance with class action practice in Ontario, the Company will not file an answer to the complaint until after the determination of the certification motion. The Company believes that the plaintiff’s complaint is without merit and plans a vigorous defense.</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to the above matters, the Company is subject to litigation from time to time in the normal course of business, including claims from terminated distributors. Although it is not possible to predict the outcome of such litigation, based on the facts known to the Company and after consultation with counsel, management believes that such litigation in the aggregate will likely not have a material adverse effect on the Company’s financial position or results of operations.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Securities Litigation </w:t>
      </w:r>
      <w:r>
        <w:rPr>
          <w:rFonts w:ascii="Arial" w:cs="Arial" w:eastAsia="Arial" w:hAnsi="Arial"/>
          <w:sz w:val="19"/>
          <w:szCs w:val="19"/>
          <w:color w:val="auto"/>
        </w:rPr>
        <w:t>- On September 11, 2008, a federal securities class action complaint styled</w:t>
      </w:r>
      <w:r>
        <w:rPr>
          <w:rFonts w:ascii="Arial" w:cs="Arial" w:eastAsia="Arial" w:hAnsi="Arial"/>
          <w:sz w:val="19"/>
          <w:szCs w:val="19"/>
          <w:i w:val="1"/>
          <w:iCs w:val="1"/>
          <w:color w:val="auto"/>
        </w:rPr>
        <w:t xml:space="preserve"> Cunha v. Hansen Natural Corp., et al. </w:t>
      </w:r>
      <w:r>
        <w:rPr>
          <w:rFonts w:ascii="Arial" w:cs="Arial" w:eastAsia="Arial" w:hAnsi="Arial"/>
          <w:sz w:val="19"/>
          <w:szCs w:val="19"/>
          <w:color w:val="auto"/>
        </w:rPr>
        <w:t xml:space="preserve">was filed in the United States District Court for the Central District of California (the “District Court”). On September 17, 2008, a second federal securities class action complaint styled </w:t>
      </w:r>
      <w:r>
        <w:rPr>
          <w:rFonts w:ascii="Arial" w:cs="Arial" w:eastAsia="Arial" w:hAnsi="Arial"/>
          <w:sz w:val="19"/>
          <w:szCs w:val="19"/>
          <w:i w:val="1"/>
          <w:iCs w:val="1"/>
          <w:color w:val="auto"/>
        </w:rPr>
        <w:t>Brown v. Hansen Natural Corp., et al.</w:t>
      </w:r>
      <w:r>
        <w:rPr>
          <w:rFonts w:ascii="Arial" w:cs="Arial" w:eastAsia="Arial" w:hAnsi="Arial"/>
          <w:sz w:val="19"/>
          <w:szCs w:val="19"/>
          <w:color w:val="auto"/>
        </w:rPr>
        <w:t xml:space="preserve"> was also filed in the District Court.</w:t>
      </w:r>
    </w:p>
    <w:p>
      <w:pPr>
        <w:spacing w:after="0" w:line="18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On July 14, 2009, the Court entered an order consolidating the actions and appointing lead counsel and the Structural Ironworkers Local Union #1 Pension Fund as lead plaintiff. On August 28, 2009 lead plaintiff filed a Consolidated Complaint for Violations of Federal Securities Laws (the “Consolidated Class Action Complaint”). The Consolidated Class Action Complaint purports to be brought on behalf of a class of purchasers of the Company’s stock during the period November 9, 2006 through November 8, 2007 (the “Class Period”). It names as defendants the Company, Rodney C. Sacks, Hilton H. Schlosberg, and Thomas J. Kelly. Plaintiff principally alleges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alleges that the Company’s financial statements for the second quarter of 2007 did not include certain promotional expenses. The Consolidated Class Action Complaint alleges violations of Sections 10(b) and 20(a) of the Securities Exchange Act of 1934, as amended (the “Exchange Act”) and Rule 10b-5 promulgated thereunder, and seeks an unspecified amount of damages.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November 16, 2009, the defendants filed their motion to dismiss the Consolidated Class Action Complaint pursuant to Federal Rules of Civil Procedure 12(b)(6) and 9(b), as well as the Private Securities Litigation Reform Act. On January 8, 2010, lead plaintiff filed its opposition to defendants’ motion to dismiss. Defendants’ reply brief was filed on February 8, 2010 and the Company is awaiting a decision from the Court on the motion.</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Derivative Litigation </w:t>
      </w:r>
      <w:r>
        <w:rPr>
          <w:rFonts w:ascii="Arial" w:cs="Arial" w:eastAsia="Arial" w:hAnsi="Arial"/>
          <w:sz w:val="20"/>
          <w:szCs w:val="20"/>
          <w:color w:val="auto"/>
        </w:rPr>
        <w:t>— On October 15, 2008, a derivative complaint was filed in the United States District Court for the Central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District of California (the “District Court”), styled </w:t>
      </w:r>
      <w:r>
        <w:rPr>
          <w:rFonts w:ascii="Arial" w:cs="Arial" w:eastAsia="Arial" w:hAnsi="Arial"/>
          <w:sz w:val="20"/>
          <w:szCs w:val="20"/>
          <w:i w:val="1"/>
          <w:iCs w:val="1"/>
          <w:color w:val="auto"/>
        </w:rPr>
        <w:t>Merckel v. Sacks, et al</w:t>
      </w:r>
      <w:r>
        <w:rPr>
          <w:rFonts w:ascii="Arial" w:cs="Arial" w:eastAsia="Arial" w:hAnsi="Arial"/>
          <w:sz w:val="20"/>
          <w:szCs w:val="20"/>
          <w:color w:val="auto"/>
        </w:rPr>
        <w:t xml:space="preserve">. On November 17, 2008, a second derivative complaint styled </w:t>
      </w:r>
      <w:r>
        <w:rPr>
          <w:rFonts w:ascii="Arial" w:cs="Arial" w:eastAsia="Arial" w:hAnsi="Arial"/>
          <w:sz w:val="20"/>
          <w:szCs w:val="20"/>
          <w:i w:val="1"/>
          <w:iCs w:val="1"/>
          <w:color w:val="auto"/>
        </w:rPr>
        <w:t xml:space="preserve">Dislevy v. Sacks, et al. </w:t>
      </w:r>
      <w:r>
        <w:rPr>
          <w:rFonts w:ascii="Arial" w:cs="Arial" w:eastAsia="Arial" w:hAnsi="Arial"/>
          <w:sz w:val="20"/>
          <w:szCs w:val="20"/>
          <w:color w:val="auto"/>
        </w:rPr>
        <w:t>was also filed in the District Court. The derivative suits were each brought, purportedly on behalf of the Company, by a</w:t>
      </w:r>
      <w:r>
        <w:rPr>
          <w:rFonts w:ascii="Arial" w:cs="Arial" w:eastAsia="Arial" w:hAnsi="Arial"/>
          <w:sz w:val="20"/>
          <w:szCs w:val="20"/>
          <w:i w:val="1"/>
          <w:iCs w:val="1"/>
          <w:color w:val="auto"/>
        </w:rPr>
        <w:t xml:space="preserve"> </w:t>
      </w:r>
      <w:r>
        <w:rPr>
          <w:rFonts w:ascii="Arial" w:cs="Arial" w:eastAsia="Arial" w:hAnsi="Arial"/>
          <w:sz w:val="20"/>
          <w:szCs w:val="20"/>
          <w:color w:val="auto"/>
        </w:rPr>
        <w:t>shareholder of the Company who made no prior demand on the Company’s Board of Directors.</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On June 29, 2009, the Court entered an order consolidating the Merckel and Dislevy actions. On July 13, 2009, the Court entered an order re-styling the consolidated actions as </w:t>
      </w:r>
      <w:r>
        <w:rPr>
          <w:rFonts w:ascii="Arial" w:cs="Arial" w:eastAsia="Arial" w:hAnsi="Arial"/>
          <w:sz w:val="18"/>
          <w:szCs w:val="18"/>
          <w:i w:val="1"/>
          <w:iCs w:val="1"/>
          <w:color w:val="auto"/>
        </w:rPr>
        <w:t>In re Hansen Derivative Shareholder Litigation</w:t>
      </w:r>
      <w:r>
        <w:rPr>
          <w:rFonts w:ascii="Arial" w:cs="Arial" w:eastAsia="Arial" w:hAnsi="Arial"/>
          <w:sz w:val="18"/>
          <w:szCs w:val="18"/>
          <w:color w:val="auto"/>
        </w:rPr>
        <w:t>, appointing lead plaintiff and lead counsel, and establishing a schedule for the filing of a consolidated amended complaint and for defendants’ response to such complaint.</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On October 13, 2009, lead plaintiff filed a Consolidated Shareholder Derivative Complaint (the “Consolidated Derivative Complaint”). The Consolidated Derivative Complaint names as defendants certain current and former officers, directors, and employees of the Company, including Rodney C. Sacks, Hilton H. Schlosberg, Harold C. Taber, Jr., Benjamin M. Polk, Norman C. Epstein, Mark S. Vidergauz, Sydney Selati, Thomas J. Kelly, Mark J. Hall, and Kirk S. Blower, as well as Hilrod Holdings, L.P. The Company is named as a nominal defendant. The factual allegations of the Consolidated Derivative Complaint are similar to those set forth in the Consolidated Class Action Complaint described above. Plaintiff alleges that, from November 2006 to the present, the defendants caused the Company to issue false and misleading statements concerning its business prospects and failed to properly disclose problems related to its non-Monster energy drinks, the prospects for the Anheuser-Busch distribution relationship, and alleged “inventory loading” that affected the Company’s results for the second quarter of 2007. Plaintiff further alleges that while the Company’s shares were purportedly artificially inflated because of those improper statements, certain of the defendants sold Company stock while in possession of material non-public information. The Consolidated Derivative Complaint asserts various causes of action, including breach of fiduciary duty, aiding and abetting breach of fiduciary duty, violation of Cal. Corp. Code §§ 25402 and 25403 for insider selling, and unjust enrichment. The suit seeks an unspecified amount of damages to be paid to the Company and adoption of corporate governance reforms, among other things.</w:t>
      </w:r>
    </w:p>
    <w:p>
      <w:pPr>
        <w:sectPr>
          <w:pgSz w:w="11900" w:h="16838" w:orient="portrait"/>
          <w:cols w:equalWidth="0" w:num="1">
            <w:col w:w="11420"/>
          </w:cols>
          <w:pgMar w:left="240" w:top="122" w:right="239" w:bottom="0" w:gutter="0" w:footer="0" w:header="0"/>
        </w:sectPr>
      </w:pPr>
    </w:p>
    <w:bookmarkStart w:id="61" w:name="page62"/>
    <w:bookmarkEnd w:id="61"/>
    <w:p>
      <w:pPr>
        <w:jc w:val="both"/>
        <w:ind w:firstLine="648"/>
        <w:spacing w:after="0" w:line="278" w:lineRule="auto"/>
        <w:rPr>
          <w:sz w:val="20"/>
          <w:szCs w:val="20"/>
          <w:color w:val="auto"/>
        </w:rPr>
      </w:pPr>
      <w:r>
        <w:rPr>
          <w:rFonts w:ascii="Arial" w:cs="Arial" w:eastAsia="Arial" w:hAnsi="Arial"/>
          <w:sz w:val="18"/>
          <w:szCs w:val="18"/>
          <w:color w:val="auto"/>
        </w:rPr>
        <w:t>On January 8, 2010, the Company filed its motion to dismiss the Consolidated Derivative Complaint pursuant to Federal Rules of Civil Procedure 12(b)(6) and 23.1. Plaintiff’s opposition to the motion was filed on February 22, 2010, and the Company’s reply brief is required to be filed by March 15, 2010. None of the other defendants need answer, move to dismiss, or otherwise respond to the Consolidated Derivative Complaint until or unless the District Court orders the Company to file an answer, in which case the other defendants will have 45 days after the filing of the Company’s answer to move to dismiss or otherwise respond to the Consolidated Derivative Complaint.</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Although the ultimate outcome of these matters cannot be determined with certainty, the Company believes that the allegations in the Consolidated Class Action Complaint and the Consolidated Derivative Complaint are without merit. The Company intends to vigorously defend against these lawsuits.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1"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2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 has two stock option plans under which shares were available for grant at December 31, 2009: the Hansen Natural Corporation Amended and Restated 2001 Stock Option Plan (the “2001 Option Plan”) and the 2009 Hansen Natural Corporation Stock Incentive Plan for Non-Employee Directors (the “2009 Directors Plan”). The 2009 Directors Plan, which replaced the 2005 Hansen Natural Corporation Stock Option Plan for Non-Employee Directors (the “2005 Directors Plan”), was approved by the Board of Directors on April 13, 2009, and ratified by the stockholders of the Company at the annual meeting of stockholders, held on June 4, 2009.</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2001 Option Plan permits the granting of options to purchase up to 22,000,000 shares of the common stock of the Company to certain key employees or non-employees of the Company and its subsidiaries. Options granted under the 2001 Option Plan may be incentive stock options under Section 422 of the Internal Revenue Code, as amended, non-qualified stock options or stock appreciation rights. The Compensation Committee of the Board of Directors (the “Compensation Committee”) has sole and exclusive authority to grant stock option awards to all employees who are not new hires and to all new hires who are subject to Section 16 of the Exchange Act. The Compensation Committee and the Executive Committee of the Board of Directors (the “Executive Committee”) each independently has the authority to grant awards to new hires who are not Section 16 employees. Awards granted by the Executive Committee are not subject to approval or ratification by the Board or the Compensation Committee. Outstanding options under the 2001 Option Plan generally vest over five years from the grant date and are generally exercisable up to 10 years after the grant date. As of December 31, 2009, options to purchase 18,587,300 shares of the Company’s common stock had been granted, net of cancellations, and options to purchase 3,412,700 shares of the Company’s common stock remain available for grant under the 2001 Option Plan.</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2009 Directors Plan permits the granting of options, stock appreciation rights (each, an “SAR”), and other stock-based awards to purchase up to an aggregate of 800,000 shares of common stock of the Company to non-employee directors of the Company. The 2009 Directors Plan is administered by the Board of Directors. Each award granted under the 2009 Directors Plan will be evidenced by a written agreement and will contain the terms and conditions that the Board of Directors deems appropriate. The Board of Directors may grant such awards on the last business day prior to the date of the annual meeting of stockholders. Any award granted under the 2009 Directors Plan will vest, with respect to 100% of such award, on the last business day prior to the date of the annual meeting, in the calendar year following the calendar year in which such award is granted. The Board of Directors may determine the exercise price per share of the Company’s common stock under each option, but such price may not be less than 100% of the closing price of the Company’s common stock for one share on the date an option is granted. Option grants may be made under the 2009 Directors Plan for 10 years from June 4, 2009. The Board of Directors may also grant SARs, independently, or in connection with an option grant. The Board of Directors may determine the exercise price per share of the Company’s common stock under each SAR, but such price may not be less than the greater of (i) the fair market value of a share on the date the SAR is granted and (ii) the price of the related option, if the SAR is granted in connection with an option grant. Additionally, the Board of Directors may grant other stock-based awards, which include awards of shares of the Company’s common stock, restricted shares of the Company’s common stock, and awards that are valued based on the fair market value of shares of the Company’s common stock. SARs and other stock-based awards are subject to the general provisions of the 2009 Directors Plan. The Board of Directors may amend or terminate the 2009 Directors Plan at any time. As of December 31, 2009, no options to purchase shares of the Company’s common stock had been granted under the 2009 Directors Plan, and options to purchase 800,000 shares of the Company’s common stock remained available for grant.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2005 Directors Plan, which was replaced by the 2009 Directors Plan, permitted the granting of options to purchase up to an aggregate of 800,000 shares of common stock of the Company to non-employee directors of the Company. On the date of the annual meeting of stockholders at which an eligible director was initially elected, each eligible director was entitled to receive a one-time grant of an option to purchase 24,000 shares of the Company’s common stock exercisable at the closing price for a share of common stock on the date of grant.</w:t>
      </w:r>
    </w:p>
    <w:p>
      <w:pPr>
        <w:sectPr>
          <w:pgSz w:w="11900" w:h="16838" w:orient="portrait"/>
          <w:cols w:equalWidth="0" w:num="1">
            <w:col w:w="11420"/>
          </w:cols>
          <w:pgMar w:left="240" w:top="352" w:right="239" w:bottom="0" w:gutter="0" w:footer="0" w:header="0"/>
        </w:sectPr>
      </w:pPr>
    </w:p>
    <w:bookmarkStart w:id="62" w:name="page63"/>
    <w:bookmarkEnd w:id="62"/>
    <w:p>
      <w:pPr>
        <w:jc w:val="both"/>
        <w:spacing w:after="0" w:line="272" w:lineRule="auto"/>
        <w:rPr>
          <w:sz w:val="20"/>
          <w:szCs w:val="20"/>
          <w:color w:val="auto"/>
        </w:rPr>
      </w:pPr>
      <w:r>
        <w:rPr>
          <w:rFonts w:ascii="Arial" w:cs="Arial" w:eastAsia="Arial" w:hAnsi="Arial"/>
          <w:sz w:val="18"/>
          <w:szCs w:val="18"/>
          <w:color w:val="auto"/>
        </w:rPr>
        <w:t>Additionally, on the fifth anniversary of the election of eligible directors elected or appointed to the Board of Directors, and each fifth anniversary thereafter, each eligible director was to receive an additional grant of an option to purchase 19,200 shares of the Company’s common stock. Options became exercisable in four equal installments, with the grant immediately vested with respect to 25% of the grant and the remaining installments vesting on the three successive anniversaries of the date of grant; provided that all options held by an eligible director became fully and immediately exercisable upon a change in control of the Company. Options granted under the 2005 Directors Plan that were not exercised generally expired 10 years after the date of grant. Option grants could be made under the 2005 Directors Plan for 10 years from the effective date of the 2005 Directors Plan. The 2005 Directors Plan was a “formula plan” so that a non-employee director’s participation in the 2005 Directors Plan did not affect his status as a “disinterested person” (as defined in Rule 16b-3 of the Exchange Act). As of December 31, 2009, options to purchase 76,800 shares of the Company’s common stock had been granted under the 2005 Directors Plan.</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Under the Company’s stock option plans, all grants are made at prices based on the fair-value of the options on the date of grant. The Company recorded $14.0 million, $13.9 million and $10.2 million of compensation expense relating to outstanding options during the years ended December 31, 2009, 2008 and 2007, respectively. Refer to “Change in Estimated Forfeiture Rate” within this Note 12 for additional information.</w:t>
      </w:r>
    </w:p>
    <w:p>
      <w:pPr>
        <w:spacing w:after="0" w:line="20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and (2) the date at which the non-employee’s performance is complete, using the Black-Scholes-Merton option pricing formula with the assumptions included in the table below. The Company uses historical data to determine the exercise behavior, volatility and forfeiture rate of the options. The following weighted-average assumptions were used to estimate the fair value of options granted during the years ended December 31, 2009, 2008 and 2007, respectively:</w:t>
      </w:r>
    </w:p>
    <w:p>
      <w:pPr>
        <w:spacing w:after="0" w:line="183" w:lineRule="exact"/>
        <w:rPr>
          <w:sz w:val="20"/>
          <w:szCs w:val="20"/>
          <w:color w:val="auto"/>
        </w:rPr>
      </w:pPr>
    </w:p>
    <w:tbl>
      <w:tblPr>
        <w:tblLayout w:type="fixed"/>
        <w:tblInd w:w="980" w:type="dxa"/>
        <w:tblCellMar>
          <w:top w:w="0" w:type="dxa"/>
          <w:left w:w="0" w:type="dxa"/>
          <w:bottom w:w="0" w:type="dxa"/>
          <w:right w:w="0" w:type="dxa"/>
        </w:tblCellMar>
      </w:tblPr>
      <w:tr>
        <w:trPr>
          <w:trHeight w:val="246"/>
        </w:trPr>
        <w:tc>
          <w:tcPr>
            <w:tcW w:w="434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2009</w:t>
            </w:r>
          </w:p>
        </w:tc>
        <w:tc>
          <w:tcPr>
            <w:tcW w:w="4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2008</w:t>
            </w:r>
          </w:p>
        </w:tc>
        <w:tc>
          <w:tcPr>
            <w:tcW w:w="4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line="207" w:lineRule="exact"/>
              <w:rPr>
                <w:sz w:val="20"/>
                <w:szCs w:val="20"/>
                <w:color w:val="auto"/>
              </w:rPr>
            </w:pPr>
            <w:r>
              <w:rPr>
                <w:rFonts w:ascii="Arial" w:cs="Arial" w:eastAsia="Arial" w:hAnsi="Arial"/>
                <w:sz w:val="20"/>
                <w:szCs w:val="20"/>
                <w:color w:val="auto"/>
                <w:w w:val="89"/>
              </w:rPr>
              <w:t>0.0 %</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line="207" w:lineRule="exact"/>
              <w:rPr>
                <w:sz w:val="20"/>
                <w:szCs w:val="20"/>
                <w:color w:val="auto"/>
              </w:rPr>
            </w:pPr>
            <w:r>
              <w:rPr>
                <w:rFonts w:ascii="Arial" w:cs="Arial" w:eastAsia="Arial" w:hAnsi="Arial"/>
                <w:sz w:val="20"/>
                <w:szCs w:val="20"/>
                <w:color w:val="auto"/>
                <w:w w:val="89"/>
              </w:rPr>
              <w:t>0.0 %</w:t>
            </w:r>
          </w:p>
        </w:tc>
        <w:tc>
          <w:tcPr>
            <w:tcW w:w="280" w:type="dxa"/>
            <w:vAlign w:val="bottom"/>
          </w:tcPr>
          <w:p>
            <w:pPr>
              <w:spacing w:after="0"/>
              <w:rPr>
                <w:sz w:val="17"/>
                <w:szCs w:val="17"/>
                <w:color w:val="auto"/>
              </w:rPr>
            </w:pPr>
          </w:p>
        </w:tc>
        <w:tc>
          <w:tcPr>
            <w:tcW w:w="1380" w:type="dxa"/>
            <w:vAlign w:val="bottom"/>
          </w:tcPr>
          <w:p>
            <w:pPr>
              <w:jc w:val="right"/>
              <w:spacing w:after="0" w:line="207" w:lineRule="exact"/>
              <w:rPr>
                <w:sz w:val="20"/>
                <w:szCs w:val="20"/>
                <w:color w:val="auto"/>
              </w:rPr>
            </w:pPr>
            <w:r>
              <w:rPr>
                <w:rFonts w:ascii="Arial" w:cs="Arial" w:eastAsia="Arial" w:hAnsi="Arial"/>
                <w:sz w:val="20"/>
                <w:szCs w:val="20"/>
                <w:color w:val="auto"/>
              </w:rPr>
              <w:t>0.0 %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20"/>
                <w:szCs w:val="20"/>
                <w:color w:val="auto"/>
              </w:rPr>
              <w:t>Expected volatility</w:t>
            </w:r>
          </w:p>
        </w:tc>
        <w:tc>
          <w:tcPr>
            <w:tcW w:w="1640" w:type="dxa"/>
            <w:vAlign w:val="bottom"/>
            <w:gridSpan w:val="3"/>
          </w:tcPr>
          <w:p>
            <w:pPr>
              <w:jc w:val="right"/>
              <w:ind w:right="260"/>
              <w:spacing w:after="0"/>
              <w:rPr>
                <w:sz w:val="20"/>
                <w:szCs w:val="20"/>
                <w:color w:val="auto"/>
              </w:rPr>
            </w:pPr>
            <w:r>
              <w:rPr>
                <w:rFonts w:ascii="Arial" w:cs="Arial" w:eastAsia="Arial" w:hAnsi="Arial"/>
                <w:sz w:val="20"/>
                <w:szCs w:val="20"/>
                <w:color w:val="auto"/>
              </w:rPr>
              <w:t>62.8 %</w:t>
            </w:r>
          </w:p>
        </w:tc>
        <w:tc>
          <w:tcPr>
            <w:tcW w:w="1660" w:type="dxa"/>
            <w:vAlign w:val="bottom"/>
            <w:gridSpan w:val="3"/>
          </w:tcPr>
          <w:p>
            <w:pPr>
              <w:jc w:val="right"/>
              <w:ind w:right="280"/>
              <w:spacing w:after="0"/>
              <w:rPr>
                <w:sz w:val="20"/>
                <w:szCs w:val="20"/>
                <w:color w:val="auto"/>
              </w:rPr>
            </w:pPr>
            <w:r>
              <w:rPr>
                <w:rFonts w:ascii="Arial" w:cs="Arial" w:eastAsia="Arial" w:hAnsi="Arial"/>
                <w:sz w:val="20"/>
                <w:szCs w:val="20"/>
                <w:color w:val="auto"/>
              </w:rPr>
              <w:t>62.4 %</w:t>
            </w:r>
          </w:p>
        </w:tc>
        <w:tc>
          <w:tcPr>
            <w:tcW w:w="1400" w:type="dxa"/>
            <w:vAlign w:val="bottom"/>
            <w:gridSpan w:val="2"/>
          </w:tcPr>
          <w:p>
            <w:pPr>
              <w:jc w:val="right"/>
              <w:ind w:right="20"/>
              <w:spacing w:after="0"/>
              <w:rPr>
                <w:sz w:val="20"/>
                <w:szCs w:val="20"/>
                <w:color w:val="auto"/>
              </w:rPr>
            </w:pPr>
            <w:r>
              <w:rPr>
                <w:rFonts w:ascii="Arial" w:cs="Arial" w:eastAsia="Arial" w:hAnsi="Arial"/>
                <w:sz w:val="20"/>
                <w:szCs w:val="20"/>
                <w:color w:val="auto"/>
              </w:rPr>
              <w:t>60.7 %</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20"/>
                <w:szCs w:val="20"/>
                <w:color w:val="auto"/>
              </w:rPr>
              <w:t>Risk free interest rate</w:t>
            </w:r>
          </w:p>
        </w:tc>
        <w:tc>
          <w:tcPr>
            <w:tcW w:w="9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20"/>
                <w:szCs w:val="20"/>
                <w:color w:val="auto"/>
                <w:w w:val="89"/>
              </w:rPr>
              <w:t>2.5 %</w:t>
            </w:r>
          </w:p>
        </w:tc>
        <w:tc>
          <w:tcPr>
            <w:tcW w:w="9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20"/>
                <w:szCs w:val="20"/>
                <w:color w:val="auto"/>
                <w:w w:val="89"/>
              </w:rPr>
              <w:t>3.4 %</w:t>
            </w:r>
          </w:p>
        </w:tc>
        <w:tc>
          <w:tcPr>
            <w:tcW w:w="1400" w:type="dxa"/>
            <w:vAlign w:val="bottom"/>
            <w:gridSpan w:val="2"/>
          </w:tcPr>
          <w:p>
            <w:pPr>
              <w:jc w:val="right"/>
              <w:ind w:right="20"/>
              <w:spacing w:after="0"/>
              <w:rPr>
                <w:sz w:val="20"/>
                <w:szCs w:val="20"/>
                <w:color w:val="auto"/>
              </w:rPr>
            </w:pPr>
            <w:r>
              <w:rPr>
                <w:rFonts w:ascii="Arial" w:cs="Arial" w:eastAsia="Arial" w:hAnsi="Arial"/>
                <w:sz w:val="20"/>
                <w:szCs w:val="20"/>
                <w:color w:val="auto"/>
              </w:rPr>
              <w:t>4.3 %</w:t>
            </w: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0"/>
                <w:szCs w:val="20"/>
                <w:color w:val="auto"/>
              </w:rPr>
            </w:pPr>
            <w:r>
              <w:rPr>
                <w:rFonts w:ascii="Arial" w:cs="Arial" w:eastAsia="Arial" w:hAnsi="Arial"/>
                <w:sz w:val="20"/>
                <w:szCs w:val="20"/>
                <w:color w:val="auto"/>
              </w:rPr>
              <w:t>Expected term</w:t>
            </w:r>
          </w:p>
        </w:tc>
        <w:tc>
          <w:tcPr>
            <w:tcW w:w="900" w:type="dxa"/>
            <w:vAlign w:val="bottom"/>
          </w:tcPr>
          <w:p>
            <w:pPr>
              <w:jc w:val="right"/>
              <w:spacing w:after="0"/>
              <w:rPr>
                <w:sz w:val="20"/>
                <w:szCs w:val="20"/>
                <w:color w:val="auto"/>
              </w:rPr>
            </w:pPr>
            <w:r>
              <w:rPr>
                <w:rFonts w:ascii="Arial" w:cs="Arial" w:eastAsia="Arial" w:hAnsi="Arial"/>
                <w:sz w:val="20"/>
                <w:szCs w:val="20"/>
                <w:color w:val="auto"/>
              </w:rPr>
              <w:t>6.4</w:t>
            </w:r>
          </w:p>
        </w:tc>
        <w:tc>
          <w:tcPr>
            <w:tcW w:w="740" w:type="dxa"/>
            <w:vAlign w:val="bottom"/>
            <w:gridSpan w:val="2"/>
          </w:tcPr>
          <w:p>
            <w:pPr>
              <w:ind w:left="40"/>
              <w:spacing w:after="0"/>
              <w:rPr>
                <w:sz w:val="20"/>
                <w:szCs w:val="20"/>
                <w:color w:val="auto"/>
              </w:rPr>
            </w:pPr>
            <w:r>
              <w:rPr>
                <w:rFonts w:ascii="Arial" w:cs="Arial" w:eastAsia="Arial" w:hAnsi="Arial"/>
                <w:sz w:val="20"/>
                <w:szCs w:val="20"/>
                <w:color w:val="auto"/>
              </w:rPr>
              <w:t>Years</w:t>
            </w:r>
          </w:p>
        </w:tc>
        <w:tc>
          <w:tcPr>
            <w:tcW w:w="900" w:type="dxa"/>
            <w:vAlign w:val="bottom"/>
          </w:tcPr>
          <w:p>
            <w:pPr>
              <w:jc w:val="right"/>
              <w:spacing w:after="0"/>
              <w:rPr>
                <w:sz w:val="20"/>
                <w:szCs w:val="20"/>
                <w:color w:val="auto"/>
              </w:rPr>
            </w:pPr>
            <w:r>
              <w:rPr>
                <w:rFonts w:ascii="Arial" w:cs="Arial" w:eastAsia="Arial" w:hAnsi="Arial"/>
                <w:sz w:val="20"/>
                <w:szCs w:val="20"/>
                <w:color w:val="auto"/>
              </w:rPr>
              <w:t>5.7</w:t>
            </w:r>
          </w:p>
        </w:tc>
        <w:tc>
          <w:tcPr>
            <w:tcW w:w="760" w:type="dxa"/>
            <w:vAlign w:val="bottom"/>
            <w:gridSpan w:val="2"/>
          </w:tcPr>
          <w:p>
            <w:pPr>
              <w:jc w:val="right"/>
              <w:ind w:right="280"/>
              <w:spacing w:after="0"/>
              <w:rPr>
                <w:sz w:val="20"/>
                <w:szCs w:val="20"/>
                <w:color w:val="auto"/>
              </w:rPr>
            </w:pPr>
            <w:r>
              <w:rPr>
                <w:rFonts w:ascii="Arial" w:cs="Arial" w:eastAsia="Arial" w:hAnsi="Arial"/>
                <w:sz w:val="20"/>
                <w:szCs w:val="20"/>
                <w:color w:val="auto"/>
                <w:w w:val="87"/>
              </w:rPr>
              <w:t>Years</w:t>
            </w:r>
          </w:p>
        </w:tc>
        <w:tc>
          <w:tcPr>
            <w:tcW w:w="1400" w:type="dxa"/>
            <w:vAlign w:val="bottom"/>
            <w:gridSpan w:val="2"/>
          </w:tcPr>
          <w:p>
            <w:pPr>
              <w:jc w:val="right"/>
              <w:ind w:right="20"/>
              <w:spacing w:after="0"/>
              <w:rPr>
                <w:sz w:val="20"/>
                <w:szCs w:val="20"/>
                <w:color w:val="auto"/>
              </w:rPr>
            </w:pPr>
            <w:r>
              <w:rPr>
                <w:rFonts w:ascii="Arial" w:cs="Arial" w:eastAsia="Arial" w:hAnsi="Arial"/>
                <w:sz w:val="20"/>
                <w:szCs w:val="20"/>
                <w:color w:val="auto"/>
              </w:rPr>
              <w:t>5.5 Years</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The Company uses historical volatility as it provides a reasonable estimate of the expected volatility. Historical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b w:val="1"/>
          <w:bCs w:val="1"/>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the expected term of the option.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Expected Term: </w:t>
      </w:r>
      <w:r>
        <w:rPr>
          <w:rFonts w:ascii="Arial" w:cs="Arial" w:eastAsia="Arial" w:hAnsi="Arial"/>
          <w:sz w:val="16"/>
          <w:szCs w:val="16"/>
          <w:color w:val="auto"/>
        </w:rPr>
        <w:t>The Company’s expected term represents the weighted-average period that the Company’s stock options are expected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20"/>
                <w:szCs w:val="20"/>
                <w:color w:val="auto"/>
                <w:w w:val="89"/>
              </w:rPr>
              <w:t>Weighted-</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center"/>
              <w:ind w:right="261"/>
              <w:spacing w:after="0"/>
              <w:rPr>
                <w:sz w:val="20"/>
                <w:szCs w:val="20"/>
                <w:color w:val="auto"/>
              </w:rPr>
            </w:pPr>
            <w:r>
              <w:rPr>
                <w:rFonts w:ascii="Arial" w:cs="Arial" w:eastAsia="Arial" w:hAnsi="Arial"/>
                <w:sz w:val="20"/>
                <w:szCs w:val="20"/>
                <w:color w:val="auto"/>
                <w:w w:val="89"/>
              </w:rPr>
              <w:t>Weighted-</w:t>
            </w:r>
          </w:p>
        </w:tc>
        <w:tc>
          <w:tcPr>
            <w:tcW w:w="1400" w:type="dxa"/>
            <w:vAlign w:val="bottom"/>
          </w:tcPr>
          <w:p>
            <w:pPr>
              <w:jc w:val="right"/>
              <w:ind w:right="301"/>
              <w:spacing w:after="0"/>
              <w:rPr>
                <w:sz w:val="20"/>
                <w:szCs w:val="20"/>
                <w:color w:val="auto"/>
              </w:rPr>
            </w:pPr>
            <w:r>
              <w:rPr>
                <w:rFonts w:ascii="Arial" w:cs="Arial" w:eastAsia="Arial" w:hAnsi="Arial"/>
                <w:sz w:val="20"/>
                <w:szCs w:val="20"/>
                <w:color w:val="auto"/>
              </w:rPr>
              <w:t>Average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center"/>
              <w:ind w:right="301"/>
              <w:spacing w:after="0"/>
              <w:rPr>
                <w:sz w:val="20"/>
                <w:szCs w:val="20"/>
                <w:color w:val="auto"/>
              </w:rPr>
            </w:pPr>
            <w:r>
              <w:rPr>
                <w:rFonts w:ascii="Arial" w:cs="Arial" w:eastAsia="Arial" w:hAnsi="Arial"/>
                <w:sz w:val="20"/>
                <w:szCs w:val="20"/>
                <w:color w:val="auto"/>
                <w:w w:val="88"/>
              </w:rPr>
              <w:t>Average</w:t>
            </w:r>
          </w:p>
        </w:tc>
        <w:tc>
          <w:tcPr>
            <w:tcW w:w="1400" w:type="dxa"/>
            <w:vAlign w:val="bottom"/>
          </w:tcPr>
          <w:p>
            <w:pPr>
              <w:jc w:val="center"/>
              <w:spacing w:after="0"/>
              <w:rPr>
                <w:sz w:val="20"/>
                <w:szCs w:val="20"/>
                <w:color w:val="auto"/>
              </w:rPr>
            </w:pPr>
            <w:r>
              <w:rPr>
                <w:rFonts w:ascii="Arial" w:cs="Arial" w:eastAsia="Arial" w:hAnsi="Arial"/>
                <w:sz w:val="20"/>
                <w:szCs w:val="20"/>
                <w:color w:val="auto"/>
                <w:w w:val="89"/>
              </w:rPr>
              <w:t>Remaining</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380" w:type="dxa"/>
            <w:vAlign w:val="bottom"/>
          </w:tcPr>
          <w:p>
            <w:pPr>
              <w:jc w:val="right"/>
              <w:ind w:right="181"/>
              <w:spacing w:after="0"/>
              <w:rPr>
                <w:sz w:val="20"/>
                <w:szCs w:val="20"/>
                <w:color w:val="auto"/>
              </w:rPr>
            </w:pPr>
            <w:r>
              <w:rPr>
                <w:rFonts w:ascii="Arial" w:cs="Arial" w:eastAsia="Arial" w:hAnsi="Arial"/>
                <w:sz w:val="20"/>
                <w:szCs w:val="20"/>
                <w:color w:val="auto"/>
              </w:rPr>
              <w:t>Number of</w:t>
            </w:r>
          </w:p>
        </w:tc>
        <w:tc>
          <w:tcPr>
            <w:tcW w:w="440" w:type="dxa"/>
            <w:vAlign w:val="bottom"/>
          </w:tcPr>
          <w:p>
            <w:pPr>
              <w:spacing w:after="0"/>
              <w:rPr>
                <w:sz w:val="19"/>
                <w:szCs w:val="19"/>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8"/>
              </w:rPr>
              <w:t>Exercise</w:t>
            </w:r>
          </w:p>
        </w:tc>
        <w:tc>
          <w:tcPr>
            <w:tcW w:w="1400" w:type="dxa"/>
            <w:vAlign w:val="bottom"/>
          </w:tcPr>
          <w:p>
            <w:pPr>
              <w:jc w:val="center"/>
              <w:spacing w:after="0"/>
              <w:rPr>
                <w:sz w:val="20"/>
                <w:szCs w:val="20"/>
                <w:color w:val="auto"/>
              </w:rPr>
            </w:pPr>
            <w:r>
              <w:rPr>
                <w:rFonts w:ascii="Arial" w:cs="Arial" w:eastAsia="Arial" w:hAnsi="Arial"/>
                <w:sz w:val="20"/>
                <w:szCs w:val="20"/>
                <w:color w:val="auto"/>
                <w:w w:val="89"/>
              </w:rPr>
              <w:t>Contractual</w:t>
            </w:r>
          </w:p>
        </w:tc>
        <w:tc>
          <w:tcPr>
            <w:tcW w:w="320" w:type="dxa"/>
            <w:vAlign w:val="bottom"/>
          </w:tcPr>
          <w:p>
            <w:pPr>
              <w:spacing w:after="0"/>
              <w:rPr>
                <w:sz w:val="19"/>
                <w:szCs w:val="19"/>
                <w:color w:val="auto"/>
              </w:rPr>
            </w:pPr>
          </w:p>
        </w:tc>
        <w:tc>
          <w:tcPr>
            <w:tcW w:w="1160" w:type="dxa"/>
            <w:vAlign w:val="bottom"/>
          </w:tcPr>
          <w:p>
            <w:pPr>
              <w:jc w:val="center"/>
              <w:ind w:right="181"/>
              <w:spacing w:after="0"/>
              <w:rPr>
                <w:sz w:val="20"/>
                <w:szCs w:val="20"/>
                <w:color w:val="auto"/>
              </w:rPr>
            </w:pPr>
            <w:r>
              <w:rPr>
                <w:rFonts w:ascii="Arial" w:cs="Arial" w:eastAsia="Arial" w:hAnsi="Arial"/>
                <w:sz w:val="20"/>
                <w:szCs w:val="20"/>
                <w:color w:val="auto"/>
                <w:w w:val="90"/>
              </w:rPr>
              <w:t>Aggregate</w:t>
            </w: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380" w:type="dxa"/>
            <w:vAlign w:val="bottom"/>
          </w:tcPr>
          <w:p>
            <w:pPr>
              <w:jc w:val="right"/>
              <w:ind w:right="201"/>
              <w:spacing w:after="0"/>
              <w:rPr>
                <w:sz w:val="20"/>
                <w:szCs w:val="20"/>
                <w:color w:val="auto"/>
              </w:rPr>
            </w:pPr>
            <w:r>
              <w:rPr>
                <w:rFonts w:ascii="Arial" w:cs="Arial" w:eastAsia="Arial" w:hAnsi="Arial"/>
                <w:sz w:val="20"/>
                <w:szCs w:val="20"/>
                <w:color w:val="auto"/>
              </w:rPr>
              <w:t>Shares (In</w:t>
            </w:r>
          </w:p>
        </w:tc>
        <w:tc>
          <w:tcPr>
            <w:tcW w:w="440" w:type="dxa"/>
            <w:vAlign w:val="bottom"/>
          </w:tcPr>
          <w:p>
            <w:pPr>
              <w:spacing w:after="0"/>
              <w:rPr>
                <w:sz w:val="19"/>
                <w:szCs w:val="19"/>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Price Per</w:t>
            </w:r>
          </w:p>
        </w:tc>
        <w:tc>
          <w:tcPr>
            <w:tcW w:w="1400" w:type="dxa"/>
            <w:vAlign w:val="bottom"/>
          </w:tcPr>
          <w:p>
            <w:pPr>
              <w:jc w:val="center"/>
              <w:spacing w:after="0"/>
              <w:rPr>
                <w:sz w:val="20"/>
                <w:szCs w:val="20"/>
                <w:color w:val="auto"/>
              </w:rPr>
            </w:pPr>
            <w:r>
              <w:rPr>
                <w:rFonts w:ascii="Arial" w:cs="Arial" w:eastAsia="Arial" w:hAnsi="Arial"/>
                <w:sz w:val="20"/>
                <w:szCs w:val="20"/>
                <w:color w:val="auto"/>
                <w:w w:val="92"/>
              </w:rPr>
              <w:t>Term (In</w:t>
            </w:r>
          </w:p>
        </w:tc>
        <w:tc>
          <w:tcPr>
            <w:tcW w:w="320" w:type="dxa"/>
            <w:vAlign w:val="bottom"/>
          </w:tcPr>
          <w:p>
            <w:pPr>
              <w:spacing w:after="0"/>
              <w:rPr>
                <w:sz w:val="19"/>
                <w:szCs w:val="19"/>
                <w:color w:val="auto"/>
              </w:rPr>
            </w:pPr>
          </w:p>
        </w:tc>
        <w:tc>
          <w:tcPr>
            <w:tcW w:w="1160" w:type="dxa"/>
            <w:vAlign w:val="bottom"/>
          </w:tcPr>
          <w:p>
            <w:pPr>
              <w:jc w:val="center"/>
              <w:ind w:right="181"/>
              <w:spacing w:after="0"/>
              <w:rPr>
                <w:sz w:val="20"/>
                <w:szCs w:val="20"/>
                <w:color w:val="auto"/>
              </w:rPr>
            </w:pPr>
            <w:r>
              <w:rPr>
                <w:rFonts w:ascii="Arial" w:cs="Arial" w:eastAsia="Arial" w:hAnsi="Arial"/>
                <w:sz w:val="20"/>
                <w:szCs w:val="20"/>
                <w:color w:val="auto"/>
                <w:w w:val="92"/>
              </w:rPr>
              <w:t>Intrinsic</w:t>
            </w:r>
          </w:p>
        </w:tc>
      </w:tr>
      <w:tr>
        <w:trPr>
          <w:trHeight w:val="246"/>
        </w:trPr>
        <w:tc>
          <w:tcPr>
            <w:tcW w:w="20" w:type="dxa"/>
            <w:vAlign w:val="bottom"/>
          </w:tcPr>
          <w:p>
            <w:pPr>
              <w:spacing w:after="0"/>
              <w:rPr>
                <w:sz w:val="21"/>
                <w:szCs w:val="21"/>
                <w:color w:val="auto"/>
              </w:rPr>
            </w:pPr>
          </w:p>
        </w:tc>
        <w:tc>
          <w:tcPr>
            <w:tcW w:w="5480" w:type="dxa"/>
            <w:vAlign w:val="bottom"/>
            <w:tcBorders>
              <w:bottom w:val="single" w:sz="8" w:color="auto"/>
            </w:tcBorders>
          </w:tcPr>
          <w:p>
            <w:pPr>
              <w:ind w:left="2280"/>
              <w:spacing w:after="0"/>
              <w:rPr>
                <w:sz w:val="20"/>
                <w:szCs w:val="20"/>
                <w:color w:val="auto"/>
              </w:rPr>
            </w:pPr>
            <w:r>
              <w:rPr>
                <w:rFonts w:ascii="Arial" w:cs="Arial" w:eastAsia="Arial" w:hAnsi="Arial"/>
                <w:sz w:val="20"/>
                <w:szCs w:val="20"/>
                <w:color w:val="auto"/>
              </w:rPr>
              <w:t>Options</w:t>
            </w:r>
          </w:p>
        </w:tc>
        <w:tc>
          <w:tcPr>
            <w:tcW w:w="13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Thousands)</w:t>
            </w:r>
          </w:p>
        </w:tc>
        <w:tc>
          <w:tcPr>
            <w:tcW w:w="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261"/>
              <w:spacing w:after="0"/>
              <w:rPr>
                <w:sz w:val="20"/>
                <w:szCs w:val="20"/>
                <w:color w:val="auto"/>
              </w:rPr>
            </w:pPr>
            <w:r>
              <w:rPr>
                <w:rFonts w:ascii="Arial" w:cs="Arial" w:eastAsia="Arial" w:hAnsi="Arial"/>
                <w:sz w:val="20"/>
                <w:szCs w:val="20"/>
                <w:color w:val="auto"/>
                <w:w w:val="86"/>
              </w:rPr>
              <w:t>Share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4"/>
              </w:rPr>
              <w:t>Years)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85"/>
              </w:rPr>
              <w:t>Value</w:t>
            </w:r>
          </w:p>
        </w:tc>
      </w:tr>
      <w:tr>
        <w:trPr>
          <w:trHeight w:val="206"/>
        </w:trPr>
        <w:tc>
          <w:tcPr>
            <w:tcW w:w="20" w:type="dxa"/>
            <w:vAlign w:val="bottom"/>
          </w:tcPr>
          <w:p>
            <w:pPr>
              <w:spacing w:after="0"/>
              <w:rPr>
                <w:sz w:val="17"/>
                <w:szCs w:val="17"/>
                <w:color w:val="auto"/>
              </w:rPr>
            </w:pPr>
          </w:p>
        </w:tc>
        <w:tc>
          <w:tcPr>
            <w:tcW w:w="5480" w:type="dxa"/>
            <w:vAlign w:val="bottom"/>
          </w:tcPr>
          <w:p>
            <w:pPr>
              <w:spacing w:after="0" w:line="207" w:lineRule="exact"/>
              <w:rPr>
                <w:sz w:val="20"/>
                <w:szCs w:val="20"/>
                <w:color w:val="auto"/>
              </w:rPr>
            </w:pPr>
            <w:r>
              <w:rPr>
                <w:rFonts w:ascii="Arial" w:cs="Arial" w:eastAsia="Arial" w:hAnsi="Arial"/>
                <w:sz w:val="20"/>
                <w:szCs w:val="20"/>
                <w:color w:val="auto"/>
              </w:rPr>
              <w:t>Balance at January 1, 2009</w:t>
            </w:r>
          </w:p>
        </w:tc>
        <w:tc>
          <w:tcPr>
            <w:tcW w:w="1380" w:type="dxa"/>
            <w:vAlign w:val="bottom"/>
          </w:tcPr>
          <w:p>
            <w:pPr>
              <w:jc w:val="right"/>
              <w:ind w:right="61"/>
              <w:spacing w:after="0" w:line="207" w:lineRule="exact"/>
              <w:rPr>
                <w:sz w:val="20"/>
                <w:szCs w:val="20"/>
                <w:color w:val="auto"/>
              </w:rPr>
            </w:pPr>
            <w:r>
              <w:rPr>
                <w:rFonts w:ascii="Arial" w:cs="Arial" w:eastAsia="Arial" w:hAnsi="Arial"/>
                <w:sz w:val="20"/>
                <w:szCs w:val="20"/>
                <w:color w:val="auto"/>
              </w:rPr>
              <w:t>10,030</w:t>
            </w:r>
          </w:p>
        </w:tc>
        <w:tc>
          <w:tcPr>
            <w:tcW w:w="44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121"/>
              <w:spacing w:after="0" w:line="207" w:lineRule="exact"/>
              <w:rPr>
                <w:sz w:val="20"/>
                <w:szCs w:val="20"/>
                <w:color w:val="auto"/>
              </w:rPr>
            </w:pPr>
            <w:r>
              <w:rPr>
                <w:rFonts w:ascii="Arial" w:cs="Arial" w:eastAsia="Arial" w:hAnsi="Arial"/>
                <w:sz w:val="20"/>
                <w:szCs w:val="20"/>
                <w:color w:val="auto"/>
              </w:rPr>
              <w:t>12.38</w:t>
            </w:r>
          </w:p>
        </w:tc>
        <w:tc>
          <w:tcPr>
            <w:tcW w:w="1400" w:type="dxa"/>
            <w:vAlign w:val="bottom"/>
          </w:tcPr>
          <w:p>
            <w:pPr>
              <w:jc w:val="right"/>
              <w:ind w:right="121"/>
              <w:spacing w:after="0" w:line="207" w:lineRule="exact"/>
              <w:rPr>
                <w:sz w:val="20"/>
                <w:szCs w:val="20"/>
                <w:color w:val="auto"/>
              </w:rPr>
            </w:pPr>
            <w:r>
              <w:rPr>
                <w:rFonts w:ascii="Arial" w:cs="Arial" w:eastAsia="Arial" w:hAnsi="Arial"/>
                <w:sz w:val="20"/>
                <w:szCs w:val="20"/>
                <w:color w:val="auto"/>
              </w:rPr>
              <w:t>6.4</w:t>
            </w:r>
          </w:p>
        </w:tc>
        <w:tc>
          <w:tcPr>
            <w:tcW w:w="3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line="207" w:lineRule="exact"/>
              <w:rPr>
                <w:sz w:val="20"/>
                <w:szCs w:val="20"/>
                <w:color w:val="auto"/>
              </w:rPr>
            </w:pPr>
            <w:r>
              <w:rPr>
                <w:rFonts w:ascii="Arial" w:cs="Arial" w:eastAsia="Arial" w:hAnsi="Arial"/>
                <w:sz w:val="20"/>
                <w:szCs w:val="20"/>
                <w:color w:val="auto"/>
              </w:rPr>
              <w:t>216,580</w:t>
            </w:r>
          </w:p>
        </w:tc>
      </w:tr>
      <w:tr>
        <w:trPr>
          <w:trHeight w:val="230"/>
        </w:trPr>
        <w:tc>
          <w:tcPr>
            <w:tcW w:w="20" w:type="dxa"/>
            <w:vAlign w:val="bottom"/>
          </w:tcPr>
          <w:p>
            <w:pPr>
              <w:spacing w:after="0"/>
              <w:rPr>
                <w:sz w:val="19"/>
                <w:szCs w:val="19"/>
                <w:color w:val="auto"/>
              </w:rPr>
            </w:pPr>
          </w:p>
        </w:tc>
        <w:tc>
          <w:tcPr>
            <w:tcW w:w="5480" w:type="dxa"/>
            <w:vAlign w:val="bottom"/>
          </w:tcPr>
          <w:p>
            <w:pPr>
              <w:ind w:left="340"/>
              <w:spacing w:after="0"/>
              <w:rPr>
                <w:sz w:val="20"/>
                <w:szCs w:val="20"/>
                <w:color w:val="auto"/>
              </w:rPr>
            </w:pPr>
            <w:r>
              <w:rPr>
                <w:rFonts w:ascii="Arial" w:cs="Arial" w:eastAsia="Arial" w:hAnsi="Arial"/>
                <w:sz w:val="20"/>
                <w:szCs w:val="20"/>
                <w:color w:val="auto"/>
              </w:rPr>
              <w:t>Granted 01/01/09 - 03/31/09</w:t>
            </w: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123</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21"/>
              <w:spacing w:after="0"/>
              <w:rPr>
                <w:sz w:val="20"/>
                <w:szCs w:val="20"/>
                <w:color w:val="auto"/>
              </w:rPr>
            </w:pPr>
            <w:r>
              <w:rPr>
                <w:rFonts w:ascii="Arial" w:cs="Arial" w:eastAsia="Arial" w:hAnsi="Arial"/>
                <w:sz w:val="20"/>
                <w:szCs w:val="20"/>
                <w:color w:val="auto"/>
              </w:rPr>
              <w:t>33.90</w:t>
            </w: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340"/>
              <w:spacing w:after="0"/>
              <w:rPr>
                <w:sz w:val="20"/>
                <w:szCs w:val="20"/>
                <w:color w:val="auto"/>
              </w:rPr>
            </w:pPr>
            <w:r>
              <w:rPr>
                <w:rFonts w:ascii="Arial" w:cs="Arial" w:eastAsia="Arial" w:hAnsi="Arial"/>
                <w:sz w:val="20"/>
                <w:szCs w:val="20"/>
                <w:color w:val="auto"/>
              </w:rPr>
              <w:t>Granted 04/01/09 - 06/30/09</w:t>
            </w: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232</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21"/>
              <w:spacing w:after="0"/>
              <w:rPr>
                <w:sz w:val="20"/>
                <w:szCs w:val="20"/>
                <w:color w:val="auto"/>
              </w:rPr>
            </w:pPr>
            <w:r>
              <w:rPr>
                <w:rFonts w:ascii="Arial" w:cs="Arial" w:eastAsia="Arial" w:hAnsi="Arial"/>
                <w:sz w:val="20"/>
                <w:szCs w:val="20"/>
                <w:color w:val="auto"/>
              </w:rPr>
              <w:t>36.40</w:t>
            </w: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340"/>
              <w:spacing w:after="0"/>
              <w:rPr>
                <w:sz w:val="20"/>
                <w:szCs w:val="20"/>
                <w:color w:val="auto"/>
              </w:rPr>
            </w:pPr>
            <w:r>
              <w:rPr>
                <w:rFonts w:ascii="Arial" w:cs="Arial" w:eastAsia="Arial" w:hAnsi="Arial"/>
                <w:sz w:val="20"/>
                <w:szCs w:val="20"/>
                <w:color w:val="auto"/>
              </w:rPr>
              <w:t>Granted 07/01/09 - 09/30/09</w:t>
            </w: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76</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21"/>
              <w:spacing w:after="0"/>
              <w:rPr>
                <w:sz w:val="20"/>
                <w:szCs w:val="20"/>
                <w:color w:val="auto"/>
              </w:rPr>
            </w:pPr>
            <w:r>
              <w:rPr>
                <w:rFonts w:ascii="Arial" w:cs="Arial" w:eastAsia="Arial" w:hAnsi="Arial"/>
                <w:sz w:val="20"/>
                <w:szCs w:val="20"/>
                <w:color w:val="auto"/>
              </w:rPr>
              <w:t>32.12</w:t>
            </w: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340"/>
              <w:spacing w:after="0"/>
              <w:rPr>
                <w:sz w:val="20"/>
                <w:szCs w:val="20"/>
                <w:color w:val="auto"/>
              </w:rPr>
            </w:pPr>
            <w:r>
              <w:rPr>
                <w:rFonts w:ascii="Arial" w:cs="Arial" w:eastAsia="Arial" w:hAnsi="Arial"/>
                <w:sz w:val="20"/>
                <w:szCs w:val="20"/>
                <w:color w:val="auto"/>
              </w:rPr>
              <w:t>Granted 10/01/09 - 12/31/09</w:t>
            </w: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918</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21"/>
              <w:spacing w:after="0"/>
              <w:rPr>
                <w:sz w:val="20"/>
                <w:szCs w:val="20"/>
                <w:color w:val="auto"/>
              </w:rPr>
            </w:pPr>
            <w:r>
              <w:rPr>
                <w:rFonts w:ascii="Arial" w:cs="Arial" w:eastAsia="Arial" w:hAnsi="Arial"/>
                <w:sz w:val="20"/>
                <w:szCs w:val="20"/>
                <w:color w:val="auto"/>
              </w:rPr>
              <w:t>35.64</w:t>
            </w: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340"/>
              <w:spacing w:after="0"/>
              <w:rPr>
                <w:sz w:val="20"/>
                <w:szCs w:val="20"/>
                <w:color w:val="auto"/>
              </w:rPr>
            </w:pPr>
            <w:r>
              <w:rPr>
                <w:rFonts w:ascii="Arial" w:cs="Arial" w:eastAsia="Arial" w:hAnsi="Arial"/>
                <w:sz w:val="20"/>
                <w:szCs w:val="20"/>
                <w:color w:val="auto"/>
              </w:rPr>
              <w:t>Exercised</w:t>
            </w: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(434)</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21"/>
              <w:spacing w:after="0"/>
              <w:rPr>
                <w:sz w:val="20"/>
                <w:szCs w:val="20"/>
                <w:color w:val="auto"/>
              </w:rPr>
            </w:pPr>
            <w:r>
              <w:rPr>
                <w:rFonts w:ascii="Arial" w:cs="Arial" w:eastAsia="Arial" w:hAnsi="Arial"/>
                <w:sz w:val="20"/>
                <w:szCs w:val="20"/>
                <w:color w:val="auto"/>
              </w:rPr>
              <w:t>5.77</w:t>
            </w: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5480" w:type="dxa"/>
            <w:vAlign w:val="bottom"/>
          </w:tcPr>
          <w:p>
            <w:pPr>
              <w:ind w:left="340"/>
              <w:spacing w:after="0"/>
              <w:rPr>
                <w:sz w:val="20"/>
                <w:szCs w:val="20"/>
                <w:color w:val="auto"/>
              </w:rPr>
            </w:pPr>
            <w:r>
              <w:rPr>
                <w:rFonts w:ascii="Arial" w:cs="Arial" w:eastAsia="Arial" w:hAnsi="Arial"/>
                <w:sz w:val="20"/>
                <w:szCs w:val="20"/>
                <w:color w:val="auto"/>
              </w:rPr>
              <w:t>Cancelled or forfeited</w:t>
            </w: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(240)</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21"/>
              <w:spacing w:after="0"/>
              <w:rPr>
                <w:sz w:val="20"/>
                <w:szCs w:val="20"/>
                <w:color w:val="auto"/>
              </w:rPr>
            </w:pPr>
            <w:r>
              <w:rPr>
                <w:rFonts w:ascii="Arial" w:cs="Arial" w:eastAsia="Arial" w:hAnsi="Arial"/>
                <w:sz w:val="20"/>
                <w:szCs w:val="20"/>
                <w:color w:val="auto"/>
              </w:rPr>
              <w:t>20.43</w:t>
            </w: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06"/>
        </w:trPr>
        <w:tc>
          <w:tcPr>
            <w:tcW w:w="5500" w:type="dxa"/>
            <w:vAlign w:val="bottom"/>
            <w:gridSpan w:val="2"/>
          </w:tcPr>
          <w:p>
            <w:pPr>
              <w:spacing w:after="0" w:line="207" w:lineRule="exact"/>
              <w:rPr>
                <w:sz w:val="20"/>
                <w:szCs w:val="20"/>
                <w:color w:val="auto"/>
              </w:rPr>
            </w:pPr>
            <w:r>
              <w:rPr>
                <w:rFonts w:ascii="Arial" w:cs="Arial" w:eastAsia="Arial" w:hAnsi="Arial"/>
                <w:sz w:val="20"/>
                <w:szCs w:val="20"/>
                <w:color w:val="auto"/>
              </w:rPr>
              <w:t>Outstanding at December 31, 2009</w:t>
            </w:r>
          </w:p>
        </w:tc>
        <w:tc>
          <w:tcPr>
            <w:tcW w:w="1380" w:type="dxa"/>
            <w:vAlign w:val="bottom"/>
          </w:tcPr>
          <w:p>
            <w:pPr>
              <w:jc w:val="right"/>
              <w:ind w:right="61"/>
              <w:spacing w:after="0" w:line="207" w:lineRule="exact"/>
              <w:rPr>
                <w:sz w:val="20"/>
                <w:szCs w:val="20"/>
                <w:color w:val="auto"/>
              </w:rPr>
            </w:pPr>
            <w:r>
              <w:rPr>
                <w:rFonts w:ascii="Arial" w:cs="Arial" w:eastAsia="Arial" w:hAnsi="Arial"/>
                <w:sz w:val="20"/>
                <w:szCs w:val="20"/>
                <w:color w:val="auto"/>
              </w:rPr>
              <w:t>10,705</w:t>
            </w:r>
          </w:p>
        </w:tc>
        <w:tc>
          <w:tcPr>
            <w:tcW w:w="44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121"/>
              <w:spacing w:after="0" w:line="207" w:lineRule="exact"/>
              <w:rPr>
                <w:sz w:val="20"/>
                <w:szCs w:val="20"/>
                <w:color w:val="auto"/>
              </w:rPr>
            </w:pPr>
            <w:r>
              <w:rPr>
                <w:rFonts w:ascii="Arial" w:cs="Arial" w:eastAsia="Arial" w:hAnsi="Arial"/>
                <w:sz w:val="20"/>
                <w:szCs w:val="20"/>
                <w:color w:val="auto"/>
              </w:rPr>
              <w:t>15.37</w:t>
            </w:r>
          </w:p>
        </w:tc>
        <w:tc>
          <w:tcPr>
            <w:tcW w:w="1400" w:type="dxa"/>
            <w:vAlign w:val="bottom"/>
          </w:tcPr>
          <w:p>
            <w:pPr>
              <w:jc w:val="right"/>
              <w:ind w:right="121"/>
              <w:spacing w:after="0" w:line="207" w:lineRule="exact"/>
              <w:rPr>
                <w:sz w:val="20"/>
                <w:szCs w:val="20"/>
                <w:color w:val="auto"/>
              </w:rPr>
            </w:pPr>
            <w:r>
              <w:rPr>
                <w:rFonts w:ascii="Arial" w:cs="Arial" w:eastAsia="Arial" w:hAnsi="Arial"/>
                <w:sz w:val="20"/>
                <w:szCs w:val="20"/>
                <w:color w:val="auto"/>
              </w:rPr>
              <w:t>5.9</w:t>
            </w:r>
          </w:p>
        </w:tc>
        <w:tc>
          <w:tcPr>
            <w:tcW w:w="3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line="207" w:lineRule="exact"/>
              <w:rPr>
                <w:sz w:val="20"/>
                <w:szCs w:val="20"/>
                <w:color w:val="auto"/>
              </w:rPr>
            </w:pPr>
            <w:r>
              <w:rPr>
                <w:rFonts w:ascii="Arial" w:cs="Arial" w:eastAsia="Arial" w:hAnsi="Arial"/>
                <w:sz w:val="20"/>
                <w:szCs w:val="20"/>
                <w:color w:val="auto"/>
              </w:rPr>
              <w:t>248,288</w:t>
            </w:r>
          </w:p>
        </w:tc>
      </w:tr>
      <w:tr>
        <w:trPr>
          <w:trHeight w:val="230"/>
        </w:trPr>
        <w:tc>
          <w:tcPr>
            <w:tcW w:w="5500" w:type="dxa"/>
            <w:vAlign w:val="bottom"/>
            <w:gridSpan w:val="2"/>
          </w:tcPr>
          <w:p>
            <w:pPr>
              <w:spacing w:after="0"/>
              <w:rPr>
                <w:sz w:val="20"/>
                <w:szCs w:val="20"/>
                <w:color w:val="auto"/>
              </w:rPr>
            </w:pPr>
            <w:r>
              <w:rPr>
                <w:rFonts w:ascii="Arial" w:cs="Arial" w:eastAsia="Arial" w:hAnsi="Arial"/>
                <w:sz w:val="20"/>
                <w:szCs w:val="20"/>
                <w:color w:val="auto"/>
                <w:w w:val="96"/>
              </w:rPr>
              <w:t>Vested and expected to vest in the future at December 31, 2009</w:t>
            </w: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10,077</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21"/>
              <w:spacing w:after="0"/>
              <w:rPr>
                <w:sz w:val="20"/>
                <w:szCs w:val="20"/>
                <w:color w:val="auto"/>
              </w:rPr>
            </w:pPr>
            <w:r>
              <w:rPr>
                <w:rFonts w:ascii="Arial" w:cs="Arial" w:eastAsia="Arial" w:hAnsi="Arial"/>
                <w:sz w:val="20"/>
                <w:szCs w:val="20"/>
                <w:color w:val="auto"/>
              </w:rPr>
              <w:t>14.21</w:t>
            </w:r>
          </w:p>
        </w:tc>
        <w:tc>
          <w:tcPr>
            <w:tcW w:w="1400" w:type="dxa"/>
            <w:vAlign w:val="bottom"/>
          </w:tcPr>
          <w:p>
            <w:pPr>
              <w:jc w:val="right"/>
              <w:ind w:right="121"/>
              <w:spacing w:after="0"/>
              <w:rPr>
                <w:sz w:val="20"/>
                <w:szCs w:val="20"/>
                <w:color w:val="auto"/>
              </w:rPr>
            </w:pPr>
            <w:r>
              <w:rPr>
                <w:rFonts w:ascii="Arial" w:cs="Arial" w:eastAsia="Arial" w:hAnsi="Arial"/>
                <w:sz w:val="20"/>
                <w:szCs w:val="20"/>
                <w:color w:val="auto"/>
              </w:rPr>
              <w:t>5.7</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245,340</w:t>
            </w:r>
          </w:p>
        </w:tc>
      </w:tr>
      <w:tr>
        <w:trPr>
          <w:trHeight w:val="250"/>
        </w:trPr>
        <w:tc>
          <w:tcPr>
            <w:tcW w:w="5500" w:type="dxa"/>
            <w:vAlign w:val="bottom"/>
            <w:gridSpan w:val="2"/>
          </w:tcPr>
          <w:p>
            <w:pPr>
              <w:spacing w:after="0"/>
              <w:rPr>
                <w:sz w:val="20"/>
                <w:szCs w:val="20"/>
                <w:color w:val="auto"/>
              </w:rPr>
            </w:pPr>
            <w:r>
              <w:rPr>
                <w:rFonts w:ascii="Arial" w:cs="Arial" w:eastAsia="Arial" w:hAnsi="Arial"/>
                <w:sz w:val="20"/>
                <w:szCs w:val="20"/>
                <w:color w:val="auto"/>
              </w:rPr>
              <w:t>Exercisable at December 31, 2009</w:t>
            </w: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6,678</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21"/>
              <w:spacing w:after="0"/>
              <w:rPr>
                <w:sz w:val="20"/>
                <w:szCs w:val="20"/>
                <w:color w:val="auto"/>
              </w:rPr>
            </w:pPr>
            <w:r>
              <w:rPr>
                <w:rFonts w:ascii="Arial" w:cs="Arial" w:eastAsia="Arial" w:hAnsi="Arial"/>
                <w:sz w:val="20"/>
                <w:szCs w:val="20"/>
                <w:color w:val="auto"/>
              </w:rPr>
              <w:t>8.11</w:t>
            </w:r>
          </w:p>
        </w:tc>
        <w:tc>
          <w:tcPr>
            <w:tcW w:w="1400" w:type="dxa"/>
            <w:vAlign w:val="bottom"/>
          </w:tcPr>
          <w:p>
            <w:pPr>
              <w:jc w:val="right"/>
              <w:ind w:right="121"/>
              <w:spacing w:after="0"/>
              <w:rPr>
                <w:sz w:val="20"/>
                <w:szCs w:val="20"/>
                <w:color w:val="auto"/>
              </w:rPr>
            </w:pPr>
            <w:r>
              <w:rPr>
                <w:rFonts w:ascii="Arial" w:cs="Arial" w:eastAsia="Arial" w:hAnsi="Arial"/>
                <w:sz w:val="20"/>
                <w:szCs w:val="20"/>
                <w:color w:val="auto"/>
              </w:rPr>
              <w:t>4.7</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203,015</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information about stock options outstanding and exercisable at December 31, 2009:</w:t>
      </w:r>
    </w:p>
    <w:p>
      <w:pPr>
        <w:sectPr>
          <w:pgSz w:w="11900" w:h="16838" w:orient="portrait"/>
          <w:cols w:equalWidth="0" w:num="1">
            <w:col w:w="11420"/>
          </w:cols>
          <w:pgMar w:left="240" w:top="122" w:right="239" w:bottom="2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20" w:gutter="0" w:footer="0" w:header="0"/>
          <w:type w:val="continuous"/>
        </w:sectPr>
      </w:pPr>
    </w:p>
    <w:bookmarkStart w:id="63" w:name="page64"/>
    <w:bookmarkEnd w:id="63"/>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160" w:type="dxa"/>
            <w:vAlign w:val="bottom"/>
            <w:gridSpan w:val="3"/>
          </w:tcPr>
          <w:p>
            <w:pPr>
              <w:ind w:left="60"/>
              <w:spacing w:after="0"/>
              <w:rPr>
                <w:sz w:val="20"/>
                <w:szCs w:val="20"/>
                <w:color w:val="auto"/>
              </w:rPr>
            </w:pPr>
            <w:r>
              <w:rPr>
                <w:rFonts w:ascii="Arial" w:cs="Arial" w:eastAsia="Arial" w:hAnsi="Arial"/>
                <w:sz w:val="20"/>
                <w:szCs w:val="20"/>
                <w:color w:val="auto"/>
              </w:rPr>
              <w:t>Options Outstanding</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4"/>
          </w:tcPr>
          <w:p>
            <w:pPr>
              <w:ind w:left="680"/>
              <w:spacing w:after="0"/>
              <w:rPr>
                <w:sz w:val="20"/>
                <w:szCs w:val="20"/>
                <w:color w:val="auto"/>
              </w:rPr>
            </w:pPr>
            <w:r>
              <w:rPr>
                <w:rFonts w:ascii="Arial" w:cs="Arial" w:eastAsia="Arial" w:hAnsi="Arial"/>
                <w:sz w:val="20"/>
                <w:szCs w:val="20"/>
                <w:color w:val="auto"/>
              </w:rPr>
              <w:t>Options Exercisable</w:t>
            </w:r>
          </w:p>
        </w:tc>
      </w:tr>
      <w:tr>
        <w:trPr>
          <w:trHeight w:val="301"/>
        </w:trPr>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20"/>
                <w:szCs w:val="20"/>
                <w:color w:val="auto"/>
                <w:w w:val="89"/>
              </w:rPr>
              <w:t>Weighted</w:t>
            </w:r>
          </w:p>
        </w:tc>
        <w:tc>
          <w:tcPr>
            <w:tcW w:w="13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Average</w:t>
            </w:r>
          </w:p>
        </w:tc>
        <w:tc>
          <w:tcPr>
            <w:tcW w:w="1580" w:type="dxa"/>
            <w:vAlign w:val="bottom"/>
            <w:gridSpan w:val="2"/>
          </w:tcPr>
          <w:p>
            <w:pPr>
              <w:ind w:left="280"/>
              <w:spacing w:after="0"/>
              <w:rPr>
                <w:sz w:val="20"/>
                <w:szCs w:val="20"/>
                <w:color w:val="auto"/>
              </w:rPr>
            </w:pPr>
            <w:r>
              <w:rPr>
                <w:rFonts w:ascii="Arial" w:cs="Arial" w:eastAsia="Arial" w:hAnsi="Arial"/>
                <w:sz w:val="20"/>
                <w:szCs w:val="20"/>
                <w:color w:val="auto"/>
              </w:rPr>
              <w:t>Weighted</w:t>
            </w:r>
          </w:p>
        </w:tc>
        <w:tc>
          <w:tcPr>
            <w:tcW w:w="1380" w:type="dxa"/>
            <w:vAlign w:val="bottom"/>
          </w:tcPr>
          <w:p>
            <w:pPr>
              <w:jc w:val="center"/>
              <w:spacing w:after="0"/>
              <w:rPr>
                <w:sz w:val="20"/>
                <w:szCs w:val="20"/>
                <w:color w:val="auto"/>
              </w:rPr>
            </w:pPr>
            <w:r>
              <w:rPr>
                <w:rFonts w:ascii="Arial" w:cs="Arial" w:eastAsia="Arial" w:hAnsi="Arial"/>
                <w:sz w:val="20"/>
                <w:szCs w:val="20"/>
                <w:color w:val="auto"/>
                <w:w w:val="92"/>
              </w:rPr>
              <w:t>Number</w:t>
            </w:r>
          </w:p>
        </w:tc>
        <w:tc>
          <w:tcPr>
            <w:tcW w:w="200" w:type="dxa"/>
            <w:vAlign w:val="bottom"/>
          </w:tcPr>
          <w:p>
            <w:pPr>
              <w:spacing w:after="0"/>
              <w:rPr>
                <w:sz w:val="19"/>
                <w:szCs w:val="19"/>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20"/>
                <w:szCs w:val="20"/>
                <w:color w:val="auto"/>
                <w:w w:val="89"/>
              </w:rPr>
              <w:t>Weighted</w:t>
            </w:r>
          </w:p>
        </w:tc>
      </w:tr>
      <w:tr>
        <w:trPr>
          <w:trHeight w:val="230"/>
        </w:trPr>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auto"/>
                <w:w w:val="91"/>
              </w:rPr>
              <w:t>Number Outstanding</w:t>
            </w:r>
          </w:p>
        </w:tc>
        <w:tc>
          <w:tcPr>
            <w:tcW w:w="220" w:type="dxa"/>
            <w:vAlign w:val="bottom"/>
          </w:tcPr>
          <w:p>
            <w:pPr>
              <w:spacing w:after="0"/>
              <w:rPr>
                <w:sz w:val="19"/>
                <w:szCs w:val="19"/>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20"/>
                <w:szCs w:val="20"/>
                <w:color w:val="auto"/>
                <w:w w:val="92"/>
              </w:rPr>
              <w:t>Remaining</w:t>
            </w:r>
          </w:p>
        </w:tc>
        <w:tc>
          <w:tcPr>
            <w:tcW w:w="1580" w:type="dxa"/>
            <w:vAlign w:val="bottom"/>
            <w:gridSpan w:val="2"/>
          </w:tcPr>
          <w:p>
            <w:pPr>
              <w:ind w:left="340"/>
              <w:spacing w:after="0"/>
              <w:rPr>
                <w:sz w:val="20"/>
                <w:szCs w:val="20"/>
                <w:color w:val="auto"/>
              </w:rPr>
            </w:pPr>
            <w:r>
              <w:rPr>
                <w:rFonts w:ascii="Arial" w:cs="Arial" w:eastAsia="Arial" w:hAnsi="Arial"/>
                <w:sz w:val="20"/>
                <w:szCs w:val="20"/>
                <w:color w:val="auto"/>
              </w:rPr>
              <w:t>Average</w:t>
            </w:r>
          </w:p>
        </w:tc>
        <w:tc>
          <w:tcPr>
            <w:tcW w:w="1380" w:type="dxa"/>
            <w:vAlign w:val="bottom"/>
          </w:tcPr>
          <w:p>
            <w:pPr>
              <w:jc w:val="center"/>
              <w:spacing w:after="0"/>
              <w:rPr>
                <w:sz w:val="20"/>
                <w:szCs w:val="20"/>
                <w:color w:val="auto"/>
              </w:rPr>
            </w:pPr>
            <w:r>
              <w:rPr>
                <w:rFonts w:ascii="Arial" w:cs="Arial" w:eastAsia="Arial" w:hAnsi="Arial"/>
                <w:sz w:val="20"/>
                <w:szCs w:val="20"/>
                <w:color w:val="auto"/>
                <w:w w:val="88"/>
              </w:rPr>
              <w:t>Exercisable</w:t>
            </w:r>
          </w:p>
        </w:tc>
        <w:tc>
          <w:tcPr>
            <w:tcW w:w="200" w:type="dxa"/>
            <w:vAlign w:val="bottom"/>
          </w:tcPr>
          <w:p>
            <w:pPr>
              <w:spacing w:after="0"/>
              <w:rPr>
                <w:sz w:val="19"/>
                <w:szCs w:val="19"/>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20"/>
                <w:szCs w:val="20"/>
                <w:color w:val="auto"/>
                <w:w w:val="88"/>
              </w:rPr>
              <w:t>Average</w:t>
            </w:r>
          </w:p>
        </w:tc>
      </w:tr>
      <w:tr>
        <w:trPr>
          <w:trHeight w:val="230"/>
        </w:trPr>
        <w:tc>
          <w:tcPr>
            <w:tcW w:w="2880" w:type="dxa"/>
            <w:vAlign w:val="bottom"/>
            <w:gridSpan w:val="4"/>
          </w:tcPr>
          <w:p>
            <w:pPr>
              <w:jc w:val="center"/>
              <w:ind w:right="380"/>
              <w:spacing w:after="0"/>
              <w:rPr>
                <w:sz w:val="20"/>
                <w:szCs w:val="20"/>
                <w:color w:val="auto"/>
              </w:rPr>
            </w:pPr>
            <w:r>
              <w:rPr>
                <w:rFonts w:ascii="Arial" w:cs="Arial" w:eastAsia="Arial" w:hAnsi="Arial"/>
                <w:sz w:val="20"/>
                <w:szCs w:val="20"/>
                <w:color w:val="auto"/>
                <w:w w:val="89"/>
              </w:rPr>
              <w:t>Range of Exercise</w:t>
            </w:r>
          </w:p>
        </w:tc>
        <w:tc>
          <w:tcPr>
            <w:tcW w:w="1740" w:type="dxa"/>
            <w:vAlign w:val="bottom"/>
          </w:tcPr>
          <w:p>
            <w:pPr>
              <w:jc w:val="center"/>
              <w:spacing w:after="0"/>
              <w:rPr>
                <w:sz w:val="20"/>
                <w:szCs w:val="20"/>
                <w:color w:val="auto"/>
              </w:rPr>
            </w:pPr>
            <w:r>
              <w:rPr>
                <w:rFonts w:ascii="Arial" w:cs="Arial" w:eastAsia="Arial" w:hAnsi="Arial"/>
                <w:sz w:val="20"/>
                <w:szCs w:val="20"/>
                <w:color w:val="auto"/>
              </w:rPr>
              <w:t>(In</w:t>
            </w:r>
          </w:p>
        </w:tc>
        <w:tc>
          <w:tcPr>
            <w:tcW w:w="220" w:type="dxa"/>
            <w:vAlign w:val="bottom"/>
          </w:tcPr>
          <w:p>
            <w:pPr>
              <w:spacing w:after="0"/>
              <w:rPr>
                <w:sz w:val="19"/>
                <w:szCs w:val="19"/>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20"/>
                <w:szCs w:val="20"/>
                <w:color w:val="auto"/>
                <w:w w:val="89"/>
              </w:rPr>
              <w:t>Contractual</w:t>
            </w:r>
          </w:p>
        </w:tc>
        <w:tc>
          <w:tcPr>
            <w:tcW w:w="1580" w:type="dxa"/>
            <w:vAlign w:val="bottom"/>
            <w:gridSpan w:val="2"/>
          </w:tcPr>
          <w:p>
            <w:pPr>
              <w:ind w:left="320"/>
              <w:spacing w:after="0"/>
              <w:rPr>
                <w:sz w:val="20"/>
                <w:szCs w:val="20"/>
                <w:color w:val="auto"/>
              </w:rPr>
            </w:pPr>
            <w:r>
              <w:rPr>
                <w:rFonts w:ascii="Arial" w:cs="Arial" w:eastAsia="Arial" w:hAnsi="Arial"/>
                <w:sz w:val="20"/>
                <w:szCs w:val="20"/>
                <w:color w:val="auto"/>
              </w:rPr>
              <w:t>Exercise</w:t>
            </w:r>
          </w:p>
        </w:tc>
        <w:tc>
          <w:tcPr>
            <w:tcW w:w="1380" w:type="dxa"/>
            <w:vAlign w:val="bottom"/>
          </w:tcPr>
          <w:p>
            <w:pPr>
              <w:jc w:val="center"/>
              <w:spacing w:after="0"/>
              <w:rPr>
                <w:sz w:val="20"/>
                <w:szCs w:val="20"/>
                <w:color w:val="auto"/>
              </w:rPr>
            </w:pPr>
            <w:r>
              <w:rPr>
                <w:rFonts w:ascii="Arial" w:cs="Arial" w:eastAsia="Arial" w:hAnsi="Arial"/>
                <w:sz w:val="20"/>
                <w:szCs w:val="20"/>
                <w:color w:val="auto"/>
              </w:rPr>
              <w:t>(In</w:t>
            </w:r>
          </w:p>
        </w:tc>
        <w:tc>
          <w:tcPr>
            <w:tcW w:w="200" w:type="dxa"/>
            <w:vAlign w:val="bottom"/>
          </w:tcPr>
          <w:p>
            <w:pPr>
              <w:spacing w:after="0"/>
              <w:rPr>
                <w:sz w:val="19"/>
                <w:szCs w:val="19"/>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20"/>
                <w:szCs w:val="20"/>
                <w:color w:val="auto"/>
                <w:w w:val="88"/>
              </w:rPr>
              <w:t>Exercise</w:t>
            </w:r>
          </w:p>
        </w:tc>
      </w:tr>
      <w:tr>
        <w:trPr>
          <w:trHeight w:val="246"/>
        </w:trPr>
        <w:tc>
          <w:tcPr>
            <w:tcW w:w="800" w:type="dxa"/>
            <w:vAlign w:val="bottom"/>
          </w:tcPr>
          <w:p>
            <w:pPr>
              <w:spacing w:after="0"/>
              <w:rPr>
                <w:sz w:val="21"/>
                <w:szCs w:val="21"/>
                <w:color w:val="auto"/>
              </w:rPr>
            </w:pPr>
          </w:p>
        </w:tc>
        <w:tc>
          <w:tcPr>
            <w:tcW w:w="2080" w:type="dxa"/>
            <w:vAlign w:val="bottom"/>
            <w:gridSpan w:val="3"/>
          </w:tcPr>
          <w:p>
            <w:pPr>
              <w:jc w:val="center"/>
              <w:ind w:right="1140"/>
              <w:spacing w:after="0"/>
              <w:rPr>
                <w:sz w:val="20"/>
                <w:szCs w:val="20"/>
                <w:color w:val="auto"/>
              </w:rPr>
            </w:pPr>
            <w:r>
              <w:rPr>
                <w:rFonts w:ascii="Arial" w:cs="Arial" w:eastAsia="Arial" w:hAnsi="Arial"/>
                <w:sz w:val="20"/>
                <w:szCs w:val="20"/>
                <w:color w:val="auto"/>
                <w:w w:val="91"/>
              </w:rPr>
              <w:t>Prices ($)</w:t>
            </w:r>
          </w:p>
        </w:tc>
        <w:tc>
          <w:tcPr>
            <w:tcW w:w="1740" w:type="dxa"/>
            <w:vAlign w:val="bottom"/>
          </w:tcPr>
          <w:p>
            <w:pPr>
              <w:jc w:val="center"/>
              <w:spacing w:after="0"/>
              <w:rPr>
                <w:sz w:val="20"/>
                <w:szCs w:val="20"/>
                <w:color w:val="auto"/>
              </w:rPr>
            </w:pPr>
            <w:r>
              <w:rPr>
                <w:rFonts w:ascii="Arial" w:cs="Arial" w:eastAsia="Arial" w:hAnsi="Arial"/>
                <w:sz w:val="20"/>
                <w:szCs w:val="20"/>
                <w:color w:val="auto"/>
                <w:w w:val="87"/>
              </w:rPr>
              <w:t>Thousands)</w:t>
            </w:r>
          </w:p>
        </w:tc>
        <w:tc>
          <w:tcPr>
            <w:tcW w:w="220" w:type="dxa"/>
            <w:vAlign w:val="bottom"/>
          </w:tcPr>
          <w:p>
            <w:pPr>
              <w:spacing w:after="0"/>
              <w:rPr>
                <w:sz w:val="21"/>
                <w:szCs w:val="21"/>
                <w:color w:val="auto"/>
              </w:rPr>
            </w:pPr>
          </w:p>
        </w:tc>
        <w:tc>
          <w:tcPr>
            <w:tcW w:w="1940" w:type="dxa"/>
            <w:vAlign w:val="bottom"/>
            <w:gridSpan w:val="2"/>
          </w:tcPr>
          <w:p>
            <w:pPr>
              <w:ind w:left="340"/>
              <w:spacing w:after="0"/>
              <w:rPr>
                <w:sz w:val="20"/>
                <w:szCs w:val="20"/>
                <w:color w:val="auto"/>
              </w:rPr>
            </w:pPr>
            <w:r>
              <w:rPr>
                <w:rFonts w:ascii="Arial" w:cs="Arial" w:eastAsia="Arial" w:hAnsi="Arial"/>
                <w:sz w:val="20"/>
                <w:szCs w:val="20"/>
                <w:color w:val="auto"/>
              </w:rPr>
              <w:t>Term (Years)</w:t>
            </w:r>
          </w:p>
        </w:tc>
        <w:tc>
          <w:tcPr>
            <w:tcW w:w="1580" w:type="dxa"/>
            <w:vAlign w:val="bottom"/>
            <w:gridSpan w:val="2"/>
          </w:tcPr>
          <w:p>
            <w:pPr>
              <w:ind w:left="340"/>
              <w:spacing w:after="0"/>
              <w:rPr>
                <w:sz w:val="20"/>
                <w:szCs w:val="20"/>
                <w:color w:val="auto"/>
              </w:rPr>
            </w:pPr>
            <w:r>
              <w:rPr>
                <w:rFonts w:ascii="Arial" w:cs="Arial" w:eastAsia="Arial" w:hAnsi="Arial"/>
                <w:sz w:val="20"/>
                <w:szCs w:val="20"/>
                <w:color w:val="auto"/>
              </w:rPr>
              <w:t>Price ($)</w:t>
            </w:r>
          </w:p>
        </w:tc>
        <w:tc>
          <w:tcPr>
            <w:tcW w:w="1380" w:type="dxa"/>
            <w:vAlign w:val="bottom"/>
          </w:tcPr>
          <w:p>
            <w:pPr>
              <w:jc w:val="center"/>
              <w:spacing w:after="0"/>
              <w:rPr>
                <w:sz w:val="20"/>
                <w:szCs w:val="20"/>
                <w:color w:val="auto"/>
              </w:rPr>
            </w:pPr>
            <w:r>
              <w:rPr>
                <w:rFonts w:ascii="Arial" w:cs="Arial" w:eastAsia="Arial" w:hAnsi="Arial"/>
                <w:sz w:val="20"/>
                <w:szCs w:val="20"/>
                <w:color w:val="auto"/>
                <w:w w:val="88"/>
              </w:rPr>
              <w:t>Thousands)</w:t>
            </w:r>
          </w:p>
        </w:tc>
        <w:tc>
          <w:tcPr>
            <w:tcW w:w="200" w:type="dxa"/>
            <w:vAlign w:val="bottom"/>
          </w:tcPr>
          <w:p>
            <w:pPr>
              <w:spacing w:after="0"/>
              <w:rPr>
                <w:sz w:val="21"/>
                <w:szCs w:val="21"/>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20"/>
                <w:szCs w:val="20"/>
                <w:color w:val="auto"/>
                <w:w w:val="92"/>
              </w:rPr>
              <w:t>Price ($)</w:t>
            </w:r>
          </w:p>
        </w:tc>
      </w:tr>
      <w:tr>
        <w:trPr>
          <w:trHeight w:val="206"/>
        </w:trPr>
        <w:tc>
          <w:tcPr>
            <w:tcW w:w="8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$0.45</w:t>
            </w:r>
          </w:p>
        </w:tc>
        <w:tc>
          <w:tcPr>
            <w:tcW w:w="54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tcPr>
          <w:p>
            <w:pPr>
              <w:jc w:val="center"/>
              <w:ind w:right="261"/>
              <w:spacing w:after="0" w:line="207" w:lineRule="exact"/>
              <w:rPr>
                <w:sz w:val="20"/>
                <w:szCs w:val="20"/>
                <w:color w:val="auto"/>
              </w:rPr>
            </w:pPr>
            <w:r>
              <w:rPr>
                <w:rFonts w:ascii="Arial" w:cs="Arial" w:eastAsia="Arial" w:hAnsi="Arial"/>
                <w:sz w:val="20"/>
                <w:szCs w:val="20"/>
                <w:color w:val="auto"/>
                <w:w w:val="87"/>
              </w:rPr>
              <w:t>$0.45</w:t>
            </w:r>
          </w:p>
        </w:tc>
        <w:tc>
          <w:tcPr>
            <w:tcW w:w="340" w:type="dxa"/>
            <w:vAlign w:val="bottom"/>
          </w:tcPr>
          <w:p>
            <w:pPr>
              <w:spacing w:after="0"/>
              <w:rPr>
                <w:sz w:val="17"/>
                <w:szCs w:val="17"/>
                <w:color w:val="auto"/>
              </w:rPr>
            </w:pPr>
          </w:p>
        </w:tc>
        <w:tc>
          <w:tcPr>
            <w:tcW w:w="17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902</w:t>
            </w:r>
          </w:p>
        </w:tc>
        <w:tc>
          <w:tcPr>
            <w:tcW w:w="220" w:type="dxa"/>
            <w:vAlign w:val="bottom"/>
          </w:tcPr>
          <w:p>
            <w:pPr>
              <w:spacing w:after="0"/>
              <w:rPr>
                <w:sz w:val="17"/>
                <w:szCs w:val="17"/>
                <w:color w:val="auto"/>
              </w:rPr>
            </w:pPr>
          </w:p>
        </w:tc>
        <w:tc>
          <w:tcPr>
            <w:tcW w:w="17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2.5</w:t>
            </w:r>
          </w:p>
        </w:tc>
        <w:tc>
          <w:tcPr>
            <w:tcW w:w="220" w:type="dxa"/>
            <w:vAlign w:val="bottom"/>
          </w:tcPr>
          <w:p>
            <w:pPr>
              <w:spacing w:after="0"/>
              <w:rPr>
                <w:sz w:val="17"/>
                <w:szCs w:val="17"/>
                <w:color w:val="auto"/>
              </w:rPr>
            </w:pPr>
          </w:p>
        </w:tc>
        <w:tc>
          <w:tcPr>
            <w:tcW w:w="13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$0.45</w:t>
            </w:r>
          </w:p>
        </w:tc>
        <w:tc>
          <w:tcPr>
            <w:tcW w:w="200" w:type="dxa"/>
            <w:vAlign w:val="bottom"/>
          </w:tcPr>
          <w:p>
            <w:pPr>
              <w:spacing w:after="0"/>
              <w:rPr>
                <w:sz w:val="17"/>
                <w:szCs w:val="17"/>
                <w:color w:val="auto"/>
              </w:rPr>
            </w:pPr>
          </w:p>
        </w:tc>
        <w:tc>
          <w:tcPr>
            <w:tcW w:w="13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902</w:t>
            </w:r>
          </w:p>
        </w:tc>
        <w:tc>
          <w:tcPr>
            <w:tcW w:w="200" w:type="dxa"/>
            <w:vAlign w:val="bottom"/>
          </w:tcPr>
          <w:p>
            <w:pPr>
              <w:spacing w:after="0"/>
              <w:rPr>
                <w:sz w:val="17"/>
                <w:szCs w:val="17"/>
                <w:color w:val="auto"/>
              </w:rPr>
            </w:pPr>
          </w:p>
        </w:tc>
        <w:tc>
          <w:tcPr>
            <w:tcW w:w="13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$0.45</w:t>
            </w:r>
          </w:p>
        </w:tc>
        <w:tc>
          <w:tcPr>
            <w:tcW w:w="20" w:type="dxa"/>
            <w:vAlign w:val="bottom"/>
          </w:tcPr>
          <w:p>
            <w:pPr>
              <w:spacing w:after="0"/>
              <w:rPr>
                <w:sz w:val="17"/>
                <w:szCs w:val="17"/>
                <w:color w:val="auto"/>
              </w:rPr>
            </w:pPr>
          </w:p>
        </w:tc>
      </w:tr>
      <w:tr>
        <w:trPr>
          <w:trHeight w:val="230"/>
        </w:trPr>
        <w:tc>
          <w:tcPr>
            <w:tcW w:w="800" w:type="dxa"/>
            <w:vAlign w:val="bottom"/>
          </w:tcPr>
          <w:p>
            <w:pPr>
              <w:jc w:val="center"/>
              <w:spacing w:after="0"/>
              <w:rPr>
                <w:sz w:val="20"/>
                <w:szCs w:val="20"/>
                <w:color w:val="auto"/>
              </w:rPr>
            </w:pPr>
            <w:r>
              <w:rPr>
                <w:rFonts w:ascii="Arial" w:cs="Arial" w:eastAsia="Arial" w:hAnsi="Arial"/>
                <w:sz w:val="20"/>
                <w:szCs w:val="20"/>
                <w:color w:val="auto"/>
                <w:w w:val="91"/>
              </w:rPr>
              <w:t>$0.53</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00" w:type="dxa"/>
            <w:vAlign w:val="bottom"/>
          </w:tcPr>
          <w:p>
            <w:pPr>
              <w:jc w:val="center"/>
              <w:ind w:right="261"/>
              <w:spacing w:after="0"/>
              <w:rPr>
                <w:sz w:val="20"/>
                <w:szCs w:val="20"/>
                <w:color w:val="auto"/>
              </w:rPr>
            </w:pPr>
            <w:r>
              <w:rPr>
                <w:rFonts w:ascii="Arial" w:cs="Arial" w:eastAsia="Arial" w:hAnsi="Arial"/>
                <w:sz w:val="20"/>
                <w:szCs w:val="20"/>
                <w:color w:val="auto"/>
                <w:w w:val="87"/>
              </w:rPr>
              <w:t>$0.53</w:t>
            </w:r>
          </w:p>
        </w:tc>
        <w:tc>
          <w:tcPr>
            <w:tcW w:w="340" w:type="dxa"/>
            <w:vAlign w:val="bottom"/>
          </w:tcPr>
          <w:p>
            <w:pPr>
              <w:spacing w:after="0"/>
              <w:rPr>
                <w:sz w:val="19"/>
                <w:szCs w:val="19"/>
                <w:color w:val="auto"/>
              </w:rPr>
            </w:pPr>
          </w:p>
        </w:tc>
        <w:tc>
          <w:tcPr>
            <w:tcW w:w="1740" w:type="dxa"/>
            <w:vAlign w:val="bottom"/>
          </w:tcPr>
          <w:p>
            <w:pPr>
              <w:jc w:val="right"/>
              <w:ind w:right="1"/>
              <w:spacing w:after="0"/>
              <w:rPr>
                <w:sz w:val="20"/>
                <w:szCs w:val="20"/>
                <w:color w:val="auto"/>
              </w:rPr>
            </w:pPr>
            <w:r>
              <w:rPr>
                <w:rFonts w:ascii="Arial" w:cs="Arial" w:eastAsia="Arial" w:hAnsi="Arial"/>
                <w:sz w:val="20"/>
                <w:szCs w:val="20"/>
                <w:color w:val="auto"/>
              </w:rPr>
              <w:t>1,721</w:t>
            </w:r>
          </w:p>
        </w:tc>
        <w:tc>
          <w:tcPr>
            <w:tcW w:w="1940" w:type="dxa"/>
            <w:vAlign w:val="bottom"/>
            <w:gridSpan w:val="2"/>
          </w:tcPr>
          <w:p>
            <w:pPr>
              <w:jc w:val="right"/>
              <w:ind w:right="1"/>
              <w:spacing w:after="0"/>
              <w:rPr>
                <w:sz w:val="20"/>
                <w:szCs w:val="20"/>
                <w:color w:val="auto"/>
              </w:rPr>
            </w:pPr>
            <w:r>
              <w:rPr>
                <w:rFonts w:ascii="Arial" w:cs="Arial" w:eastAsia="Arial" w:hAnsi="Arial"/>
                <w:sz w:val="20"/>
                <w:szCs w:val="20"/>
                <w:color w:val="auto"/>
              </w:rPr>
              <w:t>3.4</w:t>
            </w:r>
          </w:p>
        </w:tc>
        <w:tc>
          <w:tcPr>
            <w:tcW w:w="2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20"/>
                <w:szCs w:val="20"/>
                <w:color w:val="auto"/>
              </w:rPr>
              <w:t>$0.53</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1,721</w:t>
            </w:r>
          </w:p>
        </w:tc>
        <w:tc>
          <w:tcPr>
            <w:tcW w:w="1600" w:type="dxa"/>
            <w:vAlign w:val="bottom"/>
            <w:gridSpan w:val="3"/>
          </w:tcPr>
          <w:p>
            <w:pPr>
              <w:jc w:val="right"/>
              <w:ind w:right="20"/>
              <w:spacing w:after="0"/>
              <w:rPr>
                <w:sz w:val="20"/>
                <w:szCs w:val="20"/>
                <w:color w:val="auto"/>
              </w:rPr>
            </w:pPr>
            <w:r>
              <w:rPr>
                <w:rFonts w:ascii="Arial" w:cs="Arial" w:eastAsia="Arial" w:hAnsi="Arial"/>
                <w:sz w:val="20"/>
                <w:szCs w:val="20"/>
                <w:color w:val="auto"/>
              </w:rPr>
              <w:t>$0.53</w:t>
            </w:r>
          </w:p>
        </w:tc>
      </w:tr>
      <w:tr>
        <w:trPr>
          <w:trHeight w:val="230"/>
        </w:trPr>
        <w:tc>
          <w:tcPr>
            <w:tcW w:w="800" w:type="dxa"/>
            <w:vAlign w:val="bottom"/>
          </w:tcPr>
          <w:p>
            <w:pPr>
              <w:jc w:val="center"/>
              <w:spacing w:after="0"/>
              <w:rPr>
                <w:sz w:val="20"/>
                <w:szCs w:val="20"/>
                <w:color w:val="auto"/>
              </w:rPr>
            </w:pPr>
            <w:r>
              <w:rPr>
                <w:rFonts w:ascii="Arial" w:cs="Arial" w:eastAsia="Arial" w:hAnsi="Arial"/>
                <w:sz w:val="20"/>
                <w:szCs w:val="20"/>
                <w:color w:val="auto"/>
                <w:w w:val="91"/>
              </w:rPr>
              <w:t>$1.02</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00" w:type="dxa"/>
            <w:vAlign w:val="bottom"/>
          </w:tcPr>
          <w:p>
            <w:pPr>
              <w:jc w:val="center"/>
              <w:ind w:right="261"/>
              <w:spacing w:after="0"/>
              <w:rPr>
                <w:sz w:val="20"/>
                <w:szCs w:val="20"/>
                <w:color w:val="auto"/>
              </w:rPr>
            </w:pPr>
            <w:r>
              <w:rPr>
                <w:rFonts w:ascii="Arial" w:cs="Arial" w:eastAsia="Arial" w:hAnsi="Arial"/>
                <w:sz w:val="20"/>
                <w:szCs w:val="20"/>
                <w:color w:val="auto"/>
                <w:w w:val="87"/>
              </w:rPr>
              <w:t>$4.19</w:t>
            </w:r>
          </w:p>
        </w:tc>
        <w:tc>
          <w:tcPr>
            <w:tcW w:w="340" w:type="dxa"/>
            <w:vAlign w:val="bottom"/>
          </w:tcPr>
          <w:p>
            <w:pPr>
              <w:spacing w:after="0"/>
              <w:rPr>
                <w:sz w:val="19"/>
                <w:szCs w:val="19"/>
                <w:color w:val="auto"/>
              </w:rPr>
            </w:pPr>
          </w:p>
        </w:tc>
        <w:tc>
          <w:tcPr>
            <w:tcW w:w="1740" w:type="dxa"/>
            <w:vAlign w:val="bottom"/>
          </w:tcPr>
          <w:p>
            <w:pPr>
              <w:jc w:val="right"/>
              <w:ind w:right="1"/>
              <w:spacing w:after="0"/>
              <w:rPr>
                <w:sz w:val="20"/>
                <w:szCs w:val="20"/>
                <w:color w:val="auto"/>
              </w:rPr>
            </w:pPr>
            <w:r>
              <w:rPr>
                <w:rFonts w:ascii="Arial" w:cs="Arial" w:eastAsia="Arial" w:hAnsi="Arial"/>
                <w:sz w:val="20"/>
                <w:szCs w:val="20"/>
                <w:color w:val="auto"/>
              </w:rPr>
              <w:t>246</w:t>
            </w:r>
          </w:p>
        </w:tc>
        <w:tc>
          <w:tcPr>
            <w:tcW w:w="1940" w:type="dxa"/>
            <w:vAlign w:val="bottom"/>
            <w:gridSpan w:val="2"/>
          </w:tcPr>
          <w:p>
            <w:pPr>
              <w:jc w:val="right"/>
              <w:ind w:right="1"/>
              <w:spacing w:after="0"/>
              <w:rPr>
                <w:sz w:val="20"/>
                <w:szCs w:val="20"/>
                <w:color w:val="auto"/>
              </w:rPr>
            </w:pPr>
            <w:r>
              <w:rPr>
                <w:rFonts w:ascii="Arial" w:cs="Arial" w:eastAsia="Arial" w:hAnsi="Arial"/>
                <w:sz w:val="20"/>
                <w:szCs w:val="20"/>
                <w:color w:val="auto"/>
              </w:rPr>
              <w:t>4.5</w:t>
            </w:r>
          </w:p>
        </w:tc>
        <w:tc>
          <w:tcPr>
            <w:tcW w:w="2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20"/>
                <w:szCs w:val="20"/>
                <w:color w:val="auto"/>
              </w:rPr>
              <w:t>$2.58</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198</w:t>
            </w:r>
          </w:p>
        </w:tc>
        <w:tc>
          <w:tcPr>
            <w:tcW w:w="1600" w:type="dxa"/>
            <w:vAlign w:val="bottom"/>
            <w:gridSpan w:val="3"/>
          </w:tcPr>
          <w:p>
            <w:pPr>
              <w:jc w:val="right"/>
              <w:ind w:right="20"/>
              <w:spacing w:after="0"/>
              <w:rPr>
                <w:sz w:val="20"/>
                <w:szCs w:val="20"/>
                <w:color w:val="auto"/>
              </w:rPr>
            </w:pPr>
            <w:r>
              <w:rPr>
                <w:rFonts w:ascii="Arial" w:cs="Arial" w:eastAsia="Arial" w:hAnsi="Arial"/>
                <w:sz w:val="20"/>
                <w:szCs w:val="20"/>
                <w:color w:val="auto"/>
              </w:rPr>
              <w:t>$2.19</w:t>
            </w:r>
          </w:p>
        </w:tc>
      </w:tr>
      <w:tr>
        <w:trPr>
          <w:trHeight w:val="230"/>
        </w:trPr>
        <w:tc>
          <w:tcPr>
            <w:tcW w:w="800" w:type="dxa"/>
            <w:vAlign w:val="bottom"/>
          </w:tcPr>
          <w:p>
            <w:pPr>
              <w:jc w:val="center"/>
              <w:spacing w:after="0"/>
              <w:rPr>
                <w:sz w:val="20"/>
                <w:szCs w:val="20"/>
                <w:color w:val="auto"/>
              </w:rPr>
            </w:pPr>
            <w:r>
              <w:rPr>
                <w:rFonts w:ascii="Arial" w:cs="Arial" w:eastAsia="Arial" w:hAnsi="Arial"/>
                <w:sz w:val="20"/>
                <w:szCs w:val="20"/>
                <w:color w:val="auto"/>
                <w:w w:val="91"/>
              </w:rPr>
              <w:t>$6.59</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00" w:type="dxa"/>
            <w:vAlign w:val="bottom"/>
          </w:tcPr>
          <w:p>
            <w:pPr>
              <w:jc w:val="center"/>
              <w:ind w:right="261"/>
              <w:spacing w:after="0"/>
              <w:rPr>
                <w:sz w:val="20"/>
                <w:szCs w:val="20"/>
                <w:color w:val="auto"/>
              </w:rPr>
            </w:pPr>
            <w:r>
              <w:rPr>
                <w:rFonts w:ascii="Arial" w:cs="Arial" w:eastAsia="Arial" w:hAnsi="Arial"/>
                <w:sz w:val="20"/>
                <w:szCs w:val="20"/>
                <w:color w:val="auto"/>
                <w:w w:val="87"/>
              </w:rPr>
              <w:t>$6.59</w:t>
            </w:r>
          </w:p>
        </w:tc>
        <w:tc>
          <w:tcPr>
            <w:tcW w:w="340" w:type="dxa"/>
            <w:vAlign w:val="bottom"/>
          </w:tcPr>
          <w:p>
            <w:pPr>
              <w:spacing w:after="0"/>
              <w:rPr>
                <w:sz w:val="19"/>
                <w:szCs w:val="19"/>
                <w:color w:val="auto"/>
              </w:rPr>
            </w:pPr>
          </w:p>
        </w:tc>
        <w:tc>
          <w:tcPr>
            <w:tcW w:w="1740" w:type="dxa"/>
            <w:vAlign w:val="bottom"/>
          </w:tcPr>
          <w:p>
            <w:pPr>
              <w:jc w:val="right"/>
              <w:ind w:right="1"/>
              <w:spacing w:after="0"/>
              <w:rPr>
                <w:sz w:val="20"/>
                <w:szCs w:val="20"/>
                <w:color w:val="auto"/>
              </w:rPr>
            </w:pPr>
            <w:r>
              <w:rPr>
                <w:rFonts w:ascii="Arial" w:cs="Arial" w:eastAsia="Arial" w:hAnsi="Arial"/>
                <w:sz w:val="20"/>
                <w:szCs w:val="20"/>
                <w:color w:val="auto"/>
              </w:rPr>
              <w:t>2,680</w:t>
            </w:r>
          </w:p>
        </w:tc>
        <w:tc>
          <w:tcPr>
            <w:tcW w:w="1940" w:type="dxa"/>
            <w:vAlign w:val="bottom"/>
            <w:gridSpan w:val="2"/>
          </w:tcPr>
          <w:p>
            <w:pPr>
              <w:jc w:val="right"/>
              <w:ind w:right="1"/>
              <w:spacing w:after="0"/>
              <w:rPr>
                <w:sz w:val="20"/>
                <w:szCs w:val="20"/>
                <w:color w:val="auto"/>
              </w:rPr>
            </w:pPr>
            <w:r>
              <w:rPr>
                <w:rFonts w:ascii="Arial" w:cs="Arial" w:eastAsia="Arial" w:hAnsi="Arial"/>
                <w:sz w:val="20"/>
                <w:szCs w:val="20"/>
                <w:color w:val="auto"/>
              </w:rPr>
              <w:t>5.2</w:t>
            </w:r>
          </w:p>
        </w:tc>
        <w:tc>
          <w:tcPr>
            <w:tcW w:w="2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20"/>
                <w:szCs w:val="20"/>
                <w:color w:val="auto"/>
              </w:rPr>
              <w:t>$6.59</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2,040</w:t>
            </w:r>
          </w:p>
        </w:tc>
        <w:tc>
          <w:tcPr>
            <w:tcW w:w="1600" w:type="dxa"/>
            <w:vAlign w:val="bottom"/>
            <w:gridSpan w:val="3"/>
          </w:tcPr>
          <w:p>
            <w:pPr>
              <w:jc w:val="right"/>
              <w:ind w:right="20"/>
              <w:spacing w:after="0"/>
              <w:rPr>
                <w:sz w:val="20"/>
                <w:szCs w:val="20"/>
                <w:color w:val="auto"/>
              </w:rPr>
            </w:pPr>
            <w:r>
              <w:rPr>
                <w:rFonts w:ascii="Arial" w:cs="Arial" w:eastAsia="Arial" w:hAnsi="Arial"/>
                <w:sz w:val="20"/>
                <w:szCs w:val="20"/>
                <w:color w:val="auto"/>
              </w:rPr>
              <w:t>$6.59</w:t>
            </w:r>
          </w:p>
        </w:tc>
      </w:tr>
      <w:tr>
        <w:trPr>
          <w:trHeight w:val="230"/>
        </w:trPr>
        <w:tc>
          <w:tcPr>
            <w:tcW w:w="800" w:type="dxa"/>
            <w:vAlign w:val="bottom"/>
          </w:tcPr>
          <w:p>
            <w:pPr>
              <w:jc w:val="center"/>
              <w:spacing w:after="0"/>
              <w:rPr>
                <w:sz w:val="20"/>
                <w:szCs w:val="20"/>
                <w:color w:val="auto"/>
              </w:rPr>
            </w:pPr>
            <w:r>
              <w:rPr>
                <w:rFonts w:ascii="Arial" w:cs="Arial" w:eastAsia="Arial" w:hAnsi="Arial"/>
                <w:sz w:val="20"/>
                <w:szCs w:val="20"/>
                <w:color w:val="auto"/>
                <w:w w:val="91"/>
              </w:rPr>
              <w:t>$6.66</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00" w:type="dxa"/>
            <w:vAlign w:val="bottom"/>
          </w:tcPr>
          <w:p>
            <w:pPr>
              <w:jc w:val="center"/>
              <w:ind w:right="241"/>
              <w:spacing w:after="0"/>
              <w:rPr>
                <w:sz w:val="20"/>
                <w:szCs w:val="20"/>
                <w:color w:val="auto"/>
              </w:rPr>
            </w:pPr>
            <w:r>
              <w:rPr>
                <w:rFonts w:ascii="Arial" w:cs="Arial" w:eastAsia="Arial" w:hAnsi="Arial"/>
                <w:sz w:val="20"/>
                <w:szCs w:val="20"/>
                <w:color w:val="auto"/>
                <w:w w:val="88"/>
              </w:rPr>
              <w:t>$12.43</w:t>
            </w:r>
          </w:p>
        </w:tc>
        <w:tc>
          <w:tcPr>
            <w:tcW w:w="340" w:type="dxa"/>
            <w:vAlign w:val="bottom"/>
          </w:tcPr>
          <w:p>
            <w:pPr>
              <w:spacing w:after="0"/>
              <w:rPr>
                <w:sz w:val="19"/>
                <w:szCs w:val="19"/>
                <w:color w:val="auto"/>
              </w:rPr>
            </w:pPr>
          </w:p>
        </w:tc>
        <w:tc>
          <w:tcPr>
            <w:tcW w:w="1740" w:type="dxa"/>
            <w:vAlign w:val="bottom"/>
          </w:tcPr>
          <w:p>
            <w:pPr>
              <w:jc w:val="right"/>
              <w:ind w:right="1"/>
              <w:spacing w:after="0"/>
              <w:rPr>
                <w:sz w:val="20"/>
                <w:szCs w:val="20"/>
                <w:color w:val="auto"/>
              </w:rPr>
            </w:pPr>
            <w:r>
              <w:rPr>
                <w:rFonts w:ascii="Arial" w:cs="Arial" w:eastAsia="Arial" w:hAnsi="Arial"/>
                <w:sz w:val="20"/>
                <w:szCs w:val="20"/>
                <w:color w:val="auto"/>
              </w:rPr>
              <w:t>347</w:t>
            </w:r>
          </w:p>
        </w:tc>
        <w:tc>
          <w:tcPr>
            <w:tcW w:w="1940" w:type="dxa"/>
            <w:vAlign w:val="bottom"/>
            <w:gridSpan w:val="2"/>
          </w:tcPr>
          <w:p>
            <w:pPr>
              <w:jc w:val="right"/>
              <w:ind w:right="1"/>
              <w:spacing w:after="0"/>
              <w:rPr>
                <w:sz w:val="20"/>
                <w:szCs w:val="20"/>
                <w:color w:val="auto"/>
              </w:rPr>
            </w:pPr>
            <w:r>
              <w:rPr>
                <w:rFonts w:ascii="Arial" w:cs="Arial" w:eastAsia="Arial" w:hAnsi="Arial"/>
                <w:sz w:val="20"/>
                <w:szCs w:val="20"/>
                <w:color w:val="auto"/>
              </w:rPr>
              <w:t>5.7</w:t>
            </w:r>
          </w:p>
        </w:tc>
        <w:tc>
          <w:tcPr>
            <w:tcW w:w="2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20"/>
                <w:szCs w:val="20"/>
                <w:color w:val="auto"/>
              </w:rPr>
              <w:t>$11.42</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205</w:t>
            </w:r>
          </w:p>
        </w:tc>
        <w:tc>
          <w:tcPr>
            <w:tcW w:w="1600" w:type="dxa"/>
            <w:vAlign w:val="bottom"/>
            <w:gridSpan w:val="3"/>
          </w:tcPr>
          <w:p>
            <w:pPr>
              <w:jc w:val="right"/>
              <w:ind w:right="20"/>
              <w:spacing w:after="0"/>
              <w:rPr>
                <w:sz w:val="20"/>
                <w:szCs w:val="20"/>
                <w:color w:val="auto"/>
              </w:rPr>
            </w:pPr>
            <w:r>
              <w:rPr>
                <w:rFonts w:ascii="Arial" w:cs="Arial" w:eastAsia="Arial" w:hAnsi="Arial"/>
                <w:sz w:val="20"/>
                <w:szCs w:val="20"/>
                <w:color w:val="auto"/>
              </w:rPr>
              <w:t>$11.47</w:t>
            </w:r>
          </w:p>
        </w:tc>
      </w:tr>
      <w:tr>
        <w:trPr>
          <w:trHeight w:val="230"/>
        </w:trPr>
        <w:tc>
          <w:tcPr>
            <w:tcW w:w="800" w:type="dxa"/>
            <w:vAlign w:val="bottom"/>
          </w:tcPr>
          <w:p>
            <w:pPr>
              <w:jc w:val="center"/>
              <w:spacing w:after="0"/>
              <w:rPr>
                <w:sz w:val="20"/>
                <w:szCs w:val="20"/>
                <w:color w:val="auto"/>
              </w:rPr>
            </w:pPr>
            <w:r>
              <w:rPr>
                <w:rFonts w:ascii="Arial" w:cs="Arial" w:eastAsia="Arial" w:hAnsi="Arial"/>
                <w:sz w:val="20"/>
                <w:szCs w:val="20"/>
                <w:color w:val="auto"/>
                <w:w w:val="88"/>
              </w:rPr>
              <w:t>$16.87</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00" w:type="dxa"/>
            <w:vAlign w:val="bottom"/>
          </w:tcPr>
          <w:p>
            <w:pPr>
              <w:jc w:val="center"/>
              <w:ind w:right="241"/>
              <w:spacing w:after="0"/>
              <w:rPr>
                <w:sz w:val="20"/>
                <w:szCs w:val="20"/>
                <w:color w:val="auto"/>
              </w:rPr>
            </w:pPr>
            <w:r>
              <w:rPr>
                <w:rFonts w:ascii="Arial" w:cs="Arial" w:eastAsia="Arial" w:hAnsi="Arial"/>
                <w:sz w:val="20"/>
                <w:szCs w:val="20"/>
                <w:color w:val="auto"/>
                <w:w w:val="88"/>
              </w:rPr>
              <w:t>$16.87</w:t>
            </w:r>
          </w:p>
        </w:tc>
        <w:tc>
          <w:tcPr>
            <w:tcW w:w="340" w:type="dxa"/>
            <w:vAlign w:val="bottom"/>
          </w:tcPr>
          <w:p>
            <w:pPr>
              <w:spacing w:after="0"/>
              <w:rPr>
                <w:sz w:val="19"/>
                <w:szCs w:val="19"/>
                <w:color w:val="auto"/>
              </w:rPr>
            </w:pPr>
          </w:p>
        </w:tc>
        <w:tc>
          <w:tcPr>
            <w:tcW w:w="1740" w:type="dxa"/>
            <w:vAlign w:val="bottom"/>
          </w:tcPr>
          <w:p>
            <w:pPr>
              <w:jc w:val="right"/>
              <w:ind w:right="1"/>
              <w:spacing w:after="0"/>
              <w:rPr>
                <w:sz w:val="20"/>
                <w:szCs w:val="20"/>
                <w:color w:val="auto"/>
              </w:rPr>
            </w:pPr>
            <w:r>
              <w:rPr>
                <w:rFonts w:ascii="Arial" w:cs="Arial" w:eastAsia="Arial" w:hAnsi="Arial"/>
                <w:sz w:val="20"/>
                <w:szCs w:val="20"/>
                <w:color w:val="auto"/>
              </w:rPr>
              <w:t>1,345</w:t>
            </w:r>
          </w:p>
        </w:tc>
        <w:tc>
          <w:tcPr>
            <w:tcW w:w="1940" w:type="dxa"/>
            <w:vAlign w:val="bottom"/>
            <w:gridSpan w:val="2"/>
          </w:tcPr>
          <w:p>
            <w:pPr>
              <w:jc w:val="right"/>
              <w:ind w:right="1"/>
              <w:spacing w:after="0"/>
              <w:rPr>
                <w:sz w:val="20"/>
                <w:szCs w:val="20"/>
                <w:color w:val="auto"/>
              </w:rPr>
            </w:pPr>
            <w:r>
              <w:rPr>
                <w:rFonts w:ascii="Arial" w:cs="Arial" w:eastAsia="Arial" w:hAnsi="Arial"/>
                <w:sz w:val="20"/>
                <w:szCs w:val="20"/>
                <w:color w:val="auto"/>
              </w:rPr>
              <w:t>5.9</w:t>
            </w:r>
          </w:p>
        </w:tc>
        <w:tc>
          <w:tcPr>
            <w:tcW w:w="2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20"/>
                <w:szCs w:val="20"/>
                <w:color w:val="auto"/>
              </w:rPr>
              <w:t>$16.87</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1,084</w:t>
            </w:r>
          </w:p>
        </w:tc>
        <w:tc>
          <w:tcPr>
            <w:tcW w:w="1600" w:type="dxa"/>
            <w:vAlign w:val="bottom"/>
            <w:gridSpan w:val="3"/>
          </w:tcPr>
          <w:p>
            <w:pPr>
              <w:jc w:val="right"/>
              <w:ind w:right="20"/>
              <w:spacing w:after="0"/>
              <w:rPr>
                <w:sz w:val="20"/>
                <w:szCs w:val="20"/>
                <w:color w:val="auto"/>
              </w:rPr>
            </w:pPr>
            <w:r>
              <w:rPr>
                <w:rFonts w:ascii="Arial" w:cs="Arial" w:eastAsia="Arial" w:hAnsi="Arial"/>
                <w:sz w:val="20"/>
                <w:szCs w:val="20"/>
                <w:color w:val="auto"/>
              </w:rPr>
              <w:t>$16.87</w:t>
            </w:r>
          </w:p>
        </w:tc>
      </w:tr>
      <w:tr>
        <w:trPr>
          <w:trHeight w:val="230"/>
        </w:trPr>
        <w:tc>
          <w:tcPr>
            <w:tcW w:w="800" w:type="dxa"/>
            <w:vAlign w:val="bottom"/>
          </w:tcPr>
          <w:p>
            <w:pPr>
              <w:jc w:val="center"/>
              <w:spacing w:after="0"/>
              <w:rPr>
                <w:sz w:val="20"/>
                <w:szCs w:val="20"/>
                <w:color w:val="auto"/>
              </w:rPr>
            </w:pPr>
            <w:r>
              <w:rPr>
                <w:rFonts w:ascii="Arial" w:cs="Arial" w:eastAsia="Arial" w:hAnsi="Arial"/>
                <w:sz w:val="20"/>
                <w:szCs w:val="20"/>
                <w:color w:val="auto"/>
                <w:w w:val="88"/>
              </w:rPr>
              <w:t>$20.03</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00" w:type="dxa"/>
            <w:vAlign w:val="bottom"/>
          </w:tcPr>
          <w:p>
            <w:pPr>
              <w:jc w:val="center"/>
              <w:ind w:right="241"/>
              <w:spacing w:after="0"/>
              <w:rPr>
                <w:sz w:val="20"/>
                <w:szCs w:val="20"/>
                <w:color w:val="auto"/>
              </w:rPr>
            </w:pPr>
            <w:r>
              <w:rPr>
                <w:rFonts w:ascii="Arial" w:cs="Arial" w:eastAsia="Arial" w:hAnsi="Arial"/>
                <w:sz w:val="20"/>
                <w:szCs w:val="20"/>
                <w:color w:val="auto"/>
                <w:w w:val="88"/>
              </w:rPr>
              <w:t>$31.19</w:t>
            </w:r>
          </w:p>
        </w:tc>
        <w:tc>
          <w:tcPr>
            <w:tcW w:w="340" w:type="dxa"/>
            <w:vAlign w:val="bottom"/>
          </w:tcPr>
          <w:p>
            <w:pPr>
              <w:spacing w:after="0"/>
              <w:rPr>
                <w:sz w:val="19"/>
                <w:szCs w:val="19"/>
                <w:color w:val="auto"/>
              </w:rPr>
            </w:pPr>
          </w:p>
        </w:tc>
        <w:tc>
          <w:tcPr>
            <w:tcW w:w="1740" w:type="dxa"/>
            <w:vAlign w:val="bottom"/>
          </w:tcPr>
          <w:p>
            <w:pPr>
              <w:jc w:val="right"/>
              <w:ind w:right="1"/>
              <w:spacing w:after="0"/>
              <w:rPr>
                <w:sz w:val="20"/>
                <w:szCs w:val="20"/>
                <w:color w:val="auto"/>
              </w:rPr>
            </w:pPr>
            <w:r>
              <w:rPr>
                <w:rFonts w:ascii="Arial" w:cs="Arial" w:eastAsia="Arial" w:hAnsi="Arial"/>
                <w:sz w:val="20"/>
                <w:szCs w:val="20"/>
                <w:color w:val="auto"/>
              </w:rPr>
              <w:t>238</w:t>
            </w:r>
          </w:p>
        </w:tc>
        <w:tc>
          <w:tcPr>
            <w:tcW w:w="1940" w:type="dxa"/>
            <w:vAlign w:val="bottom"/>
            <w:gridSpan w:val="2"/>
          </w:tcPr>
          <w:p>
            <w:pPr>
              <w:jc w:val="right"/>
              <w:ind w:right="1"/>
              <w:spacing w:after="0"/>
              <w:rPr>
                <w:sz w:val="20"/>
                <w:szCs w:val="20"/>
                <w:color w:val="auto"/>
              </w:rPr>
            </w:pPr>
            <w:r>
              <w:rPr>
                <w:rFonts w:ascii="Arial" w:cs="Arial" w:eastAsia="Arial" w:hAnsi="Arial"/>
                <w:sz w:val="20"/>
                <w:szCs w:val="20"/>
                <w:color w:val="auto"/>
              </w:rPr>
              <w:t>8.4</w:t>
            </w:r>
          </w:p>
        </w:tc>
        <w:tc>
          <w:tcPr>
            <w:tcW w:w="2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20"/>
                <w:szCs w:val="20"/>
                <w:color w:val="auto"/>
              </w:rPr>
              <w:t>$26.50</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54</w:t>
            </w:r>
          </w:p>
        </w:tc>
        <w:tc>
          <w:tcPr>
            <w:tcW w:w="1600" w:type="dxa"/>
            <w:vAlign w:val="bottom"/>
            <w:gridSpan w:val="3"/>
          </w:tcPr>
          <w:p>
            <w:pPr>
              <w:jc w:val="right"/>
              <w:ind w:right="20"/>
              <w:spacing w:after="0"/>
              <w:rPr>
                <w:sz w:val="20"/>
                <w:szCs w:val="20"/>
                <w:color w:val="auto"/>
              </w:rPr>
            </w:pPr>
            <w:r>
              <w:rPr>
                <w:rFonts w:ascii="Arial" w:cs="Arial" w:eastAsia="Arial" w:hAnsi="Arial"/>
                <w:sz w:val="20"/>
                <w:szCs w:val="20"/>
                <w:color w:val="auto"/>
              </w:rPr>
              <w:t>$25.69</w:t>
            </w:r>
          </w:p>
        </w:tc>
      </w:tr>
      <w:tr>
        <w:trPr>
          <w:trHeight w:val="230"/>
        </w:trPr>
        <w:tc>
          <w:tcPr>
            <w:tcW w:w="800" w:type="dxa"/>
            <w:vAlign w:val="bottom"/>
          </w:tcPr>
          <w:p>
            <w:pPr>
              <w:jc w:val="center"/>
              <w:spacing w:after="0"/>
              <w:rPr>
                <w:sz w:val="20"/>
                <w:szCs w:val="20"/>
                <w:color w:val="auto"/>
              </w:rPr>
            </w:pPr>
            <w:r>
              <w:rPr>
                <w:rFonts w:ascii="Arial" w:cs="Arial" w:eastAsia="Arial" w:hAnsi="Arial"/>
                <w:sz w:val="20"/>
                <w:szCs w:val="20"/>
                <w:color w:val="auto"/>
                <w:w w:val="88"/>
              </w:rPr>
              <w:t>$31.72</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00" w:type="dxa"/>
            <w:vAlign w:val="bottom"/>
          </w:tcPr>
          <w:p>
            <w:pPr>
              <w:jc w:val="center"/>
              <w:ind w:right="241"/>
              <w:spacing w:after="0"/>
              <w:rPr>
                <w:sz w:val="20"/>
                <w:szCs w:val="20"/>
                <w:color w:val="auto"/>
              </w:rPr>
            </w:pPr>
            <w:r>
              <w:rPr>
                <w:rFonts w:ascii="Arial" w:cs="Arial" w:eastAsia="Arial" w:hAnsi="Arial"/>
                <w:sz w:val="20"/>
                <w:szCs w:val="20"/>
                <w:color w:val="auto"/>
                <w:w w:val="88"/>
              </w:rPr>
              <w:t>$31.72</w:t>
            </w:r>
          </w:p>
        </w:tc>
        <w:tc>
          <w:tcPr>
            <w:tcW w:w="340" w:type="dxa"/>
            <w:vAlign w:val="bottom"/>
          </w:tcPr>
          <w:p>
            <w:pPr>
              <w:spacing w:after="0"/>
              <w:rPr>
                <w:sz w:val="19"/>
                <w:szCs w:val="19"/>
                <w:color w:val="auto"/>
              </w:rPr>
            </w:pPr>
          </w:p>
        </w:tc>
        <w:tc>
          <w:tcPr>
            <w:tcW w:w="1740" w:type="dxa"/>
            <w:vAlign w:val="bottom"/>
          </w:tcPr>
          <w:p>
            <w:pPr>
              <w:jc w:val="right"/>
              <w:ind w:right="1"/>
              <w:spacing w:after="0"/>
              <w:rPr>
                <w:sz w:val="20"/>
                <w:szCs w:val="20"/>
                <w:color w:val="auto"/>
              </w:rPr>
            </w:pPr>
            <w:r>
              <w:rPr>
                <w:rFonts w:ascii="Arial" w:cs="Arial" w:eastAsia="Arial" w:hAnsi="Arial"/>
                <w:sz w:val="20"/>
                <w:szCs w:val="20"/>
                <w:color w:val="auto"/>
              </w:rPr>
              <w:t>1,407</w:t>
            </w:r>
          </w:p>
        </w:tc>
        <w:tc>
          <w:tcPr>
            <w:tcW w:w="1940" w:type="dxa"/>
            <w:vAlign w:val="bottom"/>
            <w:gridSpan w:val="2"/>
          </w:tcPr>
          <w:p>
            <w:pPr>
              <w:jc w:val="right"/>
              <w:ind w:right="1"/>
              <w:spacing w:after="0"/>
              <w:rPr>
                <w:sz w:val="20"/>
                <w:szCs w:val="20"/>
                <w:color w:val="auto"/>
              </w:rPr>
            </w:pPr>
            <w:r>
              <w:rPr>
                <w:rFonts w:ascii="Arial" w:cs="Arial" w:eastAsia="Arial" w:hAnsi="Arial"/>
                <w:sz w:val="20"/>
                <w:szCs w:val="20"/>
                <w:color w:val="auto"/>
              </w:rPr>
              <w:t>8.4</w:t>
            </w:r>
          </w:p>
        </w:tc>
        <w:tc>
          <w:tcPr>
            <w:tcW w:w="2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20"/>
                <w:szCs w:val="20"/>
                <w:color w:val="auto"/>
              </w:rPr>
              <w:t>$31.72</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281</w:t>
            </w:r>
          </w:p>
        </w:tc>
        <w:tc>
          <w:tcPr>
            <w:tcW w:w="1600" w:type="dxa"/>
            <w:vAlign w:val="bottom"/>
            <w:gridSpan w:val="3"/>
          </w:tcPr>
          <w:p>
            <w:pPr>
              <w:jc w:val="right"/>
              <w:ind w:right="20"/>
              <w:spacing w:after="0"/>
              <w:rPr>
                <w:sz w:val="20"/>
                <w:szCs w:val="20"/>
                <w:color w:val="auto"/>
              </w:rPr>
            </w:pPr>
            <w:r>
              <w:rPr>
                <w:rFonts w:ascii="Arial" w:cs="Arial" w:eastAsia="Arial" w:hAnsi="Arial"/>
                <w:sz w:val="20"/>
                <w:szCs w:val="20"/>
                <w:color w:val="auto"/>
              </w:rPr>
              <w:t>$31.72</w:t>
            </w:r>
          </w:p>
        </w:tc>
      </w:tr>
      <w:tr>
        <w:trPr>
          <w:trHeight w:val="230"/>
        </w:trPr>
        <w:tc>
          <w:tcPr>
            <w:tcW w:w="800" w:type="dxa"/>
            <w:vAlign w:val="bottom"/>
          </w:tcPr>
          <w:p>
            <w:pPr>
              <w:jc w:val="center"/>
              <w:spacing w:after="0"/>
              <w:rPr>
                <w:sz w:val="20"/>
                <w:szCs w:val="20"/>
                <w:color w:val="auto"/>
              </w:rPr>
            </w:pPr>
            <w:r>
              <w:rPr>
                <w:rFonts w:ascii="Arial" w:cs="Arial" w:eastAsia="Arial" w:hAnsi="Arial"/>
                <w:sz w:val="20"/>
                <w:szCs w:val="20"/>
                <w:color w:val="auto"/>
                <w:w w:val="88"/>
              </w:rPr>
              <w:t>$31.87</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00" w:type="dxa"/>
            <w:vAlign w:val="bottom"/>
          </w:tcPr>
          <w:p>
            <w:pPr>
              <w:jc w:val="center"/>
              <w:ind w:right="241"/>
              <w:spacing w:after="0"/>
              <w:rPr>
                <w:sz w:val="20"/>
                <w:szCs w:val="20"/>
                <w:color w:val="auto"/>
              </w:rPr>
            </w:pPr>
            <w:r>
              <w:rPr>
                <w:rFonts w:ascii="Arial" w:cs="Arial" w:eastAsia="Arial" w:hAnsi="Arial"/>
                <w:sz w:val="20"/>
                <w:szCs w:val="20"/>
                <w:color w:val="auto"/>
                <w:w w:val="88"/>
              </w:rPr>
              <w:t>$35.64</w:t>
            </w:r>
          </w:p>
        </w:tc>
        <w:tc>
          <w:tcPr>
            <w:tcW w:w="340" w:type="dxa"/>
            <w:vAlign w:val="bottom"/>
          </w:tcPr>
          <w:p>
            <w:pPr>
              <w:spacing w:after="0"/>
              <w:rPr>
                <w:sz w:val="19"/>
                <w:szCs w:val="19"/>
                <w:color w:val="auto"/>
              </w:rPr>
            </w:pPr>
          </w:p>
        </w:tc>
        <w:tc>
          <w:tcPr>
            <w:tcW w:w="1740" w:type="dxa"/>
            <w:vAlign w:val="bottom"/>
          </w:tcPr>
          <w:p>
            <w:pPr>
              <w:jc w:val="right"/>
              <w:ind w:right="1"/>
              <w:spacing w:after="0"/>
              <w:rPr>
                <w:sz w:val="20"/>
                <w:szCs w:val="20"/>
                <w:color w:val="auto"/>
              </w:rPr>
            </w:pPr>
            <w:r>
              <w:rPr>
                <w:rFonts w:ascii="Arial" w:cs="Arial" w:eastAsia="Arial" w:hAnsi="Arial"/>
                <w:sz w:val="20"/>
                <w:szCs w:val="20"/>
                <w:color w:val="auto"/>
              </w:rPr>
              <w:t>1,162</w:t>
            </w:r>
          </w:p>
        </w:tc>
        <w:tc>
          <w:tcPr>
            <w:tcW w:w="1940" w:type="dxa"/>
            <w:vAlign w:val="bottom"/>
            <w:gridSpan w:val="2"/>
          </w:tcPr>
          <w:p>
            <w:pPr>
              <w:jc w:val="right"/>
              <w:ind w:right="1"/>
              <w:spacing w:after="0"/>
              <w:rPr>
                <w:sz w:val="20"/>
                <w:szCs w:val="20"/>
                <w:color w:val="auto"/>
              </w:rPr>
            </w:pPr>
            <w:r>
              <w:rPr>
                <w:rFonts w:ascii="Arial" w:cs="Arial" w:eastAsia="Arial" w:hAnsi="Arial"/>
                <w:sz w:val="20"/>
                <w:szCs w:val="20"/>
                <w:color w:val="auto"/>
              </w:rPr>
              <w:t>9.7</w:t>
            </w:r>
          </w:p>
        </w:tc>
        <w:tc>
          <w:tcPr>
            <w:tcW w:w="2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20"/>
                <w:szCs w:val="20"/>
                <w:color w:val="auto"/>
              </w:rPr>
              <w:t>$35.17</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23</w:t>
            </w:r>
          </w:p>
        </w:tc>
        <w:tc>
          <w:tcPr>
            <w:tcW w:w="1600" w:type="dxa"/>
            <w:vAlign w:val="bottom"/>
            <w:gridSpan w:val="3"/>
          </w:tcPr>
          <w:p>
            <w:pPr>
              <w:jc w:val="right"/>
              <w:ind w:right="20"/>
              <w:spacing w:after="0"/>
              <w:rPr>
                <w:sz w:val="20"/>
                <w:szCs w:val="20"/>
                <w:color w:val="auto"/>
              </w:rPr>
            </w:pPr>
            <w:r>
              <w:rPr>
                <w:rFonts w:ascii="Arial" w:cs="Arial" w:eastAsia="Arial" w:hAnsi="Arial"/>
                <w:sz w:val="20"/>
                <w:szCs w:val="20"/>
                <w:color w:val="auto"/>
              </w:rPr>
              <w:t>$33.50</w:t>
            </w:r>
          </w:p>
        </w:tc>
      </w:tr>
      <w:tr>
        <w:trPr>
          <w:trHeight w:val="246"/>
        </w:trPr>
        <w:tc>
          <w:tcPr>
            <w:tcW w:w="800" w:type="dxa"/>
            <w:vAlign w:val="bottom"/>
          </w:tcPr>
          <w:p>
            <w:pPr>
              <w:jc w:val="center"/>
              <w:spacing w:after="0"/>
              <w:rPr>
                <w:sz w:val="20"/>
                <w:szCs w:val="20"/>
                <w:color w:val="auto"/>
              </w:rPr>
            </w:pPr>
            <w:r>
              <w:rPr>
                <w:rFonts w:ascii="Arial" w:cs="Arial" w:eastAsia="Arial" w:hAnsi="Arial"/>
                <w:sz w:val="20"/>
                <w:szCs w:val="20"/>
                <w:color w:val="auto"/>
                <w:w w:val="88"/>
              </w:rPr>
              <w:t>$36.13</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00" w:type="dxa"/>
            <w:vAlign w:val="bottom"/>
          </w:tcPr>
          <w:p>
            <w:pPr>
              <w:jc w:val="center"/>
              <w:ind w:right="241"/>
              <w:spacing w:after="0"/>
              <w:rPr>
                <w:sz w:val="20"/>
                <w:szCs w:val="20"/>
                <w:color w:val="auto"/>
              </w:rPr>
            </w:pPr>
            <w:r>
              <w:rPr>
                <w:rFonts w:ascii="Arial" w:cs="Arial" w:eastAsia="Arial" w:hAnsi="Arial"/>
                <w:sz w:val="20"/>
                <w:szCs w:val="20"/>
                <w:color w:val="auto"/>
                <w:w w:val="88"/>
              </w:rPr>
              <w:t>$45.97</w:t>
            </w:r>
          </w:p>
        </w:tc>
        <w:tc>
          <w:tcPr>
            <w:tcW w:w="340" w:type="dxa"/>
            <w:vAlign w:val="bottom"/>
          </w:tcPr>
          <w:p>
            <w:pPr>
              <w:spacing w:after="0"/>
              <w:rPr>
                <w:sz w:val="21"/>
                <w:szCs w:val="21"/>
                <w:color w:val="auto"/>
              </w:rPr>
            </w:pPr>
          </w:p>
        </w:tc>
        <w:tc>
          <w:tcPr>
            <w:tcW w:w="17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657</w:t>
            </w:r>
          </w:p>
        </w:tc>
        <w:tc>
          <w:tcPr>
            <w:tcW w:w="1940" w:type="dxa"/>
            <w:vAlign w:val="bottom"/>
            <w:gridSpan w:val="2"/>
          </w:tcPr>
          <w:p>
            <w:pPr>
              <w:jc w:val="right"/>
              <w:ind w:right="1"/>
              <w:spacing w:after="0"/>
              <w:rPr>
                <w:sz w:val="20"/>
                <w:szCs w:val="20"/>
                <w:color w:val="auto"/>
              </w:rPr>
            </w:pPr>
            <w:r>
              <w:rPr>
                <w:rFonts w:ascii="Arial" w:cs="Arial" w:eastAsia="Arial" w:hAnsi="Arial"/>
                <w:sz w:val="20"/>
                <w:szCs w:val="20"/>
                <w:color w:val="auto"/>
              </w:rPr>
              <w:t>8.0</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20"/>
                <w:szCs w:val="20"/>
                <w:color w:val="auto"/>
              </w:rPr>
              <w:t>$40.28</w:t>
            </w: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170</w:t>
            </w:r>
          </w:p>
        </w:tc>
        <w:tc>
          <w:tcPr>
            <w:tcW w:w="1600" w:type="dxa"/>
            <w:vAlign w:val="bottom"/>
            <w:gridSpan w:val="3"/>
          </w:tcPr>
          <w:p>
            <w:pPr>
              <w:jc w:val="right"/>
              <w:ind w:right="20"/>
              <w:spacing w:after="0"/>
              <w:rPr>
                <w:sz w:val="20"/>
                <w:szCs w:val="20"/>
                <w:color w:val="auto"/>
              </w:rPr>
            </w:pPr>
            <w:r>
              <w:rPr>
                <w:rFonts w:ascii="Arial" w:cs="Arial" w:eastAsia="Arial" w:hAnsi="Arial"/>
                <w:sz w:val="20"/>
                <w:szCs w:val="20"/>
                <w:color w:val="auto"/>
              </w:rPr>
              <w:t>$42.46</w:t>
            </w:r>
          </w:p>
        </w:tc>
      </w:tr>
      <w:tr>
        <w:trPr>
          <w:trHeight w:val="223"/>
        </w:trPr>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10,705</w:t>
            </w:r>
          </w:p>
        </w:tc>
        <w:tc>
          <w:tcPr>
            <w:tcW w:w="1940" w:type="dxa"/>
            <w:vAlign w:val="bottom"/>
            <w:gridSpan w:val="2"/>
          </w:tcPr>
          <w:p>
            <w:pPr>
              <w:jc w:val="right"/>
              <w:ind w:right="1"/>
              <w:spacing w:after="0" w:line="223" w:lineRule="exact"/>
              <w:rPr>
                <w:sz w:val="20"/>
                <w:szCs w:val="20"/>
                <w:color w:val="auto"/>
              </w:rPr>
            </w:pPr>
            <w:r>
              <w:rPr>
                <w:rFonts w:ascii="Arial" w:cs="Arial" w:eastAsia="Arial" w:hAnsi="Arial"/>
                <w:sz w:val="20"/>
                <w:szCs w:val="20"/>
                <w:color w:val="auto"/>
              </w:rPr>
              <w:t>5.9</w:t>
            </w:r>
          </w:p>
        </w:tc>
        <w:tc>
          <w:tcPr>
            <w:tcW w:w="220" w:type="dxa"/>
            <w:vAlign w:val="bottom"/>
          </w:tcPr>
          <w:p>
            <w:pPr>
              <w:spacing w:after="0"/>
              <w:rPr>
                <w:sz w:val="19"/>
                <w:szCs w:val="19"/>
                <w:color w:val="auto"/>
              </w:rPr>
            </w:pPr>
          </w:p>
        </w:tc>
        <w:tc>
          <w:tcPr>
            <w:tcW w:w="1580" w:type="dxa"/>
            <w:vAlign w:val="bottom"/>
            <w:gridSpan w:val="2"/>
          </w:tcPr>
          <w:p>
            <w:pPr>
              <w:jc w:val="right"/>
              <w:ind w:right="200"/>
              <w:spacing w:after="0" w:line="223" w:lineRule="exact"/>
              <w:rPr>
                <w:sz w:val="20"/>
                <w:szCs w:val="20"/>
                <w:color w:val="auto"/>
              </w:rPr>
            </w:pPr>
            <w:r>
              <w:rPr>
                <w:rFonts w:ascii="Arial" w:cs="Arial" w:eastAsia="Arial" w:hAnsi="Arial"/>
                <w:sz w:val="20"/>
                <w:szCs w:val="20"/>
                <w:color w:val="auto"/>
              </w:rPr>
              <w:t>$15.37</w:t>
            </w:r>
          </w:p>
        </w:tc>
        <w:tc>
          <w:tcPr>
            <w:tcW w:w="13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6,678</w:t>
            </w:r>
          </w:p>
        </w:tc>
        <w:tc>
          <w:tcPr>
            <w:tcW w:w="1600" w:type="dxa"/>
            <w:vAlign w:val="bottom"/>
            <w:gridSpan w:val="3"/>
          </w:tcPr>
          <w:p>
            <w:pPr>
              <w:jc w:val="right"/>
              <w:ind w:right="20"/>
              <w:spacing w:after="0" w:line="223" w:lineRule="exact"/>
              <w:rPr>
                <w:sz w:val="20"/>
                <w:szCs w:val="20"/>
                <w:color w:val="auto"/>
              </w:rPr>
            </w:pPr>
            <w:r>
              <w:rPr>
                <w:rFonts w:ascii="Arial" w:cs="Arial" w:eastAsia="Arial" w:hAnsi="Arial"/>
                <w:sz w:val="20"/>
                <w:szCs w:val="20"/>
                <w:color w:val="auto"/>
              </w:rPr>
              <w:t>$8.11</w:t>
            </w:r>
          </w:p>
        </w:tc>
      </w:tr>
      <w:tr>
        <w:trPr>
          <w:trHeight w:val="20"/>
        </w:trPr>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weighted-average grant-date fair value of options granted during the years ended December 31, 2009, 2008 and 2007 was $21.41 per share, $18.42 per share and $24.06 per share, respectively. The total intrinsic value of options exercised during the years ended December 31, 2009, 2008 and 2007 was $13.0 million, $29.7 million and $133.1 million, respectively.</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Cash received from option exercises under all plans for the years ended December 31, 2009, 2008 and 2007 was approximately $2.5 million, $2.3 million and $8.0 million, respectively. The actual tax benefit realized for tax deductions from non-qualified stock option exercises and disqualifying dispositions of incentive stock options for the years ended December 31, 2009, 2008 and 2007 was $3.1 million, $4.3 million and $29.4 million, respectively.</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December 31, 2009, there was $47.6 million of total unrecognized compensation expense related to nonvested shares granted to both employees and non-employees under the Company’s share-based payment plans. That cost is expected to be recognized over a weighted-average period of 2.9 years.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 in Estimated Forfeiture Rate</w:t>
      </w:r>
    </w:p>
    <w:p>
      <w:pPr>
        <w:spacing w:after="0" w:line="22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During the year ended December 31, 2009, based on historical experience, the Company modified the estimated annual forfeiture rate used in recognizing stock-based compensation expense for its most senior executives based on their dissimilar historical forfeiture experience as compared to the forfeiture experience for non-senior executives. This modification resulted in a change from a 3.0% forfeiture rate for all employees to a 0% forfeiture rate for senior executives and an 11.2% forfeiture rate for all other recipients. During the same period, the Company also realized a benefit from actual forfeiture experience that was higher than previously estimated for unvested stock options, resulting primarily from non-senior executives and other employee departures from the Company. The cumulative impact of the revised forfeiture rates reduced stock-based compensation expense by approximately $1.1 million for the year ended December 31, 2009.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Employee and Non-Employee Share-Based Compensation Expense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table below shows the amounts recognized in the consolidated financial statements for the twelve-months ended December 31, 2009, 2008 and 2007 for share-based compensation related to employees and non-employees. Employee and non-employee share-based compensation expense of $14.0 million for the year ended December 31, 2009 is comprised of $2.7 million that relates to incentive stock options and $11.3 million that relates to non-qualified stock options. Employee and non-employee share-based compensation expense of $13.9 million for the year ended December 31, 2008 is comprised of $4.5 million that relates to incentive stock options and $9.4 million that relates to non-qualified stock options. Employee and non-employee share-based compensation expense of $10.2 million for the year ended December 31, 2007 is comprised of $3.4 million that relates to incentive stock options and $6.8 million that relates to non-qualified stock options. The portion of share-based compensation expense that relates to incentive stock options has not been considered in the tax benefit computation below.</w:t>
      </w:r>
    </w:p>
    <w:p>
      <w:pPr>
        <w:spacing w:after="0" w:line="159" w:lineRule="exact"/>
        <w:rPr>
          <w:sz w:val="20"/>
          <w:szCs w:val="20"/>
          <w:color w:val="auto"/>
        </w:rPr>
      </w:pPr>
    </w:p>
    <w:p>
      <w:pPr>
        <w:ind w:left="7140"/>
        <w:spacing w:after="0"/>
        <w:tabs>
          <w:tab w:leader="none" w:pos="8760" w:val="left"/>
          <w:tab w:leader="none" w:pos="10420" w:val="left"/>
        </w:tabs>
        <w:rPr>
          <w:sz w:val="20"/>
          <w:szCs w:val="20"/>
          <w:color w:val="auto"/>
        </w:rPr>
      </w:pPr>
      <w:r>
        <w:rPr>
          <w:rFonts w:ascii="Arial" w:cs="Arial" w:eastAsia="Arial" w:hAnsi="Arial"/>
          <w:sz w:val="20"/>
          <w:szCs w:val="20"/>
          <w:color w:val="auto"/>
        </w:rPr>
        <w:t>2009</w:t>
      </w:r>
      <w:r>
        <w:rPr>
          <w:sz w:val="20"/>
          <w:szCs w:val="20"/>
          <w:color w:val="auto"/>
        </w:rPr>
        <w:tab/>
      </w:r>
      <w:r>
        <w:rPr>
          <w:rFonts w:ascii="Arial" w:cs="Arial" w:eastAsia="Arial" w:hAnsi="Arial"/>
          <w:sz w:val="20"/>
          <w:szCs w:val="20"/>
          <w:color w:val="auto"/>
        </w:rPr>
        <w:t>2008</w:t>
      </w:r>
      <w:r>
        <w:rPr>
          <w:sz w:val="20"/>
          <w:szCs w:val="20"/>
          <w:color w:val="auto"/>
        </w:rPr>
        <w:tab/>
      </w:r>
      <w:r>
        <w:rPr>
          <w:rFonts w:ascii="Arial" w:cs="Arial" w:eastAsia="Arial" w:hAnsi="Arial"/>
          <w:sz w:val="16"/>
          <w:szCs w:val="16"/>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10160</wp:posOffset>
            </wp:positionV>
            <wp:extent cx="29673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571" w:right="239" w:bottom="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41"/>
        </w:trPr>
        <w:tc>
          <w:tcPr>
            <w:tcW w:w="6640" w:type="dxa"/>
            <w:vAlign w:val="bottom"/>
            <w:gridSpan w:val="2"/>
          </w:tcPr>
          <w:p>
            <w:pPr>
              <w:spacing w:after="0"/>
              <w:rPr>
                <w:sz w:val="20"/>
                <w:szCs w:val="20"/>
                <w:color w:val="auto"/>
              </w:rPr>
            </w:pPr>
            <w:r>
              <w:rPr>
                <w:rFonts w:ascii="Arial" w:cs="Arial" w:eastAsia="Arial" w:hAnsi="Arial"/>
                <w:sz w:val="20"/>
                <w:szCs w:val="20"/>
                <w:color w:val="auto"/>
              </w:rPr>
              <w:t>Operating expenses</w:t>
            </w:r>
          </w:p>
        </w:tc>
        <w:tc>
          <w:tcPr>
            <w:tcW w:w="4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14,041</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13,899</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10,246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640" w:type="dxa"/>
            <w:vAlign w:val="bottom"/>
            <w:gridSpan w:val="2"/>
          </w:tcPr>
          <w:p>
            <w:pPr>
              <w:spacing w:after="0" w:line="199" w:lineRule="exact"/>
              <w:rPr>
                <w:sz w:val="20"/>
                <w:szCs w:val="20"/>
                <w:color w:val="auto"/>
              </w:rPr>
            </w:pPr>
            <w:r>
              <w:rPr>
                <w:rFonts w:ascii="Arial" w:cs="Arial" w:eastAsia="Arial" w:hAnsi="Arial"/>
                <w:sz w:val="20"/>
                <w:szCs w:val="20"/>
                <w:color w:val="auto"/>
                <w:w w:val="92"/>
              </w:rPr>
              <w:t>Total employee and non-employee share-based compensation expense included</w:t>
            </w: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ind w:left="180"/>
              <w:spacing w:after="0"/>
              <w:rPr>
                <w:sz w:val="20"/>
                <w:szCs w:val="20"/>
                <w:color w:val="auto"/>
              </w:rPr>
            </w:pPr>
            <w:r>
              <w:rPr>
                <w:rFonts w:ascii="Arial" w:cs="Arial" w:eastAsia="Arial" w:hAnsi="Arial"/>
                <w:sz w:val="20"/>
                <w:szCs w:val="20"/>
                <w:color w:val="auto"/>
              </w:rPr>
              <w:t>in income, before income tax</w:t>
            </w:r>
          </w:p>
        </w:tc>
        <w:tc>
          <w:tcPr>
            <w:tcW w:w="4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14,041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13,899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10,246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640" w:type="dxa"/>
            <w:vAlign w:val="bottom"/>
            <w:gridSpan w:val="2"/>
          </w:tcPr>
          <w:p>
            <w:pPr>
              <w:spacing w:after="0"/>
              <w:rPr>
                <w:sz w:val="20"/>
                <w:szCs w:val="20"/>
                <w:color w:val="auto"/>
              </w:rPr>
            </w:pPr>
            <w:r>
              <w:rPr>
                <w:rFonts w:ascii="Arial" w:cs="Arial" w:eastAsia="Arial" w:hAnsi="Arial"/>
                <w:sz w:val="20"/>
                <w:szCs w:val="20"/>
                <w:color w:val="auto"/>
              </w:rPr>
              <w:t>Less: Amount of income tax benefit recognized in earnings</w:t>
            </w: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(4,358)</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(3,665)</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(3,057)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line="223" w:lineRule="exact"/>
              <w:rPr>
                <w:sz w:val="20"/>
                <w:szCs w:val="20"/>
                <w:color w:val="auto"/>
              </w:rPr>
            </w:pPr>
            <w:r>
              <w:rPr>
                <w:rFonts w:ascii="Arial" w:cs="Arial" w:eastAsia="Arial" w:hAnsi="Arial"/>
                <w:sz w:val="20"/>
                <w:szCs w:val="20"/>
                <w:color w:val="auto"/>
              </w:rPr>
              <w:t>Amount charged against net income</w:t>
            </w:r>
          </w:p>
        </w:tc>
        <w:tc>
          <w:tcPr>
            <w:tcW w:w="46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9,683</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10,234</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7,189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20"/>
                <w:szCs w:val="20"/>
                <w:color w:val="auto"/>
              </w:rPr>
              <w:t>Impact on net income per common share:</w:t>
            </w: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6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Basic</w:t>
            </w:r>
          </w:p>
        </w:tc>
        <w:tc>
          <w:tcPr>
            <w:tcW w:w="6020" w:type="dxa"/>
            <w:vAlign w:val="bottom"/>
          </w:tcPr>
          <w:p>
            <w:pPr>
              <w:spacing w:after="0"/>
              <w:rPr>
                <w:sz w:val="19"/>
                <w:szCs w:val="19"/>
                <w:color w:val="auto"/>
              </w:rPr>
            </w:pPr>
          </w:p>
        </w:tc>
        <w:tc>
          <w:tcPr>
            <w:tcW w:w="4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0.11</w:t>
            </w:r>
          </w:p>
        </w:tc>
        <w:tc>
          <w:tcPr>
            <w:tcW w:w="280" w:type="dxa"/>
            <w:vAlign w:val="bottom"/>
          </w:tcPr>
          <w:p>
            <w:pPr>
              <w:spacing w:after="0"/>
              <w:rPr>
                <w:sz w:val="19"/>
                <w:szCs w:val="19"/>
                <w:color w:val="auto"/>
              </w:rPr>
            </w:pPr>
          </w:p>
        </w:tc>
        <w:tc>
          <w:tcPr>
            <w:tcW w:w="4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0.11</w:t>
            </w:r>
          </w:p>
        </w:tc>
        <w:tc>
          <w:tcPr>
            <w:tcW w:w="280" w:type="dxa"/>
            <w:vAlign w:val="bottom"/>
          </w:tcPr>
          <w:p>
            <w:pPr>
              <w:spacing w:after="0"/>
              <w:rPr>
                <w:sz w:val="19"/>
                <w:szCs w:val="19"/>
                <w:color w:val="auto"/>
              </w:rPr>
            </w:pPr>
          </w:p>
        </w:tc>
        <w:tc>
          <w:tcPr>
            <w:tcW w:w="4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0.08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0"/>
                <w:szCs w:val="20"/>
                <w:color w:val="auto"/>
              </w:rPr>
            </w:pPr>
            <w:r>
              <w:rPr>
                <w:rFonts w:ascii="Arial" w:cs="Arial" w:eastAsia="Arial" w:hAnsi="Arial"/>
                <w:sz w:val="20"/>
                <w:szCs w:val="20"/>
                <w:color w:val="auto"/>
                <w:w w:val="96"/>
              </w:rPr>
              <w:t>Diluted</w:t>
            </w:r>
          </w:p>
        </w:tc>
        <w:tc>
          <w:tcPr>
            <w:tcW w:w="6020" w:type="dxa"/>
            <w:vAlign w:val="bottom"/>
          </w:tcPr>
          <w:p>
            <w:pPr>
              <w:spacing w:after="0"/>
              <w:rPr>
                <w:sz w:val="21"/>
                <w:szCs w:val="21"/>
                <w:color w:val="auto"/>
              </w:rPr>
            </w:pPr>
          </w:p>
        </w:tc>
        <w:tc>
          <w:tcPr>
            <w:tcW w:w="4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0.10</w:t>
            </w:r>
          </w:p>
        </w:tc>
        <w:tc>
          <w:tcPr>
            <w:tcW w:w="280" w:type="dxa"/>
            <w:vAlign w:val="bottom"/>
          </w:tcPr>
          <w:p>
            <w:pPr>
              <w:spacing w:after="0"/>
              <w:rPr>
                <w:sz w:val="21"/>
                <w:szCs w:val="21"/>
                <w:color w:val="auto"/>
              </w:rPr>
            </w:pPr>
          </w:p>
        </w:tc>
        <w:tc>
          <w:tcPr>
            <w:tcW w:w="4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0.10</w:t>
            </w:r>
          </w:p>
        </w:tc>
        <w:tc>
          <w:tcPr>
            <w:tcW w:w="280" w:type="dxa"/>
            <w:vAlign w:val="bottom"/>
          </w:tcPr>
          <w:p>
            <w:pPr>
              <w:spacing w:after="0"/>
              <w:rPr>
                <w:sz w:val="21"/>
                <w:szCs w:val="21"/>
                <w:color w:val="auto"/>
              </w:rPr>
            </w:pPr>
          </w:p>
        </w:tc>
        <w:tc>
          <w:tcPr>
            <w:tcW w:w="4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0.07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9"/>
        </w:trPr>
        <w:tc>
          <w:tcPr>
            <w:tcW w:w="620" w:type="dxa"/>
            <w:vAlign w:val="bottom"/>
          </w:tcPr>
          <w:p>
            <w:pPr>
              <w:spacing w:after="0"/>
              <w:rPr>
                <w:sz w:val="20"/>
                <w:szCs w:val="20"/>
                <w:color w:val="auto"/>
              </w:rPr>
            </w:pPr>
            <w:r>
              <w:rPr>
                <w:rFonts w:ascii="Arial" w:cs="Arial" w:eastAsia="Arial" w:hAnsi="Arial"/>
                <w:sz w:val="20"/>
                <w:szCs w:val="20"/>
                <w:color w:val="auto"/>
              </w:rPr>
              <w:t>13.</w:t>
            </w:r>
          </w:p>
        </w:tc>
        <w:tc>
          <w:tcPr>
            <w:tcW w:w="6020" w:type="dxa"/>
            <w:vAlign w:val="bottom"/>
          </w:tcPr>
          <w:p>
            <w:pPr>
              <w:ind w:left="40"/>
              <w:spacing w:after="0"/>
              <w:rPr>
                <w:sz w:val="20"/>
                <w:szCs w:val="20"/>
                <w:color w:val="auto"/>
              </w:rPr>
            </w:pPr>
            <w:r>
              <w:rPr>
                <w:rFonts w:ascii="Arial" w:cs="Arial" w:eastAsia="Arial" w:hAnsi="Arial"/>
                <w:sz w:val="20"/>
                <w:szCs w:val="20"/>
                <w:color w:val="auto"/>
              </w:rPr>
              <w:t>INCOME TAXES</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Pr>
          <w:p>
            <w:pPr>
              <w:spacing w:after="0"/>
              <w:rPr>
                <w:sz w:val="24"/>
                <w:szCs w:val="24"/>
                <w:color w:val="auto"/>
              </w:rPr>
            </w:pPr>
          </w:p>
        </w:tc>
        <w:tc>
          <w:tcPr>
            <w:tcW w:w="6020" w:type="dxa"/>
            <w:vAlign w:val="bottom"/>
          </w:tcPr>
          <w:p>
            <w:pPr>
              <w:ind w:left="40"/>
              <w:spacing w:after="0"/>
              <w:rPr>
                <w:sz w:val="20"/>
                <w:szCs w:val="20"/>
                <w:color w:val="auto"/>
              </w:rPr>
            </w:pPr>
            <w:r>
              <w:rPr>
                <w:rFonts w:ascii="Arial" w:cs="Arial" w:eastAsia="Arial" w:hAnsi="Arial"/>
                <w:sz w:val="20"/>
                <w:szCs w:val="20"/>
                <w:color w:val="auto"/>
              </w:rPr>
              <w:t>Components of the provision for income taxes are as follows:</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20" w:type="dxa"/>
            <w:vAlign w:val="bottom"/>
          </w:tcPr>
          <w:p>
            <w:pPr>
              <w:spacing w:after="0"/>
              <w:rPr>
                <w:sz w:val="24"/>
                <w:szCs w:val="24"/>
                <w:color w:val="auto"/>
              </w:rPr>
            </w:pPr>
          </w:p>
        </w:tc>
        <w:tc>
          <w:tcPr>
            <w:tcW w:w="6020" w:type="dxa"/>
            <w:vAlign w:val="bottom"/>
          </w:tcPr>
          <w:p>
            <w:pPr>
              <w:jc w:val="right"/>
              <w:ind w:right="707"/>
              <w:spacing w:after="0"/>
              <w:rPr>
                <w:sz w:val="20"/>
                <w:szCs w:val="20"/>
                <w:color w:val="auto"/>
              </w:rPr>
            </w:pPr>
            <w:r>
              <w:rPr>
                <w:rFonts w:ascii="Arial" w:cs="Arial" w:eastAsia="Arial" w:hAnsi="Arial"/>
                <w:sz w:val="16"/>
                <w:szCs w:val="16"/>
                <w:color w:val="auto"/>
              </w:rPr>
              <w:t>101</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20" w:type="dxa"/>
            <w:vAlign w:val="bottom"/>
            <w:tcBorders>
              <w:bottom w:val="single" w:sz="8" w:color="010101"/>
            </w:tcBorders>
          </w:tcPr>
          <w:p>
            <w:pPr>
              <w:spacing w:after="0"/>
              <w:rPr>
                <w:sz w:val="11"/>
                <w:szCs w:val="11"/>
                <w:color w:val="auto"/>
              </w:rPr>
            </w:pPr>
          </w:p>
        </w:tc>
        <w:tc>
          <w:tcPr>
            <w:tcW w:w="60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right="566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00" w:type="dxa"/>
            <w:vAlign w:val="bottom"/>
            <w:gridSpan w:val="6"/>
          </w:tcPr>
          <w:p>
            <w:pPr>
              <w:jc w:val="right"/>
              <w:ind w:right="141"/>
              <w:spacing w:after="0"/>
              <w:rPr>
                <w:sz w:val="20"/>
                <w:szCs w:val="20"/>
                <w:color w:val="auto"/>
              </w:rPr>
            </w:pPr>
            <w:r>
              <w:rPr>
                <w:rFonts w:ascii="Arial" w:cs="Arial" w:eastAsia="Arial" w:hAnsi="Arial"/>
                <w:sz w:val="20"/>
                <w:szCs w:val="20"/>
                <w:color w:val="auto"/>
              </w:rPr>
              <w:t>Year Ended December 31,</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580" w:type="dxa"/>
            <w:vAlign w:val="bottom"/>
            <w:vMerge w:val="restart"/>
          </w:tcPr>
          <w:p>
            <w:pPr>
              <w:spacing w:after="0"/>
              <w:rPr>
                <w:sz w:val="20"/>
                <w:szCs w:val="20"/>
                <w:color w:val="auto"/>
              </w:rPr>
            </w:pPr>
            <w:r>
              <w:rPr>
                <w:rFonts w:ascii="Arial" w:cs="Arial" w:eastAsia="Arial" w:hAnsi="Arial"/>
                <w:sz w:val="20"/>
                <w:szCs w:val="20"/>
                <w:color w:val="auto"/>
              </w:rPr>
              <w:t>Current: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2009</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2008</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2007</w:t>
            </w:r>
          </w:p>
        </w:tc>
        <w:tc>
          <w:tcPr>
            <w:tcW w:w="0" w:type="dxa"/>
            <w:vAlign w:val="bottom"/>
          </w:tcPr>
          <w:p>
            <w:pPr>
              <w:spacing w:after="0"/>
              <w:rPr>
                <w:sz w:val="1"/>
                <w:szCs w:val="1"/>
                <w:color w:val="auto"/>
              </w:rPr>
            </w:pPr>
          </w:p>
        </w:tc>
      </w:tr>
      <w:tr>
        <w:trPr>
          <w:trHeight w:val="193"/>
        </w:trPr>
        <w:tc>
          <w:tcPr>
            <w:tcW w:w="35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60"/>
              <w:spacing w:after="0"/>
              <w:rPr>
                <w:sz w:val="20"/>
                <w:szCs w:val="20"/>
                <w:color w:val="auto"/>
              </w:rPr>
            </w:pPr>
            <w:r>
              <w:rPr>
                <w:rFonts w:ascii="Arial" w:cs="Arial" w:eastAsia="Arial" w:hAnsi="Arial"/>
                <w:sz w:val="20"/>
                <w:szCs w:val="20"/>
                <w:color w:val="auto"/>
              </w:rPr>
              <w:t>Federal</w:t>
            </w:r>
          </w:p>
        </w:tc>
        <w:tc>
          <w:tcPr>
            <w:tcW w:w="3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107,503</w:t>
            </w:r>
          </w:p>
        </w:tc>
        <w:tc>
          <w:tcPr>
            <w:tcW w:w="280" w:type="dxa"/>
            <w:vAlign w:val="bottom"/>
          </w:tcPr>
          <w:p>
            <w:pPr>
              <w:spacing w:after="0"/>
              <w:rPr>
                <w:sz w:val="19"/>
                <w:szCs w:val="19"/>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90,018</w:t>
            </w:r>
          </w:p>
        </w:tc>
        <w:tc>
          <w:tcPr>
            <w:tcW w:w="280" w:type="dxa"/>
            <w:vAlign w:val="bottom"/>
          </w:tcPr>
          <w:p>
            <w:pPr>
              <w:spacing w:after="0"/>
              <w:rPr>
                <w:sz w:val="19"/>
                <w:szCs w:val="19"/>
                <w:color w:val="auto"/>
              </w:rPr>
            </w:pPr>
          </w:p>
        </w:tc>
        <w:tc>
          <w:tcPr>
            <w:tcW w:w="3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83,990</w:t>
            </w:r>
          </w:p>
        </w:tc>
        <w:tc>
          <w:tcPr>
            <w:tcW w:w="0" w:type="dxa"/>
            <w:vAlign w:val="bottom"/>
          </w:tcPr>
          <w:p>
            <w:pPr>
              <w:spacing w:after="0"/>
              <w:rPr>
                <w:sz w:val="1"/>
                <w:szCs w:val="1"/>
                <w:color w:val="auto"/>
              </w:rPr>
            </w:pPr>
          </w:p>
        </w:tc>
      </w:tr>
      <w:tr>
        <w:trPr>
          <w:trHeight w:val="230"/>
        </w:trPr>
        <w:tc>
          <w:tcPr>
            <w:tcW w:w="3580" w:type="dxa"/>
            <w:vAlign w:val="bottom"/>
          </w:tcPr>
          <w:p>
            <w:pPr>
              <w:ind w:left="360"/>
              <w:spacing w:after="0"/>
              <w:rPr>
                <w:sz w:val="20"/>
                <w:szCs w:val="20"/>
                <w:color w:val="auto"/>
              </w:rPr>
            </w:pPr>
            <w:r>
              <w:rPr>
                <w:rFonts w:ascii="Arial" w:cs="Arial" w:eastAsia="Arial" w:hAnsi="Arial"/>
                <w:sz w:val="20"/>
                <w:szCs w:val="20"/>
                <w:color w:val="auto"/>
              </w:rPr>
              <w:t>State</w:t>
            </w:r>
          </w:p>
        </w:tc>
        <w:tc>
          <w:tcPr>
            <w:tcW w:w="32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22,332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20,021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20,604</w:t>
            </w:r>
          </w:p>
        </w:tc>
        <w:tc>
          <w:tcPr>
            <w:tcW w:w="0" w:type="dxa"/>
            <w:vAlign w:val="bottom"/>
          </w:tcPr>
          <w:p>
            <w:pPr>
              <w:spacing w:after="0"/>
              <w:rPr>
                <w:sz w:val="1"/>
                <w:szCs w:val="1"/>
                <w:color w:val="auto"/>
              </w:rPr>
            </w:pPr>
          </w:p>
        </w:tc>
      </w:tr>
      <w:tr>
        <w:trPr>
          <w:trHeight w:val="246"/>
        </w:trPr>
        <w:tc>
          <w:tcPr>
            <w:tcW w:w="3580" w:type="dxa"/>
            <w:vAlign w:val="bottom"/>
          </w:tcPr>
          <w:p>
            <w:pPr>
              <w:ind w:left="360"/>
              <w:spacing w:after="0"/>
              <w:rPr>
                <w:sz w:val="20"/>
                <w:szCs w:val="20"/>
                <w:color w:val="auto"/>
              </w:rPr>
            </w:pPr>
            <w:r>
              <w:rPr>
                <w:rFonts w:ascii="Arial" w:cs="Arial" w:eastAsia="Arial" w:hAnsi="Arial"/>
                <w:sz w:val="20"/>
                <w:szCs w:val="20"/>
                <w:color w:val="auto"/>
              </w:rPr>
              <w:t>Foreign</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309</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4"/>
        </w:trPr>
        <w:tc>
          <w:tcPr>
            <w:tcW w:w="3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130,144</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110,039</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104,594</w:t>
            </w:r>
          </w:p>
        </w:tc>
        <w:tc>
          <w:tcPr>
            <w:tcW w:w="0" w:type="dxa"/>
            <w:vAlign w:val="bottom"/>
          </w:tcPr>
          <w:p>
            <w:pPr>
              <w:spacing w:after="0"/>
              <w:rPr>
                <w:sz w:val="1"/>
                <w:szCs w:val="1"/>
                <w:color w:val="auto"/>
              </w:rPr>
            </w:pPr>
          </w:p>
        </w:tc>
      </w:tr>
      <w:tr>
        <w:trPr>
          <w:trHeight w:val="422"/>
        </w:trPr>
        <w:tc>
          <w:tcPr>
            <w:tcW w:w="3580" w:type="dxa"/>
            <w:vAlign w:val="bottom"/>
          </w:tcPr>
          <w:p>
            <w:pPr>
              <w:spacing w:after="0"/>
              <w:rPr>
                <w:sz w:val="20"/>
                <w:szCs w:val="20"/>
                <w:color w:val="auto"/>
              </w:rPr>
            </w:pPr>
            <w:r>
              <w:rPr>
                <w:rFonts w:ascii="Arial" w:cs="Arial" w:eastAsia="Arial" w:hAnsi="Arial"/>
                <w:sz w:val="20"/>
                <w:szCs w:val="20"/>
                <w:color w:val="auto"/>
              </w:rPr>
              <w:t>Deferred:</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60"/>
              <w:spacing w:after="0"/>
              <w:rPr>
                <w:sz w:val="20"/>
                <w:szCs w:val="20"/>
                <w:color w:val="auto"/>
              </w:rPr>
            </w:pPr>
            <w:r>
              <w:rPr>
                <w:rFonts w:ascii="Arial" w:cs="Arial" w:eastAsia="Arial" w:hAnsi="Arial"/>
                <w:sz w:val="20"/>
                <w:szCs w:val="20"/>
                <w:color w:val="auto"/>
              </w:rPr>
              <w:t>Federal</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(1,941)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(35,932)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(11,674)</w:t>
            </w:r>
          </w:p>
        </w:tc>
        <w:tc>
          <w:tcPr>
            <w:tcW w:w="0" w:type="dxa"/>
            <w:vAlign w:val="bottom"/>
          </w:tcPr>
          <w:p>
            <w:pPr>
              <w:spacing w:after="0"/>
              <w:rPr>
                <w:sz w:val="1"/>
                <w:szCs w:val="1"/>
                <w:color w:val="auto"/>
              </w:rPr>
            </w:pPr>
          </w:p>
        </w:tc>
      </w:tr>
      <w:tr>
        <w:trPr>
          <w:trHeight w:val="230"/>
        </w:trPr>
        <w:tc>
          <w:tcPr>
            <w:tcW w:w="3580" w:type="dxa"/>
            <w:vAlign w:val="bottom"/>
          </w:tcPr>
          <w:p>
            <w:pPr>
              <w:ind w:left="360"/>
              <w:spacing w:after="0"/>
              <w:rPr>
                <w:sz w:val="20"/>
                <w:szCs w:val="20"/>
                <w:color w:val="auto"/>
              </w:rPr>
            </w:pPr>
            <w:r>
              <w:rPr>
                <w:rFonts w:ascii="Arial" w:cs="Arial" w:eastAsia="Arial" w:hAnsi="Arial"/>
                <w:sz w:val="20"/>
                <w:szCs w:val="20"/>
                <w:color w:val="auto"/>
              </w:rPr>
              <w:t>State</w:t>
            </w:r>
          </w:p>
        </w:tc>
        <w:tc>
          <w:tcPr>
            <w:tcW w:w="32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(7,125)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(2,473)</w:t>
            </w:r>
          </w:p>
        </w:tc>
        <w:tc>
          <w:tcPr>
            <w:tcW w:w="0" w:type="dxa"/>
            <w:vAlign w:val="bottom"/>
          </w:tcPr>
          <w:p>
            <w:pPr>
              <w:spacing w:after="0"/>
              <w:rPr>
                <w:sz w:val="1"/>
                <w:szCs w:val="1"/>
                <w:color w:val="auto"/>
              </w:rPr>
            </w:pPr>
          </w:p>
        </w:tc>
      </w:tr>
      <w:tr>
        <w:trPr>
          <w:trHeight w:val="246"/>
        </w:trPr>
        <w:tc>
          <w:tcPr>
            <w:tcW w:w="3580" w:type="dxa"/>
            <w:vAlign w:val="bottom"/>
          </w:tcPr>
          <w:p>
            <w:pPr>
              <w:ind w:left="360"/>
              <w:spacing w:after="0"/>
              <w:rPr>
                <w:sz w:val="20"/>
                <w:szCs w:val="20"/>
                <w:color w:val="auto"/>
              </w:rPr>
            </w:pPr>
            <w:r>
              <w:rPr>
                <w:rFonts w:ascii="Arial" w:cs="Arial" w:eastAsia="Arial" w:hAnsi="Arial"/>
                <w:sz w:val="20"/>
                <w:szCs w:val="20"/>
                <w:color w:val="auto"/>
              </w:rPr>
              <w:t>Foreign</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(1,233)</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(1,537)</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(3,165)</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(44,594)</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(14,244)</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126,979</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65,445</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90,350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The differences in the total provision for income taxes that would result from applying the 35% federal statutory rate to income before provision for income taxes and the reported provision for income taxes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340" w:type="dxa"/>
            <w:vAlign w:val="bottom"/>
            <w:gridSpan w:val="6"/>
          </w:tcPr>
          <w:p>
            <w:pPr>
              <w:jc w:val="right"/>
              <w:ind w:right="141"/>
              <w:spacing w:after="0"/>
              <w:rPr>
                <w:sz w:val="20"/>
                <w:szCs w:val="20"/>
                <w:color w:val="auto"/>
              </w:rPr>
            </w:pPr>
            <w:r>
              <w:rPr>
                <w:rFonts w:ascii="Arial" w:cs="Arial" w:eastAsia="Arial" w:hAnsi="Arial"/>
                <w:sz w:val="20"/>
                <w:szCs w:val="20"/>
                <w:color w:val="auto"/>
                <w:w w:val="87"/>
              </w:rPr>
              <w:t>Year Ended December 31,</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500" w:type="dxa"/>
            <w:vAlign w:val="bottom"/>
            <w:vMerge w:val="restart"/>
          </w:tcPr>
          <w:p>
            <w:pPr>
              <w:spacing w:after="0"/>
              <w:rPr>
                <w:sz w:val="20"/>
                <w:szCs w:val="20"/>
                <w:color w:val="auto"/>
              </w:rPr>
            </w:pPr>
            <w:r>
              <w:rPr>
                <w:rFonts w:ascii="Arial" w:cs="Arial" w:eastAsia="Arial" w:hAnsi="Arial"/>
                <w:sz w:val="20"/>
                <w:szCs w:val="20"/>
                <w:color w:val="auto"/>
              </w:rPr>
              <w:t>U.S. Federal tax expense at statutory rates</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2009</w:t>
            </w:r>
          </w:p>
        </w:tc>
        <w:tc>
          <w:tcPr>
            <w:tcW w:w="8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2008</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2007</w:t>
            </w:r>
          </w:p>
        </w:tc>
        <w:tc>
          <w:tcPr>
            <w:tcW w:w="0" w:type="dxa"/>
            <w:vAlign w:val="bottom"/>
          </w:tcPr>
          <w:p>
            <w:pPr>
              <w:spacing w:after="0"/>
              <w:rPr>
                <w:sz w:val="1"/>
                <w:szCs w:val="1"/>
                <w:color w:val="auto"/>
              </w:rPr>
            </w:pPr>
          </w:p>
        </w:tc>
      </w:tr>
      <w:tr>
        <w:trPr>
          <w:trHeight w:val="206"/>
        </w:trPr>
        <w:tc>
          <w:tcPr>
            <w:tcW w:w="5500" w:type="dxa"/>
            <w:vAlign w:val="bottom"/>
            <w:vMerge w:val="continue"/>
          </w:tcPr>
          <w:p>
            <w:pPr>
              <w:spacing w:after="0"/>
              <w:rPr>
                <w:sz w:val="17"/>
                <w:szCs w:val="17"/>
                <w:color w:val="auto"/>
              </w:rPr>
            </w:pPr>
          </w:p>
        </w:tc>
        <w:tc>
          <w:tcPr>
            <w:tcW w:w="32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960" w:type="dxa"/>
            <w:vAlign w:val="bottom"/>
          </w:tcPr>
          <w:p>
            <w:pPr>
              <w:jc w:val="right"/>
              <w:spacing w:after="0" w:line="207" w:lineRule="exact"/>
              <w:rPr>
                <w:sz w:val="20"/>
                <w:szCs w:val="20"/>
                <w:color w:val="auto"/>
              </w:rPr>
            </w:pPr>
            <w:r>
              <w:rPr>
                <w:rFonts w:ascii="Arial" w:cs="Arial" w:eastAsia="Arial" w:hAnsi="Arial"/>
                <w:sz w:val="20"/>
                <w:szCs w:val="20"/>
                <w:color w:val="auto"/>
              </w:rPr>
              <w:t>117,510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line="207" w:lineRule="exact"/>
              <w:rPr>
                <w:sz w:val="20"/>
                <w:szCs w:val="20"/>
                <w:color w:val="auto"/>
              </w:rPr>
            </w:pPr>
            <w:r>
              <w:rPr>
                <w:rFonts w:ascii="Arial" w:cs="Arial" w:eastAsia="Arial" w:hAnsi="Arial"/>
                <w:sz w:val="20"/>
                <w:szCs w:val="20"/>
                <w:color w:val="auto"/>
              </w:rPr>
              <w:t>60,717</w:t>
            </w:r>
          </w:p>
        </w:tc>
        <w:tc>
          <w:tcPr>
            <w:tcW w:w="280" w:type="dxa"/>
            <w:vAlign w:val="bottom"/>
          </w:tcPr>
          <w:p>
            <w:pPr>
              <w:spacing w:after="0"/>
              <w:rPr>
                <w:sz w:val="17"/>
                <w:szCs w:val="17"/>
                <w:color w:val="auto"/>
              </w:rPr>
            </w:pPr>
          </w:p>
        </w:tc>
        <w:tc>
          <w:tcPr>
            <w:tcW w:w="32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line="207" w:lineRule="exact"/>
              <w:rPr>
                <w:sz w:val="20"/>
                <w:szCs w:val="20"/>
                <w:color w:val="auto"/>
              </w:rPr>
            </w:pPr>
            <w:r>
              <w:rPr>
                <w:rFonts w:ascii="Arial" w:cs="Arial" w:eastAsia="Arial" w:hAnsi="Arial"/>
                <w:sz w:val="20"/>
                <w:szCs w:val="20"/>
                <w:color w:val="auto"/>
              </w:rPr>
              <w:t>83,915</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20"/>
                <w:szCs w:val="20"/>
                <w:color w:val="auto"/>
              </w:rPr>
              <w:t>State income taxes, net of federal tax benefit</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14,819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8,676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11,790</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20"/>
                <w:szCs w:val="20"/>
                <w:color w:val="auto"/>
              </w:rPr>
              <w:t>Permanent differences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977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(1,344)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(881)</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20"/>
                <w:szCs w:val="20"/>
                <w:color w:val="auto"/>
              </w:rPr>
              <w:t>Domestic production deduction</w:t>
            </w: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(8,495)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(4,733)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(4,435)</w:t>
            </w:r>
          </w:p>
        </w:tc>
        <w:tc>
          <w:tcPr>
            <w:tcW w:w="0" w:type="dxa"/>
            <w:vAlign w:val="bottom"/>
          </w:tcPr>
          <w:p>
            <w:pPr>
              <w:spacing w:after="0"/>
              <w:rPr>
                <w:sz w:val="1"/>
                <w:szCs w:val="1"/>
                <w:color w:val="auto"/>
              </w:rPr>
            </w:pPr>
          </w:p>
        </w:tc>
      </w:tr>
      <w:tr>
        <w:trPr>
          <w:trHeight w:val="246"/>
        </w:trPr>
        <w:tc>
          <w:tcPr>
            <w:tcW w:w="5500" w:type="dxa"/>
            <w:vAlign w:val="bottom"/>
          </w:tcPr>
          <w:p>
            <w:pPr>
              <w:spacing w:after="0"/>
              <w:rPr>
                <w:sz w:val="20"/>
                <w:szCs w:val="20"/>
                <w:color w:val="auto"/>
              </w:rPr>
            </w:pPr>
            <w:r>
              <w:rPr>
                <w:rFonts w:ascii="Arial" w:cs="Arial" w:eastAsia="Arial" w:hAnsi="Arial"/>
                <w:sz w:val="20"/>
                <w:szCs w:val="20"/>
                <w:color w:val="auto"/>
              </w:rPr>
              <w:t>Other</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2,168</w:t>
            </w:r>
          </w:p>
        </w:tc>
        <w:tc>
          <w:tcPr>
            <w:tcW w:w="8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2,129</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126,979</w:t>
            </w:r>
          </w:p>
        </w:tc>
        <w:tc>
          <w:tcPr>
            <w:tcW w:w="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65,445</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90,350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Major components of the Company’s deferred tax assets (liabilities) at December 31 are as follows:</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6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60" w:type="dxa"/>
            <w:vAlign w:val="bottom"/>
            <w:vMerge w:val="restart"/>
          </w:tcPr>
          <w:p>
            <w:pPr>
              <w:spacing w:after="0"/>
              <w:rPr>
                <w:sz w:val="20"/>
                <w:szCs w:val="20"/>
                <w:color w:val="auto"/>
              </w:rPr>
            </w:pPr>
            <w:r>
              <w:rPr>
                <w:rFonts w:ascii="Arial" w:cs="Arial" w:eastAsia="Arial" w:hAnsi="Arial"/>
                <w:sz w:val="20"/>
                <w:szCs w:val="20"/>
                <w:color w:val="auto"/>
              </w:rPr>
              <w:t>Deferred Tax Assets: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2009</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2008</w:t>
            </w:r>
          </w:p>
        </w:tc>
        <w:tc>
          <w:tcPr>
            <w:tcW w:w="0" w:type="dxa"/>
            <w:vAlign w:val="bottom"/>
          </w:tcPr>
          <w:p>
            <w:pPr>
              <w:spacing w:after="0"/>
              <w:rPr>
                <w:sz w:val="1"/>
                <w:szCs w:val="1"/>
                <w:color w:val="auto"/>
              </w:rPr>
            </w:pPr>
          </w:p>
        </w:tc>
      </w:tr>
      <w:tr>
        <w:trPr>
          <w:trHeight w:val="193"/>
        </w:trPr>
        <w:tc>
          <w:tcPr>
            <w:tcW w:w="71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80"/>
              <w:spacing w:after="0"/>
              <w:rPr>
                <w:sz w:val="20"/>
                <w:szCs w:val="20"/>
                <w:color w:val="auto"/>
              </w:rPr>
            </w:pPr>
            <w:r>
              <w:rPr>
                <w:rFonts w:ascii="Arial" w:cs="Arial" w:eastAsia="Arial" w:hAnsi="Arial"/>
                <w:sz w:val="20"/>
                <w:szCs w:val="20"/>
                <w:color w:val="auto"/>
              </w:rPr>
              <w:t>Reserve for sales returns</w:t>
            </w: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377</w:t>
            </w:r>
          </w:p>
        </w:tc>
        <w:tc>
          <w:tcPr>
            <w:tcW w:w="280" w:type="dxa"/>
            <w:vAlign w:val="bottom"/>
          </w:tcPr>
          <w:p>
            <w:pPr>
              <w:spacing w:after="0"/>
              <w:rPr>
                <w:sz w:val="19"/>
                <w:szCs w:val="19"/>
                <w:color w:val="auto"/>
              </w:rPr>
            </w:pPr>
          </w:p>
        </w:tc>
        <w:tc>
          <w:tcPr>
            <w:tcW w:w="3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254</w:t>
            </w:r>
          </w:p>
        </w:tc>
        <w:tc>
          <w:tcPr>
            <w:tcW w:w="0" w:type="dxa"/>
            <w:vAlign w:val="bottom"/>
          </w:tcPr>
          <w:p>
            <w:pPr>
              <w:spacing w:after="0"/>
              <w:rPr>
                <w:sz w:val="1"/>
                <w:szCs w:val="1"/>
                <w:color w:val="auto"/>
              </w:rPr>
            </w:pPr>
          </w:p>
        </w:tc>
      </w:tr>
      <w:tr>
        <w:trPr>
          <w:trHeight w:val="230"/>
        </w:trPr>
        <w:tc>
          <w:tcPr>
            <w:tcW w:w="7160" w:type="dxa"/>
            <w:vAlign w:val="bottom"/>
          </w:tcPr>
          <w:p>
            <w:pPr>
              <w:ind w:left="180"/>
              <w:spacing w:after="0"/>
              <w:rPr>
                <w:sz w:val="20"/>
                <w:szCs w:val="20"/>
                <w:color w:val="auto"/>
              </w:rPr>
            </w:pPr>
            <w:r>
              <w:rPr>
                <w:rFonts w:ascii="Arial" w:cs="Arial" w:eastAsia="Arial" w:hAnsi="Arial"/>
                <w:sz w:val="20"/>
                <w:szCs w:val="20"/>
                <w:color w:val="auto"/>
              </w:rPr>
              <w:t>Reserve for doubtful accounts</w:t>
            </w:r>
          </w:p>
        </w:tc>
        <w:tc>
          <w:tcPr>
            <w:tcW w:w="30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51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30"/>
        </w:trPr>
        <w:tc>
          <w:tcPr>
            <w:tcW w:w="7160" w:type="dxa"/>
            <w:vAlign w:val="bottom"/>
          </w:tcPr>
          <w:p>
            <w:pPr>
              <w:ind w:left="180"/>
              <w:spacing w:after="0"/>
              <w:rPr>
                <w:sz w:val="20"/>
                <w:szCs w:val="20"/>
                <w:color w:val="auto"/>
              </w:rPr>
            </w:pPr>
            <w:r>
              <w:rPr>
                <w:rFonts w:ascii="Arial" w:cs="Arial" w:eastAsia="Arial" w:hAnsi="Arial"/>
                <w:sz w:val="20"/>
                <w:szCs w:val="20"/>
                <w:color w:val="auto"/>
              </w:rPr>
              <w:t>Reserve for inventory obsolescence</w:t>
            </w:r>
          </w:p>
        </w:tc>
        <w:tc>
          <w:tcPr>
            <w:tcW w:w="30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2,170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1,281</w:t>
            </w:r>
          </w:p>
        </w:tc>
        <w:tc>
          <w:tcPr>
            <w:tcW w:w="0" w:type="dxa"/>
            <w:vAlign w:val="bottom"/>
          </w:tcPr>
          <w:p>
            <w:pPr>
              <w:spacing w:after="0"/>
              <w:rPr>
                <w:sz w:val="1"/>
                <w:szCs w:val="1"/>
                <w:color w:val="auto"/>
              </w:rPr>
            </w:pPr>
          </w:p>
        </w:tc>
      </w:tr>
      <w:tr>
        <w:trPr>
          <w:trHeight w:val="230"/>
        </w:trPr>
        <w:tc>
          <w:tcPr>
            <w:tcW w:w="7160" w:type="dxa"/>
            <w:vAlign w:val="bottom"/>
          </w:tcPr>
          <w:p>
            <w:pPr>
              <w:ind w:left="180"/>
              <w:spacing w:after="0"/>
              <w:rPr>
                <w:sz w:val="20"/>
                <w:szCs w:val="20"/>
                <w:color w:val="auto"/>
              </w:rPr>
            </w:pPr>
            <w:r>
              <w:rPr>
                <w:rFonts w:ascii="Arial" w:cs="Arial" w:eastAsia="Arial" w:hAnsi="Arial"/>
                <w:sz w:val="20"/>
                <w:szCs w:val="20"/>
                <w:color w:val="auto"/>
              </w:rPr>
              <w:t>Reserve for marketing development fund</w:t>
            </w:r>
          </w:p>
        </w:tc>
        <w:tc>
          <w:tcPr>
            <w:tcW w:w="30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2,624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3,149</w:t>
            </w:r>
          </w:p>
        </w:tc>
        <w:tc>
          <w:tcPr>
            <w:tcW w:w="0" w:type="dxa"/>
            <w:vAlign w:val="bottom"/>
          </w:tcPr>
          <w:p>
            <w:pPr>
              <w:spacing w:after="0"/>
              <w:rPr>
                <w:sz w:val="1"/>
                <w:szCs w:val="1"/>
                <w:color w:val="auto"/>
              </w:rPr>
            </w:pPr>
          </w:p>
        </w:tc>
      </w:tr>
      <w:tr>
        <w:trPr>
          <w:trHeight w:val="230"/>
        </w:trPr>
        <w:tc>
          <w:tcPr>
            <w:tcW w:w="7160" w:type="dxa"/>
            <w:vAlign w:val="bottom"/>
          </w:tcPr>
          <w:p>
            <w:pPr>
              <w:ind w:left="180"/>
              <w:spacing w:after="0"/>
              <w:rPr>
                <w:sz w:val="20"/>
                <w:szCs w:val="20"/>
                <w:color w:val="auto"/>
              </w:rPr>
            </w:pPr>
            <w:r>
              <w:rPr>
                <w:rFonts w:ascii="Arial" w:cs="Arial" w:eastAsia="Arial" w:hAnsi="Arial"/>
                <w:sz w:val="20"/>
                <w:szCs w:val="20"/>
                <w:color w:val="auto"/>
              </w:rPr>
              <w:t>Capitalization of inventory costs</w:t>
            </w:r>
          </w:p>
        </w:tc>
        <w:tc>
          <w:tcPr>
            <w:tcW w:w="30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878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713</w:t>
            </w:r>
          </w:p>
        </w:tc>
        <w:tc>
          <w:tcPr>
            <w:tcW w:w="0" w:type="dxa"/>
            <w:vAlign w:val="bottom"/>
          </w:tcPr>
          <w:p>
            <w:pPr>
              <w:spacing w:after="0"/>
              <w:rPr>
                <w:sz w:val="1"/>
                <w:szCs w:val="1"/>
                <w:color w:val="auto"/>
              </w:rPr>
            </w:pPr>
          </w:p>
        </w:tc>
      </w:tr>
      <w:tr>
        <w:trPr>
          <w:trHeight w:val="250"/>
        </w:trPr>
        <w:tc>
          <w:tcPr>
            <w:tcW w:w="7160" w:type="dxa"/>
            <w:vAlign w:val="bottom"/>
          </w:tcPr>
          <w:p>
            <w:pPr>
              <w:ind w:left="180"/>
              <w:spacing w:after="0"/>
              <w:rPr>
                <w:sz w:val="20"/>
                <w:szCs w:val="20"/>
                <w:color w:val="auto"/>
              </w:rPr>
            </w:pPr>
            <w:r>
              <w:rPr>
                <w:rFonts w:ascii="Arial" w:cs="Arial" w:eastAsia="Arial" w:hAnsi="Arial"/>
                <w:sz w:val="20"/>
                <w:szCs w:val="20"/>
                <w:color w:val="auto"/>
              </w:rPr>
              <w:t>State franchise tax</w:t>
            </w:r>
          </w:p>
        </w:tc>
        <w:tc>
          <w:tcPr>
            <w:tcW w:w="30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3,970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2,347</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2" w:right="19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160" w:type="dxa"/>
            <w:vAlign w:val="bottom"/>
          </w:tcPr>
          <w:p>
            <w:pPr>
              <w:ind w:left="180"/>
              <w:spacing w:after="0"/>
              <w:rPr>
                <w:sz w:val="20"/>
                <w:szCs w:val="20"/>
                <w:color w:val="auto"/>
              </w:rPr>
            </w:pPr>
            <w:r>
              <w:rPr>
                <w:rFonts w:ascii="Arial" w:cs="Arial" w:eastAsia="Arial" w:hAnsi="Arial"/>
                <w:sz w:val="20"/>
                <w:szCs w:val="20"/>
                <w:color w:val="auto"/>
              </w:rPr>
              <w:t>Accrued compensation</w:t>
            </w:r>
          </w:p>
        </w:tc>
        <w:tc>
          <w:tcPr>
            <w:tcW w:w="3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369</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371</w:t>
            </w:r>
          </w:p>
        </w:tc>
      </w:tr>
      <w:tr>
        <w:trPr>
          <w:trHeight w:val="230"/>
        </w:trPr>
        <w:tc>
          <w:tcPr>
            <w:tcW w:w="7160" w:type="dxa"/>
            <w:vAlign w:val="bottom"/>
          </w:tcPr>
          <w:p>
            <w:pPr>
              <w:ind w:left="180"/>
              <w:spacing w:after="0"/>
              <w:rPr>
                <w:sz w:val="20"/>
                <w:szCs w:val="20"/>
                <w:color w:val="auto"/>
              </w:rPr>
            </w:pPr>
            <w:r>
              <w:rPr>
                <w:rFonts w:ascii="Arial" w:cs="Arial" w:eastAsia="Arial" w:hAnsi="Arial"/>
                <w:sz w:val="20"/>
                <w:szCs w:val="20"/>
                <w:color w:val="auto"/>
              </w:rPr>
              <w:t>Accrued other liabilities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(12)</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1,202</w:t>
            </w:r>
          </w:p>
        </w:tc>
      </w:tr>
      <w:tr>
        <w:trPr>
          <w:trHeight w:val="230"/>
        </w:trPr>
        <w:tc>
          <w:tcPr>
            <w:tcW w:w="7160" w:type="dxa"/>
            <w:vAlign w:val="bottom"/>
          </w:tcPr>
          <w:p>
            <w:pPr>
              <w:ind w:left="180"/>
              <w:spacing w:after="0"/>
              <w:rPr>
                <w:sz w:val="20"/>
                <w:szCs w:val="20"/>
                <w:color w:val="auto"/>
              </w:rPr>
            </w:pPr>
            <w:r>
              <w:rPr>
                <w:rFonts w:ascii="Arial" w:cs="Arial" w:eastAsia="Arial" w:hAnsi="Arial"/>
                <w:sz w:val="20"/>
                <w:szCs w:val="20"/>
                <w:color w:val="auto"/>
              </w:rPr>
              <w:t>Deferred revenue</w:t>
            </w:r>
          </w:p>
        </w:tc>
        <w:tc>
          <w:tcPr>
            <w:tcW w:w="38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56,571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58,317</w:t>
            </w:r>
          </w:p>
        </w:tc>
      </w:tr>
      <w:tr>
        <w:trPr>
          <w:trHeight w:val="230"/>
        </w:trPr>
        <w:tc>
          <w:tcPr>
            <w:tcW w:w="7160" w:type="dxa"/>
            <w:vAlign w:val="bottom"/>
          </w:tcPr>
          <w:p>
            <w:pPr>
              <w:ind w:left="180"/>
              <w:spacing w:after="0"/>
              <w:rPr>
                <w:sz w:val="20"/>
                <w:szCs w:val="20"/>
                <w:color w:val="auto"/>
              </w:rPr>
            </w:pPr>
            <w:r>
              <w:rPr>
                <w:rFonts w:ascii="Arial" w:cs="Arial" w:eastAsia="Arial" w:hAnsi="Arial"/>
                <w:sz w:val="20"/>
                <w:szCs w:val="20"/>
                <w:color w:val="auto"/>
              </w:rPr>
              <w:t>Stock-based compensation</w:t>
            </w:r>
          </w:p>
        </w:tc>
        <w:tc>
          <w:tcPr>
            <w:tcW w:w="38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11,877</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7,615</w:t>
            </w:r>
          </w:p>
        </w:tc>
      </w:tr>
      <w:tr>
        <w:trPr>
          <w:trHeight w:val="230"/>
        </w:trPr>
        <w:tc>
          <w:tcPr>
            <w:tcW w:w="7160" w:type="dxa"/>
            <w:vAlign w:val="bottom"/>
          </w:tcPr>
          <w:p>
            <w:pPr>
              <w:ind w:left="180"/>
              <w:spacing w:after="0"/>
              <w:rPr>
                <w:sz w:val="20"/>
                <w:szCs w:val="20"/>
                <w:color w:val="auto"/>
              </w:rPr>
            </w:pPr>
            <w:r>
              <w:rPr>
                <w:rFonts w:ascii="Arial" w:cs="Arial" w:eastAsia="Arial" w:hAnsi="Arial"/>
                <w:sz w:val="20"/>
                <w:szCs w:val="20"/>
                <w:color w:val="auto"/>
              </w:rPr>
              <w:t>Comprehensive income</w:t>
            </w:r>
          </w:p>
        </w:tc>
        <w:tc>
          <w:tcPr>
            <w:tcW w:w="38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3,283</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6,058</w:t>
            </w:r>
          </w:p>
        </w:tc>
      </w:tr>
      <w:tr>
        <w:trPr>
          <w:trHeight w:val="230"/>
        </w:trPr>
        <w:tc>
          <w:tcPr>
            <w:tcW w:w="7160" w:type="dxa"/>
            <w:vAlign w:val="bottom"/>
          </w:tcPr>
          <w:p>
            <w:pPr>
              <w:ind w:left="180"/>
              <w:spacing w:after="0"/>
              <w:rPr>
                <w:sz w:val="20"/>
                <w:szCs w:val="20"/>
                <w:color w:val="auto"/>
              </w:rPr>
            </w:pPr>
            <w:r>
              <w:rPr>
                <w:rFonts w:ascii="Arial" w:cs="Arial" w:eastAsia="Arial" w:hAnsi="Arial"/>
                <w:sz w:val="20"/>
                <w:szCs w:val="20"/>
                <w:color w:val="auto"/>
              </w:rPr>
              <w:t>Securities impairment</w:t>
            </w:r>
          </w:p>
        </w:tc>
        <w:tc>
          <w:tcPr>
            <w:tcW w:w="38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1,845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237</w:t>
            </w:r>
          </w:p>
        </w:tc>
      </w:tr>
      <w:tr>
        <w:trPr>
          <w:trHeight w:val="246"/>
        </w:trPr>
        <w:tc>
          <w:tcPr>
            <w:tcW w:w="7160" w:type="dxa"/>
            <w:vAlign w:val="bottom"/>
          </w:tcPr>
          <w:p>
            <w:pPr>
              <w:ind w:left="180"/>
              <w:spacing w:after="0"/>
              <w:rPr>
                <w:sz w:val="20"/>
                <w:szCs w:val="20"/>
                <w:color w:val="auto"/>
              </w:rPr>
            </w:pPr>
            <w:r>
              <w:rPr>
                <w:rFonts w:ascii="Arial" w:cs="Arial" w:eastAsia="Arial" w:hAnsi="Arial"/>
                <w:sz w:val="20"/>
                <w:szCs w:val="20"/>
                <w:color w:val="auto"/>
              </w:rPr>
              <w:t>Foreign net operating loss carryforward</w:t>
            </w: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2,866</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1,635</w:t>
            </w:r>
          </w:p>
        </w:tc>
      </w:tr>
      <w:tr>
        <w:trPr>
          <w:trHeight w:val="223"/>
        </w:trPr>
        <w:tc>
          <w:tcPr>
            <w:tcW w:w="7160" w:type="dxa"/>
            <w:vAlign w:val="bottom"/>
          </w:tcPr>
          <w:p>
            <w:pPr>
              <w:ind w:left="540"/>
              <w:spacing w:after="0" w:line="223" w:lineRule="exact"/>
              <w:rPr>
                <w:sz w:val="20"/>
                <w:szCs w:val="20"/>
                <w:color w:val="auto"/>
              </w:rPr>
            </w:pPr>
            <w:r>
              <w:rPr>
                <w:rFonts w:ascii="Arial" w:cs="Arial" w:eastAsia="Arial" w:hAnsi="Arial"/>
                <w:sz w:val="20"/>
                <w:szCs w:val="20"/>
                <w:color w:val="auto"/>
              </w:rPr>
              <w:t>Total gross deferred tax assets</w:t>
            </w:r>
          </w:p>
        </w:tc>
        <w:tc>
          <w:tcPr>
            <w:tcW w:w="380" w:type="dxa"/>
            <w:vAlign w:val="bottom"/>
            <w:tcBorders>
              <w:bottom w:val="single" w:sz="8" w:color="auto"/>
            </w:tcBorders>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86,869</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83,226</w:t>
            </w:r>
          </w:p>
        </w:tc>
      </w:tr>
      <w:tr>
        <w:trPr>
          <w:trHeight w:val="436"/>
        </w:trPr>
        <w:tc>
          <w:tcPr>
            <w:tcW w:w="716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7160" w:type="dxa"/>
            <w:vAlign w:val="bottom"/>
          </w:tcPr>
          <w:p>
            <w:pPr>
              <w:ind w:left="180"/>
              <w:spacing w:after="0"/>
              <w:rPr>
                <w:sz w:val="20"/>
                <w:szCs w:val="20"/>
                <w:color w:val="auto"/>
              </w:rPr>
            </w:pPr>
            <w:r>
              <w:rPr>
                <w:rFonts w:ascii="Arial" w:cs="Arial" w:eastAsia="Arial" w:hAnsi="Arial"/>
                <w:sz w:val="20"/>
                <w:szCs w:val="20"/>
                <w:color w:val="auto"/>
              </w:rPr>
              <w:t>Amortization of graphic design</w:t>
            </w:r>
          </w:p>
        </w:tc>
        <w:tc>
          <w:tcPr>
            <w:tcW w:w="3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(78)</w:t>
            </w:r>
          </w:p>
        </w:tc>
        <w:tc>
          <w:tcPr>
            <w:tcW w:w="280" w:type="dxa"/>
            <w:vAlign w:val="bottom"/>
          </w:tcPr>
          <w:p>
            <w:pPr>
              <w:spacing w:after="0"/>
              <w:rPr>
                <w:sz w:val="19"/>
                <w:szCs w:val="19"/>
                <w:color w:val="auto"/>
              </w:rPr>
            </w:pPr>
          </w:p>
        </w:tc>
        <w:tc>
          <w:tcPr>
            <w:tcW w:w="4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7160" w:type="dxa"/>
            <w:vAlign w:val="bottom"/>
          </w:tcPr>
          <w:p>
            <w:pPr>
              <w:ind w:left="180"/>
              <w:spacing w:after="0"/>
              <w:rPr>
                <w:sz w:val="20"/>
                <w:szCs w:val="20"/>
                <w:color w:val="auto"/>
              </w:rPr>
            </w:pPr>
            <w:r>
              <w:rPr>
                <w:rFonts w:ascii="Arial" w:cs="Arial" w:eastAsia="Arial" w:hAnsi="Arial"/>
                <w:sz w:val="20"/>
                <w:szCs w:val="20"/>
                <w:color w:val="auto"/>
              </w:rPr>
              <w:t>Amortization of trademarks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(6,396)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(6,143)</w:t>
            </w:r>
          </w:p>
        </w:tc>
      </w:tr>
      <w:tr>
        <w:trPr>
          <w:trHeight w:val="246"/>
        </w:trPr>
        <w:tc>
          <w:tcPr>
            <w:tcW w:w="7160" w:type="dxa"/>
            <w:vAlign w:val="bottom"/>
          </w:tcPr>
          <w:p>
            <w:pPr>
              <w:ind w:left="180"/>
              <w:spacing w:after="0"/>
              <w:rPr>
                <w:sz w:val="20"/>
                <w:szCs w:val="20"/>
                <w:color w:val="auto"/>
              </w:rPr>
            </w:pPr>
            <w:r>
              <w:rPr>
                <w:rFonts w:ascii="Arial" w:cs="Arial" w:eastAsia="Arial" w:hAnsi="Arial"/>
                <w:sz w:val="20"/>
                <w:szCs w:val="20"/>
                <w:color w:val="auto"/>
              </w:rPr>
              <w:t>Depreciation</w:t>
            </w: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(4,367)</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(1,524)</w:t>
            </w:r>
          </w:p>
        </w:tc>
      </w:tr>
      <w:tr>
        <w:trPr>
          <w:trHeight w:val="223"/>
        </w:trPr>
        <w:tc>
          <w:tcPr>
            <w:tcW w:w="7160" w:type="dxa"/>
            <w:vAlign w:val="bottom"/>
          </w:tcPr>
          <w:p>
            <w:pPr>
              <w:ind w:left="540"/>
              <w:spacing w:after="0" w:line="223" w:lineRule="exact"/>
              <w:rPr>
                <w:sz w:val="20"/>
                <w:szCs w:val="20"/>
                <w:color w:val="auto"/>
              </w:rPr>
            </w:pPr>
            <w:r>
              <w:rPr>
                <w:rFonts w:ascii="Arial" w:cs="Arial" w:eastAsia="Arial" w:hAnsi="Arial"/>
                <w:sz w:val="20"/>
                <w:szCs w:val="20"/>
                <w:color w:val="auto"/>
              </w:rPr>
              <w:t>Total gross deferred tax liabilities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(10,841)</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(7,737)</w:t>
            </w:r>
          </w:p>
        </w:tc>
      </w:tr>
      <w:tr>
        <w:trPr>
          <w:trHeight w:val="223"/>
        </w:trPr>
        <w:tc>
          <w:tcPr>
            <w:tcW w:w="7160" w:type="dxa"/>
            <w:vAlign w:val="bottom"/>
          </w:tcPr>
          <w:p>
            <w:pPr>
              <w:ind w:left="540"/>
              <w:spacing w:after="0" w:line="223" w:lineRule="exact"/>
              <w:rPr>
                <w:sz w:val="20"/>
                <w:szCs w:val="20"/>
                <w:color w:val="auto"/>
              </w:rPr>
            </w:pPr>
            <w:r>
              <w:rPr>
                <w:rFonts w:ascii="Arial" w:cs="Arial" w:eastAsia="Arial" w:hAnsi="Arial"/>
                <w:sz w:val="20"/>
                <w:szCs w:val="20"/>
                <w:color w:val="auto"/>
              </w:rPr>
              <w:t>Net deferred tax assets</w:t>
            </w:r>
          </w:p>
        </w:tc>
        <w:tc>
          <w:tcPr>
            <w:tcW w:w="380" w:type="dxa"/>
            <w:vAlign w:val="bottom"/>
            <w:tcBorders>
              <w:bottom w:val="single" w:sz="8" w:color="auto"/>
            </w:tcBorders>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76,028</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75,489</w:t>
            </w:r>
          </w:p>
        </w:tc>
      </w:tr>
      <w:tr>
        <w:trPr>
          <w:trHeight w:val="20"/>
        </w:trPr>
        <w:tc>
          <w:tcPr>
            <w:tcW w:w="7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 valuation allowance is required to be provided to reduce the deferred tax assets to a level which, more likely than not, will be realized. The Company’s net deferred tax assets were not reduced by tax valuation allowances at December 31, 2009 and 2008. Management evaluated the positive and negative evidence in determining the realizability of the net deferred tax assets at December 31, 2009 and 2008 and concluded it is more likely than not that the Company should realize its net deferred tax assets through future operating results and the reversal of taxable temporary differences.</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years ended December 31, 2009 and 2008: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jc w:val="right"/>
              <w:ind w:right="342"/>
              <w:spacing w:after="0"/>
              <w:rPr>
                <w:sz w:val="20"/>
                <w:szCs w:val="20"/>
                <w:color w:val="auto"/>
              </w:rPr>
            </w:pPr>
            <w:r>
              <w:rPr>
                <w:rFonts w:ascii="Arial" w:cs="Arial" w:eastAsia="Arial" w:hAnsi="Arial"/>
                <w:sz w:val="18"/>
                <w:szCs w:val="18"/>
                <w:b w:val="1"/>
                <w:bCs w:val="1"/>
                <w:color w:val="auto"/>
                <w:w w:val="96"/>
              </w:rPr>
              <w:t>Gross Unrealized Tax</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Arial" w:cs="Arial" w:eastAsia="Arial" w:hAnsi="Arial"/>
                <w:sz w:val="20"/>
                <w:szCs w:val="20"/>
                <w:b w:val="1"/>
                <w:bCs w:val="1"/>
                <w:color w:val="auto"/>
              </w:rPr>
              <w:t>Balance at January 1, 2007</w:t>
            </w:r>
          </w:p>
        </w:tc>
        <w:tc>
          <w:tcPr>
            <w:tcW w:w="2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842"/>
              <w:spacing w:after="0"/>
              <w:rPr>
                <w:sz w:val="20"/>
                <w:szCs w:val="20"/>
                <w:color w:val="auto"/>
              </w:rPr>
            </w:pPr>
            <w:r>
              <w:rPr>
                <w:rFonts w:ascii="Arial" w:cs="Arial" w:eastAsia="Arial" w:hAnsi="Arial"/>
                <w:sz w:val="18"/>
                <w:szCs w:val="18"/>
                <w:b w:val="1"/>
                <w:bCs w:val="1"/>
                <w:color w:val="auto"/>
              </w:rPr>
              <w:t>Benefits</w:t>
            </w:r>
          </w:p>
        </w:tc>
        <w:tc>
          <w:tcPr>
            <w:tcW w:w="0" w:type="dxa"/>
            <w:vAlign w:val="bottom"/>
          </w:tcPr>
          <w:p>
            <w:pPr>
              <w:spacing w:after="0"/>
              <w:rPr>
                <w:sz w:val="1"/>
                <w:szCs w:val="1"/>
                <w:color w:val="auto"/>
              </w:rPr>
            </w:pPr>
          </w:p>
        </w:tc>
      </w:tr>
      <w:tr>
        <w:trPr>
          <w:trHeight w:val="206"/>
        </w:trPr>
        <w:tc>
          <w:tcPr>
            <w:tcW w:w="4620" w:type="dxa"/>
            <w:vAlign w:val="bottom"/>
            <w:vMerge w:val="continue"/>
          </w:tcPr>
          <w:p>
            <w:pPr>
              <w:spacing w:after="0"/>
              <w:rPr>
                <w:sz w:val="17"/>
                <w:szCs w:val="17"/>
                <w:color w:val="auto"/>
              </w:rPr>
            </w:pPr>
          </w:p>
        </w:tc>
        <w:tc>
          <w:tcPr>
            <w:tcW w:w="2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2240" w:type="dxa"/>
            <w:vAlign w:val="bottom"/>
          </w:tcPr>
          <w:p>
            <w:pPr>
              <w:jc w:val="right"/>
              <w:ind w:right="2"/>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20"/>
                <w:szCs w:val="20"/>
                <w:color w:val="auto"/>
                <w:w w:val="99"/>
              </w:rPr>
              <w:t>Additions for tax positions related to the current year</w:t>
            </w:r>
          </w:p>
        </w:tc>
        <w:tc>
          <w:tcPr>
            <w:tcW w:w="260" w:type="dxa"/>
            <w:vAlign w:val="bottom"/>
          </w:tcPr>
          <w:p>
            <w:pPr>
              <w:spacing w:after="0"/>
              <w:rPr>
                <w:sz w:val="19"/>
                <w:szCs w:val="19"/>
                <w:color w:val="auto"/>
              </w:rPr>
            </w:pPr>
          </w:p>
        </w:tc>
        <w:tc>
          <w:tcPr>
            <w:tcW w:w="2240" w:type="dxa"/>
            <w:vAlign w:val="bottom"/>
          </w:tcPr>
          <w:p>
            <w:pPr>
              <w:jc w:val="right"/>
              <w:ind w:right="2"/>
              <w:spacing w:after="0"/>
              <w:rPr>
                <w:sz w:val="20"/>
                <w:szCs w:val="20"/>
                <w:color w:val="auto"/>
              </w:rPr>
            </w:pPr>
            <w:r>
              <w:rPr>
                <w:rFonts w:ascii="Arial" w:cs="Arial" w:eastAsia="Arial" w:hAnsi="Arial"/>
                <w:sz w:val="20"/>
                <w:szCs w:val="20"/>
                <w:color w:val="auto"/>
              </w:rPr>
              <w:t>1,291</w:t>
            </w:r>
          </w:p>
        </w:tc>
        <w:tc>
          <w:tcPr>
            <w:tcW w:w="0" w:type="dxa"/>
            <w:vAlign w:val="bottom"/>
          </w:tcPr>
          <w:p>
            <w:pPr>
              <w:spacing w:after="0"/>
              <w:rPr>
                <w:sz w:val="1"/>
                <w:szCs w:val="1"/>
                <w:color w:val="auto"/>
              </w:rPr>
            </w:pPr>
          </w:p>
        </w:tc>
      </w:tr>
      <w:tr>
        <w:trPr>
          <w:trHeight w:val="246"/>
        </w:trPr>
        <w:tc>
          <w:tcPr>
            <w:tcW w:w="4620" w:type="dxa"/>
            <w:vAlign w:val="bottom"/>
          </w:tcPr>
          <w:p>
            <w:pPr>
              <w:spacing w:after="0"/>
              <w:rPr>
                <w:sz w:val="20"/>
                <w:szCs w:val="20"/>
                <w:color w:val="auto"/>
              </w:rPr>
            </w:pPr>
            <w:r>
              <w:rPr>
                <w:rFonts w:ascii="Arial" w:cs="Arial" w:eastAsia="Arial" w:hAnsi="Arial"/>
                <w:sz w:val="20"/>
                <w:szCs w:val="20"/>
                <w:color w:val="auto"/>
              </w:rPr>
              <w:t>Decreases for tax positions related to fiscal 2007</w:t>
            </w:r>
          </w:p>
        </w:tc>
        <w:tc>
          <w:tcPr>
            <w:tcW w:w="2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620" w:type="dxa"/>
            <w:vAlign w:val="bottom"/>
          </w:tcPr>
          <w:p>
            <w:pPr>
              <w:spacing w:after="0" w:line="223" w:lineRule="exact"/>
              <w:rPr>
                <w:sz w:val="20"/>
                <w:szCs w:val="20"/>
                <w:color w:val="auto"/>
              </w:rPr>
            </w:pPr>
            <w:r>
              <w:rPr>
                <w:rFonts w:ascii="Arial" w:cs="Arial" w:eastAsia="Arial" w:hAnsi="Arial"/>
                <w:sz w:val="20"/>
                <w:szCs w:val="20"/>
                <w:b w:val="1"/>
                <w:bCs w:val="1"/>
                <w:color w:val="auto"/>
              </w:rPr>
              <w:t>Balance at December 31, 2007</w:t>
            </w:r>
          </w:p>
        </w:tc>
        <w:tc>
          <w:tcPr>
            <w:tcW w:w="2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240" w:type="dxa"/>
            <w:vAlign w:val="bottom"/>
            <w:tcBorders>
              <w:bottom w:val="single" w:sz="8" w:color="auto"/>
            </w:tcBorders>
          </w:tcPr>
          <w:p>
            <w:pPr>
              <w:jc w:val="right"/>
              <w:ind w:right="2"/>
              <w:spacing w:after="0" w:line="223" w:lineRule="exact"/>
              <w:rPr>
                <w:sz w:val="20"/>
                <w:szCs w:val="20"/>
                <w:color w:val="auto"/>
              </w:rPr>
            </w:pPr>
            <w:r>
              <w:rPr>
                <w:rFonts w:ascii="Arial" w:cs="Arial" w:eastAsia="Arial" w:hAnsi="Arial"/>
                <w:sz w:val="20"/>
                <w:szCs w:val="20"/>
                <w:color w:val="auto"/>
              </w:rPr>
              <w:t>1,291</w:t>
            </w:r>
          </w:p>
        </w:tc>
        <w:tc>
          <w:tcPr>
            <w:tcW w:w="0" w:type="dxa"/>
            <w:vAlign w:val="bottom"/>
          </w:tcPr>
          <w:p>
            <w:pPr>
              <w:spacing w:after="0"/>
              <w:rPr>
                <w:sz w:val="1"/>
                <w:szCs w:val="1"/>
                <w:color w:val="auto"/>
              </w:rPr>
            </w:pPr>
          </w:p>
        </w:tc>
      </w:tr>
      <w:tr>
        <w:trPr>
          <w:trHeight w:val="206"/>
        </w:trPr>
        <w:tc>
          <w:tcPr>
            <w:tcW w:w="4620" w:type="dxa"/>
            <w:vAlign w:val="bottom"/>
          </w:tcPr>
          <w:p>
            <w:pPr>
              <w:spacing w:after="0" w:line="207" w:lineRule="exact"/>
              <w:rPr>
                <w:sz w:val="20"/>
                <w:szCs w:val="20"/>
                <w:color w:val="auto"/>
              </w:rPr>
            </w:pPr>
            <w:r>
              <w:rPr>
                <w:rFonts w:ascii="Arial" w:cs="Arial" w:eastAsia="Arial" w:hAnsi="Arial"/>
                <w:sz w:val="20"/>
                <w:szCs w:val="20"/>
                <w:color w:val="auto"/>
                <w:w w:val="99"/>
              </w:rPr>
              <w:t>Additions for tax positions related to the current year</w:t>
            </w:r>
          </w:p>
        </w:tc>
        <w:tc>
          <w:tcPr>
            <w:tcW w:w="260" w:type="dxa"/>
            <w:vAlign w:val="bottom"/>
          </w:tcPr>
          <w:p>
            <w:pPr>
              <w:spacing w:after="0"/>
              <w:rPr>
                <w:sz w:val="17"/>
                <w:szCs w:val="17"/>
                <w:color w:val="auto"/>
              </w:rPr>
            </w:pPr>
          </w:p>
        </w:tc>
        <w:tc>
          <w:tcPr>
            <w:tcW w:w="2240" w:type="dxa"/>
            <w:vAlign w:val="bottom"/>
          </w:tcPr>
          <w:p>
            <w:pPr>
              <w:jc w:val="right"/>
              <w:ind w:right="2"/>
              <w:spacing w:after="0" w:line="207" w:lineRule="exact"/>
              <w:rPr>
                <w:sz w:val="20"/>
                <w:szCs w:val="20"/>
                <w:color w:val="auto"/>
              </w:rPr>
            </w:pPr>
            <w:r>
              <w:rPr>
                <w:rFonts w:ascii="Arial" w:cs="Arial" w:eastAsia="Arial" w:hAnsi="Arial"/>
                <w:sz w:val="20"/>
                <w:szCs w:val="20"/>
                <w:color w:val="auto"/>
              </w:rPr>
              <w:t>689</w:t>
            </w:r>
          </w:p>
        </w:tc>
        <w:tc>
          <w:tcPr>
            <w:tcW w:w="0" w:type="dxa"/>
            <w:vAlign w:val="bottom"/>
          </w:tcPr>
          <w:p>
            <w:pPr>
              <w:spacing w:after="0"/>
              <w:rPr>
                <w:sz w:val="1"/>
                <w:szCs w:val="1"/>
                <w:color w:val="auto"/>
              </w:rPr>
            </w:pPr>
          </w:p>
        </w:tc>
      </w:tr>
      <w:tr>
        <w:trPr>
          <w:trHeight w:val="246"/>
        </w:trPr>
        <w:tc>
          <w:tcPr>
            <w:tcW w:w="4620" w:type="dxa"/>
            <w:vAlign w:val="bottom"/>
          </w:tcPr>
          <w:p>
            <w:pPr>
              <w:spacing w:after="0"/>
              <w:rPr>
                <w:sz w:val="20"/>
                <w:szCs w:val="20"/>
                <w:color w:val="auto"/>
              </w:rPr>
            </w:pPr>
            <w:r>
              <w:rPr>
                <w:rFonts w:ascii="Arial" w:cs="Arial" w:eastAsia="Arial" w:hAnsi="Arial"/>
                <w:sz w:val="20"/>
                <w:szCs w:val="20"/>
                <w:color w:val="auto"/>
              </w:rPr>
              <w:t>Decreases for tax positions related to fiscal 2008</w:t>
            </w:r>
          </w:p>
        </w:tc>
        <w:tc>
          <w:tcPr>
            <w:tcW w:w="2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23"/>
        </w:trPr>
        <w:tc>
          <w:tcPr>
            <w:tcW w:w="4620" w:type="dxa"/>
            <w:vAlign w:val="bottom"/>
          </w:tcPr>
          <w:p>
            <w:pPr>
              <w:spacing w:after="0" w:line="223" w:lineRule="exact"/>
              <w:rPr>
                <w:sz w:val="20"/>
                <w:szCs w:val="20"/>
                <w:color w:val="auto"/>
              </w:rPr>
            </w:pPr>
            <w:r>
              <w:rPr>
                <w:rFonts w:ascii="Arial" w:cs="Arial" w:eastAsia="Arial" w:hAnsi="Arial"/>
                <w:sz w:val="20"/>
                <w:szCs w:val="20"/>
                <w:b w:val="1"/>
                <w:bCs w:val="1"/>
                <w:color w:val="auto"/>
              </w:rPr>
              <w:t>Balance at December 31, 2008</w:t>
            </w:r>
          </w:p>
        </w:tc>
        <w:tc>
          <w:tcPr>
            <w:tcW w:w="2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240" w:type="dxa"/>
            <w:vAlign w:val="bottom"/>
            <w:tcBorders>
              <w:bottom w:val="single" w:sz="8" w:color="auto"/>
            </w:tcBorders>
          </w:tcPr>
          <w:p>
            <w:pPr>
              <w:jc w:val="right"/>
              <w:ind w:right="2"/>
              <w:spacing w:after="0" w:line="223" w:lineRule="exact"/>
              <w:rPr>
                <w:sz w:val="20"/>
                <w:szCs w:val="20"/>
                <w:color w:val="auto"/>
              </w:rPr>
            </w:pPr>
            <w:r>
              <w:rPr>
                <w:rFonts w:ascii="Arial" w:cs="Arial" w:eastAsia="Arial" w:hAnsi="Arial"/>
                <w:sz w:val="20"/>
                <w:szCs w:val="20"/>
                <w:color w:val="auto"/>
              </w:rPr>
              <w:t>1,912</w:t>
            </w:r>
          </w:p>
        </w:tc>
        <w:tc>
          <w:tcPr>
            <w:tcW w:w="0" w:type="dxa"/>
            <w:vAlign w:val="bottom"/>
          </w:tcPr>
          <w:p>
            <w:pPr>
              <w:spacing w:after="0"/>
              <w:rPr>
                <w:sz w:val="1"/>
                <w:szCs w:val="1"/>
                <w:color w:val="auto"/>
              </w:rPr>
            </w:pPr>
          </w:p>
        </w:tc>
      </w:tr>
      <w:tr>
        <w:trPr>
          <w:trHeight w:val="206"/>
        </w:trPr>
        <w:tc>
          <w:tcPr>
            <w:tcW w:w="4620" w:type="dxa"/>
            <w:vAlign w:val="bottom"/>
          </w:tcPr>
          <w:p>
            <w:pPr>
              <w:spacing w:after="0" w:line="207" w:lineRule="exact"/>
              <w:rPr>
                <w:sz w:val="20"/>
                <w:szCs w:val="20"/>
                <w:color w:val="auto"/>
              </w:rPr>
            </w:pPr>
            <w:r>
              <w:rPr>
                <w:rFonts w:ascii="Arial" w:cs="Arial" w:eastAsia="Arial" w:hAnsi="Arial"/>
                <w:sz w:val="20"/>
                <w:szCs w:val="20"/>
                <w:color w:val="auto"/>
                <w:w w:val="99"/>
              </w:rPr>
              <w:t>Additions for tax positions related to the current year</w:t>
            </w:r>
          </w:p>
        </w:tc>
        <w:tc>
          <w:tcPr>
            <w:tcW w:w="260" w:type="dxa"/>
            <w:vAlign w:val="bottom"/>
          </w:tcPr>
          <w:p>
            <w:pPr>
              <w:spacing w:after="0"/>
              <w:rPr>
                <w:sz w:val="17"/>
                <w:szCs w:val="17"/>
                <w:color w:val="auto"/>
              </w:rPr>
            </w:pPr>
          </w:p>
        </w:tc>
        <w:tc>
          <w:tcPr>
            <w:tcW w:w="2240" w:type="dxa"/>
            <w:vAlign w:val="bottom"/>
          </w:tcPr>
          <w:p>
            <w:pPr>
              <w:jc w:val="right"/>
              <w:ind w:right="2"/>
              <w:spacing w:after="0" w:line="207" w:lineRule="exact"/>
              <w:rPr>
                <w:sz w:val="20"/>
                <w:szCs w:val="20"/>
                <w:color w:val="auto"/>
              </w:rPr>
            </w:pPr>
            <w:r>
              <w:rPr>
                <w:rFonts w:ascii="Arial" w:cs="Arial" w:eastAsia="Arial" w:hAnsi="Arial"/>
                <w:sz w:val="20"/>
                <w:szCs w:val="20"/>
                <w:color w:val="auto"/>
              </w:rPr>
              <w:t>308</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20"/>
                <w:szCs w:val="20"/>
                <w:color w:val="auto"/>
              </w:rPr>
              <w:t>Additions for tax positions related to the prior year</w:t>
            </w:r>
          </w:p>
        </w:tc>
        <w:tc>
          <w:tcPr>
            <w:tcW w:w="260" w:type="dxa"/>
            <w:vAlign w:val="bottom"/>
          </w:tcPr>
          <w:p>
            <w:pPr>
              <w:spacing w:after="0"/>
              <w:rPr>
                <w:sz w:val="19"/>
                <w:szCs w:val="19"/>
                <w:color w:val="auto"/>
              </w:rPr>
            </w:pPr>
          </w:p>
        </w:tc>
        <w:tc>
          <w:tcPr>
            <w:tcW w:w="2240" w:type="dxa"/>
            <w:vAlign w:val="bottom"/>
          </w:tcPr>
          <w:p>
            <w:pPr>
              <w:jc w:val="right"/>
              <w:ind w:right="2"/>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46"/>
        </w:trPr>
        <w:tc>
          <w:tcPr>
            <w:tcW w:w="4620" w:type="dxa"/>
            <w:vAlign w:val="bottom"/>
          </w:tcPr>
          <w:p>
            <w:pPr>
              <w:spacing w:after="0"/>
              <w:rPr>
                <w:sz w:val="20"/>
                <w:szCs w:val="20"/>
                <w:color w:val="auto"/>
              </w:rPr>
            </w:pPr>
            <w:r>
              <w:rPr>
                <w:rFonts w:ascii="Arial" w:cs="Arial" w:eastAsia="Arial" w:hAnsi="Arial"/>
                <w:sz w:val="20"/>
                <w:szCs w:val="20"/>
                <w:color w:val="auto"/>
              </w:rPr>
              <w:t>Decreases for tax positions related to fiscal 2009</w:t>
            </w:r>
          </w:p>
        </w:tc>
        <w:tc>
          <w:tcPr>
            <w:tcW w:w="2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(1,912)</w:t>
            </w:r>
          </w:p>
        </w:tc>
        <w:tc>
          <w:tcPr>
            <w:tcW w:w="0" w:type="dxa"/>
            <w:vAlign w:val="bottom"/>
          </w:tcPr>
          <w:p>
            <w:pPr>
              <w:spacing w:after="0"/>
              <w:rPr>
                <w:sz w:val="1"/>
                <w:szCs w:val="1"/>
                <w:color w:val="auto"/>
              </w:rPr>
            </w:pPr>
          </w:p>
        </w:tc>
      </w:tr>
      <w:tr>
        <w:trPr>
          <w:trHeight w:val="223"/>
        </w:trPr>
        <w:tc>
          <w:tcPr>
            <w:tcW w:w="4620" w:type="dxa"/>
            <w:vAlign w:val="bottom"/>
          </w:tcPr>
          <w:p>
            <w:pPr>
              <w:spacing w:after="0" w:line="223" w:lineRule="exact"/>
              <w:rPr>
                <w:sz w:val="20"/>
                <w:szCs w:val="20"/>
                <w:color w:val="auto"/>
              </w:rPr>
            </w:pPr>
            <w:r>
              <w:rPr>
                <w:rFonts w:ascii="Arial" w:cs="Arial" w:eastAsia="Arial" w:hAnsi="Arial"/>
                <w:sz w:val="20"/>
                <w:szCs w:val="20"/>
                <w:b w:val="1"/>
                <w:bCs w:val="1"/>
                <w:color w:val="auto"/>
              </w:rPr>
              <w:t>Balance at December 31, 2009</w:t>
            </w:r>
          </w:p>
        </w:tc>
        <w:tc>
          <w:tcPr>
            <w:tcW w:w="2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240" w:type="dxa"/>
            <w:vAlign w:val="bottom"/>
            <w:tcBorders>
              <w:bottom w:val="single" w:sz="8" w:color="auto"/>
            </w:tcBorders>
          </w:tcPr>
          <w:p>
            <w:pPr>
              <w:jc w:val="right"/>
              <w:ind w:right="2"/>
              <w:spacing w:after="0" w:line="223" w:lineRule="exact"/>
              <w:rPr>
                <w:sz w:val="20"/>
                <w:szCs w:val="20"/>
                <w:color w:val="auto"/>
              </w:rPr>
            </w:pPr>
            <w:r>
              <w:rPr>
                <w:rFonts w:ascii="Arial" w:cs="Arial" w:eastAsia="Arial" w:hAnsi="Arial"/>
                <w:sz w:val="20"/>
                <w:szCs w:val="20"/>
                <w:color w:val="auto"/>
              </w:rPr>
              <w:t>397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 recognizes accrued interest and penalties related to unrecognized tax benefits in the provision for income taxes in the Company’s consolidated financial statements. As of December 31, 2009, the Company had approximately $0.04 million in interest and penalties related to recognized tax benefits accrued. In addition, $0.1 million of benefit was recognized through the provision for income taxes during the year ended December 31, 2009. It is not expected that the amount of unrecognized tax benefits will change in the next 12 months; however, the Company does not expect the change to have a material impact on its financial position, results of operations or liquidity.</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On August 9, 2007, the Internal Revenue Service began its examination of the Company’s U.S. federal income tax return for the period ended December 31, 2005. The examination was completed in March 2009 with no significant adjustments.</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March 2009, the Internal Revenue Service also concluded its examination of the Company’s Domestic Production Deduction tax claim attributable to the 2005 and 2006 years. The Company’s position was upheld on its uncertain tax positions attributable to the Domestic Production Deduction and as a result, the amount of gross unrealized tax benefits was reduced by $1.9 million. The removal of accrued uncertain tax positions and related interest and penalties previously recorded resulted in a $2.0 million increase in net income for the year ended December 31, 2009.</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is subject to U.S. federal income tax as well as to income tax in multiple state jurisdictions. Federal income tax returns of the Company are subject to IRS examination for the 2006 through 2008 tax years. State income tax returns are subject to examination for the 2005 through 2008 tax years.</w:t>
      </w:r>
    </w:p>
    <w:p>
      <w:pPr>
        <w:sectPr>
          <w:pgSz w:w="11900" w:h="16838" w:orient="portrait"/>
          <w:cols w:equalWidth="0" w:num="1">
            <w:col w:w="11420"/>
          </w:cols>
          <w:pgMar w:left="240" w:top="122" w:right="239" w:bottom="114"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114" w:gutter="0" w:footer="0" w:header="0"/>
          <w:type w:val="continuous"/>
        </w:sectPr>
      </w:pPr>
    </w:p>
    <w:bookmarkStart w:id="66" w:name="page67"/>
    <w:bookmarkEnd w:id="66"/>
    <w:p>
      <w:pPr>
        <w:spacing w:after="0" w:line="5"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4"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EMPLOYEE BENEFIT PLAN</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Employees of the Company may participate in the Hansen Natural Corporation 401(k) Plan, a defined contribution plan, which qualifies under Section 401(k) of the Internal Revenue Code. Participating employees may contribute up to 15% of their pretax salary up to statutory limits. The Company contributes 25% of the employee contribution, up to 8% of each employee’s earnings, which vest 20% each year for five years after the first anniversary date. Matching contributions were $0.3 million, $0.3 million and $0.2 million for the years ended December 31, 2009, 2008 and 2007, respectively.</w:t>
      </w:r>
    </w:p>
    <w:p>
      <w:pPr>
        <w:spacing w:after="0" w:line="208"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RELATED-PARTY TRANSACTIONS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 director of the Company is a partner in a law firm that serves as counsel to the Company and was a partner in another law firm that previously served as counsel to the Company. Expenses incurred in connection with services rendered by such firms to the Company during the years ended December 31, 2009, 2008 and 2007 were $1.6 million, $2.4 million and $5.5 million, respectively.</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Two directors and officers of the Company and their families are principal owners of a company that provides promotional materials to the Company. Expenses incurred with such company in connection with promotional materials purchased during the years ended December 31, 2009, 2008 and 2007 were $0.9 million, $0.8 million and $0.8 million, respectively.</w:t>
      </w:r>
    </w:p>
    <w:p>
      <w:pPr>
        <w:spacing w:after="0" w:line="200"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two reportable segments, namely Direct Store Delivery (“DSD”), whose principal products comprise energy drinks, and Warehouse (“Warehouse”), whose principal products comprise juice 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specifically have been allocated to “Corporate &amp; Unallocated.”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revenues derived from DSD and Warehouse segments and other financial information related thereto for the years ended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2009, 2008 and 2007 are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5"/>
          </w:tcPr>
          <w:p>
            <w:pPr>
              <w:ind w:left="160"/>
              <w:spacing w:after="0"/>
              <w:rPr>
                <w:sz w:val="20"/>
                <w:szCs w:val="20"/>
                <w:color w:val="auto"/>
              </w:rPr>
            </w:pPr>
            <w:r>
              <w:rPr>
                <w:rFonts w:ascii="Arial" w:cs="Arial" w:eastAsia="Arial" w:hAnsi="Arial"/>
                <w:sz w:val="20"/>
                <w:szCs w:val="20"/>
                <w:color w:val="auto"/>
              </w:rPr>
              <w:t>Year Ended December 31, 2009</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center"/>
              <w:ind w:right="480"/>
              <w:spacing w:after="0" w:line="207" w:lineRule="exact"/>
              <w:rPr>
                <w:sz w:val="20"/>
                <w:szCs w:val="20"/>
                <w:color w:val="auto"/>
              </w:rPr>
            </w:pPr>
            <w:r>
              <w:rPr>
                <w:rFonts w:ascii="Arial" w:cs="Arial" w:eastAsia="Arial" w:hAnsi="Arial"/>
                <w:sz w:val="20"/>
                <w:szCs w:val="20"/>
                <w:color w:val="auto"/>
                <w:w w:val="89"/>
              </w:rPr>
              <w:t>Corporate and</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42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36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Arial" w:cs="Arial" w:eastAsia="Arial" w:hAnsi="Arial"/>
                <w:sz w:val="20"/>
                <w:szCs w:val="20"/>
                <w:color w:val="auto"/>
              </w:rPr>
              <w:t>DSD</w:t>
            </w:r>
          </w:p>
        </w:tc>
        <w:tc>
          <w:tcPr>
            <w:tcW w:w="260" w:type="dxa"/>
            <w:vAlign w:val="bottom"/>
          </w:tcPr>
          <w:p>
            <w:pPr>
              <w:spacing w:after="0"/>
              <w:rPr>
                <w:sz w:val="21"/>
                <w:szCs w:val="21"/>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20"/>
                <w:szCs w:val="20"/>
                <w:color w:val="auto"/>
                <w:w w:val="87"/>
              </w:rPr>
              <w:t>Warehouse</w:t>
            </w:r>
          </w:p>
        </w:tc>
        <w:tc>
          <w:tcPr>
            <w:tcW w:w="200" w:type="dxa"/>
            <w:vAlign w:val="bottom"/>
          </w:tcPr>
          <w:p>
            <w:pPr>
              <w:spacing w:after="0"/>
              <w:rPr>
                <w:sz w:val="21"/>
                <w:szCs w:val="21"/>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20"/>
                <w:szCs w:val="20"/>
                <w:color w:val="auto"/>
                <w:w w:val="90"/>
              </w:rPr>
              <w:t>Unallocated</w:t>
            </w:r>
          </w:p>
        </w:tc>
        <w:tc>
          <w:tcPr>
            <w:tcW w:w="380" w:type="dxa"/>
            <w:vAlign w:val="bottom"/>
          </w:tcPr>
          <w:p>
            <w:pPr>
              <w:spacing w:after="0"/>
              <w:rPr>
                <w:sz w:val="21"/>
                <w:szCs w:val="21"/>
                <w:color w:val="auto"/>
              </w:rPr>
            </w:pPr>
          </w:p>
        </w:tc>
        <w:tc>
          <w:tcPr>
            <w:tcW w:w="1100" w:type="dxa"/>
            <w:vAlign w:val="bottom"/>
          </w:tcPr>
          <w:p>
            <w:pPr>
              <w:jc w:val="right"/>
              <w:ind w:right="44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420" w:type="dxa"/>
            <w:vAlign w:val="bottom"/>
            <w:vMerge w:val="continue"/>
          </w:tcPr>
          <w:p>
            <w:pPr>
              <w:spacing w:after="0"/>
              <w:rPr>
                <w:sz w:val="17"/>
                <w:szCs w:val="17"/>
                <w:color w:val="auto"/>
              </w:rPr>
            </w:pPr>
          </w:p>
        </w:tc>
        <w:tc>
          <w:tcPr>
            <w:tcW w:w="36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1,051,236</w:t>
            </w:r>
          </w:p>
        </w:tc>
        <w:tc>
          <w:tcPr>
            <w:tcW w:w="280" w:type="dxa"/>
            <w:vAlign w:val="bottom"/>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2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92,063</w:t>
            </w: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tcPr>
          <w:p>
            <w:pPr>
              <w:jc w:val="right"/>
              <w:ind w:right="201"/>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38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1,143,299</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20"/>
                <w:szCs w:val="20"/>
                <w:color w:val="auto"/>
              </w:rPr>
              <w:t>Contribution margin</w:t>
            </w: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389,294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6,061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395,355</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20"/>
                <w:szCs w:val="20"/>
                <w:color w:val="auto"/>
              </w:rPr>
              <w:t>Corporate &amp; unallocated expenses</w:t>
            </w:r>
          </w:p>
        </w:tc>
        <w:tc>
          <w:tcPr>
            <w:tcW w:w="360" w:type="dxa"/>
            <w:vAlign w:val="bottom"/>
          </w:tcPr>
          <w:p>
            <w:pPr>
              <w:spacing w:after="0"/>
              <w:rPr>
                <w:sz w:val="19"/>
                <w:szCs w:val="19"/>
                <w:color w:val="auto"/>
              </w:rPr>
            </w:pPr>
          </w:p>
        </w:tc>
        <w:tc>
          <w:tcPr>
            <w:tcW w:w="11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(58,046)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(58,046)</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20"/>
                <w:szCs w:val="20"/>
                <w:color w:val="auto"/>
              </w:rPr>
              <w:t>Operating income</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337,309</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20"/>
                <w:szCs w:val="20"/>
                <w:color w:val="auto"/>
              </w:rPr>
              <w:t>Interest and other income, net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(3,682)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2,068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(1,614)</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335,695</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3,944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31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1,864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5,839</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0"/>
                <w:szCs w:val="20"/>
                <w:color w:val="auto"/>
              </w:rPr>
            </w:pPr>
            <w:r>
              <w:rPr>
                <w:rFonts w:ascii="Arial" w:cs="Arial" w:eastAsia="Arial" w:hAnsi="Arial"/>
                <w:sz w:val="20"/>
                <w:szCs w:val="20"/>
                <w:color w:val="auto"/>
              </w:rPr>
              <w:t>Trademark amortization</w:t>
            </w:r>
          </w:p>
        </w:tc>
        <w:tc>
          <w:tcPr>
            <w:tcW w:w="360" w:type="dxa"/>
            <w:vAlign w:val="bottom"/>
          </w:tcPr>
          <w:p>
            <w:pPr>
              <w:spacing w:after="0"/>
              <w:rPr>
                <w:sz w:val="21"/>
                <w:szCs w:val="21"/>
                <w:color w:val="auto"/>
              </w:rPr>
            </w:pPr>
          </w:p>
        </w:tc>
        <w:tc>
          <w:tcPr>
            <w:tcW w:w="11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44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24</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455"/>
        </w:trPr>
        <w:tc>
          <w:tcPr>
            <w:tcW w:w="44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ind w:left="160"/>
              <w:spacing w:after="0"/>
              <w:rPr>
                <w:sz w:val="20"/>
                <w:szCs w:val="20"/>
                <w:color w:val="auto"/>
              </w:rPr>
            </w:pPr>
            <w:r>
              <w:rPr>
                <w:rFonts w:ascii="Arial" w:cs="Arial" w:eastAsia="Arial" w:hAnsi="Arial"/>
                <w:sz w:val="20"/>
                <w:szCs w:val="20"/>
                <w:color w:val="auto"/>
              </w:rPr>
              <w:t>Year Ended December 31, 2008</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center"/>
              <w:ind w:right="480"/>
              <w:spacing w:after="0" w:line="207" w:lineRule="exact"/>
              <w:rPr>
                <w:sz w:val="20"/>
                <w:szCs w:val="20"/>
                <w:color w:val="auto"/>
              </w:rPr>
            </w:pPr>
            <w:r>
              <w:rPr>
                <w:rFonts w:ascii="Arial" w:cs="Arial" w:eastAsia="Arial" w:hAnsi="Arial"/>
                <w:sz w:val="20"/>
                <w:szCs w:val="20"/>
                <w:color w:val="auto"/>
                <w:w w:val="89"/>
              </w:rPr>
              <w:t>Corporate and</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42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36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Arial" w:cs="Arial" w:eastAsia="Arial" w:hAnsi="Arial"/>
                <w:sz w:val="20"/>
                <w:szCs w:val="20"/>
                <w:color w:val="auto"/>
              </w:rPr>
              <w:t>DSD</w:t>
            </w:r>
          </w:p>
        </w:tc>
        <w:tc>
          <w:tcPr>
            <w:tcW w:w="260" w:type="dxa"/>
            <w:vAlign w:val="bottom"/>
          </w:tcPr>
          <w:p>
            <w:pPr>
              <w:spacing w:after="0"/>
              <w:rPr>
                <w:sz w:val="21"/>
                <w:szCs w:val="21"/>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20"/>
                <w:szCs w:val="20"/>
                <w:color w:val="auto"/>
                <w:w w:val="87"/>
              </w:rPr>
              <w:t>Warehouse</w:t>
            </w:r>
          </w:p>
        </w:tc>
        <w:tc>
          <w:tcPr>
            <w:tcW w:w="200" w:type="dxa"/>
            <w:vAlign w:val="bottom"/>
          </w:tcPr>
          <w:p>
            <w:pPr>
              <w:spacing w:after="0"/>
              <w:rPr>
                <w:sz w:val="21"/>
                <w:szCs w:val="21"/>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20"/>
                <w:szCs w:val="20"/>
                <w:color w:val="auto"/>
                <w:w w:val="90"/>
              </w:rPr>
              <w:t>Unallocated</w:t>
            </w:r>
          </w:p>
        </w:tc>
        <w:tc>
          <w:tcPr>
            <w:tcW w:w="380" w:type="dxa"/>
            <w:vAlign w:val="bottom"/>
          </w:tcPr>
          <w:p>
            <w:pPr>
              <w:spacing w:after="0"/>
              <w:rPr>
                <w:sz w:val="21"/>
                <w:szCs w:val="21"/>
                <w:color w:val="auto"/>
              </w:rPr>
            </w:pPr>
          </w:p>
        </w:tc>
        <w:tc>
          <w:tcPr>
            <w:tcW w:w="1100" w:type="dxa"/>
            <w:vAlign w:val="bottom"/>
          </w:tcPr>
          <w:p>
            <w:pPr>
              <w:jc w:val="right"/>
              <w:ind w:right="44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420" w:type="dxa"/>
            <w:vAlign w:val="bottom"/>
            <w:vMerge w:val="continue"/>
          </w:tcPr>
          <w:p>
            <w:pPr>
              <w:spacing w:after="0"/>
              <w:rPr>
                <w:sz w:val="17"/>
                <w:szCs w:val="17"/>
                <w:color w:val="auto"/>
              </w:rPr>
            </w:pPr>
          </w:p>
        </w:tc>
        <w:tc>
          <w:tcPr>
            <w:tcW w:w="36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937,901</w:t>
            </w:r>
          </w:p>
        </w:tc>
        <w:tc>
          <w:tcPr>
            <w:tcW w:w="280" w:type="dxa"/>
            <w:vAlign w:val="bottom"/>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2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95,879</w:t>
            </w: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tcPr>
          <w:p>
            <w:pPr>
              <w:jc w:val="right"/>
              <w:ind w:right="201"/>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38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1,033,780</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20"/>
                <w:szCs w:val="20"/>
                <w:color w:val="auto"/>
              </w:rPr>
              <w:t>Contribution margin</w:t>
            </w: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216,104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521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216,625</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20"/>
                <w:szCs w:val="20"/>
                <w:color w:val="auto"/>
              </w:rPr>
              <w:t>Corporate &amp; unallocated expenses</w:t>
            </w:r>
          </w:p>
        </w:tc>
        <w:tc>
          <w:tcPr>
            <w:tcW w:w="360" w:type="dxa"/>
            <w:vAlign w:val="bottom"/>
          </w:tcPr>
          <w:p>
            <w:pPr>
              <w:spacing w:after="0"/>
              <w:rPr>
                <w:sz w:val="19"/>
                <w:szCs w:val="19"/>
                <w:color w:val="auto"/>
              </w:rPr>
            </w:pPr>
          </w:p>
        </w:tc>
        <w:tc>
          <w:tcPr>
            <w:tcW w:w="11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(53,034)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(53,034)</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20"/>
                <w:szCs w:val="20"/>
                <w:color w:val="auto"/>
              </w:rPr>
              <w:t>Operating income</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163,591</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20"/>
                <w:szCs w:val="20"/>
                <w:color w:val="auto"/>
              </w:rPr>
              <w:t>Interest and other income, net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9,930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9,886</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173,477</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1,462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31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1,924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3,417</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0"/>
                <w:szCs w:val="20"/>
                <w:color w:val="auto"/>
              </w:rPr>
            </w:pPr>
            <w:r>
              <w:rPr>
                <w:rFonts w:ascii="Arial" w:cs="Arial" w:eastAsia="Arial" w:hAnsi="Arial"/>
                <w:sz w:val="20"/>
                <w:szCs w:val="20"/>
                <w:color w:val="auto"/>
              </w:rPr>
              <w:t>Trademark amortization</w:t>
            </w:r>
          </w:p>
        </w:tc>
        <w:tc>
          <w:tcPr>
            <w:tcW w:w="360" w:type="dxa"/>
            <w:vAlign w:val="bottom"/>
          </w:tcPr>
          <w:p>
            <w:pPr>
              <w:spacing w:after="0"/>
              <w:rPr>
                <w:sz w:val="21"/>
                <w:szCs w:val="21"/>
                <w:color w:val="auto"/>
              </w:rPr>
            </w:pPr>
          </w:p>
        </w:tc>
        <w:tc>
          <w:tcPr>
            <w:tcW w:w="11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44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11</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455"/>
        </w:trPr>
        <w:tc>
          <w:tcPr>
            <w:tcW w:w="44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ind w:left="160"/>
              <w:spacing w:after="0"/>
              <w:rPr>
                <w:sz w:val="20"/>
                <w:szCs w:val="20"/>
                <w:color w:val="auto"/>
              </w:rPr>
            </w:pPr>
            <w:r>
              <w:rPr>
                <w:rFonts w:ascii="Arial" w:cs="Arial" w:eastAsia="Arial" w:hAnsi="Arial"/>
                <w:sz w:val="20"/>
                <w:szCs w:val="20"/>
                <w:color w:val="auto"/>
              </w:rPr>
              <w:t>Year Ended December 31, 2007</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center"/>
              <w:ind w:right="520"/>
              <w:spacing w:after="0" w:line="207" w:lineRule="exact"/>
              <w:rPr>
                <w:sz w:val="20"/>
                <w:szCs w:val="20"/>
                <w:color w:val="auto"/>
              </w:rPr>
            </w:pPr>
            <w:r>
              <w:rPr>
                <w:rFonts w:ascii="Arial" w:cs="Arial" w:eastAsia="Arial" w:hAnsi="Arial"/>
                <w:sz w:val="20"/>
                <w:szCs w:val="20"/>
                <w:color w:val="auto"/>
                <w:w w:val="89"/>
              </w:rPr>
              <w:t>Corporate and</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4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auto"/>
              </w:rPr>
              <w:t>DSD</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7"/>
              </w:rPr>
              <w:t>Warehouse</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color w:val="auto"/>
                <w:w w:val="90"/>
              </w:rPr>
              <w:t>Unallocated</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bl>
    <w:p>
      <w:pPr>
        <w:sectPr>
          <w:pgSz w:w="11900" w:h="16843" w:orient="portrait"/>
          <w:cols w:equalWidth="0" w:num="1">
            <w:col w:w="11420"/>
          </w:cols>
          <w:pgMar w:left="240" w:top="328" w:right="23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20" w:type="dxa"/>
            <w:vAlign w:val="bottom"/>
          </w:tcPr>
          <w:p>
            <w:pPr>
              <w:spacing w:after="0"/>
              <w:rPr>
                <w:sz w:val="20"/>
                <w:szCs w:val="20"/>
                <w:color w:val="auto"/>
              </w:rPr>
            </w:pPr>
            <w:r>
              <w:rPr>
                <w:rFonts w:ascii="Arial" w:cs="Arial" w:eastAsia="Arial" w:hAnsi="Arial"/>
                <w:sz w:val="20"/>
                <w:szCs w:val="20"/>
                <w:color w:val="auto"/>
              </w:rPr>
              <w:t>Net sales</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61"/>
              <w:spacing w:after="0"/>
              <w:rPr>
                <w:sz w:val="20"/>
                <w:szCs w:val="20"/>
                <w:color w:val="auto"/>
              </w:rPr>
            </w:pPr>
            <w:r>
              <w:rPr>
                <w:rFonts w:ascii="Arial" w:cs="Arial" w:eastAsia="Arial" w:hAnsi="Arial"/>
                <w:sz w:val="20"/>
                <w:szCs w:val="20"/>
                <w:color w:val="auto"/>
              </w:rPr>
              <w:t>809,792</w:t>
            </w:r>
          </w:p>
        </w:tc>
        <w:tc>
          <w:tcPr>
            <w:tcW w:w="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41"/>
              <w:spacing w:after="0"/>
              <w:rPr>
                <w:sz w:val="20"/>
                <w:szCs w:val="20"/>
                <w:color w:val="auto"/>
              </w:rPr>
            </w:pPr>
            <w:r>
              <w:rPr>
                <w:rFonts w:ascii="Arial" w:cs="Arial" w:eastAsia="Arial" w:hAnsi="Arial"/>
                <w:sz w:val="20"/>
                <w:szCs w:val="20"/>
                <w:color w:val="auto"/>
              </w:rPr>
              <w:t>94,673</w:t>
            </w:r>
          </w:p>
        </w:tc>
        <w:tc>
          <w:tcPr>
            <w:tcW w:w="6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58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904,465</w:t>
            </w:r>
          </w:p>
        </w:tc>
      </w:tr>
      <w:tr>
        <w:trPr>
          <w:trHeight w:val="230"/>
        </w:trPr>
        <w:tc>
          <w:tcPr>
            <w:tcW w:w="3920" w:type="dxa"/>
            <w:vAlign w:val="bottom"/>
          </w:tcPr>
          <w:p>
            <w:pPr>
              <w:spacing w:after="0"/>
              <w:rPr>
                <w:sz w:val="20"/>
                <w:szCs w:val="20"/>
                <w:color w:val="auto"/>
              </w:rPr>
            </w:pPr>
            <w:r>
              <w:rPr>
                <w:rFonts w:ascii="Arial" w:cs="Arial" w:eastAsia="Arial" w:hAnsi="Arial"/>
                <w:sz w:val="20"/>
                <w:szCs w:val="20"/>
                <w:color w:val="auto"/>
              </w:rPr>
              <w:t>Contribution margin</w:t>
            </w:r>
          </w:p>
        </w:tc>
        <w:tc>
          <w:tcPr>
            <w:tcW w:w="960" w:type="dxa"/>
            <w:vAlign w:val="bottom"/>
          </w:tcPr>
          <w:p>
            <w:pPr>
              <w:spacing w:after="0"/>
              <w:rPr>
                <w:sz w:val="19"/>
                <w:szCs w:val="19"/>
                <w:color w:val="auto"/>
              </w:rPr>
            </w:pPr>
          </w:p>
        </w:tc>
        <w:tc>
          <w:tcPr>
            <w:tcW w:w="1160" w:type="dxa"/>
            <w:vAlign w:val="bottom"/>
          </w:tcPr>
          <w:p>
            <w:pPr>
              <w:jc w:val="right"/>
              <w:ind w:right="161"/>
              <w:spacing w:after="0"/>
              <w:rPr>
                <w:sz w:val="20"/>
                <w:szCs w:val="20"/>
                <w:color w:val="auto"/>
              </w:rPr>
            </w:pPr>
            <w:r>
              <w:rPr>
                <w:rFonts w:ascii="Arial" w:cs="Arial" w:eastAsia="Arial" w:hAnsi="Arial"/>
                <w:sz w:val="20"/>
                <w:szCs w:val="20"/>
                <w:color w:val="auto"/>
              </w:rPr>
              <w:t>281,635</w:t>
            </w:r>
          </w:p>
        </w:tc>
        <w:tc>
          <w:tcPr>
            <w:tcW w:w="640" w:type="dxa"/>
            <w:vAlign w:val="bottom"/>
          </w:tcPr>
          <w:p>
            <w:pPr>
              <w:spacing w:after="0"/>
              <w:rPr>
                <w:sz w:val="19"/>
                <w:szCs w:val="19"/>
                <w:color w:val="auto"/>
              </w:rPr>
            </w:pPr>
          </w:p>
        </w:tc>
        <w:tc>
          <w:tcPr>
            <w:tcW w:w="1100" w:type="dxa"/>
            <w:vAlign w:val="bottom"/>
          </w:tcPr>
          <w:p>
            <w:pPr>
              <w:jc w:val="right"/>
              <w:ind w:right="141"/>
              <w:spacing w:after="0"/>
              <w:rPr>
                <w:sz w:val="20"/>
                <w:szCs w:val="20"/>
                <w:color w:val="auto"/>
              </w:rPr>
            </w:pPr>
            <w:r>
              <w:rPr>
                <w:rFonts w:ascii="Arial" w:cs="Arial" w:eastAsia="Arial" w:hAnsi="Arial"/>
                <w:sz w:val="20"/>
                <w:szCs w:val="20"/>
                <w:color w:val="auto"/>
              </w:rPr>
              <w:t>3,890</w:t>
            </w:r>
          </w:p>
        </w:tc>
        <w:tc>
          <w:tcPr>
            <w:tcW w:w="660" w:type="dxa"/>
            <w:vAlign w:val="bottom"/>
          </w:tcPr>
          <w:p>
            <w:pPr>
              <w:spacing w:after="0"/>
              <w:rPr>
                <w:sz w:val="19"/>
                <w:szCs w:val="19"/>
                <w:color w:val="auto"/>
              </w:rPr>
            </w:pPr>
          </w:p>
        </w:tc>
        <w:tc>
          <w:tcPr>
            <w:tcW w:w="122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285,525</w:t>
            </w:r>
          </w:p>
        </w:tc>
      </w:tr>
      <w:tr>
        <w:trPr>
          <w:trHeight w:val="230"/>
        </w:trPr>
        <w:tc>
          <w:tcPr>
            <w:tcW w:w="3920" w:type="dxa"/>
            <w:vAlign w:val="bottom"/>
          </w:tcPr>
          <w:p>
            <w:pPr>
              <w:spacing w:after="0"/>
              <w:rPr>
                <w:sz w:val="20"/>
                <w:szCs w:val="20"/>
                <w:color w:val="auto"/>
              </w:rPr>
            </w:pPr>
            <w:r>
              <w:rPr>
                <w:rFonts w:ascii="Arial" w:cs="Arial" w:eastAsia="Arial" w:hAnsi="Arial"/>
                <w:sz w:val="20"/>
                <w:szCs w:val="20"/>
                <w:color w:val="auto"/>
              </w:rPr>
              <w:t>Corporate &amp; unallocated expenses</w:t>
            </w:r>
          </w:p>
        </w:tc>
        <w:tc>
          <w:tcPr>
            <w:tcW w:w="960" w:type="dxa"/>
            <w:vAlign w:val="bottom"/>
          </w:tcPr>
          <w:p>
            <w:pPr>
              <w:spacing w:after="0"/>
              <w:rPr>
                <w:sz w:val="19"/>
                <w:szCs w:val="19"/>
                <w:color w:val="auto"/>
              </w:rPr>
            </w:pPr>
          </w:p>
        </w:tc>
        <w:tc>
          <w:tcPr>
            <w:tcW w:w="1160" w:type="dxa"/>
            <w:vAlign w:val="bottom"/>
          </w:tcPr>
          <w:p>
            <w:pPr>
              <w:ind w:left="640"/>
              <w:spacing w:after="0"/>
              <w:rPr>
                <w:sz w:val="20"/>
                <w:szCs w:val="20"/>
                <w:color w:val="auto"/>
              </w:rPr>
            </w:pPr>
            <w:r>
              <w:rPr>
                <w:rFonts w:ascii="Arial" w:cs="Arial" w:eastAsia="Arial" w:hAnsi="Arial"/>
                <w:sz w:val="20"/>
                <w:szCs w:val="20"/>
                <w:color w:val="auto"/>
              </w:rPr>
              <w:t>-</w:t>
            </w:r>
          </w:p>
        </w:tc>
        <w:tc>
          <w:tcPr>
            <w:tcW w:w="640" w:type="dxa"/>
            <w:vAlign w:val="bottom"/>
          </w:tcPr>
          <w:p>
            <w:pPr>
              <w:spacing w:after="0"/>
              <w:rPr>
                <w:sz w:val="19"/>
                <w:szCs w:val="19"/>
                <w:color w:val="auto"/>
              </w:rPr>
            </w:pPr>
          </w:p>
        </w:tc>
        <w:tc>
          <w:tcPr>
            <w:tcW w:w="110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660" w:type="dxa"/>
            <w:vAlign w:val="bottom"/>
          </w:tcPr>
          <w:p>
            <w:pPr>
              <w:spacing w:after="0"/>
              <w:rPr>
                <w:sz w:val="19"/>
                <w:szCs w:val="19"/>
                <w:color w:val="auto"/>
              </w:rPr>
            </w:pPr>
          </w:p>
        </w:tc>
        <w:tc>
          <w:tcPr>
            <w:tcW w:w="1220" w:type="dxa"/>
            <w:vAlign w:val="bottom"/>
          </w:tcPr>
          <w:p>
            <w:pPr>
              <w:jc w:val="right"/>
              <w:ind w:right="101"/>
              <w:spacing w:after="0"/>
              <w:rPr>
                <w:sz w:val="20"/>
                <w:szCs w:val="20"/>
                <w:color w:val="auto"/>
              </w:rPr>
            </w:pPr>
            <w:r>
              <w:rPr>
                <w:rFonts w:ascii="Arial" w:cs="Arial" w:eastAsia="Arial" w:hAnsi="Arial"/>
                <w:sz w:val="20"/>
                <w:szCs w:val="20"/>
                <w:color w:val="auto"/>
              </w:rPr>
              <w:t>(54,539)</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(54,539)</w:t>
            </w:r>
          </w:p>
        </w:tc>
      </w:tr>
      <w:tr>
        <w:trPr>
          <w:trHeight w:val="230"/>
        </w:trPr>
        <w:tc>
          <w:tcPr>
            <w:tcW w:w="3920" w:type="dxa"/>
            <w:vAlign w:val="bottom"/>
          </w:tcPr>
          <w:p>
            <w:pPr>
              <w:spacing w:after="0"/>
              <w:rPr>
                <w:sz w:val="20"/>
                <w:szCs w:val="20"/>
                <w:color w:val="auto"/>
              </w:rPr>
            </w:pPr>
            <w:r>
              <w:rPr>
                <w:rFonts w:ascii="Arial" w:cs="Arial" w:eastAsia="Arial" w:hAnsi="Arial"/>
                <w:sz w:val="20"/>
                <w:szCs w:val="20"/>
                <w:color w:val="auto"/>
              </w:rPr>
              <w:t>Operating income</w:t>
            </w: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230,986</w:t>
            </w:r>
          </w:p>
        </w:tc>
      </w:tr>
      <w:tr>
        <w:trPr>
          <w:trHeight w:val="230"/>
        </w:trPr>
        <w:tc>
          <w:tcPr>
            <w:tcW w:w="3920" w:type="dxa"/>
            <w:vAlign w:val="bottom"/>
          </w:tcPr>
          <w:p>
            <w:pPr>
              <w:spacing w:after="0"/>
              <w:rPr>
                <w:sz w:val="20"/>
                <w:szCs w:val="20"/>
                <w:color w:val="auto"/>
              </w:rPr>
            </w:pPr>
            <w:r>
              <w:rPr>
                <w:rFonts w:ascii="Arial" w:cs="Arial" w:eastAsia="Arial" w:hAnsi="Arial"/>
                <w:sz w:val="20"/>
                <w:szCs w:val="20"/>
                <w:color w:val="auto"/>
              </w:rPr>
              <w:t>Interest and other income, net</w:t>
            </w:r>
          </w:p>
        </w:tc>
        <w:tc>
          <w:tcPr>
            <w:tcW w:w="960" w:type="dxa"/>
            <w:vAlign w:val="bottom"/>
          </w:tcPr>
          <w:p>
            <w:pPr>
              <w:spacing w:after="0"/>
              <w:rPr>
                <w:sz w:val="19"/>
                <w:szCs w:val="19"/>
                <w:color w:val="auto"/>
              </w:rPr>
            </w:pPr>
          </w:p>
        </w:tc>
        <w:tc>
          <w:tcPr>
            <w:tcW w:w="1160" w:type="dxa"/>
            <w:vAlign w:val="bottom"/>
          </w:tcPr>
          <w:p>
            <w:pPr>
              <w:ind w:left="620"/>
              <w:spacing w:after="0"/>
              <w:rPr>
                <w:sz w:val="20"/>
                <w:szCs w:val="20"/>
                <w:color w:val="auto"/>
              </w:rPr>
            </w:pPr>
            <w:r>
              <w:rPr>
                <w:rFonts w:ascii="Arial" w:cs="Arial" w:eastAsia="Arial" w:hAnsi="Arial"/>
                <w:sz w:val="20"/>
                <w:szCs w:val="20"/>
                <w:color w:val="auto"/>
              </w:rPr>
              <w:t>(30)</w:t>
            </w:r>
          </w:p>
        </w:tc>
        <w:tc>
          <w:tcPr>
            <w:tcW w:w="640" w:type="dxa"/>
            <w:vAlign w:val="bottom"/>
          </w:tcPr>
          <w:p>
            <w:pPr>
              <w:spacing w:after="0"/>
              <w:rPr>
                <w:sz w:val="19"/>
                <w:szCs w:val="19"/>
                <w:color w:val="auto"/>
              </w:rPr>
            </w:pPr>
          </w:p>
        </w:tc>
        <w:tc>
          <w:tcPr>
            <w:tcW w:w="110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660" w:type="dxa"/>
            <w:vAlign w:val="bottom"/>
          </w:tcPr>
          <w:p>
            <w:pPr>
              <w:spacing w:after="0"/>
              <w:rPr>
                <w:sz w:val="19"/>
                <w:szCs w:val="19"/>
                <w:color w:val="auto"/>
              </w:rPr>
            </w:pPr>
          </w:p>
        </w:tc>
        <w:tc>
          <w:tcPr>
            <w:tcW w:w="1220" w:type="dxa"/>
            <w:vAlign w:val="bottom"/>
          </w:tcPr>
          <w:p>
            <w:pPr>
              <w:jc w:val="right"/>
              <w:ind w:right="161"/>
              <w:spacing w:after="0"/>
              <w:rPr>
                <w:sz w:val="20"/>
                <w:szCs w:val="20"/>
                <w:color w:val="auto"/>
              </w:rPr>
            </w:pPr>
            <w:r>
              <w:rPr>
                <w:rFonts w:ascii="Arial" w:cs="Arial" w:eastAsia="Arial" w:hAnsi="Arial"/>
                <w:sz w:val="20"/>
                <w:szCs w:val="20"/>
                <w:color w:val="auto"/>
              </w:rPr>
              <w:t>8,800</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8,770</w:t>
            </w:r>
          </w:p>
        </w:tc>
      </w:tr>
      <w:tr>
        <w:trPr>
          <w:trHeight w:val="230"/>
        </w:trPr>
        <w:tc>
          <w:tcPr>
            <w:tcW w:w="392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239,756</w:t>
            </w:r>
          </w:p>
        </w:tc>
      </w:tr>
      <w:tr>
        <w:trPr>
          <w:trHeight w:val="230"/>
        </w:trPr>
        <w:tc>
          <w:tcPr>
            <w:tcW w:w="392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960" w:type="dxa"/>
            <w:vAlign w:val="bottom"/>
          </w:tcPr>
          <w:p>
            <w:pPr>
              <w:spacing w:after="0"/>
              <w:rPr>
                <w:sz w:val="19"/>
                <w:szCs w:val="19"/>
                <w:color w:val="auto"/>
              </w:rPr>
            </w:pPr>
          </w:p>
        </w:tc>
        <w:tc>
          <w:tcPr>
            <w:tcW w:w="1160" w:type="dxa"/>
            <w:vAlign w:val="bottom"/>
          </w:tcPr>
          <w:p>
            <w:pPr>
              <w:jc w:val="right"/>
              <w:ind w:right="161"/>
              <w:spacing w:after="0"/>
              <w:rPr>
                <w:sz w:val="20"/>
                <w:szCs w:val="20"/>
                <w:color w:val="auto"/>
              </w:rPr>
            </w:pPr>
            <w:r>
              <w:rPr>
                <w:rFonts w:ascii="Arial" w:cs="Arial" w:eastAsia="Arial" w:hAnsi="Arial"/>
                <w:sz w:val="20"/>
                <w:szCs w:val="20"/>
                <w:color w:val="auto"/>
              </w:rPr>
              <w:t>904</w:t>
            </w:r>
          </w:p>
        </w:tc>
        <w:tc>
          <w:tcPr>
            <w:tcW w:w="640" w:type="dxa"/>
            <w:vAlign w:val="bottom"/>
          </w:tcPr>
          <w:p>
            <w:pPr>
              <w:spacing w:after="0"/>
              <w:rPr>
                <w:sz w:val="19"/>
                <w:szCs w:val="19"/>
                <w:color w:val="auto"/>
              </w:rPr>
            </w:pPr>
          </w:p>
        </w:tc>
        <w:tc>
          <w:tcPr>
            <w:tcW w:w="1100" w:type="dxa"/>
            <w:vAlign w:val="bottom"/>
          </w:tcPr>
          <w:p>
            <w:pPr>
              <w:jc w:val="right"/>
              <w:ind w:right="141"/>
              <w:spacing w:after="0"/>
              <w:rPr>
                <w:sz w:val="20"/>
                <w:szCs w:val="20"/>
                <w:color w:val="auto"/>
              </w:rPr>
            </w:pPr>
            <w:r>
              <w:rPr>
                <w:rFonts w:ascii="Arial" w:cs="Arial" w:eastAsia="Arial" w:hAnsi="Arial"/>
                <w:sz w:val="20"/>
                <w:szCs w:val="20"/>
                <w:color w:val="auto"/>
              </w:rPr>
              <w:t>31</w:t>
            </w:r>
          </w:p>
        </w:tc>
        <w:tc>
          <w:tcPr>
            <w:tcW w:w="660" w:type="dxa"/>
            <w:vAlign w:val="bottom"/>
          </w:tcPr>
          <w:p>
            <w:pPr>
              <w:spacing w:after="0"/>
              <w:rPr>
                <w:sz w:val="19"/>
                <w:szCs w:val="19"/>
                <w:color w:val="auto"/>
              </w:rPr>
            </w:pPr>
          </w:p>
        </w:tc>
        <w:tc>
          <w:tcPr>
            <w:tcW w:w="1220" w:type="dxa"/>
            <w:vAlign w:val="bottom"/>
          </w:tcPr>
          <w:p>
            <w:pPr>
              <w:jc w:val="right"/>
              <w:ind w:right="161"/>
              <w:spacing w:after="0"/>
              <w:rPr>
                <w:sz w:val="20"/>
                <w:szCs w:val="20"/>
                <w:color w:val="auto"/>
              </w:rPr>
            </w:pPr>
            <w:r>
              <w:rPr>
                <w:rFonts w:ascii="Arial" w:cs="Arial" w:eastAsia="Arial" w:hAnsi="Arial"/>
                <w:sz w:val="20"/>
                <w:szCs w:val="20"/>
                <w:color w:val="auto"/>
              </w:rPr>
              <w:t>1,193</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2,128</w:t>
            </w:r>
          </w:p>
        </w:tc>
      </w:tr>
      <w:tr>
        <w:trPr>
          <w:trHeight w:val="250"/>
        </w:trPr>
        <w:tc>
          <w:tcPr>
            <w:tcW w:w="3920" w:type="dxa"/>
            <w:vAlign w:val="bottom"/>
          </w:tcPr>
          <w:p>
            <w:pPr>
              <w:spacing w:after="0"/>
              <w:rPr>
                <w:sz w:val="20"/>
                <w:szCs w:val="20"/>
                <w:color w:val="auto"/>
              </w:rPr>
            </w:pPr>
            <w:r>
              <w:rPr>
                <w:rFonts w:ascii="Arial" w:cs="Arial" w:eastAsia="Arial" w:hAnsi="Arial"/>
                <w:sz w:val="20"/>
                <w:szCs w:val="20"/>
                <w:color w:val="auto"/>
              </w:rPr>
              <w:t>Trademark amortization</w:t>
            </w:r>
          </w:p>
        </w:tc>
        <w:tc>
          <w:tcPr>
            <w:tcW w:w="960" w:type="dxa"/>
            <w:vAlign w:val="bottom"/>
          </w:tcPr>
          <w:p>
            <w:pPr>
              <w:spacing w:after="0"/>
              <w:rPr>
                <w:sz w:val="21"/>
                <w:szCs w:val="21"/>
                <w:color w:val="auto"/>
              </w:rPr>
            </w:pPr>
          </w:p>
        </w:tc>
        <w:tc>
          <w:tcPr>
            <w:tcW w:w="1160" w:type="dxa"/>
            <w:vAlign w:val="bottom"/>
          </w:tcPr>
          <w:p>
            <w:pPr>
              <w:ind w:left="640"/>
              <w:spacing w:after="0"/>
              <w:rPr>
                <w:sz w:val="20"/>
                <w:szCs w:val="20"/>
                <w:color w:val="auto"/>
              </w:rPr>
            </w:pPr>
            <w:r>
              <w:rPr>
                <w:rFonts w:ascii="Arial" w:cs="Arial" w:eastAsia="Arial" w:hAnsi="Arial"/>
                <w:sz w:val="20"/>
                <w:szCs w:val="20"/>
                <w:color w:val="auto"/>
              </w:rPr>
              <w:t>-</w:t>
            </w:r>
          </w:p>
        </w:tc>
        <w:tc>
          <w:tcPr>
            <w:tcW w:w="640" w:type="dxa"/>
            <w:vAlign w:val="bottom"/>
          </w:tcPr>
          <w:p>
            <w:pPr>
              <w:spacing w:after="0"/>
              <w:rPr>
                <w:sz w:val="21"/>
                <w:szCs w:val="21"/>
                <w:color w:val="auto"/>
              </w:rPr>
            </w:pPr>
          </w:p>
        </w:tc>
        <w:tc>
          <w:tcPr>
            <w:tcW w:w="1100" w:type="dxa"/>
            <w:vAlign w:val="bottom"/>
          </w:tcPr>
          <w:p>
            <w:pPr>
              <w:jc w:val="right"/>
              <w:ind w:right="141"/>
              <w:spacing w:after="0"/>
              <w:rPr>
                <w:sz w:val="20"/>
                <w:szCs w:val="20"/>
                <w:color w:val="auto"/>
              </w:rPr>
            </w:pPr>
            <w:r>
              <w:rPr>
                <w:rFonts w:ascii="Arial" w:cs="Arial" w:eastAsia="Arial" w:hAnsi="Arial"/>
                <w:sz w:val="20"/>
                <w:szCs w:val="20"/>
                <w:color w:val="auto"/>
              </w:rPr>
              <w:t>44</w:t>
            </w:r>
          </w:p>
        </w:tc>
        <w:tc>
          <w:tcPr>
            <w:tcW w:w="660" w:type="dxa"/>
            <w:vAlign w:val="bottom"/>
          </w:tcPr>
          <w:p>
            <w:pPr>
              <w:spacing w:after="0"/>
              <w:rPr>
                <w:sz w:val="21"/>
                <w:szCs w:val="21"/>
                <w:color w:val="auto"/>
              </w:rPr>
            </w:pPr>
          </w:p>
        </w:tc>
        <w:tc>
          <w:tcPr>
            <w:tcW w:w="1220" w:type="dxa"/>
            <w:vAlign w:val="bottom"/>
          </w:tcPr>
          <w:p>
            <w:pPr>
              <w:jc w:val="right"/>
              <w:ind w:right="161"/>
              <w:spacing w:after="0"/>
              <w:rPr>
                <w:sz w:val="20"/>
                <w:szCs w:val="20"/>
                <w:color w:val="auto"/>
              </w:rPr>
            </w:pPr>
            <w:r>
              <w:rPr>
                <w:rFonts w:ascii="Arial" w:cs="Arial" w:eastAsia="Arial" w:hAnsi="Arial"/>
                <w:sz w:val="20"/>
                <w:szCs w:val="20"/>
                <w:color w:val="auto"/>
              </w:rPr>
              <w:t>12</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56</w:t>
            </w:r>
          </w:p>
        </w:tc>
      </w:tr>
    </w:tbl>
    <w:p>
      <w:pPr>
        <w:spacing w:after="0" w:line="20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Revenue is derived from sales to external customers. Operating expenses that pertain to each segment are allocated to the appropriate segment.</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Corporate and unallocated expenses were $58.0 million for year ended December 31, 2009 and included $38.0 million of payroll costs, of which $14.0 million was attributable to stock-based compensation expense (see Note 12, “Stock-Based Compensation”), and $7.9 million was attributable to professional service expenses, including accounting and legal costs. Corporate and unallocated expenses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were $53.0 million for year ended December 31, 2008 and included $33.5 million of payroll costs, of which $13.9 million was attributable to stock-based compensation expense (see Note 12, “Stock-Based Compensation”), and $10.2 million was attributable to professional service expenses, including accounting and legal costs. Corporate and unallocated expenses were $54.5 million for year ended December 31, 2007 and included $29.1 million of payroll costs, of which $10.2 million was attributable to stock-based compensation expense (see Note 12, “Stock-Based Compensation”), and $16.6 million was attributable to professional service expenses, including accounting and legal costs.</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One customer made up approximately 27% of the Company’s net sales for the year ended December 31, 2009. Two customers made up approximately 13% and 11%, respectively, of the Company’s net sales for the year ended December 31, 2008.</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Net sales to customers outside the United States amounted to $135.7 million, $78.6 and $49.1 million for the years ended December 31, 2009, 2008 and 2007, respectively. Such sales were approximately 11.9%, 7.6% and 5.4% of net sales for the years ended December 31, 2009, 2008 and 2007, respectively.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Company’s net sales by product line for years ended December 31, 2009, 2008 and 2007, respectively,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60" w:type="dxa"/>
            <w:vAlign w:val="bottom"/>
          </w:tcPr>
          <w:p>
            <w:pPr>
              <w:spacing w:after="0"/>
              <w:rPr>
                <w:sz w:val="21"/>
                <w:szCs w:val="21"/>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Product Line</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2009</w:t>
            </w:r>
          </w:p>
        </w:tc>
        <w:tc>
          <w:tcPr>
            <w:tcW w:w="2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2008</w:t>
            </w:r>
          </w:p>
        </w:tc>
        <w:tc>
          <w:tcPr>
            <w:tcW w:w="2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2007</w:t>
            </w: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4760" w:type="dxa"/>
            <w:vAlign w:val="bottom"/>
          </w:tcPr>
          <w:p>
            <w:pPr>
              <w:spacing w:after="0" w:line="207" w:lineRule="exact"/>
              <w:rPr>
                <w:sz w:val="20"/>
                <w:szCs w:val="20"/>
                <w:color w:val="auto"/>
              </w:rPr>
            </w:pPr>
            <w:r>
              <w:rPr>
                <w:rFonts w:ascii="Arial" w:cs="Arial" w:eastAsia="Arial" w:hAnsi="Arial"/>
                <w:sz w:val="20"/>
                <w:szCs w:val="20"/>
                <w:color w:val="auto"/>
              </w:rPr>
              <w:t>Energy drinks</w:t>
            </w: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1,038,572</w:t>
            </w:r>
          </w:p>
        </w:tc>
        <w:tc>
          <w:tcPr>
            <w:tcW w:w="280" w:type="dxa"/>
            <w:vAlign w:val="bottom"/>
          </w:tcPr>
          <w:p>
            <w:pPr>
              <w:spacing w:after="0"/>
              <w:rPr>
                <w:sz w:val="17"/>
                <w:szCs w:val="17"/>
                <w:color w:val="auto"/>
              </w:rPr>
            </w:pP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925,398</w:t>
            </w:r>
          </w:p>
        </w:tc>
        <w:tc>
          <w:tcPr>
            <w:tcW w:w="280" w:type="dxa"/>
            <w:vAlign w:val="bottom"/>
          </w:tcPr>
          <w:p>
            <w:pPr>
              <w:spacing w:after="0"/>
              <w:rPr>
                <w:sz w:val="17"/>
                <w:szCs w:val="17"/>
                <w:color w:val="auto"/>
              </w:rPr>
            </w:pP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line="207" w:lineRule="exact"/>
              <w:rPr>
                <w:sz w:val="20"/>
                <w:szCs w:val="20"/>
                <w:color w:val="auto"/>
              </w:rPr>
            </w:pPr>
            <w:r>
              <w:rPr>
                <w:rFonts w:ascii="Arial" w:cs="Arial" w:eastAsia="Arial" w:hAnsi="Arial"/>
                <w:sz w:val="20"/>
                <w:szCs w:val="20"/>
                <w:color w:val="auto"/>
              </w:rPr>
              <w:t>811,609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20"/>
                <w:szCs w:val="20"/>
                <w:color w:val="auto"/>
              </w:rPr>
              <w:t>Non-carbonated (primarily juice based beverages)</w:t>
            </w: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59,207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65,713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62,269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20"/>
                <w:szCs w:val="20"/>
                <w:color w:val="auto"/>
              </w:rPr>
              <w:t>Carbonated (primarily soda beverages)</w:t>
            </w: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32,538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28,338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28,671</w:t>
            </w:r>
          </w:p>
        </w:tc>
        <w:tc>
          <w:tcPr>
            <w:tcW w:w="0" w:type="dxa"/>
            <w:vAlign w:val="bottom"/>
          </w:tcPr>
          <w:p>
            <w:pPr>
              <w:spacing w:after="0"/>
              <w:rPr>
                <w:sz w:val="1"/>
                <w:szCs w:val="1"/>
                <w:color w:val="auto"/>
              </w:rPr>
            </w:pPr>
          </w:p>
        </w:tc>
      </w:tr>
      <w:tr>
        <w:trPr>
          <w:trHeight w:val="246"/>
        </w:trPr>
        <w:tc>
          <w:tcPr>
            <w:tcW w:w="66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20"/>
                <w:szCs w:val="20"/>
                <w:color w:val="auto"/>
              </w:rPr>
              <w:t>Other</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12,982</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14,331</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1,916</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1,143,299</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1,033,780</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904,465</w:t>
            </w:r>
          </w:p>
        </w:tc>
        <w:tc>
          <w:tcPr>
            <w:tcW w:w="0" w:type="dxa"/>
            <w:vAlign w:val="bottom"/>
          </w:tcPr>
          <w:p>
            <w:pPr>
              <w:spacing w:after="0"/>
              <w:rPr>
                <w:sz w:val="1"/>
                <w:szCs w:val="1"/>
                <w:color w:val="auto"/>
              </w:rPr>
            </w:pPr>
          </w:p>
        </w:tc>
      </w:tr>
      <w:tr>
        <w:trPr>
          <w:trHeight w:val="20"/>
        </w:trPr>
        <w:tc>
          <w:tcPr>
            <w:tcW w:w="660" w:type="dxa"/>
            <w:vAlign w:val="bottom"/>
            <w:vMerge w:val="restart"/>
          </w:tcPr>
          <w:p>
            <w:pPr>
              <w:jc w:val="right"/>
              <w:ind w:right="301"/>
              <w:spacing w:after="0"/>
              <w:rPr>
                <w:sz w:val="20"/>
                <w:szCs w:val="20"/>
                <w:color w:val="auto"/>
              </w:rPr>
            </w:pPr>
            <w:r>
              <w:rPr>
                <w:rFonts w:ascii="Arial" w:cs="Arial" w:eastAsia="Arial" w:hAnsi="Arial"/>
                <w:sz w:val="20"/>
                <w:szCs w:val="20"/>
                <w:color w:val="auto"/>
                <w:w w:val="86"/>
              </w:rPr>
              <w:t>17.</w:t>
            </w:r>
          </w:p>
        </w:tc>
        <w:tc>
          <w:tcPr>
            <w:tcW w:w="4760" w:type="dxa"/>
            <w:vAlign w:val="bottom"/>
            <w:vMerge w:val="restart"/>
          </w:tcPr>
          <w:p>
            <w:pPr>
              <w:spacing w:after="0"/>
              <w:rPr>
                <w:sz w:val="20"/>
                <w:szCs w:val="20"/>
                <w:color w:val="auto"/>
              </w:rPr>
            </w:pPr>
            <w:r>
              <w:rPr>
                <w:rFonts w:ascii="Arial" w:cs="Arial" w:eastAsia="Arial" w:hAnsi="Arial"/>
                <w:sz w:val="20"/>
                <w:szCs w:val="20"/>
                <w:color w:val="auto"/>
              </w:rPr>
              <w:t>DISTRIBUTION AGREEMENTS</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60" w:type="dxa"/>
            <w:vAlign w:val="bottom"/>
            <w:vMerge w:val="continue"/>
          </w:tcPr>
          <w:p>
            <w:pPr>
              <w:spacing w:after="0"/>
              <w:rPr>
                <w:sz w:val="24"/>
                <w:szCs w:val="24"/>
                <w:color w:val="auto"/>
              </w:rPr>
            </w:pPr>
          </w:p>
        </w:tc>
        <w:tc>
          <w:tcPr>
            <w:tcW w:w="47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During the second quarter of 2006, the Company entered into a distribution agreement with Cadbury Bebidas, S.A. de C.V. (“Cadbury Bebidas”), for exclusive distribution by Cadbury Bebidas throughout Mexico, excluding Baja California, of the Company’s Monster Energy® and Lost® Energy</w:t>
      </w:r>
      <w:r>
        <w:rPr>
          <w:rFonts w:ascii="Arial" w:cs="Arial" w:eastAsia="Arial" w:hAnsi="Arial"/>
          <w:sz w:val="12"/>
          <w:szCs w:val="12"/>
          <w:color w:val="auto"/>
        </w:rPr>
        <w:t>TM</w:t>
      </w:r>
      <w:r>
        <w:rPr>
          <w:rFonts w:ascii="Arial" w:cs="Arial" w:eastAsia="Arial" w:hAnsi="Arial"/>
          <w:sz w:val="20"/>
          <w:szCs w:val="20"/>
          <w:color w:val="auto"/>
        </w:rPr>
        <w:t xml:space="preserve"> energy products. In December 2008, this distributor was notified of the termination of its distribution agreement on January 25, 2009.</w:t>
      </w:r>
    </w:p>
    <w:p>
      <w:pPr>
        <w:spacing w:after="0" w:line="20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During the second quarter of 2006, the Company entered into the Monster Beverages Off-Premise Distribution Coordination Agreement and the Allied Products Distribution Coordination Agreement (jointly, the “Off-Premise Agreements”) with Anheuser-Busch, Inc., a Missouri corporation (“AB”). Under the Off-Premise Agreements, select Anheuser-Busch distributors (the “AB Distributors”) distribute and sell, in markets designated by the Company, the Company’s Monster Energy® and Lost® Energy</w:t>
      </w:r>
      <w:r>
        <w:rPr>
          <w:rFonts w:ascii="Arial" w:cs="Arial" w:eastAsia="Arial" w:hAnsi="Arial"/>
          <w:sz w:val="11"/>
          <w:szCs w:val="11"/>
          <w:color w:val="auto"/>
        </w:rPr>
        <w:t>TM</w:t>
      </w:r>
      <w:r>
        <w:rPr>
          <w:rFonts w:ascii="Arial" w:cs="Arial" w:eastAsia="Arial" w:hAnsi="Arial"/>
          <w:sz w:val="18"/>
          <w:szCs w:val="18"/>
          <w:color w:val="auto"/>
        </w:rPr>
        <w:t xml:space="preserve"> brands non-alcoholic energy drinks and Rumba®, Samba and Tango brand energy juices, as well as additional products that may be agreed between the parties.</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During the first quarter of 2007, the Company entered into the On-Premise Distribution Coordination Agreement (the “On-Premise Agreement”) with AB. Under the On-Premise Agreement, AB manages and coordinates the sale, distribution and merchandising of Monster Energy® energy drinks to on-premise retailers including bars, nightclubs and restaurants in territories approved by the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bookmarkStart w:id="68" w:name="page69"/>
    <w:bookmarkEnd w:id="68"/>
    <w:p>
      <w:pPr>
        <w:jc w:val="both"/>
        <w:ind w:firstLine="648"/>
        <w:spacing w:after="0" w:line="291" w:lineRule="auto"/>
        <w:rPr>
          <w:sz w:val="20"/>
          <w:szCs w:val="20"/>
          <w:color w:val="auto"/>
        </w:rPr>
      </w:pPr>
      <w:r>
        <w:rPr>
          <w:rFonts w:ascii="Arial" w:cs="Arial" w:eastAsia="Arial" w:hAnsi="Arial"/>
          <w:sz w:val="18"/>
          <w:szCs w:val="18"/>
          <w:color w:val="auto"/>
        </w:rPr>
        <w:t>During the first quarter of 2007, the Company entered into a distribution agreement with Pepsi-QTG Canada, a division of PepsiCo Canada, ULC (“Pepsi Canada”), for the exclusive distribution by Pepsi Canada throughout Canada of the Company’s Monster Energy®, Lost® Energy</w:t>
      </w:r>
      <w:r>
        <w:rPr>
          <w:rFonts w:ascii="Arial" w:cs="Arial" w:eastAsia="Arial" w:hAnsi="Arial"/>
          <w:sz w:val="11"/>
          <w:szCs w:val="11"/>
          <w:color w:val="auto"/>
        </w:rPr>
        <w:t>TM</w:t>
      </w:r>
      <w:r>
        <w:rPr>
          <w:rFonts w:ascii="Arial" w:cs="Arial" w:eastAsia="Arial" w:hAnsi="Arial"/>
          <w:sz w:val="18"/>
          <w:szCs w:val="18"/>
          <w:color w:val="auto"/>
        </w:rPr>
        <w:t xml:space="preserve"> and Hansen’s® energy products. This agreement was terminated by the Company effective December 31, 2008.</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During the fourth quarter of 2008, the Company entered into the Monster Energy Distribution Coordination Agreement (the “TCCC North American Coordination Agreement”) with The Coca-Cola Company (“TCCC”). Pursuant to the TCCC North American Coordination Agreement, the Company has designated, and in the future may designate, territories in which bottlers from TCCC’s network of partially owned and independent bottlers, including the TCCC North American Bottlers, will distribute and sell primarily its Monster Energy® beverages (the “Products”) in the United States and Canada.</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During the fourth quarter of 2008, the Company entered into the Monster Energy Distribution Agreement with CCE pursuant to which CCE was appointed to distribute, directly and through certain sub-distributors, the Products in portions of twenty-four U.S. states (the “U.S. Territories”). The Company may designate additional territories within reasonable proximity to the U.S. Territories and CCE will use reasonable good faith efforts to add the additional territories. During the fourth quarter of 2008, the Company entered into the Monster Energy Canadian Distribution Agreement with the CCBC, pursuant to which CCBC has been appointed to distribute, directly and through certain sub-distributors, the Products in Canada, with performance commencing on January 1, 2009. In addition, during the fourth quarter of 2008, the Company entered into distribution agreements with Consolidated, United and other TCCC North American Bottlers for the distribution of Products in various territories within the U.S.</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During the fourth quarter of 2008, the Company entered into the Monster Energy International Coordination Agreement (the “TCCC International Coordination Agreement”) with TCCC. Pursuant to the TCCC International Coordination Agreement, the Company has designated, and in the future may designate, countries in which the Company wishes to appoint TCCC distributors to distribute and sell the Products.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the fourth quarter of 2008, the Company entered into the Monster Energy International Distribution Agreement and the Monster Energy Belgium Distribution Agreement with CCE pursuant to which CCE has been appointed to distribute directly and through certain sub-distributors the Products in Great Britain, France, Belgium, the Netherlands, Luxembourg and Monaco.</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During the fourth quarter of 2008, the Company entered into a distribution agreement with Comercializadora Eloro, S.A., a subsidiary of Grupo Jumex for exclusive distribution throughout Mexico, excluding the Baja and Senora regions, for distribution of its Monster Energy® and Monster Energy® Khaos</w:t>
      </w:r>
      <w:r>
        <w:rPr>
          <w:rFonts w:ascii="Arial" w:cs="Arial" w:eastAsia="Arial" w:hAnsi="Arial"/>
          <w:sz w:val="12"/>
          <w:szCs w:val="12"/>
          <w:color w:val="auto"/>
        </w:rPr>
        <w:t>TM</w:t>
      </w:r>
      <w:r>
        <w:rPr>
          <w:rFonts w:ascii="Arial" w:cs="Arial" w:eastAsia="Arial" w:hAnsi="Arial"/>
          <w:sz w:val="20"/>
          <w:szCs w:val="20"/>
          <w:color w:val="auto"/>
        </w:rPr>
        <w:t xml:space="preserve"> energy drinks as well as select Java Monster</w:t>
      </w:r>
      <w:r>
        <w:rPr>
          <w:rFonts w:ascii="Arial" w:cs="Arial" w:eastAsia="Arial" w:hAnsi="Arial"/>
          <w:sz w:val="12"/>
          <w:szCs w:val="12"/>
          <w:color w:val="auto"/>
        </w:rPr>
        <w:t>TM</w:t>
      </w:r>
      <w:r>
        <w:rPr>
          <w:rFonts w:ascii="Arial" w:cs="Arial" w:eastAsia="Arial" w:hAnsi="Arial"/>
          <w:sz w:val="20"/>
          <w:szCs w:val="20"/>
          <w:color w:val="auto"/>
        </w:rPr>
        <w:t xml:space="preserve"> non-carbonated dairy based coffee drinks. Distribution under this agreement commenced January 26, 2009.</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the second quarter of 2009, the Company entered into a distribution agreement with Schweppes Australia Pty Ltd. for exclusive distribution throughout Australia of certain of the Company’s Monster Energy® energy drinks. Distribution under this agreement commenced in July 2009.</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Pursuant to the new and/or amended distribution agreements entered into with certain distributors as discussed above, net amounts of $5.7 million, $113.0 million and $21.0 million from such distributors, relating to the costs of terminating the Company’s prior distributors, were recorded for the years ended December 31, 2009, 2008 and 2007, respectively. Such amounts have been accounted for as deferred revenue in the accompanying consolidated balance sheets (with the current portion of $7.4 million included in accrued liabilities as of December 31, 2009) and will be recognized as revenue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ratably over the anticipated life of the respective distribution agreements, generally 20 years. Distributor receivables related to these new and/or amended distributor agreements totaled $5.2 million and $90.7 million as of December 31, 2009 and 2008, respectively. Revenue recognized was $7.5 million, $14.3 million and $1.9 million for the years ended December 31, 2009, 2008 and 2007, respectively. Included in the $14.3 million of revenue recognized for the year ended December 31, 2008, was $11.6 million related to the acceleration of deferred revenue balances associated with certain of the Company’s prior distributors who were terminated in the fourth quarter of 2008.</w:t>
      </w:r>
    </w:p>
    <w:p>
      <w:pPr>
        <w:spacing w:after="0" w:line="1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Company incurred termination costs to certain of its prior distributors amounting to $1.9 million, $118.1 million and $15.3 million in aggregate for the years ended December 31, 2009, 2008 and 2007, respectively. Such termination costs have been expensed in full and are included in operating expenses for the years ended December 31, 2009, 2008 and 2007. Accrued distributor terminations in the accompanying consolidated balance sheets as of December 31, 2009 and 2008 were $3.0 million and $102.3 million, respectively.</w:t>
      </w:r>
    </w:p>
    <w:p>
      <w:pPr>
        <w:spacing w:after="0" w:line="175"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QUARTERLY FINANCIAL DATA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jc w:val="right"/>
              <w:ind w:right="181"/>
              <w:spacing w:after="0"/>
              <w:rPr>
                <w:sz w:val="20"/>
                <w:szCs w:val="20"/>
                <w:color w:val="auto"/>
              </w:rPr>
            </w:pPr>
            <w:r>
              <w:rPr>
                <w:rFonts w:ascii="Arial" w:cs="Arial" w:eastAsia="Arial" w:hAnsi="Arial"/>
                <w:sz w:val="20"/>
                <w:szCs w:val="20"/>
                <w:color w:val="auto"/>
                <w:w w:val="91"/>
              </w:rPr>
              <w:t>Net Income per Common</w:t>
            </w: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480" w:type="dxa"/>
            <w:vAlign w:val="bottom"/>
            <w:gridSpan w:val="3"/>
            <w:vMerge w:val="restart"/>
          </w:tcPr>
          <w:p>
            <w:pPr>
              <w:ind w:left="220"/>
              <w:spacing w:after="0"/>
              <w:rPr>
                <w:sz w:val="20"/>
                <w:szCs w:val="20"/>
                <w:color w:val="auto"/>
              </w:rPr>
            </w:pPr>
            <w:r>
              <w:rPr>
                <w:rFonts w:ascii="Arial" w:cs="Arial" w:eastAsia="Arial" w:hAnsi="Arial"/>
                <w:sz w:val="20"/>
                <w:szCs w:val="20"/>
                <w:color w:val="auto"/>
              </w:rPr>
              <w:t>Net Sales</w:t>
            </w:r>
          </w:p>
        </w:tc>
        <w:tc>
          <w:tcPr>
            <w:tcW w:w="1520" w:type="dxa"/>
            <w:vAlign w:val="bottom"/>
            <w:gridSpan w:val="3"/>
            <w:vMerge w:val="restart"/>
          </w:tcPr>
          <w:p>
            <w:pPr>
              <w:ind w:left="140"/>
              <w:spacing w:after="0"/>
              <w:rPr>
                <w:sz w:val="20"/>
                <w:szCs w:val="20"/>
                <w:color w:val="auto"/>
              </w:rPr>
            </w:pPr>
            <w:r>
              <w:rPr>
                <w:rFonts w:ascii="Arial" w:cs="Arial" w:eastAsia="Arial" w:hAnsi="Arial"/>
                <w:sz w:val="20"/>
                <w:szCs w:val="20"/>
                <w:color w:val="auto"/>
              </w:rPr>
              <w:t>Gross Profit</w:t>
            </w:r>
          </w:p>
        </w:tc>
        <w:tc>
          <w:tcPr>
            <w:tcW w:w="160" w:type="dxa"/>
            <w:vAlign w:val="bottom"/>
          </w:tcPr>
          <w:p>
            <w:pPr>
              <w:spacing w:after="0"/>
              <w:rPr>
                <w:sz w:val="21"/>
                <w:szCs w:val="21"/>
                <w:color w:val="auto"/>
              </w:rPr>
            </w:pPr>
          </w:p>
        </w:tc>
        <w:tc>
          <w:tcPr>
            <w:tcW w:w="1380" w:type="dxa"/>
            <w:vAlign w:val="bottom"/>
            <w:gridSpan w:val="2"/>
            <w:vMerge w:val="restart"/>
          </w:tcPr>
          <w:p>
            <w:pPr>
              <w:spacing w:after="0"/>
              <w:rPr>
                <w:sz w:val="20"/>
                <w:szCs w:val="20"/>
                <w:color w:val="auto"/>
              </w:rPr>
            </w:pPr>
            <w:r>
              <w:rPr>
                <w:rFonts w:ascii="Arial" w:cs="Arial" w:eastAsia="Arial" w:hAnsi="Arial"/>
                <w:sz w:val="20"/>
                <w:szCs w:val="20"/>
                <w:color w:val="auto"/>
              </w:rPr>
              <w:t>Net Income</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0"/>
                <w:szCs w:val="20"/>
                <w:color w:val="auto"/>
                <w:w w:val="82"/>
              </w:rPr>
              <w:t>Share</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80" w:type="dxa"/>
            <w:vAlign w:val="bottom"/>
            <w:vMerge w:val="restart"/>
          </w:tcPr>
          <w:p>
            <w:pPr>
              <w:spacing w:after="0"/>
              <w:rPr>
                <w:sz w:val="20"/>
                <w:szCs w:val="20"/>
                <w:color w:val="auto"/>
              </w:rPr>
            </w:pPr>
            <w:r>
              <w:rPr>
                <w:rFonts w:ascii="Arial" w:cs="Arial" w:eastAsia="Arial" w:hAnsi="Arial"/>
                <w:sz w:val="20"/>
                <w:szCs w:val="20"/>
                <w:color w:val="auto"/>
              </w:rPr>
              <w:t>Quarter ended:</w:t>
            </w:r>
          </w:p>
        </w:tc>
        <w:tc>
          <w:tcPr>
            <w:tcW w:w="1480" w:type="dxa"/>
            <w:vAlign w:val="bottom"/>
            <w:gridSpan w:val="3"/>
            <w:vMerge w:val="continue"/>
          </w:tcPr>
          <w:p>
            <w:pPr>
              <w:spacing w:after="0"/>
              <w:rPr>
                <w:sz w:val="19"/>
                <w:szCs w:val="19"/>
                <w:color w:val="auto"/>
              </w:rPr>
            </w:pPr>
          </w:p>
        </w:tc>
        <w:tc>
          <w:tcPr>
            <w:tcW w:w="152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161"/>
              <w:spacing w:after="0" w:line="223" w:lineRule="exact"/>
              <w:rPr>
                <w:sz w:val="20"/>
                <w:szCs w:val="20"/>
                <w:color w:val="auto"/>
              </w:rPr>
            </w:pPr>
            <w:r>
              <w:rPr>
                <w:rFonts w:ascii="Arial" w:cs="Arial" w:eastAsia="Arial" w:hAnsi="Arial"/>
                <w:sz w:val="20"/>
                <w:szCs w:val="20"/>
                <w:color w:val="auto"/>
              </w:rPr>
              <w:t>Basic</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61"/>
              <w:spacing w:after="0" w:line="223" w:lineRule="exact"/>
              <w:rPr>
                <w:sz w:val="20"/>
                <w:szCs w:val="20"/>
                <w:color w:val="auto"/>
              </w:rPr>
            </w:pPr>
            <w:r>
              <w:rPr>
                <w:rFonts w:ascii="Arial" w:cs="Arial" w:eastAsia="Arial" w:hAnsi="Arial"/>
                <w:sz w:val="20"/>
                <w:szCs w:val="20"/>
                <w:color w:val="auto"/>
              </w:rPr>
              <w:t>Diluted</w:t>
            </w:r>
          </w:p>
        </w:tc>
        <w:tc>
          <w:tcPr>
            <w:tcW w:w="0" w:type="dxa"/>
            <w:vAlign w:val="bottom"/>
          </w:tcPr>
          <w:p>
            <w:pPr>
              <w:spacing w:after="0"/>
              <w:rPr>
                <w:sz w:val="1"/>
                <w:szCs w:val="1"/>
                <w:color w:val="auto"/>
              </w:rPr>
            </w:pPr>
          </w:p>
        </w:tc>
      </w:tr>
      <w:tr>
        <w:trPr>
          <w:trHeight w:val="193"/>
        </w:trPr>
        <w:tc>
          <w:tcPr>
            <w:tcW w:w="4180" w:type="dxa"/>
            <w:vAlign w:val="bottom"/>
            <w:vMerge w:val="continue"/>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360"/>
              <w:spacing w:after="0"/>
              <w:rPr>
                <w:sz w:val="20"/>
                <w:szCs w:val="20"/>
                <w:color w:val="auto"/>
              </w:rPr>
            </w:pPr>
            <w:r>
              <w:rPr>
                <w:rFonts w:ascii="Arial" w:cs="Arial" w:eastAsia="Arial" w:hAnsi="Arial"/>
                <w:sz w:val="20"/>
                <w:szCs w:val="20"/>
                <w:color w:val="auto"/>
              </w:rPr>
              <w:t>March 31, 2009</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
              <w:spacing w:after="0"/>
              <w:rPr>
                <w:sz w:val="20"/>
                <w:szCs w:val="20"/>
                <w:color w:val="auto"/>
              </w:rPr>
            </w:pPr>
            <w:r>
              <w:rPr>
                <w:rFonts w:ascii="Arial" w:cs="Arial" w:eastAsia="Arial" w:hAnsi="Arial"/>
                <w:sz w:val="20"/>
                <w:szCs w:val="20"/>
                <w:color w:val="auto"/>
                <w:w w:val="91"/>
              </w:rPr>
              <w:t>244,206</w:t>
            </w:r>
          </w:p>
        </w:tc>
        <w:tc>
          <w:tcPr>
            <w:tcW w:w="300" w:type="dxa"/>
            <w:vAlign w:val="bottom"/>
          </w:tcPr>
          <w:p>
            <w:pPr>
              <w:spacing w:after="0"/>
              <w:rPr>
                <w:sz w:val="19"/>
                <w:szCs w:val="19"/>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130,179</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41,566</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0.46</w:t>
            </w:r>
          </w:p>
        </w:tc>
        <w:tc>
          <w:tcPr>
            <w:tcW w:w="580" w:type="dxa"/>
            <w:vAlign w:val="bottom"/>
            <w:gridSpan w:val="3"/>
          </w:tcPr>
          <w:p>
            <w:pPr>
              <w:jc w:val="right"/>
              <w:ind w:right="6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0.44</w:t>
            </w:r>
          </w:p>
        </w:tc>
        <w:tc>
          <w:tcPr>
            <w:tcW w:w="0" w:type="dxa"/>
            <w:vAlign w:val="bottom"/>
          </w:tcPr>
          <w:p>
            <w:pPr>
              <w:spacing w:after="0"/>
              <w:rPr>
                <w:sz w:val="1"/>
                <w:szCs w:val="1"/>
                <w:color w:val="auto"/>
              </w:rPr>
            </w:pPr>
          </w:p>
        </w:tc>
      </w:tr>
      <w:tr>
        <w:trPr>
          <w:trHeight w:val="250"/>
        </w:trPr>
        <w:tc>
          <w:tcPr>
            <w:tcW w:w="4180" w:type="dxa"/>
            <w:vAlign w:val="bottom"/>
          </w:tcPr>
          <w:p>
            <w:pPr>
              <w:ind w:left="360"/>
              <w:spacing w:after="0"/>
              <w:rPr>
                <w:sz w:val="20"/>
                <w:szCs w:val="20"/>
                <w:color w:val="auto"/>
              </w:rPr>
            </w:pPr>
            <w:r>
              <w:rPr>
                <w:rFonts w:ascii="Arial" w:cs="Arial" w:eastAsia="Arial" w:hAnsi="Arial"/>
                <w:sz w:val="20"/>
                <w:szCs w:val="20"/>
                <w:color w:val="auto"/>
              </w:rPr>
              <w:t>June 30, 2009</w:t>
            </w:r>
          </w:p>
        </w:tc>
        <w:tc>
          <w:tcPr>
            <w:tcW w:w="400" w:type="dxa"/>
            <w:vAlign w:val="bottom"/>
          </w:tcPr>
          <w:p>
            <w:pPr>
              <w:spacing w:after="0"/>
              <w:rPr>
                <w:sz w:val="21"/>
                <w:szCs w:val="21"/>
                <w:color w:val="auto"/>
              </w:rPr>
            </w:pPr>
          </w:p>
        </w:tc>
        <w:tc>
          <w:tcPr>
            <w:tcW w:w="780" w:type="dxa"/>
            <w:vAlign w:val="bottom"/>
          </w:tcPr>
          <w:p>
            <w:pPr>
              <w:jc w:val="right"/>
              <w:ind w:right="1"/>
              <w:spacing w:after="0"/>
              <w:rPr>
                <w:sz w:val="20"/>
                <w:szCs w:val="20"/>
                <w:color w:val="auto"/>
              </w:rPr>
            </w:pPr>
            <w:r>
              <w:rPr>
                <w:rFonts w:ascii="Arial" w:cs="Arial" w:eastAsia="Arial" w:hAnsi="Arial"/>
                <w:sz w:val="20"/>
                <w:szCs w:val="20"/>
                <w:color w:val="auto"/>
                <w:w w:val="91"/>
              </w:rPr>
              <w:t>300,250</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161,829</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57,289</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0.63</w:t>
            </w:r>
          </w:p>
        </w:tc>
        <w:tc>
          <w:tcPr>
            <w:tcW w:w="580" w:type="dxa"/>
            <w:vAlign w:val="bottom"/>
            <w:gridSpan w:val="3"/>
          </w:tcPr>
          <w:p>
            <w:pPr>
              <w:jc w:val="right"/>
              <w:ind w:right="6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0.60</w:t>
            </w:r>
          </w:p>
        </w:tc>
        <w:tc>
          <w:tcPr>
            <w:tcW w:w="0" w:type="dxa"/>
            <w:vAlign w:val="bottom"/>
          </w:tcPr>
          <w:p>
            <w:pPr>
              <w:spacing w:after="0"/>
              <w:rPr>
                <w:sz w:val="1"/>
                <w:szCs w:val="1"/>
                <w:color w:val="auto"/>
              </w:rPr>
            </w:pPr>
          </w:p>
        </w:tc>
      </w:tr>
    </w:tbl>
    <w:p>
      <w:pPr>
        <w:sectPr>
          <w:pgSz w:w="11900" w:h="16838" w:orient="portrait"/>
          <w:cols w:equalWidth="0" w:num="1">
            <w:col w:w="11420"/>
          </w:cols>
          <w:pgMar w:left="240" w:top="339" w:right="239"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80" w:type="dxa"/>
            <w:vAlign w:val="bottom"/>
          </w:tcPr>
          <w:p>
            <w:pPr>
              <w:ind w:left="360"/>
              <w:spacing w:after="0"/>
              <w:rPr>
                <w:sz w:val="20"/>
                <w:szCs w:val="20"/>
                <w:color w:val="auto"/>
              </w:rPr>
            </w:pPr>
            <w:r>
              <w:rPr>
                <w:rFonts w:ascii="Arial" w:cs="Arial" w:eastAsia="Arial" w:hAnsi="Arial"/>
                <w:sz w:val="20"/>
                <w:szCs w:val="20"/>
                <w:color w:val="auto"/>
              </w:rPr>
              <w:t>September 30, 2009</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307,929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165,032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56,505</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900" w:type="dxa"/>
            <w:vAlign w:val="bottom"/>
          </w:tcPr>
          <w:p>
            <w:pPr>
              <w:jc w:val="center"/>
              <w:spacing w:after="0"/>
              <w:rPr>
                <w:sz w:val="20"/>
                <w:szCs w:val="20"/>
                <w:color w:val="auto"/>
              </w:rPr>
            </w:pPr>
            <w:r>
              <w:rPr>
                <w:rFonts w:ascii="Arial" w:cs="Arial" w:eastAsia="Arial" w:hAnsi="Arial"/>
                <w:sz w:val="20"/>
                <w:szCs w:val="20"/>
                <w:color w:val="auto"/>
                <w:w w:val="92"/>
              </w:rPr>
              <w:t>0.63</w:t>
            </w:r>
          </w:p>
        </w:tc>
        <w:tc>
          <w:tcPr>
            <w:tcW w:w="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92"/>
              </w:rPr>
              <w:t>0.60</w:t>
            </w:r>
          </w:p>
        </w:tc>
        <w:tc>
          <w:tcPr>
            <w:tcW w:w="0" w:type="dxa"/>
            <w:vAlign w:val="bottom"/>
          </w:tcPr>
          <w:p>
            <w:pPr>
              <w:spacing w:after="0"/>
              <w:rPr>
                <w:sz w:val="1"/>
                <w:szCs w:val="1"/>
                <w:color w:val="auto"/>
              </w:rPr>
            </w:pPr>
          </w:p>
        </w:tc>
      </w:tr>
      <w:tr>
        <w:trPr>
          <w:trHeight w:val="246"/>
        </w:trPr>
        <w:tc>
          <w:tcPr>
            <w:tcW w:w="4180" w:type="dxa"/>
            <w:vAlign w:val="bottom"/>
          </w:tcPr>
          <w:p>
            <w:pPr>
              <w:ind w:left="360"/>
              <w:spacing w:after="0"/>
              <w:rPr>
                <w:sz w:val="20"/>
                <w:szCs w:val="20"/>
                <w:color w:val="auto"/>
              </w:rPr>
            </w:pPr>
            <w:r>
              <w:rPr>
                <w:rFonts w:ascii="Arial" w:cs="Arial" w:eastAsia="Arial" w:hAnsi="Arial"/>
                <w:sz w:val="20"/>
                <w:szCs w:val="20"/>
                <w:color w:val="auto"/>
              </w:rPr>
              <w:t>December 31, 2009</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290,914</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155,276</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53,356</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900" w:type="dxa"/>
            <w:vAlign w:val="bottom"/>
          </w:tcPr>
          <w:p>
            <w:pPr>
              <w:jc w:val="center"/>
              <w:spacing w:after="0"/>
              <w:rPr>
                <w:sz w:val="20"/>
                <w:szCs w:val="20"/>
                <w:color w:val="auto"/>
              </w:rPr>
            </w:pPr>
            <w:r>
              <w:rPr>
                <w:rFonts w:ascii="Arial" w:cs="Arial" w:eastAsia="Arial" w:hAnsi="Arial"/>
                <w:sz w:val="20"/>
                <w:szCs w:val="20"/>
                <w:color w:val="auto"/>
                <w:w w:val="92"/>
              </w:rPr>
              <w:t>0.60</w:t>
            </w:r>
          </w:p>
        </w:tc>
        <w:tc>
          <w:tcPr>
            <w:tcW w:w="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92"/>
              </w:rPr>
              <w:t>0.57</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1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$1,143,299</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612,316</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208,716</w:t>
            </w: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20"/>
                <w:szCs w:val="20"/>
                <w:color w:val="auto"/>
              </w:rPr>
              <w:t>Quarter ended:</w:t>
            </w: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1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360"/>
              <w:spacing w:after="0"/>
              <w:rPr>
                <w:sz w:val="20"/>
                <w:szCs w:val="20"/>
                <w:color w:val="auto"/>
              </w:rPr>
            </w:pPr>
            <w:r>
              <w:rPr>
                <w:rFonts w:ascii="Arial" w:cs="Arial" w:eastAsia="Arial" w:hAnsi="Arial"/>
                <w:sz w:val="20"/>
                <w:szCs w:val="20"/>
                <w:color w:val="auto"/>
              </w:rPr>
              <w:t>March 31, 2008</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$ 212,178</w:t>
            </w:r>
          </w:p>
        </w:tc>
        <w:tc>
          <w:tcPr>
            <w:tcW w:w="300" w:type="dxa"/>
            <w:vAlign w:val="bottom"/>
          </w:tcPr>
          <w:p>
            <w:pPr>
              <w:spacing w:after="0"/>
              <w:rPr>
                <w:sz w:val="19"/>
                <w:szCs w:val="19"/>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104,719</w:t>
            </w:r>
          </w:p>
        </w:tc>
        <w:tc>
          <w:tcPr>
            <w:tcW w:w="280" w:type="dxa"/>
            <w:vAlign w:val="bottom"/>
          </w:tcPr>
          <w:p>
            <w:pPr>
              <w:spacing w:after="0"/>
              <w:rPr>
                <w:sz w:val="19"/>
                <w:szCs w:val="19"/>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28,811</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900" w:type="dxa"/>
            <w:vAlign w:val="bottom"/>
          </w:tcPr>
          <w:p>
            <w:pPr>
              <w:jc w:val="center"/>
              <w:spacing w:after="0"/>
              <w:rPr>
                <w:sz w:val="20"/>
                <w:szCs w:val="20"/>
                <w:color w:val="auto"/>
              </w:rPr>
            </w:pPr>
            <w:r>
              <w:rPr>
                <w:rFonts w:ascii="Arial" w:cs="Arial" w:eastAsia="Arial" w:hAnsi="Arial"/>
                <w:sz w:val="20"/>
                <w:szCs w:val="20"/>
                <w:color w:val="auto"/>
                <w:w w:val="92"/>
              </w:rPr>
              <w:t>0.31</w:t>
            </w:r>
          </w:p>
        </w:tc>
        <w:tc>
          <w:tcPr>
            <w:tcW w:w="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92"/>
              </w:rPr>
              <w:t>0.29</w:t>
            </w:r>
          </w:p>
        </w:tc>
        <w:tc>
          <w:tcPr>
            <w:tcW w:w="0" w:type="dxa"/>
            <w:vAlign w:val="bottom"/>
          </w:tcPr>
          <w:p>
            <w:pPr>
              <w:spacing w:after="0"/>
              <w:rPr>
                <w:sz w:val="1"/>
                <w:szCs w:val="1"/>
                <w:color w:val="auto"/>
              </w:rPr>
            </w:pPr>
          </w:p>
        </w:tc>
      </w:tr>
      <w:tr>
        <w:trPr>
          <w:trHeight w:val="230"/>
        </w:trPr>
        <w:tc>
          <w:tcPr>
            <w:tcW w:w="4180" w:type="dxa"/>
            <w:vAlign w:val="bottom"/>
          </w:tcPr>
          <w:p>
            <w:pPr>
              <w:ind w:left="360"/>
              <w:spacing w:after="0"/>
              <w:rPr>
                <w:sz w:val="20"/>
                <w:szCs w:val="20"/>
                <w:color w:val="auto"/>
              </w:rPr>
            </w:pPr>
            <w:r>
              <w:rPr>
                <w:rFonts w:ascii="Arial" w:cs="Arial" w:eastAsia="Arial" w:hAnsi="Arial"/>
                <w:sz w:val="20"/>
                <w:szCs w:val="20"/>
                <w:color w:val="auto"/>
              </w:rPr>
              <w:t>June 30, 2008</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282,244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146,213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50,232</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900" w:type="dxa"/>
            <w:vAlign w:val="bottom"/>
          </w:tcPr>
          <w:p>
            <w:pPr>
              <w:jc w:val="center"/>
              <w:spacing w:after="0"/>
              <w:rPr>
                <w:sz w:val="20"/>
                <w:szCs w:val="20"/>
                <w:color w:val="auto"/>
              </w:rPr>
            </w:pPr>
            <w:r>
              <w:rPr>
                <w:rFonts w:ascii="Arial" w:cs="Arial" w:eastAsia="Arial" w:hAnsi="Arial"/>
                <w:sz w:val="20"/>
                <w:szCs w:val="20"/>
                <w:color w:val="auto"/>
                <w:w w:val="92"/>
              </w:rPr>
              <w:t>0.54</w:t>
            </w:r>
          </w:p>
        </w:tc>
        <w:tc>
          <w:tcPr>
            <w:tcW w:w="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92"/>
              </w:rPr>
              <w:t>0.51</w:t>
            </w:r>
          </w:p>
        </w:tc>
        <w:tc>
          <w:tcPr>
            <w:tcW w:w="0" w:type="dxa"/>
            <w:vAlign w:val="bottom"/>
          </w:tcPr>
          <w:p>
            <w:pPr>
              <w:spacing w:after="0"/>
              <w:rPr>
                <w:sz w:val="1"/>
                <w:szCs w:val="1"/>
                <w:color w:val="auto"/>
              </w:rPr>
            </w:pPr>
          </w:p>
        </w:tc>
      </w:tr>
      <w:tr>
        <w:trPr>
          <w:trHeight w:val="230"/>
        </w:trPr>
        <w:tc>
          <w:tcPr>
            <w:tcW w:w="4180" w:type="dxa"/>
            <w:vAlign w:val="bottom"/>
          </w:tcPr>
          <w:p>
            <w:pPr>
              <w:ind w:left="360"/>
              <w:spacing w:after="0"/>
              <w:rPr>
                <w:sz w:val="20"/>
                <w:szCs w:val="20"/>
                <w:color w:val="auto"/>
              </w:rPr>
            </w:pPr>
            <w:r>
              <w:rPr>
                <w:rFonts w:ascii="Arial" w:cs="Arial" w:eastAsia="Arial" w:hAnsi="Arial"/>
                <w:sz w:val="20"/>
                <w:szCs w:val="20"/>
                <w:color w:val="auto"/>
              </w:rPr>
              <w:t>September 30, 2008</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284,986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149,436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52,437</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900" w:type="dxa"/>
            <w:vAlign w:val="bottom"/>
          </w:tcPr>
          <w:p>
            <w:pPr>
              <w:jc w:val="center"/>
              <w:spacing w:after="0"/>
              <w:rPr>
                <w:sz w:val="20"/>
                <w:szCs w:val="20"/>
                <w:color w:val="auto"/>
              </w:rPr>
            </w:pPr>
            <w:r>
              <w:rPr>
                <w:rFonts w:ascii="Arial" w:cs="Arial" w:eastAsia="Arial" w:hAnsi="Arial"/>
                <w:sz w:val="20"/>
                <w:szCs w:val="20"/>
                <w:color w:val="auto"/>
                <w:w w:val="92"/>
              </w:rPr>
              <w:t>0.57</w:t>
            </w:r>
          </w:p>
        </w:tc>
        <w:tc>
          <w:tcPr>
            <w:tcW w:w="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00" w:type="dxa"/>
            <w:vAlign w:val="bottom"/>
          </w:tcPr>
          <w:p>
            <w:pPr>
              <w:jc w:val="center"/>
              <w:ind w:left="161"/>
              <w:spacing w:after="0"/>
              <w:rPr>
                <w:sz w:val="20"/>
                <w:szCs w:val="20"/>
                <w:color w:val="auto"/>
              </w:rPr>
            </w:pPr>
            <w:r>
              <w:rPr>
                <w:rFonts w:ascii="Arial" w:cs="Arial" w:eastAsia="Arial" w:hAnsi="Arial"/>
                <w:sz w:val="20"/>
                <w:szCs w:val="20"/>
                <w:color w:val="auto"/>
                <w:w w:val="92"/>
              </w:rPr>
              <w:t>0.54</w:t>
            </w:r>
          </w:p>
        </w:tc>
        <w:tc>
          <w:tcPr>
            <w:tcW w:w="0" w:type="dxa"/>
            <w:vAlign w:val="bottom"/>
          </w:tcPr>
          <w:p>
            <w:pPr>
              <w:spacing w:after="0"/>
              <w:rPr>
                <w:sz w:val="1"/>
                <w:szCs w:val="1"/>
                <w:color w:val="auto"/>
              </w:rPr>
            </w:pPr>
          </w:p>
        </w:tc>
      </w:tr>
      <w:tr>
        <w:trPr>
          <w:trHeight w:val="246"/>
        </w:trPr>
        <w:tc>
          <w:tcPr>
            <w:tcW w:w="4180" w:type="dxa"/>
            <w:vAlign w:val="bottom"/>
          </w:tcPr>
          <w:p>
            <w:pPr>
              <w:ind w:left="360"/>
              <w:spacing w:after="0"/>
              <w:rPr>
                <w:sz w:val="20"/>
                <w:szCs w:val="20"/>
                <w:color w:val="auto"/>
              </w:rPr>
            </w:pPr>
            <w:r>
              <w:rPr>
                <w:rFonts w:ascii="Arial" w:cs="Arial" w:eastAsia="Arial" w:hAnsi="Arial"/>
                <w:sz w:val="20"/>
                <w:szCs w:val="20"/>
                <w:color w:val="auto"/>
              </w:rPr>
              <w:t>December 31, 2008</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254,372</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138,426</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(23,448)</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900" w:type="dxa"/>
            <w:vAlign w:val="bottom"/>
          </w:tcPr>
          <w:p>
            <w:pPr>
              <w:jc w:val="center"/>
              <w:spacing w:after="0"/>
              <w:rPr>
                <w:sz w:val="20"/>
                <w:szCs w:val="20"/>
                <w:color w:val="auto"/>
              </w:rPr>
            </w:pPr>
            <w:r>
              <w:rPr>
                <w:rFonts w:ascii="Arial" w:cs="Arial" w:eastAsia="Arial" w:hAnsi="Arial"/>
                <w:sz w:val="20"/>
                <w:szCs w:val="20"/>
                <w:color w:val="auto"/>
                <w:w w:val="91"/>
              </w:rPr>
              <w:t>(0.25)</w:t>
            </w:r>
          </w:p>
        </w:tc>
        <w:tc>
          <w:tcPr>
            <w:tcW w:w="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00" w:type="dxa"/>
            <w:vAlign w:val="bottom"/>
          </w:tcPr>
          <w:p>
            <w:pPr>
              <w:jc w:val="center"/>
              <w:ind w:left="121"/>
              <w:spacing w:after="0"/>
              <w:rPr>
                <w:sz w:val="20"/>
                <w:szCs w:val="20"/>
                <w:color w:val="auto"/>
              </w:rPr>
            </w:pPr>
            <w:r>
              <w:rPr>
                <w:rFonts w:ascii="Arial" w:cs="Arial" w:eastAsia="Arial" w:hAnsi="Arial"/>
                <w:sz w:val="20"/>
                <w:szCs w:val="20"/>
                <w:color w:val="auto"/>
                <w:w w:val="91"/>
              </w:rPr>
              <w:t>(0.25)</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1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$1,033,780</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538,794</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108,032</w:t>
            </w: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Certain of the figures reported above may differ from previously reported figures for individual quarters due to rounding.</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HANSEN NATURAL CORPORATION AND SUBSIDIARIES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II – VALUATION AND QUALIFYING ACCOUNTS</w:t>
      </w:r>
    </w:p>
    <w:p>
      <w:pPr>
        <w:spacing w:after="0"/>
        <w:rPr>
          <w:sz w:val="20"/>
          <w:szCs w:val="20"/>
          <w:color w:val="auto"/>
        </w:rPr>
      </w:pPr>
      <w:r>
        <w:rPr>
          <w:rFonts w:ascii="Arial" w:cs="Arial" w:eastAsia="Arial" w:hAnsi="Arial"/>
          <w:sz w:val="22"/>
          <w:szCs w:val="22"/>
          <w:b w:val="1"/>
          <w:bCs w:val="1"/>
          <w:color w:val="auto"/>
        </w:rPr>
        <w:t>FOR THE YEARS ENDED DECEMBER 31, 2009, 2008 AND 2007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Balance at</w:t>
            </w:r>
          </w:p>
        </w:tc>
        <w:tc>
          <w:tcPr>
            <w:tcW w:w="1760" w:type="dxa"/>
            <w:vAlign w:val="bottom"/>
            <w:gridSpan w:val="2"/>
          </w:tcPr>
          <w:p>
            <w:pPr>
              <w:jc w:val="center"/>
              <w:ind w:right="300"/>
              <w:spacing w:after="0"/>
              <w:rPr>
                <w:sz w:val="20"/>
                <w:szCs w:val="20"/>
                <w:color w:val="auto"/>
              </w:rPr>
            </w:pPr>
            <w:r>
              <w:rPr>
                <w:rFonts w:ascii="Arial" w:cs="Arial" w:eastAsia="Arial" w:hAnsi="Arial"/>
                <w:sz w:val="20"/>
                <w:szCs w:val="20"/>
                <w:color w:val="auto"/>
                <w:w w:val="86"/>
              </w:rPr>
              <w:t>Charged to</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8"/>
              </w:rPr>
              <w:t>Balance at</w:t>
            </w:r>
          </w:p>
        </w:tc>
      </w:tr>
      <w:tr>
        <w:trPr>
          <w:trHeight w:val="230"/>
        </w:trPr>
        <w:tc>
          <w:tcPr>
            <w:tcW w:w="4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20"/>
                <w:szCs w:val="20"/>
                <w:color w:val="auto"/>
                <w:w w:val="92"/>
              </w:rPr>
              <w:t>beginning</w:t>
            </w:r>
          </w:p>
        </w:tc>
        <w:tc>
          <w:tcPr>
            <w:tcW w:w="1760" w:type="dxa"/>
            <w:vAlign w:val="bottom"/>
            <w:gridSpan w:val="2"/>
          </w:tcPr>
          <w:p>
            <w:pPr>
              <w:jc w:val="center"/>
              <w:ind w:right="300"/>
              <w:spacing w:after="0"/>
              <w:rPr>
                <w:sz w:val="20"/>
                <w:szCs w:val="20"/>
                <w:color w:val="auto"/>
              </w:rPr>
            </w:pPr>
            <w:r>
              <w:rPr>
                <w:rFonts w:ascii="Arial" w:cs="Arial" w:eastAsia="Arial" w:hAnsi="Arial"/>
                <w:sz w:val="20"/>
                <w:szCs w:val="20"/>
                <w:color w:val="auto"/>
                <w:w w:val="87"/>
              </w:rPr>
              <w:t>cost and</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9"/>
              </w:rPr>
              <w:t>end of</w:t>
            </w:r>
          </w:p>
        </w:tc>
      </w:tr>
      <w:tr>
        <w:trPr>
          <w:trHeight w:val="246"/>
        </w:trPr>
        <w:tc>
          <w:tcPr>
            <w:tcW w:w="4400" w:type="dxa"/>
            <w:vAlign w:val="bottom"/>
            <w:tcBorders>
              <w:bottom w:val="single" w:sz="8" w:color="auto"/>
            </w:tcBorders>
          </w:tcPr>
          <w:p>
            <w:pPr>
              <w:ind w:left="1740"/>
              <w:spacing w:after="0"/>
              <w:rPr>
                <w:sz w:val="20"/>
                <w:szCs w:val="20"/>
                <w:color w:val="auto"/>
              </w:rPr>
            </w:pPr>
            <w:r>
              <w:rPr>
                <w:rFonts w:ascii="Arial" w:cs="Arial" w:eastAsia="Arial" w:hAnsi="Arial"/>
                <w:sz w:val="20"/>
                <w:szCs w:val="20"/>
                <w:color w:val="auto"/>
              </w:rPr>
              <w:t>Description</w:t>
            </w:r>
          </w:p>
        </w:tc>
        <w:tc>
          <w:tcPr>
            <w:tcW w:w="28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of period</w:t>
            </w:r>
          </w:p>
        </w:tc>
        <w:tc>
          <w:tcPr>
            <w:tcW w:w="28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1"/>
              </w:rPr>
              <w:t>expenses</w:t>
            </w:r>
          </w:p>
        </w:tc>
        <w:tc>
          <w:tcPr>
            <w:tcW w:w="300" w:type="dxa"/>
            <w:vAlign w:val="bottom"/>
          </w:tcPr>
          <w:p>
            <w:pPr>
              <w:spacing w:after="0"/>
              <w:rPr>
                <w:sz w:val="21"/>
                <w:szCs w:val="21"/>
                <w:color w:val="auto"/>
              </w:rPr>
            </w:pPr>
          </w:p>
        </w:tc>
        <w:tc>
          <w:tcPr>
            <w:tcW w:w="140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rPr>
              <w:t>Deductions</w:t>
            </w:r>
          </w:p>
        </w:tc>
        <w:tc>
          <w:tcPr>
            <w:tcW w:w="28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3"/>
              </w:rPr>
              <w:t>period</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Allowance for doubtful accounts, sales returns and cash discounts: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20"/>
                <w:szCs w:val="20"/>
                <w:color w:val="auto"/>
              </w:rPr>
              <w:t>2009</w:t>
            </w:r>
          </w:p>
        </w:tc>
        <w:tc>
          <w:tcPr>
            <w:tcW w:w="208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4"/>
              <w:spacing w:after="0"/>
              <w:rPr>
                <w:sz w:val="20"/>
                <w:szCs w:val="20"/>
                <w:color w:val="auto"/>
              </w:rPr>
            </w:pPr>
            <w:r>
              <w:rPr>
                <w:rFonts w:ascii="Arial" w:cs="Arial" w:eastAsia="Arial" w:hAnsi="Arial"/>
                <w:sz w:val="20"/>
                <w:szCs w:val="20"/>
                <w:color w:val="auto"/>
              </w:rPr>
              <w:t>992</w:t>
            </w:r>
          </w:p>
        </w:tc>
        <w:tc>
          <w:tcPr>
            <w:tcW w:w="72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1"/>
              <w:spacing w:after="0"/>
              <w:rPr>
                <w:sz w:val="20"/>
                <w:szCs w:val="20"/>
                <w:color w:val="auto"/>
              </w:rPr>
            </w:pPr>
            <w:r>
              <w:rPr>
                <w:rFonts w:ascii="Arial" w:cs="Arial" w:eastAsia="Arial" w:hAnsi="Arial"/>
                <w:sz w:val="20"/>
                <w:szCs w:val="20"/>
                <w:color w:val="auto"/>
              </w:rPr>
              <w:t>9,983</w:t>
            </w:r>
          </w:p>
        </w:tc>
        <w:tc>
          <w:tcPr>
            <w:tcW w:w="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01"/>
              <w:spacing w:after="0"/>
              <w:rPr>
                <w:sz w:val="20"/>
                <w:szCs w:val="20"/>
                <w:color w:val="auto"/>
              </w:rPr>
            </w:pPr>
            <w:r>
              <w:rPr>
                <w:rFonts w:ascii="Arial" w:cs="Arial" w:eastAsia="Arial" w:hAnsi="Arial"/>
                <w:sz w:val="20"/>
                <w:szCs w:val="20"/>
                <w:color w:val="auto"/>
              </w:rPr>
              <w:t>(8,845)</w:t>
            </w:r>
          </w:p>
        </w:tc>
        <w:tc>
          <w:tcPr>
            <w:tcW w:w="62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2,130</w:t>
            </w:r>
          </w:p>
        </w:tc>
      </w:tr>
      <w:tr>
        <w:trPr>
          <w:trHeight w:val="230"/>
        </w:trPr>
        <w:tc>
          <w:tcPr>
            <w:tcW w:w="3140" w:type="dxa"/>
            <w:vAlign w:val="bottom"/>
          </w:tcPr>
          <w:p>
            <w:pPr>
              <w:spacing w:after="0"/>
              <w:rPr>
                <w:sz w:val="20"/>
                <w:szCs w:val="20"/>
                <w:color w:val="auto"/>
              </w:rPr>
            </w:pPr>
            <w:r>
              <w:rPr>
                <w:rFonts w:ascii="Arial" w:cs="Arial" w:eastAsia="Arial" w:hAnsi="Arial"/>
                <w:sz w:val="20"/>
                <w:szCs w:val="20"/>
                <w:color w:val="auto"/>
              </w:rPr>
              <w:t>2008</w:t>
            </w:r>
          </w:p>
        </w:tc>
        <w:tc>
          <w:tcPr>
            <w:tcW w:w="208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4"/>
              <w:spacing w:after="0"/>
              <w:rPr>
                <w:sz w:val="20"/>
                <w:szCs w:val="20"/>
                <w:color w:val="auto"/>
              </w:rPr>
            </w:pPr>
            <w:r>
              <w:rPr>
                <w:rFonts w:ascii="Arial" w:cs="Arial" w:eastAsia="Arial" w:hAnsi="Arial"/>
                <w:sz w:val="20"/>
                <w:szCs w:val="20"/>
                <w:color w:val="auto"/>
              </w:rPr>
              <w:t>1,240</w:t>
            </w:r>
          </w:p>
        </w:tc>
        <w:tc>
          <w:tcPr>
            <w:tcW w:w="72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1"/>
              <w:spacing w:after="0"/>
              <w:rPr>
                <w:sz w:val="20"/>
                <w:szCs w:val="20"/>
                <w:color w:val="auto"/>
              </w:rPr>
            </w:pPr>
            <w:r>
              <w:rPr>
                <w:rFonts w:ascii="Arial" w:cs="Arial" w:eastAsia="Arial" w:hAnsi="Arial"/>
                <w:sz w:val="20"/>
                <w:szCs w:val="20"/>
                <w:color w:val="auto"/>
              </w:rPr>
              <w:t>8,425</w:t>
            </w:r>
          </w:p>
        </w:tc>
        <w:tc>
          <w:tcPr>
            <w:tcW w:w="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01"/>
              <w:spacing w:after="0"/>
              <w:rPr>
                <w:sz w:val="20"/>
                <w:szCs w:val="20"/>
                <w:color w:val="auto"/>
              </w:rPr>
            </w:pPr>
            <w:r>
              <w:rPr>
                <w:rFonts w:ascii="Arial" w:cs="Arial" w:eastAsia="Arial" w:hAnsi="Arial"/>
                <w:sz w:val="20"/>
                <w:szCs w:val="20"/>
                <w:color w:val="auto"/>
              </w:rPr>
              <w:t>(8,673)</w:t>
            </w:r>
          </w:p>
        </w:tc>
        <w:tc>
          <w:tcPr>
            <w:tcW w:w="62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992</w:t>
            </w:r>
          </w:p>
        </w:tc>
      </w:tr>
      <w:tr>
        <w:trPr>
          <w:trHeight w:val="250"/>
        </w:trPr>
        <w:tc>
          <w:tcPr>
            <w:tcW w:w="3140" w:type="dxa"/>
            <w:vAlign w:val="bottom"/>
          </w:tcPr>
          <w:p>
            <w:pPr>
              <w:spacing w:after="0"/>
              <w:rPr>
                <w:sz w:val="20"/>
                <w:szCs w:val="20"/>
                <w:color w:val="auto"/>
              </w:rPr>
            </w:pPr>
            <w:r>
              <w:rPr>
                <w:rFonts w:ascii="Arial" w:cs="Arial" w:eastAsia="Arial" w:hAnsi="Arial"/>
                <w:sz w:val="20"/>
                <w:szCs w:val="20"/>
                <w:color w:val="auto"/>
              </w:rPr>
              <w:t>2007</w:t>
            </w:r>
          </w:p>
        </w:tc>
        <w:tc>
          <w:tcPr>
            <w:tcW w:w="208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4"/>
              <w:spacing w:after="0"/>
              <w:rPr>
                <w:sz w:val="20"/>
                <w:szCs w:val="20"/>
                <w:color w:val="auto"/>
              </w:rPr>
            </w:pPr>
            <w:r>
              <w:rPr>
                <w:rFonts w:ascii="Arial" w:cs="Arial" w:eastAsia="Arial" w:hAnsi="Arial"/>
                <w:sz w:val="20"/>
                <w:szCs w:val="20"/>
                <w:color w:val="auto"/>
              </w:rPr>
              <w:t>902</w:t>
            </w:r>
          </w:p>
        </w:tc>
        <w:tc>
          <w:tcPr>
            <w:tcW w:w="72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1"/>
              <w:spacing w:after="0"/>
              <w:rPr>
                <w:sz w:val="20"/>
                <w:szCs w:val="20"/>
                <w:color w:val="auto"/>
              </w:rPr>
            </w:pPr>
            <w:r>
              <w:rPr>
                <w:rFonts w:ascii="Arial" w:cs="Arial" w:eastAsia="Arial" w:hAnsi="Arial"/>
                <w:sz w:val="20"/>
                <w:szCs w:val="20"/>
                <w:color w:val="auto"/>
              </w:rPr>
              <w:t>8,723</w:t>
            </w:r>
          </w:p>
        </w:tc>
        <w:tc>
          <w:tcPr>
            <w:tcW w:w="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01"/>
              <w:spacing w:after="0"/>
              <w:rPr>
                <w:sz w:val="20"/>
                <w:szCs w:val="20"/>
                <w:color w:val="auto"/>
              </w:rPr>
            </w:pPr>
            <w:r>
              <w:rPr>
                <w:rFonts w:ascii="Arial" w:cs="Arial" w:eastAsia="Arial" w:hAnsi="Arial"/>
                <w:sz w:val="20"/>
                <w:szCs w:val="20"/>
                <w:color w:val="auto"/>
              </w:rPr>
              <w:t>(8,385)</w:t>
            </w:r>
          </w:p>
        </w:tc>
        <w:tc>
          <w:tcPr>
            <w:tcW w:w="62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1,240</w:t>
            </w:r>
          </w:p>
        </w:tc>
      </w:tr>
      <w:tr>
        <w:trPr>
          <w:trHeight w:val="459"/>
        </w:trPr>
        <w:tc>
          <w:tcPr>
            <w:tcW w:w="3140" w:type="dxa"/>
            <w:vAlign w:val="bottom"/>
          </w:tcPr>
          <w:p>
            <w:pPr>
              <w:spacing w:after="0"/>
              <w:rPr>
                <w:sz w:val="20"/>
                <w:szCs w:val="20"/>
                <w:color w:val="auto"/>
              </w:rPr>
            </w:pPr>
            <w:r>
              <w:rPr>
                <w:rFonts w:ascii="Arial" w:cs="Arial" w:eastAsia="Arial" w:hAnsi="Arial"/>
                <w:sz w:val="20"/>
                <w:szCs w:val="20"/>
                <w:color w:val="auto"/>
              </w:rPr>
              <w:t>Inventory reserves:</w:t>
            </w: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8"/>
        </w:trPr>
        <w:tc>
          <w:tcPr>
            <w:tcW w:w="3140" w:type="dxa"/>
            <w:vAlign w:val="bottom"/>
          </w:tcPr>
          <w:p>
            <w:pPr>
              <w:spacing w:after="0"/>
              <w:rPr>
                <w:sz w:val="20"/>
                <w:szCs w:val="20"/>
                <w:color w:val="auto"/>
              </w:rPr>
            </w:pPr>
            <w:r>
              <w:rPr>
                <w:rFonts w:ascii="Arial" w:cs="Arial" w:eastAsia="Arial" w:hAnsi="Arial"/>
                <w:sz w:val="20"/>
                <w:szCs w:val="20"/>
                <w:color w:val="auto"/>
              </w:rPr>
              <w:t>2009</w:t>
            </w:r>
          </w:p>
        </w:tc>
        <w:tc>
          <w:tcPr>
            <w:tcW w:w="208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4"/>
              <w:spacing w:after="0"/>
              <w:rPr>
                <w:sz w:val="20"/>
                <w:szCs w:val="20"/>
                <w:color w:val="auto"/>
              </w:rPr>
            </w:pPr>
            <w:r>
              <w:rPr>
                <w:rFonts w:ascii="Arial" w:cs="Arial" w:eastAsia="Arial" w:hAnsi="Arial"/>
                <w:sz w:val="20"/>
                <w:szCs w:val="20"/>
                <w:color w:val="auto"/>
              </w:rPr>
              <w:t>2,054</w:t>
            </w:r>
          </w:p>
        </w:tc>
        <w:tc>
          <w:tcPr>
            <w:tcW w:w="72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1"/>
              <w:spacing w:after="0"/>
              <w:rPr>
                <w:sz w:val="20"/>
                <w:szCs w:val="20"/>
                <w:color w:val="auto"/>
              </w:rPr>
            </w:pPr>
            <w:r>
              <w:rPr>
                <w:rFonts w:ascii="Arial" w:cs="Arial" w:eastAsia="Arial" w:hAnsi="Arial"/>
                <w:sz w:val="20"/>
                <w:szCs w:val="20"/>
                <w:color w:val="auto"/>
              </w:rPr>
              <w:t>6,322</w:t>
            </w:r>
          </w:p>
        </w:tc>
        <w:tc>
          <w:tcPr>
            <w:tcW w:w="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01"/>
              <w:spacing w:after="0"/>
              <w:rPr>
                <w:sz w:val="20"/>
                <w:szCs w:val="20"/>
                <w:color w:val="auto"/>
              </w:rPr>
            </w:pPr>
            <w:r>
              <w:rPr>
                <w:rFonts w:ascii="Arial" w:cs="Arial" w:eastAsia="Arial" w:hAnsi="Arial"/>
                <w:sz w:val="20"/>
                <w:szCs w:val="20"/>
                <w:color w:val="auto"/>
              </w:rPr>
              <w:t>(2,296)</w:t>
            </w:r>
          </w:p>
        </w:tc>
        <w:tc>
          <w:tcPr>
            <w:tcW w:w="62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6,080</w:t>
            </w:r>
          </w:p>
        </w:tc>
      </w:tr>
      <w:tr>
        <w:trPr>
          <w:trHeight w:val="230"/>
        </w:trPr>
        <w:tc>
          <w:tcPr>
            <w:tcW w:w="3140" w:type="dxa"/>
            <w:vAlign w:val="bottom"/>
          </w:tcPr>
          <w:p>
            <w:pPr>
              <w:spacing w:after="0"/>
              <w:rPr>
                <w:sz w:val="20"/>
                <w:szCs w:val="20"/>
                <w:color w:val="auto"/>
              </w:rPr>
            </w:pPr>
            <w:r>
              <w:rPr>
                <w:rFonts w:ascii="Arial" w:cs="Arial" w:eastAsia="Arial" w:hAnsi="Arial"/>
                <w:sz w:val="20"/>
                <w:szCs w:val="20"/>
                <w:color w:val="auto"/>
              </w:rPr>
              <w:t>2008</w:t>
            </w:r>
          </w:p>
        </w:tc>
        <w:tc>
          <w:tcPr>
            <w:tcW w:w="208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4"/>
              <w:spacing w:after="0"/>
              <w:rPr>
                <w:sz w:val="20"/>
                <w:szCs w:val="20"/>
                <w:color w:val="auto"/>
              </w:rPr>
            </w:pPr>
            <w:r>
              <w:rPr>
                <w:rFonts w:ascii="Arial" w:cs="Arial" w:eastAsia="Arial" w:hAnsi="Arial"/>
                <w:sz w:val="20"/>
                <w:szCs w:val="20"/>
                <w:color w:val="auto"/>
              </w:rPr>
              <w:t>3,145</w:t>
            </w:r>
          </w:p>
        </w:tc>
        <w:tc>
          <w:tcPr>
            <w:tcW w:w="72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1"/>
              <w:spacing w:after="0"/>
              <w:rPr>
                <w:sz w:val="20"/>
                <w:szCs w:val="20"/>
                <w:color w:val="auto"/>
              </w:rPr>
            </w:pPr>
            <w:r>
              <w:rPr>
                <w:rFonts w:ascii="Arial" w:cs="Arial" w:eastAsia="Arial" w:hAnsi="Arial"/>
                <w:sz w:val="20"/>
                <w:szCs w:val="20"/>
                <w:color w:val="auto"/>
              </w:rPr>
              <w:t>2,089</w:t>
            </w:r>
          </w:p>
        </w:tc>
        <w:tc>
          <w:tcPr>
            <w:tcW w:w="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01"/>
              <w:spacing w:after="0"/>
              <w:rPr>
                <w:sz w:val="20"/>
                <w:szCs w:val="20"/>
                <w:color w:val="auto"/>
              </w:rPr>
            </w:pPr>
            <w:r>
              <w:rPr>
                <w:rFonts w:ascii="Arial" w:cs="Arial" w:eastAsia="Arial" w:hAnsi="Arial"/>
                <w:sz w:val="20"/>
                <w:szCs w:val="20"/>
                <w:color w:val="auto"/>
              </w:rPr>
              <w:t>(3,180)</w:t>
            </w:r>
          </w:p>
        </w:tc>
        <w:tc>
          <w:tcPr>
            <w:tcW w:w="62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2,054</w:t>
            </w:r>
          </w:p>
        </w:tc>
      </w:tr>
      <w:tr>
        <w:trPr>
          <w:trHeight w:val="250"/>
        </w:trPr>
        <w:tc>
          <w:tcPr>
            <w:tcW w:w="3140" w:type="dxa"/>
            <w:vAlign w:val="bottom"/>
          </w:tcPr>
          <w:p>
            <w:pPr>
              <w:spacing w:after="0"/>
              <w:rPr>
                <w:sz w:val="20"/>
                <w:szCs w:val="20"/>
                <w:color w:val="auto"/>
              </w:rPr>
            </w:pPr>
            <w:r>
              <w:rPr>
                <w:rFonts w:ascii="Arial" w:cs="Arial" w:eastAsia="Arial" w:hAnsi="Arial"/>
                <w:sz w:val="20"/>
                <w:szCs w:val="20"/>
                <w:color w:val="auto"/>
              </w:rPr>
              <w:t>2007</w:t>
            </w:r>
          </w:p>
        </w:tc>
        <w:tc>
          <w:tcPr>
            <w:tcW w:w="208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4"/>
              <w:spacing w:after="0"/>
              <w:rPr>
                <w:sz w:val="20"/>
                <w:szCs w:val="20"/>
                <w:color w:val="auto"/>
              </w:rPr>
            </w:pPr>
            <w:r>
              <w:rPr>
                <w:rFonts w:ascii="Arial" w:cs="Arial" w:eastAsia="Arial" w:hAnsi="Arial"/>
                <w:sz w:val="20"/>
                <w:szCs w:val="20"/>
                <w:color w:val="auto"/>
              </w:rPr>
              <w:t>1,140</w:t>
            </w:r>
          </w:p>
        </w:tc>
        <w:tc>
          <w:tcPr>
            <w:tcW w:w="72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1"/>
              <w:spacing w:after="0"/>
              <w:rPr>
                <w:sz w:val="20"/>
                <w:szCs w:val="20"/>
                <w:color w:val="auto"/>
              </w:rPr>
            </w:pPr>
            <w:r>
              <w:rPr>
                <w:rFonts w:ascii="Arial" w:cs="Arial" w:eastAsia="Arial" w:hAnsi="Arial"/>
                <w:sz w:val="20"/>
                <w:szCs w:val="20"/>
                <w:color w:val="auto"/>
              </w:rPr>
              <w:t>2,553</w:t>
            </w:r>
          </w:p>
        </w:tc>
        <w:tc>
          <w:tcPr>
            <w:tcW w:w="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01"/>
              <w:spacing w:after="0"/>
              <w:rPr>
                <w:sz w:val="20"/>
                <w:szCs w:val="20"/>
                <w:color w:val="auto"/>
              </w:rPr>
            </w:pPr>
            <w:r>
              <w:rPr>
                <w:rFonts w:ascii="Arial" w:cs="Arial" w:eastAsia="Arial" w:hAnsi="Arial"/>
                <w:sz w:val="20"/>
                <w:szCs w:val="20"/>
                <w:color w:val="auto"/>
              </w:rPr>
              <w:t>(548)</w:t>
            </w:r>
          </w:p>
        </w:tc>
        <w:tc>
          <w:tcPr>
            <w:tcW w:w="62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3,145</w:t>
            </w:r>
          </w:p>
        </w:tc>
      </w:tr>
      <w:tr>
        <w:trPr>
          <w:trHeight w:val="409"/>
        </w:trPr>
        <w:tc>
          <w:tcPr>
            <w:tcW w:w="3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40" w:type="dxa"/>
            <w:vAlign w:val="bottom"/>
          </w:tcPr>
          <w:p>
            <w:pPr>
              <w:jc w:val="right"/>
              <w:ind w:right="324"/>
              <w:spacing w:after="0"/>
              <w:rPr>
                <w:sz w:val="20"/>
                <w:szCs w:val="20"/>
                <w:color w:val="auto"/>
              </w:rPr>
            </w:pPr>
            <w:r>
              <w:rPr>
                <w:rFonts w:ascii="Arial" w:cs="Arial" w:eastAsia="Arial" w:hAnsi="Arial"/>
                <w:sz w:val="16"/>
                <w:szCs w:val="16"/>
                <w:color w:val="auto"/>
              </w:rPr>
              <w:t>110</w:t>
            </w: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8"/>
        </w:trPr>
        <w:tc>
          <w:tcPr>
            <w:tcW w:w="3140" w:type="dxa"/>
            <w:vAlign w:val="bottom"/>
            <w:tcBorders>
              <w:bottom w:val="single" w:sz="8" w:color="010101"/>
            </w:tcBorders>
          </w:tcPr>
          <w:p>
            <w:pPr>
              <w:spacing w:after="0"/>
              <w:rPr>
                <w:sz w:val="11"/>
                <w:szCs w:val="11"/>
                <w:color w:val="auto"/>
              </w:rPr>
            </w:pPr>
          </w:p>
        </w:tc>
        <w:tc>
          <w:tcPr>
            <w:tcW w:w="20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2" w:right="199"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b w:val="1"/>
          <w:bCs w:val="1"/>
          <w:color w:val="auto"/>
        </w:rPr>
        <w:t>Exhibit 3.1</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72"/>
          <w:szCs w:val="72"/>
          <w:u w:val="single" w:color="auto"/>
          <w:color w:val="auto"/>
        </w:rPr>
        <w:t>Delaware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9"/>
          <w:szCs w:val="29"/>
          <w:i w:val="1"/>
          <w:iCs w:val="1"/>
          <w:color w:val="auto"/>
        </w:rPr>
        <w:t>The First State</w:t>
      </w:r>
    </w:p>
    <w:p>
      <w:pPr>
        <w:spacing w:after="0" w:line="241" w:lineRule="exact"/>
        <w:rPr>
          <w:sz w:val="20"/>
          <w:szCs w:val="20"/>
          <w:color w:val="auto"/>
        </w:rPr>
      </w:pPr>
    </w:p>
    <w:p>
      <w:pPr>
        <w:ind w:firstLine="661"/>
        <w:spacing w:after="0" w:line="250" w:lineRule="auto"/>
        <w:rPr>
          <w:sz w:val="20"/>
          <w:szCs w:val="20"/>
          <w:color w:val="auto"/>
        </w:rPr>
      </w:pPr>
      <w:r>
        <w:rPr>
          <w:rFonts w:ascii="Arial" w:cs="Arial" w:eastAsia="Arial" w:hAnsi="Arial"/>
          <w:sz w:val="20"/>
          <w:szCs w:val="20"/>
          <w:i w:val="1"/>
          <w:iCs w:val="1"/>
          <w:color w:val="auto"/>
        </w:rPr>
        <w:t>I, JEFFREY W. BULLOCK, SECRETARY OF STATE OF THE STATE OF DELAWARE, DO HEREBY CERTIFY THE ATTACHED ARE TRUE AND CORRECT COPIES OF ALL DOCUMENTS ON FILE OF “HANSEN NATURAL CORPORATION” AS RECEIVED AND FILED IN THIS OFFICE.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THE FOLLOWING DOCUMENTS HAVE BEEN CERTIFIED: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CERTIFICATE OF INCORPORATION, FILED THE TWENTY-FIFTH DAY OF APRIL, A.D. 1990, AT 4:30 O’CLOCK P.M.</w:t>
      </w:r>
    </w:p>
    <w:p>
      <w:pPr>
        <w:spacing w:after="0" w:line="229" w:lineRule="exact"/>
        <w:rPr>
          <w:sz w:val="20"/>
          <w:szCs w:val="20"/>
          <w:color w:val="auto"/>
        </w:rPr>
      </w:pPr>
    </w:p>
    <w:p>
      <w:pPr>
        <w:ind w:right="900" w:firstLine="655"/>
        <w:spacing w:after="0" w:line="260" w:lineRule="auto"/>
        <w:rPr>
          <w:sz w:val="20"/>
          <w:szCs w:val="20"/>
          <w:color w:val="auto"/>
        </w:rPr>
      </w:pPr>
      <w:r>
        <w:rPr>
          <w:rFonts w:ascii="Arial" w:cs="Arial" w:eastAsia="Arial" w:hAnsi="Arial"/>
          <w:sz w:val="20"/>
          <w:szCs w:val="20"/>
          <w:i w:val="1"/>
          <w:iCs w:val="1"/>
          <w:color w:val="auto"/>
        </w:rPr>
        <w:t>CERTIFICATE OF AMENDMENT, CHANGING ITS NAME FROM “UNIPAC CORPORATION” TO “HANSEN NATURAL CORPORATION”, FILED THE TWENTY-FIRST DAY OF OCTOBER, A.D. 1992, AT 4:30 O’CLOCK P.M.</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CERTIFICATE OF AMENDMENT, FILED THE SECOND DAY OF JUNE, A.D.2006, AT 1:38 O’CLOCK P.M.</w:t>
      </w:r>
    </w:p>
    <w:p>
      <w:pPr>
        <w:spacing w:after="0" w:line="229" w:lineRule="exact"/>
        <w:rPr>
          <w:sz w:val="20"/>
          <w:szCs w:val="20"/>
          <w:color w:val="auto"/>
        </w:rPr>
      </w:pPr>
    </w:p>
    <w:p>
      <w:pPr>
        <w:ind w:right="60" w:firstLine="655"/>
        <w:spacing w:after="0" w:line="260" w:lineRule="auto"/>
        <w:rPr>
          <w:sz w:val="20"/>
          <w:szCs w:val="20"/>
          <w:color w:val="auto"/>
        </w:rPr>
      </w:pPr>
      <w:r>
        <w:rPr>
          <w:rFonts w:ascii="Arial" w:cs="Arial" w:eastAsia="Arial" w:hAnsi="Arial"/>
          <w:sz w:val="20"/>
          <w:szCs w:val="20"/>
          <w:i w:val="1"/>
          <w:iCs w:val="1"/>
          <w:color w:val="auto"/>
        </w:rPr>
        <w:t>AND I DO HEREBY FURTHER CERTIFY THAT THE AFORESAID CERTIFICATES ARE THE ONLY CERTIFICATES ON RECORD OF THE AFORESAID CORPORATION, “HANSEN NATURAL CORPORATION”.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26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3"/>
              </w:rPr>
              <w:t>/s/ Jeffrey W. Bullock</w:t>
            </w:r>
          </w:p>
        </w:tc>
      </w:tr>
      <w:tr>
        <w:trPr>
          <w:trHeight w:val="244"/>
        </w:trPr>
        <w:tc>
          <w:tcPr>
            <w:tcW w:w="126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5700" w:type="dxa"/>
            <w:vAlign w:val="bottom"/>
          </w:tcPr>
          <w:p>
            <w:pPr>
              <w:jc w:val="center"/>
              <w:spacing w:after="0"/>
              <w:rPr>
                <w:sz w:val="20"/>
                <w:szCs w:val="20"/>
                <w:color w:val="auto"/>
              </w:rPr>
            </w:pPr>
            <w:r>
              <w:rPr>
                <w:rFonts w:ascii="Arial" w:cs="Arial" w:eastAsia="Arial" w:hAnsi="Arial"/>
                <w:sz w:val="20"/>
                <w:szCs w:val="20"/>
                <w:color w:val="auto"/>
                <w:w w:val="89"/>
              </w:rPr>
              <w:t>Jeffrey W. Bullock, Secretary of State</w:t>
            </w:r>
          </w:p>
        </w:tc>
      </w:tr>
      <w:tr>
        <w:trPr>
          <w:trHeight w:val="422"/>
        </w:trPr>
        <w:tc>
          <w:tcPr>
            <w:tcW w:w="1260" w:type="dxa"/>
            <w:vAlign w:val="bottom"/>
          </w:tcPr>
          <w:p>
            <w:pPr>
              <w:spacing w:after="0"/>
              <w:rPr>
                <w:sz w:val="20"/>
                <w:szCs w:val="20"/>
                <w:color w:val="auto"/>
              </w:rPr>
            </w:pPr>
            <w:r>
              <w:rPr>
                <w:rFonts w:ascii="Arial" w:cs="Arial" w:eastAsia="Arial" w:hAnsi="Arial"/>
                <w:sz w:val="20"/>
                <w:szCs w:val="20"/>
                <w:i w:val="1"/>
                <w:iCs w:val="1"/>
                <w:color w:val="auto"/>
              </w:rPr>
              <w:t>2228852</w:t>
            </w:r>
          </w:p>
        </w:tc>
        <w:tc>
          <w:tcPr>
            <w:tcW w:w="4460" w:type="dxa"/>
            <w:vAlign w:val="bottom"/>
          </w:tcPr>
          <w:p>
            <w:pPr>
              <w:ind w:left="340"/>
              <w:spacing w:after="0"/>
              <w:rPr>
                <w:sz w:val="20"/>
                <w:szCs w:val="20"/>
                <w:color w:val="auto"/>
              </w:rPr>
            </w:pPr>
            <w:r>
              <w:rPr>
                <w:rFonts w:ascii="Arial" w:cs="Arial" w:eastAsia="Arial" w:hAnsi="Arial"/>
                <w:sz w:val="20"/>
                <w:szCs w:val="20"/>
                <w:i w:val="1"/>
                <w:iCs w:val="1"/>
                <w:color w:val="auto"/>
              </w:rPr>
              <w:t>8100H</w:t>
            </w:r>
          </w:p>
        </w:tc>
        <w:tc>
          <w:tcPr>
            <w:tcW w:w="5700" w:type="dxa"/>
            <w:vAlign w:val="bottom"/>
          </w:tcPr>
          <w:p>
            <w:pPr>
              <w:ind w:left="2240"/>
              <w:spacing w:after="0"/>
              <w:rPr>
                <w:sz w:val="20"/>
                <w:szCs w:val="20"/>
                <w:color w:val="auto"/>
              </w:rPr>
            </w:pPr>
            <w:r>
              <w:rPr>
                <w:rFonts w:ascii="Arial" w:cs="Arial" w:eastAsia="Arial" w:hAnsi="Arial"/>
                <w:sz w:val="20"/>
                <w:szCs w:val="20"/>
                <w:color w:val="auto"/>
              </w:rPr>
              <w:t>AUTHENTICATION: 7734509</w:t>
            </w:r>
          </w:p>
        </w:tc>
      </w:tr>
      <w:tr>
        <w:trPr>
          <w:trHeight w:val="250"/>
        </w:trPr>
        <w:tc>
          <w:tcPr>
            <w:tcW w:w="1260" w:type="dxa"/>
            <w:vAlign w:val="bottom"/>
          </w:tcPr>
          <w:p>
            <w:pPr>
              <w:spacing w:after="0"/>
              <w:rPr>
                <w:sz w:val="20"/>
                <w:szCs w:val="20"/>
                <w:color w:val="auto"/>
              </w:rPr>
            </w:pPr>
            <w:r>
              <w:rPr>
                <w:rFonts w:ascii="Arial" w:cs="Arial" w:eastAsia="Arial" w:hAnsi="Arial"/>
                <w:sz w:val="20"/>
                <w:szCs w:val="20"/>
                <w:i w:val="1"/>
                <w:iCs w:val="1"/>
                <w:color w:val="auto"/>
              </w:rPr>
              <w:t>100001746</w:t>
            </w:r>
          </w:p>
        </w:tc>
        <w:tc>
          <w:tcPr>
            <w:tcW w:w="4460" w:type="dxa"/>
            <w:vAlign w:val="bottom"/>
          </w:tcPr>
          <w:p>
            <w:pPr>
              <w:spacing w:after="0"/>
              <w:rPr>
                <w:sz w:val="21"/>
                <w:szCs w:val="21"/>
                <w:color w:val="auto"/>
              </w:rPr>
            </w:pPr>
          </w:p>
        </w:tc>
        <w:tc>
          <w:tcPr>
            <w:tcW w:w="5700" w:type="dxa"/>
            <w:vAlign w:val="bottom"/>
          </w:tcPr>
          <w:p>
            <w:pPr>
              <w:ind w:left="3480"/>
              <w:spacing w:after="0"/>
              <w:rPr>
                <w:sz w:val="20"/>
                <w:szCs w:val="20"/>
                <w:color w:val="auto"/>
              </w:rPr>
            </w:pPr>
            <w:r>
              <w:rPr>
                <w:rFonts w:ascii="Arial" w:cs="Arial" w:eastAsia="Arial" w:hAnsi="Arial"/>
                <w:sz w:val="20"/>
                <w:szCs w:val="20"/>
                <w:i w:val="1"/>
                <w:iCs w:val="1"/>
                <w:color w:val="auto"/>
              </w:rPr>
              <w:t>DATE: 01-04-10</w:t>
            </w:r>
          </w:p>
        </w:tc>
      </w:tr>
    </w:tbl>
    <w:p>
      <w:pPr>
        <w:spacing w:after="0"/>
        <w:rPr>
          <w:sz w:val="20"/>
          <w:szCs w:val="20"/>
          <w:color w:val="auto"/>
        </w:rPr>
      </w:pPr>
      <w:r>
        <w:rPr>
          <w:rFonts w:ascii="Arial" w:cs="Arial" w:eastAsia="Arial" w:hAnsi="Arial"/>
          <w:sz w:val="16"/>
          <w:szCs w:val="16"/>
          <w:i w:val="1"/>
          <w:iCs w:val="1"/>
          <w:color w:val="auto"/>
        </w:rPr>
        <w:t>You may verify this certificate online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 corp.delaware.gov/authver.shtml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CERTIFICATE OF INCORPORATION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UNIPAC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name of the corporation is: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UNIPAC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229" w:lineRule="exact"/>
        <w:rPr>
          <w:sz w:val="20"/>
          <w:szCs w:val="20"/>
          <w:color w:val="auto"/>
        </w:rPr>
      </w:pPr>
    </w:p>
    <w:p>
      <w:pPr>
        <w:ind w:right="500" w:firstLine="1297"/>
        <w:spacing w:after="0" w:line="287" w:lineRule="auto"/>
        <w:rPr>
          <w:sz w:val="20"/>
          <w:szCs w:val="20"/>
          <w:color w:val="auto"/>
        </w:rPr>
      </w:pPr>
      <w:r>
        <w:rPr>
          <w:rFonts w:ascii="Arial" w:cs="Arial" w:eastAsia="Arial" w:hAnsi="Arial"/>
          <w:sz w:val="19"/>
          <w:szCs w:val="19"/>
          <w:color w:val="auto"/>
        </w:rPr>
        <w:t>The address of its registered agent in the State of Delaware is 32 Loockerman Square, Suite L-100, City of Dover, 19901, County of Kent. The name of its registered agent at such address is The Prentice-Hall Corporation System,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229" w:lineRule="exact"/>
        <w:rPr>
          <w:sz w:val="20"/>
          <w:szCs w:val="20"/>
          <w:color w:val="auto"/>
        </w:rPr>
      </w:pPr>
    </w:p>
    <w:p>
      <w:pPr>
        <w:ind w:right="620" w:firstLine="1297"/>
        <w:spacing w:after="0" w:line="287" w:lineRule="auto"/>
        <w:rPr>
          <w:sz w:val="20"/>
          <w:szCs w:val="20"/>
          <w:color w:val="auto"/>
        </w:rPr>
      </w:pPr>
      <w:r>
        <w:rPr>
          <w:rFonts w:ascii="Arial" w:cs="Arial" w:eastAsia="Arial" w:hAnsi="Arial"/>
          <w:sz w:val="19"/>
          <w:szCs w:val="19"/>
          <w:color w:val="auto"/>
        </w:rPr>
        <w:t>The nature of the business or purposes to be conducted or promoted by the Corporation is to engage in any lawful act or activity for which corporations may be organized under the General Corporation Law of the State of Delaware.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229" w:lineRule="exact"/>
        <w:rPr>
          <w:sz w:val="20"/>
          <w:szCs w:val="20"/>
          <w:color w:val="auto"/>
        </w:rPr>
      </w:pPr>
    </w:p>
    <w:p>
      <w:pPr>
        <w:ind w:right="100" w:firstLine="1297"/>
        <w:spacing w:after="0" w:line="260" w:lineRule="auto"/>
        <w:rPr>
          <w:sz w:val="20"/>
          <w:szCs w:val="20"/>
          <w:color w:val="auto"/>
        </w:rPr>
      </w:pPr>
      <w:r>
        <w:rPr>
          <w:rFonts w:ascii="Arial" w:cs="Arial" w:eastAsia="Arial" w:hAnsi="Arial"/>
          <w:sz w:val="20"/>
          <w:szCs w:val="20"/>
          <w:color w:val="auto"/>
        </w:rPr>
        <w:t>The aggregate number of shares of stock that the Corporation shall have authority to issue is thirty million (30,000,000) shares of common stock $.005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w:t>
      </w:r>
    </w:p>
    <w:p>
      <w:pPr>
        <w:spacing w:after="0" w:line="229" w:lineRule="exact"/>
        <w:rPr>
          <w:sz w:val="20"/>
          <w:szCs w:val="20"/>
          <w:color w:val="auto"/>
        </w:rPr>
      </w:pPr>
    </w:p>
    <w:p>
      <w:pPr>
        <w:ind w:right="80" w:firstLine="1297"/>
        <w:spacing w:after="0" w:line="287" w:lineRule="auto"/>
        <w:rPr>
          <w:sz w:val="20"/>
          <w:szCs w:val="20"/>
          <w:color w:val="auto"/>
        </w:rPr>
      </w:pPr>
      <w:r>
        <w:rPr>
          <w:rFonts w:ascii="Arial" w:cs="Arial" w:eastAsia="Arial" w:hAnsi="Arial"/>
          <w:sz w:val="19"/>
          <w:szCs w:val="19"/>
          <w:color w:val="auto"/>
        </w:rPr>
        <w:t>The following provisions are inserted for the management of the business and for the conduct of the affairs of the Corporation, and for further definition, limitation and regulation of the powers of the Corporation and of its directors and stockholders:</w:t>
      </w:r>
    </w:p>
    <w:p>
      <w:pPr>
        <w:sectPr>
          <w:pgSz w:w="11900" w:h="16838" w:orient="portrait"/>
          <w:cols w:equalWidth="0" w:num="1">
            <w:col w:w="11420"/>
          </w:cols>
          <w:pgMar w:left="240" w:top="118" w:right="239" w:bottom="0" w:gutter="0" w:footer="0" w:header="0"/>
        </w:sectPr>
      </w:pPr>
    </w:p>
    <w:bookmarkStart w:id="71" w:name="page72"/>
    <w:bookmarkEnd w:id="71"/>
    <w:p>
      <w:pPr>
        <w:ind w:left="1940" w:hanging="635"/>
        <w:spacing w:after="0"/>
        <w:tabs>
          <w:tab w:leader="none" w:pos="19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Election of directors need not be by ballot unless the by-laws so provide.</w:t>
      </w:r>
    </w:p>
    <w:p>
      <w:pPr>
        <w:spacing w:after="0" w:line="230" w:lineRule="exact"/>
        <w:rPr>
          <w:rFonts w:ascii="Arial" w:cs="Arial" w:eastAsia="Arial" w:hAnsi="Arial"/>
          <w:sz w:val="20"/>
          <w:szCs w:val="20"/>
          <w:color w:val="auto"/>
        </w:rPr>
      </w:pPr>
    </w:p>
    <w:p>
      <w:pPr>
        <w:ind w:left="660" w:right="420" w:firstLine="645"/>
        <w:spacing w:after="0" w:line="260" w:lineRule="auto"/>
        <w:tabs>
          <w:tab w:leader="none" w:pos="1935"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Board of Directors shall have the power, without the assent or vote of the stockholders, to make, alter, amend, change, add to, or repeal the by-laws of the Corporation.</w:t>
      </w:r>
    </w:p>
    <w:p>
      <w:pPr>
        <w:spacing w:after="0" w:line="190" w:lineRule="exact"/>
        <w:rPr>
          <w:rFonts w:ascii="Arial" w:cs="Arial" w:eastAsia="Arial" w:hAnsi="Arial"/>
          <w:sz w:val="20"/>
          <w:szCs w:val="20"/>
          <w:color w:val="auto"/>
        </w:rPr>
      </w:pPr>
    </w:p>
    <w:p>
      <w:pPr>
        <w:ind w:left="660" w:right="100" w:firstLine="645"/>
        <w:spacing w:after="0" w:line="244" w:lineRule="auto"/>
        <w:tabs>
          <w:tab w:leader="none" w:pos="1935" w:val="left"/>
        </w:tabs>
        <w:numPr>
          <w:ilvl w:val="0"/>
          <w:numId w:val="48"/>
        </w:numPr>
        <w:rPr>
          <w:rFonts w:ascii="Arial" w:cs="Arial" w:eastAsia="Arial" w:hAnsi="Arial"/>
          <w:sz w:val="20"/>
          <w:szCs w:val="20"/>
          <w:color w:val="auto"/>
        </w:rPr>
      </w:pPr>
      <w:r>
        <w:rPr>
          <w:rFonts w:ascii="Arial" w:cs="Arial" w:eastAsia="Arial" w:hAnsi="Arial"/>
          <w:sz w:val="20"/>
          <w:szCs w:val="20"/>
          <w:color w:val="auto"/>
        </w:rPr>
        <w:t>Whenever a compromise or arrangement is proposed between the Corporation and its creditors or any class of them and/or between the Corporation and its stockholders or any class of them, any court of equitable jurisdiction within the State of Delaware may, on the summary application of the Corporation or of any creditor or stockholder thereof or on the application of any receiver or receivers appointed for the Corporation under the provisions of Section 291 of Title 291 of Title 8 of the Delaware Code or on the application of trustees in dissolution 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right="40"/>
        <w:spacing w:after="0" w:line="257" w:lineRule="auto"/>
        <w:rPr>
          <w:sz w:val="20"/>
          <w:szCs w:val="20"/>
          <w:color w:val="auto"/>
        </w:rPr>
      </w:pPr>
      <w:r>
        <w:rPr>
          <w:rFonts w:ascii="Arial" w:cs="Arial" w:eastAsia="Arial" w:hAnsi="Arial"/>
          <w:sz w:val="19"/>
          <w:szCs w:val="19"/>
          <w:color w:val="auto"/>
        </w:rPr>
        <w:t>any receiver or receivers appointed for this Corporation under the provisions of Section 279 of Title 8 of the Delaware Code order a meeting of the creditors or class of creditors, and/or of the stockholders or class of stockholders of the corporation, as the case may be, to be summoned in such manner as the said court directors. If a majority in number representing three-fourths in value of the creditors or class of creditors, and/or of the stockholders or class of stockholders of the Corporation, as the case may be, agree to any compromise or arrangement and to any reorganization of the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Corporation shall, to the fullest extent permitted by law, including, but not limited to, 145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General Corporation Law of the State of Delaware, as the same exists or may hereafter be modified, amended and supplemented, and any subsequent provision replacing said 145, indemnify any and all persons whom it shall have power to indemnify from and against any and all expenses, liabilities or other matters, and the indemnification provided for herein shall not be deemed exclusive of any other rights to which an indemnified person may be entitled under any provision of the by-laws of the Corporation, any agreement, any vote of stockholder or disinterested directors or otherwise, both as to action in his official capacity and as to action in any capacity while holding such office, and shall continue as to a person who has ceased to be a director, officer, employee or agent and shall inure to the benefit of the heirs, executors and administrators of such a person. Any repeal or modification of this Article by the stockholders of the Corporation shall be prospective only, and shall not adversely affect any right to indemnification of a director, officer, employee, or agent of the Corporation existing at the time of such repeal or modification.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VII</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personal liability of the directors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the Corporation to the Corporation and its stockholders is hereby eliminated to the fullest extent permitted by 102 (b) (7) of the General Corporation Law of the State of Delaware, as the same exists or may hereafter be modified, amended and supplemented, and any subsequent provision replacing said 102 (b) (7).</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VIII</w:t>
      </w:r>
    </w:p>
    <w:p>
      <w:pPr>
        <w:spacing w:after="0" w:line="229"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auto"/>
        </w:rPr>
        <w:t>The Corporation reserves the right to amend, alter, change or repeal any provision contained in this Certificate of Incorporation, in the manner now or hereafter prescribed by Delaware law, and all rights conferred upon stockholders herein are granted subject to this reservation.</w:t>
      </w:r>
    </w:p>
    <w:p>
      <w:pPr>
        <w:spacing w:after="0" w:line="200"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ARTICLE IX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name and address of the incorporator are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2920" w:type="dxa"/>
            <w:vAlign w:val="bottom"/>
            <w:gridSpan w:val="2"/>
          </w:tcPr>
          <w:p>
            <w:pPr>
              <w:spacing w:after="0"/>
              <w:rPr>
                <w:sz w:val="20"/>
                <w:szCs w:val="20"/>
                <w:color w:val="auto"/>
              </w:rPr>
            </w:pPr>
            <w:r>
              <w:rPr>
                <w:rFonts w:ascii="Arial" w:cs="Arial" w:eastAsia="Arial" w:hAnsi="Arial"/>
                <w:sz w:val="20"/>
                <w:szCs w:val="20"/>
                <w:color w:val="auto"/>
              </w:rPr>
              <w:t>NAME</w:t>
            </w:r>
          </w:p>
        </w:tc>
        <w:tc>
          <w:tcPr>
            <w:tcW w:w="3440" w:type="dxa"/>
            <w:vAlign w:val="bottom"/>
            <w:gridSpan w:val="2"/>
          </w:tcPr>
          <w:p>
            <w:pPr>
              <w:ind w:left="1620"/>
              <w:spacing w:after="0"/>
              <w:rPr>
                <w:sz w:val="20"/>
                <w:szCs w:val="20"/>
                <w:color w:val="auto"/>
              </w:rPr>
            </w:pPr>
            <w:r>
              <w:rPr>
                <w:rFonts w:ascii="Arial" w:cs="Arial" w:eastAsia="Arial" w:hAnsi="Arial"/>
                <w:sz w:val="20"/>
                <w:szCs w:val="20"/>
                <w:color w:val="auto"/>
                <w:w w:val="97"/>
              </w:rPr>
              <w:t>MAILING ADDRESS</w:t>
            </w:r>
          </w:p>
        </w:tc>
      </w:tr>
      <w:tr>
        <w:trPr>
          <w:trHeight w:val="20"/>
        </w:trPr>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r>
        <w:trPr>
          <w:trHeight w:val="233"/>
        </w:trPr>
        <w:tc>
          <w:tcPr>
            <w:tcW w:w="2920" w:type="dxa"/>
            <w:vAlign w:val="bottom"/>
            <w:gridSpan w:val="2"/>
          </w:tcPr>
          <w:p>
            <w:pPr>
              <w:spacing w:after="0"/>
              <w:rPr>
                <w:sz w:val="20"/>
                <w:szCs w:val="20"/>
                <w:color w:val="auto"/>
              </w:rPr>
            </w:pPr>
            <w:r>
              <w:rPr>
                <w:rFonts w:ascii="Arial" w:cs="Arial" w:eastAsia="Arial" w:hAnsi="Arial"/>
                <w:sz w:val="20"/>
                <w:szCs w:val="20"/>
                <w:color w:val="auto"/>
              </w:rPr>
              <w:t>Anthony Brown</w:t>
            </w:r>
          </w:p>
        </w:tc>
        <w:tc>
          <w:tcPr>
            <w:tcW w:w="3440" w:type="dxa"/>
            <w:vAlign w:val="bottom"/>
            <w:gridSpan w:val="2"/>
          </w:tcPr>
          <w:p>
            <w:pPr>
              <w:ind w:left="1620"/>
              <w:spacing w:after="0"/>
              <w:rPr>
                <w:sz w:val="20"/>
                <w:szCs w:val="20"/>
                <w:color w:val="auto"/>
              </w:rPr>
            </w:pPr>
            <w:r>
              <w:rPr>
                <w:rFonts w:ascii="Arial" w:cs="Arial" w:eastAsia="Arial" w:hAnsi="Arial"/>
                <w:sz w:val="20"/>
                <w:szCs w:val="20"/>
                <w:color w:val="auto"/>
              </w:rPr>
              <w:t>JENNER &amp; BLOCK</w:t>
            </w:r>
          </w:p>
        </w:tc>
      </w:tr>
      <w:tr>
        <w:trPr>
          <w:trHeight w:val="230"/>
        </w:trPr>
        <w:tc>
          <w:tcPr>
            <w:tcW w:w="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440" w:type="dxa"/>
            <w:vAlign w:val="bottom"/>
            <w:gridSpan w:val="2"/>
          </w:tcPr>
          <w:p>
            <w:pPr>
              <w:ind w:left="1620"/>
              <w:spacing w:after="0"/>
              <w:rPr>
                <w:sz w:val="20"/>
                <w:szCs w:val="20"/>
                <w:color w:val="auto"/>
              </w:rPr>
            </w:pPr>
            <w:r>
              <w:rPr>
                <w:rFonts w:ascii="Arial" w:cs="Arial" w:eastAsia="Arial" w:hAnsi="Arial"/>
                <w:sz w:val="20"/>
                <w:szCs w:val="20"/>
                <w:color w:val="auto"/>
              </w:rPr>
              <w:t>One IBM Plaza</w:t>
            </w:r>
          </w:p>
        </w:tc>
      </w:tr>
      <w:tr>
        <w:trPr>
          <w:trHeight w:val="250"/>
        </w:trPr>
        <w:tc>
          <w:tcPr>
            <w:tcW w:w="5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3440" w:type="dxa"/>
            <w:vAlign w:val="bottom"/>
            <w:gridSpan w:val="2"/>
          </w:tcPr>
          <w:p>
            <w:pPr>
              <w:ind w:left="1620"/>
              <w:spacing w:after="0"/>
              <w:rPr>
                <w:sz w:val="20"/>
                <w:szCs w:val="20"/>
                <w:color w:val="auto"/>
              </w:rPr>
            </w:pPr>
            <w:r>
              <w:rPr>
                <w:rFonts w:ascii="Arial" w:cs="Arial" w:eastAsia="Arial" w:hAnsi="Arial"/>
                <w:sz w:val="20"/>
                <w:szCs w:val="20"/>
                <w:color w:val="auto"/>
              </w:rPr>
              <w:t>Chicago, IL 60611</w:t>
            </w:r>
          </w:p>
        </w:tc>
      </w:tr>
    </w:tbl>
    <w:p>
      <w:pPr>
        <w:spacing w:after="0" w:line="209" w:lineRule="exact"/>
        <w:rPr>
          <w:sz w:val="20"/>
          <w:szCs w:val="20"/>
          <w:color w:val="auto"/>
        </w:rPr>
      </w:pPr>
    </w:p>
    <w:p>
      <w:pPr>
        <w:ind w:right="480" w:firstLine="1297"/>
        <w:spacing w:after="0" w:line="260" w:lineRule="auto"/>
        <w:rPr>
          <w:sz w:val="20"/>
          <w:szCs w:val="20"/>
          <w:color w:val="auto"/>
        </w:rPr>
      </w:pPr>
      <w:r>
        <w:rPr>
          <w:rFonts w:ascii="Arial" w:cs="Arial" w:eastAsia="Arial" w:hAnsi="Arial"/>
          <w:sz w:val="20"/>
          <w:szCs w:val="20"/>
          <w:color w:val="auto"/>
        </w:rPr>
        <w:t>THE UNDERSIGNED, being the sole incorporator of the Corporation hereinbefore named, for the purposes of forming a corporation pursuant to the General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2" w:right="259" w:bottom="148" w:gutter="0" w:footer="0" w:header="0"/>
        </w:sectPr>
      </w:pPr>
    </w:p>
    <w:bookmarkStart w:id="72" w:name="page73"/>
    <w:bookmarkEnd w:id="72"/>
    <w:p>
      <w:pPr>
        <w:ind w:right="100"/>
        <w:spacing w:after="0" w:line="287" w:lineRule="auto"/>
        <w:rPr>
          <w:sz w:val="20"/>
          <w:szCs w:val="20"/>
          <w:color w:val="auto"/>
        </w:rPr>
      </w:pPr>
      <w:r>
        <w:rPr>
          <w:rFonts w:ascii="Arial" w:cs="Arial" w:eastAsia="Arial" w:hAnsi="Arial"/>
          <w:sz w:val="19"/>
          <w:szCs w:val="19"/>
          <w:color w:val="auto"/>
        </w:rPr>
        <w:t>Law of the State of Delaware, does hereby take this Certificate, declaring, affirming and certifying under penalty of perjury that this is my act and deed and the facts herein stated are true, and accordingly have hereto set my hand this 25th day of April, 1990.</w:t>
      </w:r>
    </w:p>
    <w:p>
      <w:pPr>
        <w:spacing w:after="0" w:line="396" w:lineRule="exact"/>
        <w:rPr>
          <w:sz w:val="20"/>
          <w:szCs w:val="20"/>
          <w:color w:val="auto"/>
        </w:rPr>
      </w:pPr>
    </w:p>
    <w:p>
      <w:pPr>
        <w:jc w:val="right"/>
        <w:ind w:right="2000"/>
        <w:spacing w:after="0"/>
        <w:rPr>
          <w:sz w:val="20"/>
          <w:szCs w:val="20"/>
          <w:color w:val="auto"/>
        </w:rPr>
      </w:pPr>
      <w:r>
        <w:rPr>
          <w:rFonts w:ascii="Arial" w:cs="Arial" w:eastAsia="Arial" w:hAnsi="Arial"/>
          <w:sz w:val="20"/>
          <w:szCs w:val="20"/>
          <w:color w:val="auto"/>
        </w:rPr>
        <w:t>/s/ Anthony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right"/>
        <w:ind w:right="2040"/>
        <w:spacing w:after="0"/>
        <w:rPr>
          <w:sz w:val="20"/>
          <w:szCs w:val="20"/>
          <w:color w:val="auto"/>
        </w:rPr>
      </w:pPr>
      <w:r>
        <w:rPr>
          <w:rFonts w:ascii="Arial" w:cs="Arial" w:eastAsia="Arial" w:hAnsi="Arial"/>
          <w:sz w:val="20"/>
          <w:szCs w:val="20"/>
          <w:color w:val="auto"/>
        </w:rPr>
        <w:t>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CERTIFICATE OF AMENDMENT</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OF</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CERTIFICATE OF INCORPORATION</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OF</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UNIPAC CORPORATION</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Under Section 242 of the</w:t>
      </w:r>
    </w:p>
    <w:p>
      <w:pPr>
        <w:jc w:val="center"/>
        <w:ind w:right="-99"/>
        <w:spacing w:after="0"/>
        <w:rPr>
          <w:sz w:val="20"/>
          <w:szCs w:val="20"/>
          <w:color w:val="auto"/>
        </w:rPr>
      </w:pPr>
      <w:r>
        <w:rPr>
          <w:rFonts w:ascii="Arial" w:cs="Arial" w:eastAsia="Arial" w:hAnsi="Arial"/>
          <w:sz w:val="20"/>
          <w:szCs w:val="20"/>
          <w:u w:val="single" w:color="auto"/>
          <w:color w:val="auto"/>
        </w:rPr>
        <w:t>Delaware General Corporation Law</w:t>
      </w:r>
    </w:p>
    <w:p>
      <w:pPr>
        <w:spacing w:after="0" w:line="213" w:lineRule="exact"/>
        <w:rPr>
          <w:sz w:val="20"/>
          <w:szCs w:val="20"/>
          <w:color w:val="auto"/>
        </w:rPr>
      </w:pPr>
    </w:p>
    <w:p>
      <w:pPr>
        <w:ind w:right="40" w:firstLine="1297"/>
        <w:spacing w:after="0" w:line="260" w:lineRule="auto"/>
        <w:rPr>
          <w:sz w:val="20"/>
          <w:szCs w:val="20"/>
          <w:color w:val="auto"/>
        </w:rPr>
      </w:pPr>
      <w:r>
        <w:rPr>
          <w:rFonts w:ascii="Arial" w:cs="Arial" w:eastAsia="Arial" w:hAnsi="Arial"/>
          <w:sz w:val="20"/>
          <w:szCs w:val="20"/>
          <w:color w:val="auto"/>
        </w:rPr>
        <w:t>We, the undersigned, being Chairman and Assistant Secretary of Unipac Corporation, a corporation existing under the laws of the State of Delaware, do hereby certify as follows:</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FIRST: The name of the corporation is Unipac Corporation.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SECOND: The amendment to the certificate of incorporation effected by this certificate is as follows:</w:t>
      </w:r>
    </w:p>
    <w:p>
      <w:pPr>
        <w:spacing w:after="0" w:line="229" w:lineRule="exact"/>
        <w:rPr>
          <w:sz w:val="20"/>
          <w:szCs w:val="20"/>
          <w:color w:val="auto"/>
        </w:rPr>
      </w:pPr>
    </w:p>
    <w:p>
      <w:pPr>
        <w:ind w:left="2660" w:right="20" w:hanging="686"/>
        <w:spacing w:after="0" w:line="479" w:lineRule="auto"/>
        <w:tabs>
          <w:tab w:leader="none" w:pos="2557" w:val="left"/>
        </w:tabs>
        <w:numPr>
          <w:ilvl w:val="0"/>
          <w:numId w:val="49"/>
        </w:numPr>
        <w:rPr>
          <w:rFonts w:ascii="Arial" w:cs="Arial" w:eastAsia="Arial" w:hAnsi="Arial"/>
          <w:sz w:val="20"/>
          <w:szCs w:val="20"/>
          <w:color w:val="auto"/>
        </w:rPr>
      </w:pPr>
      <w:r>
        <w:rPr>
          <w:rFonts w:ascii="Arial" w:cs="Arial" w:eastAsia="Arial" w:hAnsi="Arial"/>
          <w:sz w:val="20"/>
          <w:szCs w:val="20"/>
          <w:color w:val="auto"/>
        </w:rPr>
        <w:t>To delete Article 1 of the certificate of incorporation and substitute in lieu thereof the following new Article 1: “1. The name of the corporation is: HANSEN NATURAL CORPORATION.”</w:t>
      </w:r>
    </w:p>
    <w:p>
      <w:pPr>
        <w:ind w:right="400" w:firstLine="1297"/>
        <w:spacing w:after="0" w:line="260" w:lineRule="auto"/>
        <w:rPr>
          <w:sz w:val="20"/>
          <w:szCs w:val="20"/>
          <w:color w:val="auto"/>
        </w:rPr>
      </w:pPr>
      <w:r>
        <w:rPr>
          <w:rFonts w:ascii="Arial" w:cs="Arial" w:eastAsia="Arial" w:hAnsi="Arial"/>
          <w:sz w:val="20"/>
          <w:szCs w:val="20"/>
          <w:color w:val="auto"/>
        </w:rPr>
        <w:t>THIRD: The amendment of the certificate of incorporation herein certified has been duly adopted in accordance with the provisions of Sections 242 and 141(f) of the General Corporation Law of the State of Delaware.</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 WITNESS WHEREOF, we have signed this certificate this 21st day of October, 1992.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center"/>
        <w:ind w:left="5720"/>
        <w:spacing w:after="0"/>
        <w:rPr>
          <w:sz w:val="20"/>
          <w:szCs w:val="20"/>
          <w:color w:val="auto"/>
        </w:rPr>
      </w:pPr>
      <w:r>
        <w:rPr>
          <w:rFonts w:ascii="Arial" w:cs="Arial" w:eastAsia="Arial" w:hAnsi="Arial"/>
          <w:sz w:val="20"/>
          <w:szCs w:val="20"/>
          <w:color w:val="auto"/>
        </w:rPr>
        <w:t>Rodney C. Sacks, Chairman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29"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/s/ Benjamin M. Polk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20"/>
          <w:szCs w:val="20"/>
          <w:color w:val="auto"/>
        </w:rPr>
        <w:t>Benjamin M. Polk, Assistant</w:t>
      </w:r>
    </w:p>
    <w:p>
      <w:pPr>
        <w:spacing w:after="0" w:line="8" w:lineRule="exact"/>
        <w:rPr>
          <w:sz w:val="20"/>
          <w:szCs w:val="20"/>
          <w:color w:val="auto"/>
        </w:rPr>
      </w:pPr>
    </w:p>
    <w:p>
      <w:pPr>
        <w:ind w:left="2140"/>
        <w:spacing w:after="0"/>
        <w:rPr>
          <w:sz w:val="20"/>
          <w:szCs w:val="20"/>
          <w:color w:val="auto"/>
        </w:rPr>
      </w:pPr>
      <w:r>
        <w:rPr>
          <w:rFonts w:ascii="Arial" w:cs="Arial" w:eastAsia="Arial" w:hAnsi="Arial"/>
          <w:sz w:val="20"/>
          <w:szCs w:val="20"/>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CERTIFICATE OF AMENDMENT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OF</w:t>
      </w:r>
    </w:p>
    <w:p>
      <w:pPr>
        <w:jc w:val="center"/>
        <w:ind w:right="-99"/>
        <w:spacing w:after="0"/>
        <w:rPr>
          <w:sz w:val="20"/>
          <w:szCs w:val="20"/>
          <w:color w:val="auto"/>
        </w:rPr>
      </w:pPr>
      <w:r>
        <w:rPr>
          <w:rFonts w:ascii="Arial" w:cs="Arial" w:eastAsia="Arial" w:hAnsi="Arial"/>
          <w:sz w:val="20"/>
          <w:szCs w:val="20"/>
          <w:b w:val="1"/>
          <w:bCs w:val="1"/>
          <w:color w:val="auto"/>
        </w:rPr>
        <w:t>CERTIFICATE OF INCORPORATION</w:t>
      </w:r>
    </w:p>
    <w:p>
      <w:pPr>
        <w:jc w:val="center"/>
        <w:ind w:right="-99"/>
        <w:spacing w:after="0"/>
        <w:rPr>
          <w:sz w:val="20"/>
          <w:szCs w:val="20"/>
          <w:color w:val="auto"/>
        </w:rPr>
      </w:pPr>
      <w:r>
        <w:rPr>
          <w:rFonts w:ascii="Arial" w:cs="Arial" w:eastAsia="Arial" w:hAnsi="Arial"/>
          <w:sz w:val="20"/>
          <w:szCs w:val="20"/>
          <w:b w:val="1"/>
          <w:bCs w:val="1"/>
          <w:color w:val="auto"/>
        </w:rPr>
        <w:t>OF</w:t>
      </w:r>
    </w:p>
    <w:p>
      <w:pPr>
        <w:jc w:val="center"/>
        <w:ind w:right="-99"/>
        <w:spacing w:after="0"/>
        <w:rPr>
          <w:sz w:val="20"/>
          <w:szCs w:val="20"/>
          <w:color w:val="auto"/>
        </w:rPr>
      </w:pPr>
      <w:r>
        <w:rPr>
          <w:rFonts w:ascii="Arial" w:cs="Arial" w:eastAsia="Arial" w:hAnsi="Arial"/>
          <w:sz w:val="20"/>
          <w:szCs w:val="20"/>
          <w:b w:val="1"/>
          <w:bCs w:val="1"/>
          <w:color w:val="auto"/>
        </w:rPr>
        <w:t>HANSEN NATURAL CORPORATION</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Under Section 242 of the</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Delaware General Corporation Law</w:t>
      </w:r>
    </w:p>
    <w:p>
      <w:pPr>
        <w:spacing w:after="0" w:line="213"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We, the undersigned, being Chairman and Assistant Secretary of Hansen Natural Corporation, a corporation existing under the laws of the State of Delaware, do hereby certify as follows:</w:t>
      </w:r>
    </w:p>
    <w:p>
      <w:pPr>
        <w:sectPr>
          <w:pgSz w:w="11900" w:h="16838" w:orient="portrait"/>
          <w:cols w:equalWidth="0" w:num="1">
            <w:col w:w="11320"/>
          </w:cols>
          <w:pgMar w:left="240" w:top="595" w:right="339" w:bottom="197" w:gutter="0" w:footer="0" w:header="0"/>
        </w:sectPr>
      </w:pP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name of the Corporation is Hansen Natural Corporation.</w:t>
      </w:r>
    </w:p>
    <w:p>
      <w:pPr>
        <w:spacing w:after="0" w:line="222" w:lineRule="exact"/>
        <w:rPr>
          <w:sz w:val="20"/>
          <w:szCs w:val="20"/>
          <w:color w:val="auto"/>
        </w:rPr>
      </w:pPr>
    </w:p>
    <w:p>
      <w:pPr>
        <w:sectPr>
          <w:pgSz w:w="11900" w:h="16838" w:orient="portrait"/>
          <w:cols w:equalWidth="0" w:num="2">
            <w:col w:w="1880" w:space="660"/>
            <w:col w:w="8780"/>
          </w:cols>
          <w:pgMar w:left="240" w:top="595" w:right="339" w:bottom="197" w:gutter="0" w:footer="0" w:header="0"/>
          <w:type w:val="continuous"/>
        </w:sectPr>
      </w:pPr>
    </w:p>
    <w:p>
      <w:pPr>
        <w:spacing w:after="0" w:line="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SECOND: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amendment to the certificate of incorporation effected by this Certificate is as follows:</w:t>
      </w:r>
    </w:p>
    <w:p>
      <w:pPr>
        <w:sectPr>
          <w:pgSz w:w="11900" w:h="16838" w:orient="portrait"/>
          <w:cols w:equalWidth="0" w:num="2">
            <w:col w:w="2160" w:space="380"/>
            <w:col w:w="8780"/>
          </w:cols>
          <w:pgMar w:left="240" w:top="595" w:right="339" w:bottom="197" w:gutter="0" w:footer="0" w:header="0"/>
          <w:type w:val="continuous"/>
        </w:sectPr>
      </w:pPr>
    </w:p>
    <w:bookmarkStart w:id="73" w:name="page74"/>
    <w:bookmarkEnd w:id="73"/>
    <w:p>
      <w:pPr>
        <w:ind w:left="1980" w:right="260" w:hanging="21"/>
        <w:spacing w:after="0" w:line="262" w:lineRule="auto"/>
        <w:rPr>
          <w:sz w:val="20"/>
          <w:szCs w:val="20"/>
          <w:color w:val="auto"/>
        </w:rPr>
      </w:pPr>
      <w:r>
        <w:rPr>
          <w:rFonts w:ascii="Arial" w:cs="Arial" w:eastAsia="Arial" w:hAnsi="Arial"/>
          <w:sz w:val="20"/>
          <w:szCs w:val="20"/>
          <w:color w:val="auto"/>
        </w:rPr>
        <w:t>To delete ARTICLE IV of the certificate of incorporation and substitute in lieu thereof the following new ARTICLE IV:</w:t>
      </w:r>
    </w:p>
    <w:p>
      <w:pPr>
        <w:spacing w:after="0" w:line="188" w:lineRule="exact"/>
        <w:rPr>
          <w:sz w:val="20"/>
          <w:szCs w:val="20"/>
          <w:color w:val="auto"/>
        </w:rPr>
      </w:pPr>
    </w:p>
    <w:p>
      <w:pPr>
        <w:ind w:left="2620" w:right="120"/>
        <w:spacing w:after="0" w:line="260" w:lineRule="auto"/>
        <w:rPr>
          <w:sz w:val="20"/>
          <w:szCs w:val="20"/>
          <w:color w:val="auto"/>
        </w:rPr>
      </w:pPr>
      <w:r>
        <w:rPr>
          <w:rFonts w:ascii="Arial" w:cs="Arial" w:eastAsia="Arial" w:hAnsi="Arial"/>
          <w:sz w:val="20"/>
          <w:szCs w:val="20"/>
          <w:color w:val="auto"/>
        </w:rPr>
        <w:t>The aggregate number of shares of stock that the Corporation shall have authority to issue is one hundred and twenty million (120,000,000) shares of common stock $0.005 par value per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ind w:left="1300"/>
              <w:spacing w:after="0"/>
              <w:rPr>
                <w:sz w:val="20"/>
                <w:szCs w:val="20"/>
                <w:color w:val="auto"/>
              </w:rPr>
            </w:pPr>
            <w:r>
              <w:rPr>
                <w:rFonts w:ascii="Arial" w:cs="Arial" w:eastAsia="Arial" w:hAnsi="Arial"/>
                <w:sz w:val="20"/>
                <w:szCs w:val="20"/>
                <w:color w:val="auto"/>
              </w:rPr>
              <w:t>THIRD:</w:t>
            </w:r>
          </w:p>
        </w:tc>
        <w:tc>
          <w:tcPr>
            <w:tcW w:w="9160" w:type="dxa"/>
            <w:vAlign w:val="bottom"/>
            <w:gridSpan w:val="5"/>
          </w:tcPr>
          <w:p>
            <w:pPr>
              <w:jc w:val="right"/>
              <w:spacing w:after="0"/>
              <w:rPr>
                <w:sz w:val="20"/>
                <w:szCs w:val="20"/>
                <w:color w:val="auto"/>
              </w:rPr>
            </w:pPr>
            <w:r>
              <w:rPr>
                <w:rFonts w:ascii="Arial" w:cs="Arial" w:eastAsia="Arial" w:hAnsi="Arial"/>
                <w:sz w:val="20"/>
                <w:szCs w:val="20"/>
                <w:color w:val="auto"/>
                <w:w w:val="92"/>
              </w:rPr>
              <w:t>The amendment of the certificate of incorporation herein certified has been duly adopted in accordance with the</w:t>
            </w:r>
          </w:p>
        </w:tc>
      </w:tr>
      <w:tr>
        <w:trPr>
          <w:trHeight w:val="250"/>
        </w:trPr>
        <w:tc>
          <w:tcPr>
            <w:tcW w:w="7660" w:type="dxa"/>
            <w:vAlign w:val="bottom"/>
            <w:gridSpan w:val="5"/>
          </w:tcPr>
          <w:p>
            <w:pPr>
              <w:spacing w:after="0"/>
              <w:rPr>
                <w:sz w:val="20"/>
                <w:szCs w:val="20"/>
                <w:color w:val="auto"/>
              </w:rPr>
            </w:pPr>
            <w:r>
              <w:rPr>
                <w:rFonts w:ascii="Arial" w:cs="Arial" w:eastAsia="Arial" w:hAnsi="Arial"/>
                <w:sz w:val="20"/>
                <w:szCs w:val="20"/>
                <w:color w:val="auto"/>
                <w:w w:val="91"/>
              </w:rPr>
              <w:t>provisions of Section 242 and 141(f) of the General Corporation Law of the State of Delaware.</w:t>
            </w:r>
          </w:p>
        </w:tc>
        <w:tc>
          <w:tcPr>
            <w:tcW w:w="3760" w:type="dxa"/>
            <w:vAlign w:val="bottom"/>
          </w:tcPr>
          <w:p>
            <w:pPr>
              <w:spacing w:after="0"/>
              <w:rPr>
                <w:sz w:val="21"/>
                <w:szCs w:val="21"/>
                <w:color w:val="auto"/>
              </w:rPr>
            </w:pPr>
          </w:p>
        </w:tc>
      </w:tr>
      <w:tr>
        <w:trPr>
          <w:trHeight w:val="415"/>
        </w:trPr>
        <w:tc>
          <w:tcPr>
            <w:tcW w:w="6220" w:type="dxa"/>
            <w:vAlign w:val="bottom"/>
            <w:gridSpan w:val="2"/>
          </w:tcPr>
          <w:p>
            <w:pPr>
              <w:ind w:left="1300"/>
              <w:spacing w:after="0"/>
              <w:rPr>
                <w:sz w:val="20"/>
                <w:szCs w:val="20"/>
                <w:color w:val="auto"/>
              </w:rPr>
            </w:pPr>
            <w:r>
              <w:rPr>
                <w:rFonts w:ascii="Arial" w:cs="Arial" w:eastAsia="Arial" w:hAnsi="Arial"/>
                <w:sz w:val="20"/>
                <w:szCs w:val="20"/>
                <w:color w:val="auto"/>
                <w:w w:val="91"/>
              </w:rPr>
              <w:t>IN WITNESS THEREOF, we have signed this Certificate the</w:t>
            </w:r>
          </w:p>
        </w:tc>
        <w:tc>
          <w:tcPr>
            <w:tcW w:w="260" w:type="dxa"/>
            <w:vAlign w:val="bottom"/>
            <w:tcBorders>
              <w:bottom w:val="single" w:sz="8" w:color="auto"/>
            </w:tcBorders>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20"/>
                <w:szCs w:val="20"/>
                <w:color w:val="auto"/>
                <w:w w:val="95"/>
              </w:rPr>
              <w:t>day of</w:t>
            </w:r>
          </w:p>
        </w:tc>
        <w:tc>
          <w:tcPr>
            <w:tcW w:w="540" w:type="dxa"/>
            <w:vAlign w:val="bottom"/>
            <w:tcBorders>
              <w:bottom w:val="single" w:sz="8" w:color="auto"/>
            </w:tcBorders>
          </w:tcPr>
          <w:p>
            <w:pPr>
              <w:spacing w:after="0"/>
              <w:rPr>
                <w:sz w:val="24"/>
                <w:szCs w:val="24"/>
                <w:color w:val="auto"/>
              </w:rPr>
            </w:pPr>
          </w:p>
        </w:tc>
        <w:tc>
          <w:tcPr>
            <w:tcW w:w="3760" w:type="dxa"/>
            <w:vAlign w:val="bottom"/>
          </w:tcPr>
          <w:p>
            <w:pPr>
              <w:jc w:val="right"/>
              <w:ind w:right="3061"/>
              <w:spacing w:after="0"/>
              <w:rPr>
                <w:sz w:val="20"/>
                <w:szCs w:val="20"/>
                <w:color w:val="auto"/>
              </w:rPr>
            </w:pPr>
            <w:r>
              <w:rPr>
                <w:rFonts w:ascii="Arial" w:cs="Arial" w:eastAsia="Arial" w:hAnsi="Arial"/>
                <w:sz w:val="20"/>
                <w:szCs w:val="20"/>
                <w:color w:val="auto"/>
                <w:w w:val="94"/>
              </w:rPr>
              <w:t>, 2006.</w:t>
            </w:r>
          </w:p>
        </w:tc>
      </w:tr>
    </w:tbl>
    <w:p>
      <w:pPr>
        <w:spacing w:after="0" w:line="200" w:lineRule="exact"/>
        <w:rPr>
          <w:sz w:val="20"/>
          <w:szCs w:val="20"/>
          <w:color w:val="auto"/>
        </w:rPr>
      </w:pPr>
    </w:p>
    <w:p>
      <w:pPr>
        <w:spacing w:after="0" w:line="269"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center"/>
        <w:ind w:left="5720"/>
        <w:spacing w:after="0"/>
        <w:rPr>
          <w:sz w:val="20"/>
          <w:szCs w:val="20"/>
          <w:color w:val="auto"/>
        </w:rPr>
      </w:pPr>
      <w:r>
        <w:rPr>
          <w:rFonts w:ascii="Arial" w:cs="Arial" w:eastAsia="Arial" w:hAnsi="Arial"/>
          <w:sz w:val="20"/>
          <w:szCs w:val="20"/>
          <w:color w:val="auto"/>
        </w:rPr>
        <w:t>Rodney C. Sacks, Chairman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59"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/s/ Hilton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ind w:left="900"/>
        <w:spacing w:after="0"/>
        <w:rPr>
          <w:sz w:val="20"/>
          <w:szCs w:val="20"/>
          <w:color w:val="auto"/>
        </w:rPr>
      </w:pPr>
      <w:r>
        <w:rPr>
          <w:rFonts w:ascii="Arial" w:cs="Arial" w:eastAsia="Arial" w:hAnsi="Arial"/>
          <w:sz w:val="20"/>
          <w:szCs w:val="20"/>
          <w:color w:val="auto"/>
        </w:rPr>
        <w:t>Secretary</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20"/>
          <w:szCs w:val="20"/>
          <w:color w:val="auto"/>
        </w:rPr>
        <w:t>Hilton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p>
      <w:pPr>
        <w:ind w:left="10480"/>
        <w:spacing w:after="0"/>
        <w:rPr>
          <w:sz w:val="20"/>
          <w:szCs w:val="20"/>
          <w:color w:val="auto"/>
        </w:rPr>
      </w:pPr>
      <w:r>
        <w:rPr>
          <w:rFonts w:ascii="Arial" w:cs="Arial" w:eastAsia="Arial" w:hAnsi="Arial"/>
          <w:sz w:val="17"/>
          <w:szCs w:val="17"/>
          <w:b w:val="1"/>
          <w:bCs w:val="1"/>
          <w:color w:val="auto"/>
        </w:rPr>
        <w:t>Exhibit 10.8</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June 29, 2009</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Mr. Nick Gagliardi</w:t>
      </w:r>
    </w:p>
    <w:p>
      <w:pPr>
        <w:spacing w:after="0" w:line="238" w:lineRule="auto"/>
        <w:rPr>
          <w:sz w:val="20"/>
          <w:szCs w:val="20"/>
          <w:color w:val="auto"/>
        </w:rPr>
      </w:pPr>
      <w:r>
        <w:rPr>
          <w:rFonts w:ascii="Arial" w:cs="Arial" w:eastAsia="Arial" w:hAnsi="Arial"/>
          <w:sz w:val="22"/>
          <w:szCs w:val="22"/>
          <w:color w:val="auto"/>
        </w:rPr>
        <w:t>2281 Cambridge Avenue</w:t>
      </w:r>
    </w:p>
    <w:p>
      <w:pPr>
        <w:spacing w:after="0"/>
        <w:rPr>
          <w:sz w:val="20"/>
          <w:szCs w:val="20"/>
          <w:color w:val="auto"/>
        </w:rPr>
      </w:pPr>
      <w:r>
        <w:rPr>
          <w:rFonts w:ascii="Arial" w:cs="Arial" w:eastAsia="Arial" w:hAnsi="Arial"/>
          <w:sz w:val="22"/>
          <w:szCs w:val="22"/>
          <w:color w:val="auto"/>
        </w:rPr>
        <w:t>Cardiff by the Sea, CA 92007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Dear Nick:</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Following your recent discussion with Mark Hall, I set out below our employment offer (the “Agreement) to you for the position of</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Chief Operating Officer of the Monster Beverage Division of Hansen Beverage Company (“Hansen” or the “Company”):</w:t>
      </w:r>
    </w:p>
    <w:p>
      <w:pPr>
        <w:spacing w:after="0" w:line="200"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Total Compensation.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60" w:type="dxa"/>
            <w:vAlign w:val="bottom"/>
          </w:tcPr>
          <w:p>
            <w:pPr>
              <w:jc w:val="right"/>
              <w:spacing w:after="0"/>
              <w:rPr>
                <w:sz w:val="20"/>
                <w:szCs w:val="20"/>
                <w:color w:val="auto"/>
              </w:rPr>
            </w:pPr>
            <w:r>
              <w:rPr>
                <w:rFonts w:ascii="Arial" w:cs="Arial" w:eastAsia="Arial" w:hAnsi="Arial"/>
                <w:sz w:val="22"/>
                <w:szCs w:val="22"/>
                <w:color w:val="auto"/>
              </w:rPr>
              <w:t>1.1</w:t>
            </w:r>
          </w:p>
        </w:tc>
        <w:tc>
          <w:tcPr>
            <w:tcW w:w="2420" w:type="dxa"/>
            <w:vAlign w:val="bottom"/>
          </w:tcPr>
          <w:p>
            <w:pPr>
              <w:ind w:left="20"/>
              <w:spacing w:after="0"/>
              <w:rPr>
                <w:sz w:val="20"/>
                <w:szCs w:val="20"/>
                <w:color w:val="auto"/>
              </w:rPr>
            </w:pPr>
            <w:r>
              <w:rPr>
                <w:rFonts w:ascii="Arial" w:cs="Arial" w:eastAsia="Arial" w:hAnsi="Arial"/>
                <w:sz w:val="22"/>
                <w:szCs w:val="22"/>
                <w:color w:val="auto"/>
              </w:rPr>
              <w:t>Basic Salary:</w:t>
            </w:r>
          </w:p>
        </w:tc>
        <w:tc>
          <w:tcPr>
            <w:tcW w:w="8080" w:type="dxa"/>
            <w:vAlign w:val="bottom"/>
          </w:tcPr>
          <w:p>
            <w:pPr>
              <w:ind w:left="360"/>
              <w:spacing w:after="0"/>
              <w:rPr>
                <w:sz w:val="20"/>
                <w:szCs w:val="20"/>
                <w:color w:val="auto"/>
              </w:rPr>
            </w:pPr>
            <w:r>
              <w:rPr>
                <w:rFonts w:ascii="Arial" w:cs="Arial" w:eastAsia="Arial" w:hAnsi="Arial"/>
                <w:sz w:val="22"/>
                <w:szCs w:val="22"/>
                <w:color w:val="auto"/>
              </w:rPr>
              <w:t>$9807.70 paid bi-weekly. (Annualized to $255,000 for information only).</w:t>
            </w:r>
          </w:p>
        </w:tc>
      </w:tr>
      <w:tr>
        <w:trPr>
          <w:trHeight w:val="486"/>
        </w:trPr>
        <w:tc>
          <w:tcPr>
            <w:tcW w:w="960" w:type="dxa"/>
            <w:vAlign w:val="bottom"/>
          </w:tcPr>
          <w:p>
            <w:pPr>
              <w:jc w:val="right"/>
              <w:spacing w:after="0"/>
              <w:rPr>
                <w:sz w:val="20"/>
                <w:szCs w:val="20"/>
                <w:color w:val="auto"/>
              </w:rPr>
            </w:pPr>
            <w:r>
              <w:rPr>
                <w:rFonts w:ascii="Arial" w:cs="Arial" w:eastAsia="Arial" w:hAnsi="Arial"/>
                <w:sz w:val="22"/>
                <w:szCs w:val="22"/>
                <w:color w:val="auto"/>
              </w:rPr>
              <w:t>1.2</w:t>
            </w:r>
          </w:p>
        </w:tc>
        <w:tc>
          <w:tcPr>
            <w:tcW w:w="2420" w:type="dxa"/>
            <w:vAlign w:val="bottom"/>
          </w:tcPr>
          <w:p>
            <w:pPr>
              <w:ind w:left="20"/>
              <w:spacing w:after="0"/>
              <w:rPr>
                <w:sz w:val="20"/>
                <w:szCs w:val="20"/>
                <w:color w:val="auto"/>
              </w:rPr>
            </w:pPr>
            <w:r>
              <w:rPr>
                <w:rFonts w:ascii="Arial" w:cs="Arial" w:eastAsia="Arial" w:hAnsi="Arial"/>
                <w:sz w:val="22"/>
                <w:szCs w:val="22"/>
                <w:color w:val="auto"/>
              </w:rPr>
              <w:t>Dislocation Allowance:</w:t>
            </w:r>
          </w:p>
        </w:tc>
        <w:tc>
          <w:tcPr>
            <w:tcW w:w="8080" w:type="dxa"/>
            <w:vAlign w:val="bottom"/>
          </w:tcPr>
          <w:p>
            <w:pPr>
              <w:ind w:left="360"/>
              <w:spacing w:after="0"/>
              <w:rPr>
                <w:sz w:val="20"/>
                <w:szCs w:val="20"/>
                <w:color w:val="auto"/>
              </w:rPr>
            </w:pPr>
            <w:r>
              <w:rPr>
                <w:rFonts w:ascii="Arial" w:cs="Arial" w:eastAsia="Arial" w:hAnsi="Arial"/>
                <w:sz w:val="22"/>
                <w:szCs w:val="22"/>
                <w:color w:val="auto"/>
              </w:rPr>
              <w:t>$769.23 paid bi-weekly. (Annualized to $20,000.00 for information only.</w:t>
            </w:r>
          </w:p>
        </w:tc>
      </w:tr>
      <w:tr>
        <w:trPr>
          <w:trHeight w:val="486"/>
        </w:trPr>
        <w:tc>
          <w:tcPr>
            <w:tcW w:w="960" w:type="dxa"/>
            <w:vAlign w:val="bottom"/>
          </w:tcPr>
          <w:p>
            <w:pPr>
              <w:jc w:val="right"/>
              <w:spacing w:after="0"/>
              <w:rPr>
                <w:sz w:val="20"/>
                <w:szCs w:val="20"/>
                <w:color w:val="auto"/>
              </w:rPr>
            </w:pPr>
            <w:r>
              <w:rPr>
                <w:rFonts w:ascii="Arial" w:cs="Arial" w:eastAsia="Arial" w:hAnsi="Arial"/>
                <w:sz w:val="22"/>
                <w:szCs w:val="22"/>
                <w:color w:val="auto"/>
              </w:rPr>
              <w:t>1.3</w:t>
            </w:r>
          </w:p>
        </w:tc>
        <w:tc>
          <w:tcPr>
            <w:tcW w:w="2420" w:type="dxa"/>
            <w:vAlign w:val="bottom"/>
          </w:tcPr>
          <w:p>
            <w:pPr>
              <w:ind w:left="20"/>
              <w:spacing w:after="0"/>
              <w:rPr>
                <w:sz w:val="20"/>
                <w:szCs w:val="20"/>
                <w:color w:val="auto"/>
              </w:rPr>
            </w:pPr>
            <w:r>
              <w:rPr>
                <w:rFonts w:ascii="Arial" w:cs="Arial" w:eastAsia="Arial" w:hAnsi="Arial"/>
                <w:sz w:val="22"/>
                <w:szCs w:val="22"/>
                <w:color w:val="auto"/>
              </w:rPr>
              <w:t>Auto Allowance:</w:t>
            </w:r>
          </w:p>
        </w:tc>
        <w:tc>
          <w:tcPr>
            <w:tcW w:w="8080" w:type="dxa"/>
            <w:vAlign w:val="bottom"/>
          </w:tcPr>
          <w:p>
            <w:pPr>
              <w:ind w:left="360"/>
              <w:spacing w:after="0"/>
              <w:rPr>
                <w:sz w:val="20"/>
                <w:szCs w:val="20"/>
                <w:color w:val="auto"/>
              </w:rPr>
            </w:pPr>
            <w:r>
              <w:rPr>
                <w:rFonts w:ascii="Arial" w:cs="Arial" w:eastAsia="Arial" w:hAnsi="Arial"/>
                <w:sz w:val="22"/>
                <w:szCs w:val="22"/>
                <w:color w:val="auto"/>
              </w:rPr>
              <w:t>$700.00 per month. (Annualized to $8,400 for information only.)</w:t>
            </w:r>
          </w:p>
        </w:tc>
      </w:tr>
      <w:tr>
        <w:trPr>
          <w:trHeight w:val="486"/>
        </w:trPr>
        <w:tc>
          <w:tcPr>
            <w:tcW w:w="960" w:type="dxa"/>
            <w:vAlign w:val="bottom"/>
          </w:tcPr>
          <w:p>
            <w:pPr>
              <w:jc w:val="right"/>
              <w:spacing w:after="0"/>
              <w:rPr>
                <w:sz w:val="20"/>
                <w:szCs w:val="20"/>
                <w:color w:val="auto"/>
              </w:rPr>
            </w:pPr>
            <w:r>
              <w:rPr>
                <w:rFonts w:ascii="Arial" w:cs="Arial" w:eastAsia="Arial" w:hAnsi="Arial"/>
                <w:sz w:val="22"/>
                <w:szCs w:val="22"/>
                <w:color w:val="auto"/>
              </w:rPr>
              <w:t>1.4</w:t>
            </w:r>
          </w:p>
        </w:tc>
        <w:tc>
          <w:tcPr>
            <w:tcW w:w="2420" w:type="dxa"/>
            <w:vAlign w:val="bottom"/>
          </w:tcPr>
          <w:p>
            <w:pPr>
              <w:ind w:left="20"/>
              <w:spacing w:after="0"/>
              <w:rPr>
                <w:sz w:val="20"/>
                <w:szCs w:val="20"/>
                <w:color w:val="auto"/>
              </w:rPr>
            </w:pPr>
            <w:r>
              <w:rPr>
                <w:rFonts w:ascii="Arial" w:cs="Arial" w:eastAsia="Arial" w:hAnsi="Arial"/>
                <w:sz w:val="22"/>
                <w:szCs w:val="22"/>
                <w:color w:val="auto"/>
              </w:rPr>
              <w:t>Gas Allowance:</w:t>
            </w:r>
          </w:p>
        </w:tc>
        <w:tc>
          <w:tcPr>
            <w:tcW w:w="8080" w:type="dxa"/>
            <w:vAlign w:val="bottom"/>
          </w:tcPr>
          <w:p>
            <w:pPr>
              <w:ind w:left="360"/>
              <w:spacing w:after="0"/>
              <w:rPr>
                <w:sz w:val="20"/>
                <w:szCs w:val="20"/>
                <w:color w:val="auto"/>
              </w:rPr>
            </w:pPr>
            <w:r>
              <w:rPr>
                <w:rFonts w:ascii="Arial" w:cs="Arial" w:eastAsia="Arial" w:hAnsi="Arial"/>
                <w:sz w:val="22"/>
                <w:szCs w:val="22"/>
                <w:color w:val="auto"/>
              </w:rPr>
              <w:t>Reimbursement of costs.</w:t>
            </w:r>
          </w:p>
        </w:tc>
      </w:tr>
      <w:tr>
        <w:trPr>
          <w:trHeight w:val="455"/>
        </w:trPr>
        <w:tc>
          <w:tcPr>
            <w:tcW w:w="960" w:type="dxa"/>
            <w:vAlign w:val="bottom"/>
          </w:tcPr>
          <w:p>
            <w:pPr>
              <w:jc w:val="right"/>
              <w:spacing w:after="0"/>
              <w:rPr>
                <w:sz w:val="20"/>
                <w:szCs w:val="20"/>
                <w:color w:val="auto"/>
              </w:rPr>
            </w:pPr>
            <w:r>
              <w:rPr>
                <w:rFonts w:ascii="Arial" w:cs="Arial" w:eastAsia="Arial" w:hAnsi="Arial"/>
                <w:sz w:val="22"/>
                <w:szCs w:val="22"/>
                <w:color w:val="auto"/>
              </w:rPr>
              <w:t>1.5</w:t>
            </w:r>
          </w:p>
        </w:tc>
        <w:tc>
          <w:tcPr>
            <w:tcW w:w="2420" w:type="dxa"/>
            <w:vAlign w:val="bottom"/>
          </w:tcPr>
          <w:p>
            <w:pPr>
              <w:ind w:left="20"/>
              <w:spacing w:after="0"/>
              <w:rPr>
                <w:sz w:val="20"/>
                <w:szCs w:val="20"/>
                <w:color w:val="auto"/>
              </w:rPr>
            </w:pPr>
            <w:r>
              <w:rPr>
                <w:rFonts w:ascii="Arial" w:cs="Arial" w:eastAsia="Arial" w:hAnsi="Arial"/>
                <w:sz w:val="22"/>
                <w:szCs w:val="22"/>
                <w:color w:val="auto"/>
              </w:rPr>
              <w:t>Medical/Dental:</w:t>
            </w:r>
          </w:p>
        </w:tc>
        <w:tc>
          <w:tcPr>
            <w:tcW w:w="8080" w:type="dxa"/>
            <w:vAlign w:val="bottom"/>
          </w:tcPr>
          <w:p>
            <w:pPr>
              <w:ind w:left="360"/>
              <w:spacing w:after="0"/>
              <w:rPr>
                <w:sz w:val="20"/>
                <w:szCs w:val="20"/>
                <w:color w:val="auto"/>
              </w:rPr>
            </w:pPr>
            <w:r>
              <w:rPr>
                <w:rFonts w:ascii="Arial" w:cs="Arial" w:eastAsia="Arial" w:hAnsi="Arial"/>
                <w:sz w:val="22"/>
                <w:szCs w:val="22"/>
                <w:color w:val="auto"/>
                <w:w w:val="97"/>
              </w:rPr>
              <w:t>Employee and family will be fully covered by the Company in accordance with the</w:t>
            </w:r>
          </w:p>
        </w:tc>
      </w:tr>
      <w:tr>
        <w:trPr>
          <w:trHeight w:val="243"/>
        </w:trPr>
        <w:tc>
          <w:tcPr>
            <w:tcW w:w="9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8080" w:type="dxa"/>
            <w:vAlign w:val="bottom"/>
          </w:tcPr>
          <w:p>
            <w:pPr>
              <w:ind w:left="360"/>
              <w:spacing w:after="0" w:line="243" w:lineRule="exact"/>
              <w:rPr>
                <w:sz w:val="20"/>
                <w:szCs w:val="20"/>
                <w:color w:val="auto"/>
              </w:rPr>
            </w:pPr>
            <w:r>
              <w:rPr>
                <w:rFonts w:ascii="Arial" w:cs="Arial" w:eastAsia="Arial" w:hAnsi="Arial"/>
                <w:sz w:val="22"/>
                <w:szCs w:val="22"/>
                <w:color w:val="auto"/>
                <w:w w:val="90"/>
              </w:rPr>
              <w:t>rules and procedures set forth in the Company’s Employee Handbook and in the Group</w:t>
            </w:r>
          </w:p>
        </w:tc>
      </w:tr>
      <w:tr>
        <w:trPr>
          <w:trHeight w:val="243"/>
        </w:trPr>
        <w:tc>
          <w:tcPr>
            <w:tcW w:w="9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8080" w:type="dxa"/>
            <w:vAlign w:val="bottom"/>
          </w:tcPr>
          <w:p>
            <w:pPr>
              <w:ind w:left="360"/>
              <w:spacing w:after="0" w:line="243" w:lineRule="exact"/>
              <w:rPr>
                <w:sz w:val="20"/>
                <w:szCs w:val="20"/>
                <w:color w:val="auto"/>
              </w:rPr>
            </w:pPr>
            <w:r>
              <w:rPr>
                <w:rFonts w:ascii="Arial" w:cs="Arial" w:eastAsia="Arial" w:hAnsi="Arial"/>
                <w:sz w:val="22"/>
                <w:szCs w:val="22"/>
                <w:color w:val="auto"/>
                <w:w w:val="96"/>
              </w:rPr>
              <w:t>Insurance Plan documents. This includes medical insurance, dental insurance, life</w:t>
            </w:r>
          </w:p>
        </w:tc>
      </w:tr>
      <w:tr>
        <w:trPr>
          <w:trHeight w:val="243"/>
        </w:trPr>
        <w:tc>
          <w:tcPr>
            <w:tcW w:w="9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8080" w:type="dxa"/>
            <w:vAlign w:val="bottom"/>
          </w:tcPr>
          <w:p>
            <w:pPr>
              <w:ind w:left="360"/>
              <w:spacing w:after="0" w:line="243" w:lineRule="exact"/>
              <w:rPr>
                <w:sz w:val="20"/>
                <w:szCs w:val="20"/>
                <w:color w:val="auto"/>
              </w:rPr>
            </w:pPr>
            <w:r>
              <w:rPr>
                <w:rFonts w:ascii="Arial" w:cs="Arial" w:eastAsia="Arial" w:hAnsi="Arial"/>
                <w:sz w:val="22"/>
                <w:szCs w:val="22"/>
                <w:color w:val="auto"/>
              </w:rPr>
              <w:t>insurance, vision insurance and long term disability insurance. Medical/Dental</w:t>
            </w:r>
          </w:p>
        </w:tc>
      </w:tr>
      <w:tr>
        <w:trPr>
          <w:trHeight w:val="243"/>
        </w:trPr>
        <w:tc>
          <w:tcPr>
            <w:tcW w:w="9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8080" w:type="dxa"/>
            <w:vAlign w:val="bottom"/>
          </w:tcPr>
          <w:p>
            <w:pPr>
              <w:ind w:left="360"/>
              <w:spacing w:after="0" w:line="243" w:lineRule="exact"/>
              <w:rPr>
                <w:sz w:val="20"/>
                <w:szCs w:val="20"/>
                <w:color w:val="auto"/>
              </w:rPr>
            </w:pPr>
            <w:r>
              <w:rPr>
                <w:rFonts w:ascii="Arial" w:cs="Arial" w:eastAsia="Arial" w:hAnsi="Arial"/>
                <w:sz w:val="22"/>
                <w:szCs w:val="22"/>
                <w:color w:val="auto"/>
                <w:w w:val="93"/>
              </w:rPr>
              <w:t>eligibility is effective the first day of the month following 30 days from the date of hire</w:t>
            </w:r>
          </w:p>
        </w:tc>
      </w:tr>
      <w:tr>
        <w:trPr>
          <w:trHeight w:val="243"/>
        </w:trPr>
        <w:tc>
          <w:tcPr>
            <w:tcW w:w="9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8080" w:type="dxa"/>
            <w:vAlign w:val="bottom"/>
          </w:tcPr>
          <w:p>
            <w:pPr>
              <w:ind w:left="360"/>
              <w:spacing w:after="0" w:line="243" w:lineRule="exact"/>
              <w:rPr>
                <w:sz w:val="20"/>
                <w:szCs w:val="20"/>
                <w:color w:val="auto"/>
              </w:rPr>
            </w:pPr>
            <w:r>
              <w:rPr>
                <w:rFonts w:ascii="Arial" w:cs="Arial" w:eastAsia="Arial" w:hAnsi="Arial"/>
                <w:sz w:val="22"/>
                <w:szCs w:val="22"/>
                <w:color w:val="auto"/>
                <w:w w:val="93"/>
              </w:rPr>
              <w:t>as a full-time employee. The Company offers a supplemental insurance plan offering</w:t>
            </w:r>
          </w:p>
        </w:tc>
      </w:tr>
      <w:tr>
        <w:trPr>
          <w:trHeight w:val="243"/>
        </w:trPr>
        <w:tc>
          <w:tcPr>
            <w:tcW w:w="9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8080" w:type="dxa"/>
            <w:vAlign w:val="bottom"/>
          </w:tcPr>
          <w:p>
            <w:pPr>
              <w:ind w:left="360"/>
              <w:spacing w:after="0" w:line="243" w:lineRule="exact"/>
              <w:rPr>
                <w:sz w:val="20"/>
                <w:szCs w:val="20"/>
                <w:color w:val="auto"/>
              </w:rPr>
            </w:pPr>
            <w:r>
              <w:rPr>
                <w:rFonts w:ascii="Arial" w:cs="Arial" w:eastAsia="Arial" w:hAnsi="Arial"/>
                <w:sz w:val="22"/>
                <w:szCs w:val="22"/>
                <w:color w:val="auto"/>
              </w:rPr>
              <w:t>cancer insurance, short-term disability insurance and ADD insurance which the</w:t>
            </w:r>
          </w:p>
        </w:tc>
      </w:tr>
      <w:tr>
        <w:trPr>
          <w:trHeight w:val="275"/>
        </w:trPr>
        <w:tc>
          <w:tcPr>
            <w:tcW w:w="9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80" w:type="dxa"/>
            <w:vAlign w:val="bottom"/>
          </w:tcPr>
          <w:p>
            <w:pPr>
              <w:ind w:left="360"/>
              <w:spacing w:after="0"/>
              <w:rPr>
                <w:sz w:val="20"/>
                <w:szCs w:val="20"/>
                <w:color w:val="auto"/>
              </w:rPr>
            </w:pPr>
            <w:r>
              <w:rPr>
                <w:rFonts w:ascii="Arial" w:cs="Arial" w:eastAsia="Arial" w:hAnsi="Arial"/>
                <w:sz w:val="22"/>
                <w:szCs w:val="22"/>
                <w:color w:val="auto"/>
              </w:rPr>
              <w:t>employee may subscribe to at his election.</w:t>
            </w:r>
          </w:p>
        </w:tc>
      </w:tr>
      <w:tr>
        <w:trPr>
          <w:trHeight w:val="455"/>
        </w:trPr>
        <w:tc>
          <w:tcPr>
            <w:tcW w:w="960" w:type="dxa"/>
            <w:vAlign w:val="bottom"/>
          </w:tcPr>
          <w:p>
            <w:pPr>
              <w:jc w:val="right"/>
              <w:spacing w:after="0"/>
              <w:rPr>
                <w:sz w:val="20"/>
                <w:szCs w:val="20"/>
                <w:color w:val="auto"/>
              </w:rPr>
            </w:pPr>
            <w:r>
              <w:rPr>
                <w:rFonts w:ascii="Arial" w:cs="Arial" w:eastAsia="Arial" w:hAnsi="Arial"/>
                <w:sz w:val="22"/>
                <w:szCs w:val="22"/>
                <w:color w:val="auto"/>
              </w:rPr>
              <w:t>1.6</w:t>
            </w:r>
          </w:p>
        </w:tc>
        <w:tc>
          <w:tcPr>
            <w:tcW w:w="2420" w:type="dxa"/>
            <w:vAlign w:val="bottom"/>
          </w:tcPr>
          <w:p>
            <w:pPr>
              <w:ind w:left="20"/>
              <w:spacing w:after="0"/>
              <w:rPr>
                <w:sz w:val="20"/>
                <w:szCs w:val="20"/>
                <w:color w:val="auto"/>
              </w:rPr>
            </w:pPr>
            <w:r>
              <w:rPr>
                <w:rFonts w:ascii="Arial" w:cs="Arial" w:eastAsia="Arial" w:hAnsi="Arial"/>
                <w:sz w:val="22"/>
                <w:szCs w:val="22"/>
                <w:color w:val="auto"/>
              </w:rPr>
              <w:t>401(k) Plan:</w:t>
            </w:r>
          </w:p>
        </w:tc>
        <w:tc>
          <w:tcPr>
            <w:tcW w:w="8080" w:type="dxa"/>
            <w:vAlign w:val="bottom"/>
          </w:tcPr>
          <w:p>
            <w:pPr>
              <w:ind w:left="360"/>
              <w:spacing w:after="0"/>
              <w:rPr>
                <w:sz w:val="20"/>
                <w:szCs w:val="20"/>
                <w:color w:val="auto"/>
              </w:rPr>
            </w:pPr>
            <w:r>
              <w:rPr>
                <w:rFonts w:ascii="Arial" w:cs="Arial" w:eastAsia="Arial" w:hAnsi="Arial"/>
                <w:sz w:val="22"/>
                <w:szCs w:val="22"/>
                <w:color w:val="auto"/>
                <w:w w:val="92"/>
              </w:rPr>
              <w:t>The Company has a 401(k) Plan. The Company contributes 25% of your contributions</w:t>
            </w:r>
          </w:p>
        </w:tc>
      </w:tr>
      <w:tr>
        <w:trPr>
          <w:trHeight w:val="243"/>
        </w:trPr>
        <w:tc>
          <w:tcPr>
            <w:tcW w:w="9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8080" w:type="dxa"/>
            <w:vAlign w:val="bottom"/>
          </w:tcPr>
          <w:p>
            <w:pPr>
              <w:ind w:left="360"/>
              <w:spacing w:after="0" w:line="243" w:lineRule="exact"/>
              <w:rPr>
                <w:sz w:val="20"/>
                <w:szCs w:val="20"/>
                <w:color w:val="auto"/>
              </w:rPr>
            </w:pPr>
            <w:r>
              <w:rPr>
                <w:rFonts w:ascii="Arial" w:cs="Arial" w:eastAsia="Arial" w:hAnsi="Arial"/>
                <w:sz w:val="22"/>
                <w:szCs w:val="22"/>
                <w:color w:val="auto"/>
                <w:w w:val="95"/>
              </w:rPr>
              <w:t>towards the Plan, subject to a maximum of 8% of your salary. You will be eligible to</w:t>
            </w:r>
          </w:p>
        </w:tc>
      </w:tr>
      <w:tr>
        <w:trPr>
          <w:trHeight w:val="275"/>
        </w:trPr>
        <w:tc>
          <w:tcPr>
            <w:tcW w:w="9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80" w:type="dxa"/>
            <w:vAlign w:val="bottom"/>
          </w:tcPr>
          <w:p>
            <w:pPr>
              <w:ind w:left="360"/>
              <w:spacing w:after="0"/>
              <w:rPr>
                <w:sz w:val="20"/>
                <w:szCs w:val="20"/>
                <w:color w:val="auto"/>
              </w:rPr>
            </w:pPr>
            <w:r>
              <w:rPr>
                <w:rFonts w:ascii="Arial" w:cs="Arial" w:eastAsia="Arial" w:hAnsi="Arial"/>
                <w:sz w:val="22"/>
                <w:szCs w:val="22"/>
                <w:color w:val="auto"/>
              </w:rPr>
              <w:t>participate in the Plan</w:t>
            </w:r>
          </w:p>
        </w:tc>
      </w:tr>
      <w:tr>
        <w:trPr>
          <w:trHeight w:val="365"/>
        </w:trPr>
        <w:tc>
          <w:tcPr>
            <w:tcW w:w="960" w:type="dxa"/>
            <w:vAlign w:val="bottom"/>
            <w:tcBorders>
              <w:bottom w:val="single" w:sz="8" w:color="010101"/>
            </w:tcBorders>
          </w:tcPr>
          <w:p>
            <w:pPr>
              <w:spacing w:after="0"/>
              <w:rPr>
                <w:sz w:val="24"/>
                <w:szCs w:val="24"/>
                <w:color w:val="auto"/>
              </w:rPr>
            </w:pPr>
          </w:p>
        </w:tc>
        <w:tc>
          <w:tcPr>
            <w:tcW w:w="2420" w:type="dxa"/>
            <w:vAlign w:val="bottom"/>
            <w:tcBorders>
              <w:bottom w:val="single" w:sz="8" w:color="010101"/>
            </w:tcBorders>
          </w:tcPr>
          <w:p>
            <w:pPr>
              <w:spacing w:after="0"/>
              <w:rPr>
                <w:sz w:val="24"/>
                <w:szCs w:val="24"/>
                <w:color w:val="auto"/>
              </w:rPr>
            </w:pPr>
          </w:p>
        </w:tc>
        <w:tc>
          <w:tcPr>
            <w:tcW w:w="80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from the first entry date that occurs after you have completed three (3) months’ service.</w:t>
      </w:r>
    </w:p>
    <w:p>
      <w:pPr>
        <w:spacing w:after="0" w:line="43"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Entry dates are January 1 and July 1.</w:t>
      </w:r>
    </w:p>
    <w:p>
      <w:pPr>
        <w:sectPr>
          <w:pgSz w:w="11900" w:h="16838" w:orient="portrait"/>
          <w:cols w:equalWidth="0" w:num="1">
            <w:col w:w="11460"/>
          </w:cols>
          <w:pgMar w:left="240" w:top="121" w:right="199" w:bottom="0" w:gutter="0" w:footer="0" w:header="0"/>
        </w:sect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Expenses: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420"/>
        <w:spacing w:after="0"/>
        <w:rPr>
          <w:sz w:val="20"/>
          <w:szCs w:val="20"/>
          <w:color w:val="auto"/>
        </w:rPr>
      </w:pPr>
      <w:r>
        <w:rPr>
          <w:rFonts w:ascii="Arial" w:cs="Arial" w:eastAsia="Arial" w:hAnsi="Arial"/>
          <w:sz w:val="22"/>
          <w:szCs w:val="22"/>
          <w:color w:val="auto"/>
        </w:rPr>
        <w:t>Expense reports are submitted weekly. All business-related expenses are to be documented according to the Internal Revenue Service guidelines and in accordance with the Company’s policy on such expenditures.</w:t>
      </w:r>
    </w:p>
    <w:p>
      <w:pPr>
        <w:spacing w:after="0" w:line="200" w:lineRule="exact"/>
        <w:rPr>
          <w:sz w:val="20"/>
          <w:szCs w:val="20"/>
          <w:color w:val="auto"/>
        </w:rPr>
      </w:pPr>
    </w:p>
    <w:p>
      <w:pPr>
        <w:sectPr>
          <w:pgSz w:w="11900" w:h="16838" w:orient="portrait"/>
          <w:cols w:equalWidth="0" w:num="2">
            <w:col w:w="3020" w:space="720"/>
            <w:col w:w="7720"/>
          </w:cols>
          <w:pgMar w:left="240" w:top="121" w:right="199" w:bottom="0" w:gutter="0" w:footer="0" w:header="0"/>
          <w:type w:val="continuous"/>
        </w:sectPr>
      </w:pP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1.8 Vacation:</w:t>
      </w:r>
    </w:p>
    <w:p>
      <w:pPr>
        <w:spacing w:after="0" w:line="20" w:lineRule="exact"/>
        <w:rPr>
          <w:sz w:val="20"/>
          <w:szCs w:val="20"/>
          <w:color w:val="auto"/>
        </w:rPr>
      </w:pPr>
      <w:r>
        <w:rPr>
          <w:sz w:val="20"/>
          <w:szCs w:val="20"/>
          <w:color w:val="auto"/>
        </w:rPr>
        <w:br w:type="column"/>
      </w:r>
    </w:p>
    <w:p>
      <w:pPr>
        <w:ind w:right="140"/>
        <w:spacing w:after="0" w:line="252" w:lineRule="auto"/>
        <w:rPr>
          <w:sz w:val="20"/>
          <w:szCs w:val="20"/>
          <w:color w:val="auto"/>
        </w:rPr>
      </w:pPr>
      <w:r>
        <w:rPr>
          <w:rFonts w:ascii="Arial" w:cs="Arial" w:eastAsia="Arial" w:hAnsi="Arial"/>
          <w:sz w:val="21"/>
          <w:szCs w:val="21"/>
          <w:color w:val="auto"/>
        </w:rPr>
        <w:t>You will receive 0.3288 hours of vacation for every calendar day of employment (annualized to 3 weeks for information only). Except upon termination of employment, the Company does not compensate employees in lieu of leave due. Vacation may not be taken before expiration of six (6) months’ employment.</w:t>
      </w:r>
    </w:p>
    <w:p>
      <w:pPr>
        <w:spacing w:after="0" w:line="200" w:lineRule="exact"/>
        <w:rPr>
          <w:sz w:val="20"/>
          <w:szCs w:val="20"/>
          <w:color w:val="auto"/>
        </w:rPr>
      </w:pPr>
    </w:p>
    <w:p>
      <w:pPr>
        <w:sectPr>
          <w:pgSz w:w="11900" w:h="16838" w:orient="portrait"/>
          <w:cols w:equalWidth="0" w:num="2">
            <w:col w:w="3020" w:space="720"/>
            <w:col w:w="7720"/>
          </w:cols>
          <w:pgMar w:left="240" w:top="121" w:right="199" w:bottom="0" w:gutter="0" w:footer="0" w:header="0"/>
          <w:type w:val="continuous"/>
        </w:sectPr>
      </w:pPr>
    </w:p>
    <w:p>
      <w:pPr>
        <w:spacing w:after="0" w:line="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1.9 Stock Option:</w:t>
      </w:r>
    </w:p>
    <w:p>
      <w:pPr>
        <w:spacing w:after="0" w:line="20" w:lineRule="exact"/>
        <w:rPr>
          <w:sz w:val="20"/>
          <w:szCs w:val="20"/>
          <w:color w:val="auto"/>
        </w:rPr>
      </w:pPr>
      <w:r>
        <w:rPr>
          <w:sz w:val="20"/>
          <w:szCs w:val="20"/>
          <w:color w:val="auto"/>
        </w:rPr>
        <w:br w:type="column"/>
      </w:r>
    </w:p>
    <w:p>
      <w:pPr>
        <w:ind w:right="140"/>
        <w:spacing w:after="0" w:line="271" w:lineRule="auto"/>
        <w:rPr>
          <w:sz w:val="20"/>
          <w:szCs w:val="20"/>
          <w:color w:val="auto"/>
        </w:rPr>
      </w:pPr>
      <w:r>
        <w:rPr>
          <w:rFonts w:ascii="Arial" w:cs="Arial" w:eastAsia="Arial" w:hAnsi="Arial"/>
          <w:sz w:val="19"/>
          <w:szCs w:val="19"/>
          <w:color w:val="auto"/>
        </w:rPr>
        <w:t>60,000 shares. Grant date shall be the first day that the Nasdaq Stock Market is open in the calendar month following the commencement date of employment. Vesting commences on the first anniversary of the Grant Date at the rate of 20% of the number of shares subject to the Option per year, for five (5) years. Exercise price shall be determined according to the Fair Market Value of the stock on the Grant Date (as defined in the Plan i.e. the closing price on the Grant Date). Terms to be in accordance with Company Stock Option Plan and written Stock Option Agreement to be signed in due course. In respect of the aforegoing, it is recorded that if, following a change of control of the Company, the new controlling shareholders terminate your employment without cause within one (1) year after such change of control has occurred, all of the options not yet exercisable by you pursuant to the Option Agreement contemplated in this Paragraph 1.9 shall immediately become exercisable by you in full upon such termination on the terms and conditions otherwise provided for in the option agreement governing such options.</w:t>
      </w:r>
    </w:p>
    <w:p>
      <w:pPr>
        <w:spacing w:after="0" w:line="200" w:lineRule="exact"/>
        <w:rPr>
          <w:sz w:val="20"/>
          <w:szCs w:val="20"/>
          <w:color w:val="auto"/>
        </w:rPr>
      </w:pPr>
    </w:p>
    <w:p>
      <w:pPr>
        <w:sectPr>
          <w:pgSz w:w="11900" w:h="16838" w:orient="portrait"/>
          <w:cols w:equalWidth="0" w:num="2">
            <w:col w:w="3020" w:space="720"/>
            <w:col w:w="7720"/>
          </w:cols>
          <w:pgMar w:left="240" w:top="121" w:right="199" w:bottom="0" w:gutter="0" w:footer="0" w:header="0"/>
          <w:type w:val="continuous"/>
        </w:sect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1.10 Bonus: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Annually – up to 50% of salary plus dislocation allowance. Bonuses will be based on</w:t>
      </w:r>
    </w:p>
    <w:p>
      <w:pPr>
        <w:sectPr>
          <w:pgSz w:w="11900" w:h="16838" w:orient="portrait"/>
          <w:cols w:equalWidth="0" w:num="2">
            <w:col w:w="3020" w:space="720"/>
            <w:col w:w="7720"/>
          </w:cols>
          <w:pgMar w:left="240" w:top="121" w:right="199" w:bottom="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53"/>
        </w:trPr>
        <w:tc>
          <w:tcPr>
            <w:tcW w:w="2920" w:type="dxa"/>
            <w:vAlign w:val="bottom"/>
          </w:tcPr>
          <w:p>
            <w:pPr>
              <w:spacing w:after="0"/>
              <w:rPr>
                <w:sz w:val="21"/>
                <w:szCs w:val="21"/>
                <w:color w:val="auto"/>
              </w:rPr>
            </w:pPr>
          </w:p>
        </w:tc>
        <w:tc>
          <w:tcPr>
            <w:tcW w:w="8540" w:type="dxa"/>
            <w:vAlign w:val="bottom"/>
          </w:tcPr>
          <w:p>
            <w:pPr>
              <w:ind w:left="820"/>
              <w:spacing w:after="0"/>
              <w:rPr>
                <w:sz w:val="20"/>
                <w:szCs w:val="20"/>
                <w:color w:val="auto"/>
              </w:rPr>
            </w:pPr>
            <w:r>
              <w:rPr>
                <w:rFonts w:ascii="Arial" w:cs="Arial" w:eastAsia="Arial" w:hAnsi="Arial"/>
                <w:sz w:val="22"/>
                <w:szCs w:val="22"/>
                <w:color w:val="auto"/>
                <w:w w:val="89"/>
              </w:rPr>
              <w:t>your individual performance and the results achieved in your respective areas relative to</w:t>
            </w:r>
          </w:p>
        </w:tc>
      </w:tr>
      <w:tr>
        <w:trPr>
          <w:trHeight w:val="243"/>
        </w:trPr>
        <w:tc>
          <w:tcPr>
            <w:tcW w:w="2920" w:type="dxa"/>
            <w:vAlign w:val="bottom"/>
          </w:tcPr>
          <w:p>
            <w:pPr>
              <w:spacing w:after="0"/>
              <w:rPr>
                <w:sz w:val="21"/>
                <w:szCs w:val="21"/>
                <w:color w:val="auto"/>
              </w:rPr>
            </w:pPr>
          </w:p>
        </w:tc>
        <w:tc>
          <w:tcPr>
            <w:tcW w:w="8540" w:type="dxa"/>
            <w:vAlign w:val="bottom"/>
          </w:tcPr>
          <w:p>
            <w:pPr>
              <w:ind w:left="820"/>
              <w:spacing w:after="0" w:line="243" w:lineRule="exact"/>
              <w:rPr>
                <w:sz w:val="20"/>
                <w:szCs w:val="20"/>
                <w:color w:val="auto"/>
              </w:rPr>
            </w:pPr>
            <w:r>
              <w:rPr>
                <w:rFonts w:ascii="Arial" w:cs="Arial" w:eastAsia="Arial" w:hAnsi="Arial"/>
                <w:sz w:val="22"/>
                <w:szCs w:val="22"/>
                <w:color w:val="auto"/>
                <w:w w:val="90"/>
              </w:rPr>
              <w:t>your individual goals and objectives. However, the Company reserves the right to award</w:t>
            </w:r>
          </w:p>
        </w:tc>
      </w:tr>
      <w:tr>
        <w:trPr>
          <w:trHeight w:val="243"/>
        </w:trPr>
        <w:tc>
          <w:tcPr>
            <w:tcW w:w="2920" w:type="dxa"/>
            <w:vAlign w:val="bottom"/>
          </w:tcPr>
          <w:p>
            <w:pPr>
              <w:spacing w:after="0"/>
              <w:rPr>
                <w:sz w:val="21"/>
                <w:szCs w:val="21"/>
                <w:color w:val="auto"/>
              </w:rPr>
            </w:pPr>
          </w:p>
        </w:tc>
        <w:tc>
          <w:tcPr>
            <w:tcW w:w="8540" w:type="dxa"/>
            <w:vAlign w:val="bottom"/>
          </w:tcPr>
          <w:p>
            <w:pPr>
              <w:ind w:left="820"/>
              <w:spacing w:after="0" w:line="243" w:lineRule="exact"/>
              <w:rPr>
                <w:sz w:val="20"/>
                <w:szCs w:val="20"/>
                <w:color w:val="auto"/>
              </w:rPr>
            </w:pPr>
            <w:r>
              <w:rPr>
                <w:rFonts w:ascii="Arial" w:cs="Arial" w:eastAsia="Arial" w:hAnsi="Arial"/>
                <w:sz w:val="22"/>
                <w:szCs w:val="22"/>
                <w:color w:val="auto"/>
                <w:w w:val="93"/>
              </w:rPr>
              <w:t>bonuses in excess of 50% of salary and dislocation allowance for extraordinary effort</w:t>
            </w:r>
          </w:p>
        </w:tc>
      </w:tr>
      <w:tr>
        <w:trPr>
          <w:trHeight w:val="243"/>
        </w:trPr>
        <w:tc>
          <w:tcPr>
            <w:tcW w:w="2920" w:type="dxa"/>
            <w:vAlign w:val="bottom"/>
          </w:tcPr>
          <w:p>
            <w:pPr>
              <w:spacing w:after="0"/>
              <w:rPr>
                <w:sz w:val="21"/>
                <w:szCs w:val="21"/>
                <w:color w:val="auto"/>
              </w:rPr>
            </w:pPr>
          </w:p>
        </w:tc>
        <w:tc>
          <w:tcPr>
            <w:tcW w:w="8540" w:type="dxa"/>
            <w:vAlign w:val="bottom"/>
          </w:tcPr>
          <w:p>
            <w:pPr>
              <w:ind w:left="820"/>
              <w:spacing w:after="0" w:line="243" w:lineRule="exact"/>
              <w:rPr>
                <w:sz w:val="20"/>
                <w:szCs w:val="20"/>
                <w:color w:val="auto"/>
              </w:rPr>
            </w:pPr>
            <w:r>
              <w:rPr>
                <w:rFonts w:ascii="Arial" w:cs="Arial" w:eastAsia="Arial" w:hAnsi="Arial"/>
                <w:sz w:val="22"/>
                <w:szCs w:val="22"/>
                <w:color w:val="auto"/>
                <w:w w:val="94"/>
              </w:rPr>
              <w:t>and performance, at its sole discretion. Input from your immediate superiors may be</w:t>
            </w:r>
          </w:p>
        </w:tc>
      </w:tr>
      <w:tr>
        <w:trPr>
          <w:trHeight w:val="275"/>
        </w:trPr>
        <w:tc>
          <w:tcPr>
            <w:tcW w:w="2920" w:type="dxa"/>
            <w:vAlign w:val="bottom"/>
          </w:tcPr>
          <w:p>
            <w:pPr>
              <w:spacing w:after="0"/>
              <w:rPr>
                <w:sz w:val="23"/>
                <w:szCs w:val="23"/>
                <w:color w:val="auto"/>
              </w:rPr>
            </w:pPr>
          </w:p>
        </w:tc>
        <w:tc>
          <w:tcPr>
            <w:tcW w:w="8540" w:type="dxa"/>
            <w:vAlign w:val="bottom"/>
          </w:tcPr>
          <w:p>
            <w:pPr>
              <w:ind w:left="820"/>
              <w:spacing w:after="0"/>
              <w:rPr>
                <w:sz w:val="20"/>
                <w:szCs w:val="20"/>
                <w:color w:val="auto"/>
              </w:rPr>
            </w:pPr>
            <w:r>
              <w:rPr>
                <w:rFonts w:ascii="Arial" w:cs="Arial" w:eastAsia="Arial" w:hAnsi="Arial"/>
                <w:sz w:val="22"/>
                <w:szCs w:val="22"/>
                <w:color w:val="auto"/>
              </w:rPr>
              <w:t>taken into account in such evaluation.</w:t>
            </w:r>
          </w:p>
        </w:tc>
      </w:tr>
      <w:tr>
        <w:trPr>
          <w:trHeight w:val="455"/>
        </w:trPr>
        <w:tc>
          <w:tcPr>
            <w:tcW w:w="2920" w:type="dxa"/>
            <w:vAlign w:val="bottom"/>
          </w:tcPr>
          <w:p>
            <w:pPr>
              <w:ind w:left="660"/>
              <w:spacing w:after="0"/>
              <w:rPr>
                <w:sz w:val="20"/>
                <w:szCs w:val="20"/>
                <w:color w:val="auto"/>
              </w:rPr>
            </w:pPr>
            <w:r>
              <w:rPr>
                <w:rFonts w:ascii="Arial" w:cs="Arial" w:eastAsia="Arial" w:hAnsi="Arial"/>
                <w:sz w:val="22"/>
                <w:szCs w:val="22"/>
                <w:color w:val="auto"/>
              </w:rPr>
              <w:t>1.11 Relocation:</w:t>
            </w:r>
          </w:p>
        </w:tc>
        <w:tc>
          <w:tcPr>
            <w:tcW w:w="8540" w:type="dxa"/>
            <w:vAlign w:val="bottom"/>
          </w:tcPr>
          <w:p>
            <w:pPr>
              <w:ind w:left="820"/>
              <w:spacing w:after="0"/>
              <w:rPr>
                <w:sz w:val="20"/>
                <w:szCs w:val="20"/>
                <w:color w:val="auto"/>
              </w:rPr>
            </w:pPr>
            <w:r>
              <w:rPr>
                <w:rFonts w:ascii="Arial" w:cs="Arial" w:eastAsia="Arial" w:hAnsi="Arial"/>
                <w:sz w:val="22"/>
                <w:szCs w:val="22"/>
                <w:color w:val="auto"/>
                <w:w w:val="93"/>
              </w:rPr>
              <w:t>If you relocate to a residence near the office, the Company will pay the moving costs</w:t>
            </w:r>
          </w:p>
        </w:tc>
      </w:tr>
      <w:tr>
        <w:trPr>
          <w:trHeight w:val="243"/>
        </w:trPr>
        <w:tc>
          <w:tcPr>
            <w:tcW w:w="2920" w:type="dxa"/>
            <w:vAlign w:val="bottom"/>
          </w:tcPr>
          <w:p>
            <w:pPr>
              <w:spacing w:after="0"/>
              <w:rPr>
                <w:sz w:val="21"/>
                <w:szCs w:val="21"/>
                <w:color w:val="auto"/>
              </w:rPr>
            </w:pPr>
          </w:p>
        </w:tc>
        <w:tc>
          <w:tcPr>
            <w:tcW w:w="8540" w:type="dxa"/>
            <w:vAlign w:val="bottom"/>
          </w:tcPr>
          <w:p>
            <w:pPr>
              <w:ind w:left="820"/>
              <w:spacing w:after="0" w:line="243" w:lineRule="exact"/>
              <w:rPr>
                <w:sz w:val="20"/>
                <w:szCs w:val="20"/>
                <w:color w:val="auto"/>
              </w:rPr>
            </w:pPr>
            <w:r>
              <w:rPr>
                <w:rFonts w:ascii="Arial" w:cs="Arial" w:eastAsia="Arial" w:hAnsi="Arial"/>
                <w:sz w:val="22"/>
                <w:szCs w:val="22"/>
                <w:color w:val="auto"/>
                <w:w w:val="98"/>
              </w:rPr>
              <w:t>incurred by you to ship your household goods to Orange County by a recognized</w:t>
            </w:r>
          </w:p>
        </w:tc>
      </w:tr>
      <w:tr>
        <w:trPr>
          <w:trHeight w:val="243"/>
        </w:trPr>
        <w:tc>
          <w:tcPr>
            <w:tcW w:w="2920" w:type="dxa"/>
            <w:vAlign w:val="bottom"/>
          </w:tcPr>
          <w:p>
            <w:pPr>
              <w:spacing w:after="0"/>
              <w:rPr>
                <w:sz w:val="21"/>
                <w:szCs w:val="21"/>
                <w:color w:val="auto"/>
              </w:rPr>
            </w:pPr>
          </w:p>
        </w:tc>
        <w:tc>
          <w:tcPr>
            <w:tcW w:w="8540" w:type="dxa"/>
            <w:vAlign w:val="bottom"/>
          </w:tcPr>
          <w:p>
            <w:pPr>
              <w:ind w:left="820"/>
              <w:spacing w:after="0" w:line="243" w:lineRule="exact"/>
              <w:rPr>
                <w:sz w:val="20"/>
                <w:szCs w:val="20"/>
                <w:color w:val="auto"/>
              </w:rPr>
            </w:pPr>
            <w:r>
              <w:rPr>
                <w:rFonts w:ascii="Arial" w:cs="Arial" w:eastAsia="Arial" w:hAnsi="Arial"/>
                <w:sz w:val="22"/>
                <w:szCs w:val="22"/>
                <w:color w:val="auto"/>
                <w:w w:val="90"/>
              </w:rPr>
              <w:t>moving firm. Moving costs do not include any storage costs. We will require receipts for</w:t>
            </w:r>
          </w:p>
        </w:tc>
      </w:tr>
      <w:tr>
        <w:trPr>
          <w:trHeight w:val="275"/>
        </w:trPr>
        <w:tc>
          <w:tcPr>
            <w:tcW w:w="2920" w:type="dxa"/>
            <w:vAlign w:val="bottom"/>
          </w:tcPr>
          <w:p>
            <w:pPr>
              <w:spacing w:after="0"/>
              <w:rPr>
                <w:sz w:val="23"/>
                <w:szCs w:val="23"/>
                <w:color w:val="auto"/>
              </w:rPr>
            </w:pPr>
          </w:p>
        </w:tc>
        <w:tc>
          <w:tcPr>
            <w:tcW w:w="8540" w:type="dxa"/>
            <w:vAlign w:val="bottom"/>
          </w:tcPr>
          <w:p>
            <w:pPr>
              <w:ind w:left="820"/>
              <w:spacing w:after="0"/>
              <w:rPr>
                <w:sz w:val="20"/>
                <w:szCs w:val="20"/>
                <w:color w:val="auto"/>
              </w:rPr>
            </w:pPr>
            <w:r>
              <w:rPr>
                <w:rFonts w:ascii="Arial" w:cs="Arial" w:eastAsia="Arial" w:hAnsi="Arial"/>
                <w:sz w:val="22"/>
                <w:szCs w:val="22"/>
                <w:color w:val="auto"/>
              </w:rPr>
              <w:t>all costs incurred.</w:t>
            </w:r>
          </w:p>
        </w:tc>
      </w:tr>
      <w:tr>
        <w:trPr>
          <w:trHeight w:val="365"/>
        </w:trPr>
        <w:tc>
          <w:tcPr>
            <w:tcW w:w="2920" w:type="dxa"/>
            <w:vAlign w:val="bottom"/>
            <w:tcBorders>
              <w:bottom w:val="single" w:sz="8" w:color="010101"/>
            </w:tcBorders>
          </w:tcPr>
          <w:p>
            <w:pPr>
              <w:spacing w:after="0"/>
              <w:rPr>
                <w:sz w:val="24"/>
                <w:szCs w:val="24"/>
                <w:color w:val="auto"/>
              </w:rPr>
            </w:pPr>
          </w:p>
        </w:tc>
        <w:tc>
          <w:tcPr>
            <w:tcW w:w="85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1"/>
                <w:szCs w:val="21"/>
                <w:color w:val="auto"/>
              </w:rPr>
            </w:pPr>
          </w:p>
        </w:tc>
        <w:tc>
          <w:tcPr>
            <w:tcW w:w="2280" w:type="dxa"/>
            <w:vAlign w:val="bottom"/>
            <w:gridSpan w:val="2"/>
          </w:tcPr>
          <w:p>
            <w:pPr>
              <w:spacing w:after="0"/>
              <w:rPr>
                <w:sz w:val="20"/>
                <w:szCs w:val="20"/>
                <w:color w:val="auto"/>
              </w:rPr>
            </w:pPr>
            <w:r>
              <w:rPr>
                <w:rFonts w:ascii="Arial" w:cs="Arial" w:eastAsia="Arial" w:hAnsi="Arial"/>
                <w:sz w:val="22"/>
                <w:szCs w:val="22"/>
                <w:color w:val="auto"/>
              </w:rPr>
              <w:t>1.12 Insurability:</w:t>
            </w:r>
          </w:p>
        </w:tc>
        <w:tc>
          <w:tcPr>
            <w:tcW w:w="8440" w:type="dxa"/>
            <w:vAlign w:val="bottom"/>
          </w:tcPr>
          <w:p>
            <w:pPr>
              <w:ind w:left="800"/>
              <w:spacing w:after="0"/>
              <w:rPr>
                <w:sz w:val="20"/>
                <w:szCs w:val="20"/>
                <w:color w:val="auto"/>
              </w:rPr>
            </w:pPr>
            <w:r>
              <w:rPr>
                <w:rFonts w:ascii="Arial" w:cs="Arial" w:eastAsia="Arial" w:hAnsi="Arial"/>
                <w:sz w:val="22"/>
                <w:szCs w:val="22"/>
                <w:color w:val="auto"/>
                <w:w w:val="90"/>
              </w:rPr>
              <w:t>As a condition of your employment you may be required to drive a Company vehicle. If</w:t>
            </w:r>
          </w:p>
        </w:tc>
      </w:tr>
      <w:tr>
        <w:trPr>
          <w:trHeight w:val="243"/>
        </w:trPr>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440" w:type="dxa"/>
            <w:vAlign w:val="bottom"/>
          </w:tcPr>
          <w:p>
            <w:pPr>
              <w:ind w:left="800"/>
              <w:spacing w:after="0" w:line="243" w:lineRule="exact"/>
              <w:rPr>
                <w:sz w:val="20"/>
                <w:szCs w:val="20"/>
                <w:color w:val="auto"/>
              </w:rPr>
            </w:pPr>
            <w:r>
              <w:rPr>
                <w:rFonts w:ascii="Arial" w:cs="Arial" w:eastAsia="Arial" w:hAnsi="Arial"/>
                <w:sz w:val="22"/>
                <w:szCs w:val="22"/>
                <w:color w:val="auto"/>
                <w:w w:val="91"/>
              </w:rPr>
              <w:t>so, you must be able to meet the insurance requirements of the Company’s insurance</w:t>
            </w:r>
          </w:p>
        </w:tc>
      </w:tr>
      <w:tr>
        <w:trPr>
          <w:trHeight w:val="243"/>
        </w:trPr>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440" w:type="dxa"/>
            <w:vAlign w:val="bottom"/>
          </w:tcPr>
          <w:p>
            <w:pPr>
              <w:ind w:left="800"/>
              <w:spacing w:after="0" w:line="243" w:lineRule="exact"/>
              <w:rPr>
                <w:sz w:val="20"/>
                <w:szCs w:val="20"/>
                <w:color w:val="auto"/>
              </w:rPr>
            </w:pPr>
            <w:r>
              <w:rPr>
                <w:rFonts w:ascii="Arial" w:cs="Arial" w:eastAsia="Arial" w:hAnsi="Arial"/>
                <w:sz w:val="22"/>
                <w:szCs w:val="22"/>
                <w:color w:val="auto"/>
              </w:rPr>
              <w:t>carrier, which involves the following stipulations. During the course of your</w:t>
            </w:r>
          </w:p>
        </w:tc>
      </w:tr>
      <w:tr>
        <w:trPr>
          <w:trHeight w:val="243"/>
        </w:trPr>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440" w:type="dxa"/>
            <w:vAlign w:val="bottom"/>
          </w:tcPr>
          <w:p>
            <w:pPr>
              <w:ind w:left="800"/>
              <w:spacing w:after="0" w:line="243" w:lineRule="exact"/>
              <w:rPr>
                <w:sz w:val="20"/>
                <w:szCs w:val="20"/>
                <w:color w:val="auto"/>
              </w:rPr>
            </w:pPr>
            <w:r>
              <w:rPr>
                <w:rFonts w:ascii="Arial" w:cs="Arial" w:eastAsia="Arial" w:hAnsi="Arial"/>
                <w:sz w:val="22"/>
                <w:szCs w:val="22"/>
                <w:color w:val="auto"/>
                <w:w w:val="92"/>
              </w:rPr>
              <w:t>employment your driving record will be checked periodically. You agree to report any</w:t>
            </w:r>
          </w:p>
        </w:tc>
      </w:tr>
      <w:tr>
        <w:trPr>
          <w:trHeight w:val="243"/>
        </w:trPr>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440" w:type="dxa"/>
            <w:vAlign w:val="bottom"/>
          </w:tcPr>
          <w:p>
            <w:pPr>
              <w:ind w:left="800"/>
              <w:spacing w:after="0" w:line="243" w:lineRule="exact"/>
              <w:rPr>
                <w:sz w:val="20"/>
                <w:szCs w:val="20"/>
                <w:color w:val="auto"/>
              </w:rPr>
            </w:pPr>
            <w:r>
              <w:rPr>
                <w:rFonts w:ascii="Arial" w:cs="Arial" w:eastAsia="Arial" w:hAnsi="Arial"/>
                <w:sz w:val="22"/>
                <w:szCs w:val="22"/>
                <w:color w:val="auto"/>
                <w:w w:val="90"/>
              </w:rPr>
              <w:t>traffic violation or accident you are involved in, of any kind and regardless of whether it</w:t>
            </w:r>
          </w:p>
        </w:tc>
      </w:tr>
      <w:tr>
        <w:trPr>
          <w:trHeight w:val="243"/>
        </w:trPr>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440" w:type="dxa"/>
            <w:vAlign w:val="bottom"/>
          </w:tcPr>
          <w:p>
            <w:pPr>
              <w:ind w:left="800"/>
              <w:spacing w:after="0" w:line="243" w:lineRule="exact"/>
              <w:rPr>
                <w:sz w:val="20"/>
                <w:szCs w:val="20"/>
                <w:color w:val="auto"/>
              </w:rPr>
            </w:pPr>
            <w:r>
              <w:rPr>
                <w:rFonts w:ascii="Arial" w:cs="Arial" w:eastAsia="Arial" w:hAnsi="Arial"/>
                <w:sz w:val="22"/>
                <w:szCs w:val="22"/>
                <w:color w:val="auto"/>
                <w:w w:val="93"/>
              </w:rPr>
              <w:t>was work related, to the Company as soon as possible after the violation or accident</w:t>
            </w:r>
          </w:p>
        </w:tc>
      </w:tr>
      <w:tr>
        <w:trPr>
          <w:trHeight w:val="243"/>
        </w:trPr>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440" w:type="dxa"/>
            <w:vAlign w:val="bottom"/>
          </w:tcPr>
          <w:p>
            <w:pPr>
              <w:ind w:left="800"/>
              <w:spacing w:after="0" w:line="243" w:lineRule="exact"/>
              <w:rPr>
                <w:sz w:val="20"/>
                <w:szCs w:val="20"/>
                <w:color w:val="auto"/>
              </w:rPr>
            </w:pPr>
            <w:r>
              <w:rPr>
                <w:rFonts w:ascii="Arial" w:cs="Arial" w:eastAsia="Arial" w:hAnsi="Arial"/>
                <w:sz w:val="22"/>
                <w:szCs w:val="22"/>
                <w:color w:val="auto"/>
                <w:w w:val="97"/>
              </w:rPr>
              <w:t>occurred. If you become uninsurable with the Company’s insurance carrier, your</w:t>
            </w:r>
          </w:p>
        </w:tc>
      </w:tr>
      <w:tr>
        <w:trPr>
          <w:trHeight w:val="243"/>
        </w:trPr>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440" w:type="dxa"/>
            <w:vAlign w:val="bottom"/>
          </w:tcPr>
          <w:p>
            <w:pPr>
              <w:ind w:left="800"/>
              <w:spacing w:after="0" w:line="243" w:lineRule="exact"/>
              <w:rPr>
                <w:sz w:val="20"/>
                <w:szCs w:val="20"/>
                <w:color w:val="auto"/>
              </w:rPr>
            </w:pPr>
            <w:r>
              <w:rPr>
                <w:rFonts w:ascii="Arial" w:cs="Arial" w:eastAsia="Arial" w:hAnsi="Arial"/>
                <w:sz w:val="22"/>
                <w:szCs w:val="22"/>
                <w:color w:val="auto"/>
                <w:w w:val="91"/>
              </w:rPr>
              <w:t>employment may be terminated at any time thereafter by the Company with or without</w:t>
            </w:r>
          </w:p>
        </w:tc>
      </w:tr>
      <w:tr>
        <w:trPr>
          <w:trHeight w:val="275"/>
        </w:trPr>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440" w:type="dxa"/>
            <w:vAlign w:val="bottom"/>
          </w:tcPr>
          <w:p>
            <w:pPr>
              <w:ind w:left="800"/>
              <w:spacing w:after="0"/>
              <w:rPr>
                <w:sz w:val="20"/>
                <w:szCs w:val="20"/>
                <w:color w:val="auto"/>
              </w:rPr>
            </w:pPr>
            <w:r>
              <w:rPr>
                <w:rFonts w:ascii="Arial" w:cs="Arial" w:eastAsia="Arial" w:hAnsi="Arial"/>
                <w:sz w:val="22"/>
                <w:szCs w:val="22"/>
                <w:color w:val="auto"/>
              </w:rPr>
              <w:t>notice.</w:t>
            </w:r>
          </w:p>
        </w:tc>
      </w:tr>
      <w:tr>
        <w:trPr>
          <w:trHeight w:val="409"/>
        </w:trPr>
        <w:tc>
          <w:tcPr>
            <w:tcW w:w="660" w:type="dxa"/>
            <w:vAlign w:val="bottom"/>
          </w:tcPr>
          <w:p>
            <w:pPr>
              <w:jc w:val="right"/>
              <w:ind w:right="372"/>
              <w:spacing w:after="0"/>
              <w:rPr>
                <w:sz w:val="20"/>
                <w:szCs w:val="20"/>
                <w:color w:val="auto"/>
              </w:rPr>
            </w:pPr>
            <w:r>
              <w:rPr>
                <w:rFonts w:ascii="Arial" w:cs="Arial" w:eastAsia="Arial" w:hAnsi="Arial"/>
                <w:sz w:val="22"/>
                <w:szCs w:val="22"/>
                <w:color w:val="auto"/>
                <w:w w:val="86"/>
              </w:rPr>
              <w:t>2.</w:t>
            </w:r>
          </w:p>
        </w:tc>
        <w:tc>
          <w:tcPr>
            <w:tcW w:w="2280" w:type="dxa"/>
            <w:vAlign w:val="bottom"/>
            <w:gridSpan w:val="2"/>
          </w:tcPr>
          <w:p>
            <w:pPr>
              <w:spacing w:after="0"/>
              <w:rPr>
                <w:sz w:val="20"/>
                <w:szCs w:val="20"/>
                <w:color w:val="auto"/>
              </w:rPr>
            </w:pPr>
            <w:r>
              <w:rPr>
                <w:rFonts w:ascii="Arial" w:cs="Arial" w:eastAsia="Arial" w:hAnsi="Arial"/>
                <w:sz w:val="22"/>
                <w:szCs w:val="22"/>
                <w:color w:val="auto"/>
              </w:rPr>
              <w:t>Termination.</w:t>
            </w:r>
          </w:p>
        </w:tc>
        <w:tc>
          <w:tcPr>
            <w:tcW w:w="84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bl>
    <w:p>
      <w:pPr>
        <w:spacing w:after="0" w:line="222" w:lineRule="exact"/>
        <w:rPr>
          <w:sz w:val="20"/>
          <w:szCs w:val="20"/>
          <w:color w:val="auto"/>
        </w:rPr>
      </w:pPr>
    </w:p>
    <w:p>
      <w:pPr>
        <w:ind w:right="180" w:firstLine="648"/>
        <w:spacing w:after="0" w:line="235"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At-Will Employment:</w:t>
      </w:r>
      <w:r>
        <w:rPr>
          <w:rFonts w:ascii="Arial" w:cs="Arial" w:eastAsia="Arial" w:hAnsi="Arial"/>
          <w:sz w:val="22"/>
          <w:szCs w:val="22"/>
          <w:color w:val="auto"/>
        </w:rPr>
        <w:t xml:space="preserve"> It is to be understood that your employment with the Company is of an at-will nature, for no specified period of time. Regardless of the length of service, you are free to terminate your employment at any time, for any reason, although your giving one (1) month’s notice is always appreciated. Likewise, the Company is free to terminate your employment at any time, for any reason, with or without cause and with or without advance notice. The Company makes no guarantee or contract of continued employment. No one may change the at-will nature of your employment, except in writing and signed by either the Chairman or President of the Company.</w:t>
      </w:r>
    </w:p>
    <w:p>
      <w:pPr>
        <w:spacing w:after="0" w:line="21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Termination Without Cause:</w:t>
      </w:r>
      <w:r>
        <w:rPr>
          <w:rFonts w:ascii="Arial" w:cs="Arial" w:eastAsia="Arial" w:hAnsi="Arial"/>
          <w:sz w:val="19"/>
          <w:szCs w:val="19"/>
          <w:color w:val="auto"/>
        </w:rPr>
        <w:t xml:space="preserve"> If your employment is terminated without cause within the first six (6) months after commencement of employment, you will receive three (3) months severance pay. If your employment is terminated without cause between seven (7) and twelve (12) months after commencement of your employment, you will receive two (2) months severance pay. Thereafter, if your employment is terminated without cause you will receive one (1) month severance pay. All severance payments are subject to: (1) appropriate payroll and tax deductions as required by law; (2) your compliance with all other terms and conditions of this Agreement; and (3) your execution of a reasonable and standard severance agreement (which will include, among other things, a general release of all claims by you against the Company, its Agents and Affiliates).</w:t>
      </w:r>
    </w:p>
    <w:p>
      <w:pPr>
        <w:spacing w:after="0" w:line="180"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Termination With Cause:</w:t>
      </w:r>
      <w:r>
        <w:rPr>
          <w:rFonts w:ascii="Arial" w:cs="Arial" w:eastAsia="Arial" w:hAnsi="Arial"/>
          <w:sz w:val="22"/>
          <w:szCs w:val="22"/>
          <w:color w:val="auto"/>
        </w:rPr>
        <w:t xml:space="preserve"> If the Company terminates your employment for “Good Cause”, or if you terminate your employment for any reason, the Company is not obligated to pay severance. As noted previously, although you are not obligated to give advance notice, two (2) weeks notice of a resignation is always appreciated. For the purposes of this Agreement, the term “Good Cause” shall include:</w:t>
      </w:r>
    </w:p>
    <w:p>
      <w:pPr>
        <w:spacing w:after="0" w:line="212" w:lineRule="exact"/>
        <w:rPr>
          <w:sz w:val="20"/>
          <w:szCs w:val="20"/>
          <w:color w:val="auto"/>
        </w:rPr>
      </w:pPr>
    </w:p>
    <w:p>
      <w:pPr>
        <w:ind w:right="880" w:firstLine="1297"/>
        <w:spacing w:after="0" w:line="251" w:lineRule="auto"/>
        <w:rPr>
          <w:sz w:val="20"/>
          <w:szCs w:val="20"/>
          <w:color w:val="auto"/>
        </w:rPr>
      </w:pPr>
      <w:r>
        <w:rPr>
          <w:rFonts w:ascii="Arial" w:cs="Arial" w:eastAsia="Arial" w:hAnsi="Arial"/>
          <w:sz w:val="22"/>
          <w:szCs w:val="22"/>
          <w:color w:val="auto"/>
        </w:rPr>
        <w:t>2.3.1 Your neglect, breach of duty, or any failure by you to perform, to the reasonable satisfaction of your supervisor and/or the Executive Committee of the Board of the Company;</w:t>
      </w:r>
    </w:p>
    <w:p>
      <w:pPr>
        <w:spacing w:after="0" w:line="200" w:lineRule="exact"/>
        <w:rPr>
          <w:sz w:val="20"/>
          <w:szCs w:val="20"/>
          <w:color w:val="auto"/>
        </w:rPr>
      </w:pPr>
    </w:p>
    <w:p>
      <w:pPr>
        <w:ind w:right="340" w:firstLine="1297"/>
        <w:spacing w:after="0" w:line="328" w:lineRule="auto"/>
        <w:rPr>
          <w:sz w:val="20"/>
          <w:szCs w:val="20"/>
          <w:color w:val="auto"/>
        </w:rPr>
      </w:pPr>
      <w:r>
        <w:rPr>
          <w:rFonts w:ascii="Arial" w:cs="Arial" w:eastAsia="Arial" w:hAnsi="Arial"/>
          <w:sz w:val="19"/>
          <w:szCs w:val="19"/>
          <w:color w:val="auto"/>
        </w:rPr>
        <w:t>2.3.2 Your conviction of a felony, or any determination by the Executive Committee of the Board of the commission of theft, larceny, embezzlement, fraud, dishonesty, illegality, moral turpitude, harassment, or gross mismanagement;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700" w:firstLine="1297"/>
        <w:spacing w:after="0" w:line="251" w:lineRule="auto"/>
        <w:rPr>
          <w:sz w:val="20"/>
          <w:szCs w:val="20"/>
          <w:color w:val="auto"/>
        </w:rPr>
      </w:pPr>
      <w:r>
        <w:rPr>
          <w:rFonts w:ascii="Arial" w:cs="Arial" w:eastAsia="Arial" w:hAnsi="Arial"/>
          <w:sz w:val="22"/>
          <w:szCs w:val="22"/>
          <w:color w:val="auto"/>
        </w:rPr>
        <w:t>2.3.3 Your death or material disability to such an extent that you, even with reasonable accommodation, are precluded from performing the essential duties of your position; or</w:t>
      </w:r>
    </w:p>
    <w:p>
      <w:pPr>
        <w:spacing w:after="0" w:line="20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19"/>
          <w:szCs w:val="19"/>
          <w:color w:val="auto"/>
        </w:rPr>
        <w:t>Your breach of this Agreement or any fiduciary duties to the Company.</w:t>
      </w:r>
    </w:p>
    <w:p>
      <w:pPr>
        <w:spacing w:after="0" w:line="233"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Proprietary Information, Confidentiality, Intellectual Property and Non-Solicitation.</w:t>
      </w:r>
    </w:p>
    <w:p>
      <w:pPr>
        <w:spacing w:after="0" w:line="233"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You agree that all the terms and conditions contained in the Employee Proprietary Information, Confidentiality, Intellectual Property and Non-Solicitation Agreement attached hereto as Exhibit A are incorporated herein and shall be binding upon you. Please note that you are required to separately sign the attached Exhibit A at the same time as you sign this Agreement.</w:t>
      </w:r>
    </w:p>
    <w:p>
      <w:pPr>
        <w:spacing w:after="0" w:line="161"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Arbitration of Disputes/Litigation.</w:t>
      </w:r>
    </w:p>
    <w:p>
      <w:pPr>
        <w:sectPr>
          <w:pgSz w:w="11900" w:h="16838" w:orient="portrait"/>
          <w:cols w:equalWidth="0" w:num="1">
            <w:col w:w="11460"/>
          </w:cols>
          <w:pgMar w:left="240" w:top="108" w:right="199" w:bottom="0" w:gutter="0" w:footer="0" w:header="0"/>
        </w:sectPr>
      </w:pPr>
    </w:p>
    <w:bookmarkStart w:id="76" w:name="page77"/>
    <w:bookmarkEnd w:id="76"/>
    <w:p>
      <w:pPr>
        <w:ind w:right="100" w:firstLine="648"/>
        <w:spacing w:after="0" w:line="272" w:lineRule="auto"/>
        <w:rPr>
          <w:sz w:val="20"/>
          <w:szCs w:val="20"/>
          <w:color w:val="auto"/>
        </w:rPr>
      </w:pPr>
      <w:r>
        <w:rPr>
          <w:rFonts w:ascii="Arial" w:cs="Arial" w:eastAsia="Arial" w:hAnsi="Arial"/>
          <w:sz w:val="19"/>
          <w:szCs w:val="19"/>
          <w:color w:val="auto"/>
        </w:rPr>
        <w:t>4.1 Any controversy or claim arising out of or relating to this Agreement or the breach thereof or any agreement entered into between the Company and you or otherwise arising out of your employment or the termination of that employment (including without implication of limitation any claims of unlawful employment discrimination whether based on age or otherwise), defamation, invasion of privacy, infliction of emotional distress, unlawful harassment, including similar claims such as, without limitation, claims arising under the California Fair Employment and Housing Act, the Americans with Disabilities Act, Title VII of the Civil Rights Act of 1964, the Age Discrimination in Employment Act, the California Labor Code and Equal Pay Act, the Rehabilitation Act of 1974, the Employee Retirement Income and Security Act and any and all other contractual, tort, legal, equitable and statutory claims that may be lawfully submitted to arbitration, either by or against the Company shall, to the fullest extent permitted by law, be settled by binding arbitration conducted by JAMs/Endispute (“JAMS”) in accordance with JAMS Comprehensive Arbitration Rules and Procedures (the “Rules”) applicable to employment disputes, in Orange County, California. Except as expressly allowed by the Statutory Claims as defined below, the arbitrator shall have no authority to award punitive or exemplary damages or any other amount for the purpose of imposing a penalty. Judgment upon the award rendered by the arbitrator may be entered in any court having jurisdiction.</w:t>
      </w:r>
    </w:p>
    <w:p>
      <w:pPr>
        <w:spacing w:after="0" w:line="200" w:lineRule="exact"/>
        <w:rPr>
          <w:sz w:val="20"/>
          <w:szCs w:val="20"/>
          <w:color w:val="auto"/>
        </w:rPr>
      </w:pPr>
    </w:p>
    <w:p>
      <w:pPr>
        <w:spacing w:after="0" w:line="232" w:lineRule="exact"/>
        <w:rPr>
          <w:sz w:val="20"/>
          <w:szCs w:val="20"/>
          <w:color w:val="auto"/>
        </w:rPr>
      </w:pPr>
    </w:p>
    <w:p>
      <w:pPr>
        <w:ind w:right="80" w:firstLine="648"/>
        <w:spacing w:after="0" w:line="247" w:lineRule="auto"/>
        <w:rPr>
          <w:sz w:val="20"/>
          <w:szCs w:val="20"/>
          <w:color w:val="auto"/>
        </w:rPr>
      </w:pPr>
      <w:r>
        <w:rPr>
          <w:rFonts w:ascii="Arial" w:cs="Arial" w:eastAsia="Arial" w:hAnsi="Arial"/>
          <w:sz w:val="21"/>
          <w:szCs w:val="21"/>
          <w:color w:val="auto"/>
        </w:rPr>
        <w:t>4.2 For any claims brought under the California Fair Employment and Housing Act, Title VII of the Civil Rights Act of 1964, or any other local, state or federal statues (“Statutory Claims”) (a) the substantive and remedial provisions applicable to the Statutory Claims shall be available to any party required to arbitrate Statutory Claims under this Agreement; (b) if the Rules do not already provide, either party submitting a Statutory Claim to arbitration shall be entitled to the full range of discovery provided under California Code of Civil Procedure section 1283.05; (c) you shall not be required to pay unreasonable costs or any of the arbitrator’s fees or expenses; and (d) if applicable, the arbitrator must issue a written report setting forth the essential findings and conclusions on which any award is based.</w:t>
      </w:r>
    </w:p>
    <w:p>
      <w:pPr>
        <w:spacing w:after="0" w:line="20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9"/>
          <w:szCs w:val="19"/>
          <w:color w:val="auto"/>
        </w:rPr>
        <w:t>4.3 Notwithstanding the foregoing, these provisions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firstLine="648"/>
        <w:spacing w:after="0" w:line="248" w:lineRule="auto"/>
        <w:rPr>
          <w:sz w:val="20"/>
          <w:szCs w:val="20"/>
          <w:color w:val="auto"/>
        </w:rPr>
      </w:pPr>
      <w:r>
        <w:rPr>
          <w:rFonts w:ascii="Arial" w:cs="Arial" w:eastAsia="Arial" w:hAnsi="Arial"/>
          <w:sz w:val="21"/>
          <w:szCs w:val="21"/>
          <w:color w:val="auto"/>
        </w:rPr>
        <w:t>4.4 Without in any way detracting from the intent and obligation of the Company and you to arbitrate all disputes and controversies between them in accordance with the above provisions, in the event that any controversy or claim is determined in a court of law, both you and the Company hereby irrevocably waive any and all rights to trial by jury in any legal proceeding arising out of or relating to this Agreement, the breach thereof or the employee’s employment or other business relationship. Except as otherwise required by law, both you and the Company hereby specifically waive any claims for punitive or exemplary damages or for any other amounts awarded for the purposes of imposing a penalty.</w:t>
      </w:r>
    </w:p>
    <w:p>
      <w:pPr>
        <w:spacing w:after="0" w:line="171"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b w:val="1"/>
          <w:bCs w:val="1"/>
          <w:color w:val="auto"/>
        </w:rPr>
        <w:t>Make sure you have read and understand the foregoing. You agree to waive the right to a jury and instead submit disputes arising out of or related to this agreement or your employment to neutral, binding arbitration. You may want to consult with an attorney before signing this agreement.</w:t>
      </w:r>
    </w:p>
    <w:p>
      <w:pPr>
        <w:spacing w:after="0" w:line="1" w:lineRule="exact"/>
        <w:rPr>
          <w:sz w:val="20"/>
          <w:szCs w:val="20"/>
          <w:color w:val="auto"/>
        </w:rPr>
      </w:pPr>
    </w:p>
    <w:p>
      <w:pPr>
        <w:ind w:left="8340"/>
        <w:spacing w:after="0"/>
        <w:rPr>
          <w:sz w:val="20"/>
          <w:szCs w:val="20"/>
          <w:color w:val="auto"/>
        </w:rPr>
      </w:pPr>
      <w:r>
        <w:rPr>
          <w:rFonts w:ascii="Arial" w:cs="Arial" w:eastAsia="Arial" w:hAnsi="Arial"/>
          <w:sz w:val="22"/>
          <w:szCs w:val="22"/>
          <w:b w:val="1"/>
          <w:bCs w:val="1"/>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-3175</wp:posOffset>
            </wp:positionV>
            <wp:extent cx="128651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182"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General.</w:t>
      </w:r>
    </w:p>
    <w:p>
      <w:pPr>
        <w:spacing w:after="0" w:line="233"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You agree that except as otherwise set forth in this Agreement, all remaining terms and conditions of your employment shall be in accordance with and subject to the Company’s current Employee Handbook, which describes your responsibilities as well as various benefits to which you may be entitled. You will be required to acknowledge receipt of the Company’s Employee Handbook and sign other documents related to your employment before you begin work. You are also required to sign the Company’s Proprietary Information and Non-solicitation Agreement as well as acknowledge and acquaint yourself with the Company’s Injury and Illness Prevention Program.</w:t>
      </w:r>
    </w:p>
    <w:p>
      <w:pPr>
        <w:spacing w:after="0" w:line="215"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We look forward to your joining the Company. Please sign a copy of this letter to acknowledge your acceptance of this Agreement with all of the terms contained herein and return it to our Human Resources Department. Your employment will commence as soon as possible.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Yours sincerely,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Hilton H.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5845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Hilton H. Schlosberg</w:t>
      </w:r>
    </w:p>
    <w:p>
      <w:pPr>
        <w:spacing w:after="0"/>
        <w:rPr>
          <w:sz w:val="20"/>
          <w:szCs w:val="20"/>
          <w:color w:val="auto"/>
        </w:rPr>
      </w:pPr>
      <w:r>
        <w:rPr>
          <w:rFonts w:ascii="Arial" w:cs="Arial" w:eastAsia="Arial" w:hAnsi="Arial"/>
          <w:sz w:val="22"/>
          <w:szCs w:val="22"/>
          <w:color w:val="auto"/>
        </w:rPr>
        <w:t>Vice Chairman of the Board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spacing w:after="0"/>
              <w:rPr>
                <w:sz w:val="20"/>
                <w:szCs w:val="20"/>
                <w:color w:val="auto"/>
              </w:rPr>
            </w:pPr>
            <w:r>
              <w:rPr>
                <w:rFonts w:ascii="Arial" w:cs="Arial" w:eastAsia="Arial" w:hAnsi="Arial"/>
                <w:sz w:val="22"/>
                <w:szCs w:val="22"/>
                <w:color w:val="auto"/>
              </w:rPr>
              <w:t>HHS:lhs</w:t>
            </w:r>
          </w:p>
        </w:tc>
        <w:tc>
          <w:tcPr>
            <w:tcW w:w="31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476"/>
        </w:trPr>
        <w:tc>
          <w:tcPr>
            <w:tcW w:w="2440" w:type="dxa"/>
            <w:vAlign w:val="bottom"/>
          </w:tcPr>
          <w:p>
            <w:pPr>
              <w:spacing w:after="0"/>
              <w:rPr>
                <w:sz w:val="20"/>
                <w:szCs w:val="20"/>
                <w:color w:val="auto"/>
              </w:rPr>
            </w:pPr>
            <w:r>
              <w:rPr>
                <w:rFonts w:ascii="Arial" w:cs="Arial" w:eastAsia="Arial" w:hAnsi="Arial"/>
                <w:sz w:val="22"/>
                <w:szCs w:val="22"/>
                <w:color w:val="auto"/>
              </w:rPr>
              <w:t>Accepted and Agreed:</w:t>
            </w:r>
          </w:p>
        </w:tc>
        <w:tc>
          <w:tcPr>
            <w:tcW w:w="5640" w:type="dxa"/>
            <w:vAlign w:val="bottom"/>
            <w:gridSpan w:val="2"/>
          </w:tcPr>
          <w:p>
            <w:pPr>
              <w:jc w:val="right"/>
              <w:ind w:right="3980"/>
              <w:spacing w:after="0"/>
              <w:rPr>
                <w:sz w:val="20"/>
                <w:szCs w:val="20"/>
                <w:color w:val="auto"/>
              </w:rPr>
            </w:pPr>
            <w:r>
              <w:rPr>
                <w:rFonts w:ascii="Arial" w:cs="Arial" w:eastAsia="Arial" w:hAnsi="Arial"/>
                <w:sz w:val="22"/>
                <w:szCs w:val="22"/>
                <w:color w:val="auto"/>
                <w:w w:val="98"/>
              </w:rPr>
              <w:t>/s/ Nick Gagliardi</w:t>
            </w: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8"/>
        </w:trPr>
        <w:tc>
          <w:tcPr>
            <w:tcW w:w="2440" w:type="dxa"/>
            <w:vAlign w:val="bottom"/>
          </w:tcPr>
          <w:p>
            <w:pPr>
              <w:spacing w:after="0"/>
              <w:rPr>
                <w:sz w:val="23"/>
                <w:szCs w:val="23"/>
                <w:color w:val="auto"/>
              </w:rPr>
            </w:pPr>
          </w:p>
        </w:tc>
        <w:tc>
          <w:tcPr>
            <w:tcW w:w="3180" w:type="dxa"/>
            <w:vAlign w:val="bottom"/>
            <w:tcBorders>
              <w:top w:val="single" w:sz="8" w:color="auto"/>
            </w:tcBorders>
          </w:tcPr>
          <w:p>
            <w:pPr>
              <w:jc w:val="right"/>
              <w:ind w:right="1432"/>
              <w:spacing w:after="0"/>
              <w:rPr>
                <w:sz w:val="20"/>
                <w:szCs w:val="20"/>
                <w:color w:val="auto"/>
              </w:rPr>
            </w:pPr>
            <w:r>
              <w:rPr>
                <w:rFonts w:ascii="Arial" w:cs="Arial" w:eastAsia="Arial" w:hAnsi="Arial"/>
                <w:sz w:val="22"/>
                <w:szCs w:val="22"/>
                <w:color w:val="auto"/>
              </w:rPr>
              <w:t>Nick Gagliardi</w:t>
            </w:r>
          </w:p>
        </w:tc>
        <w:tc>
          <w:tcPr>
            <w:tcW w:w="2460" w:type="dxa"/>
            <w:vAlign w:val="bottom"/>
          </w:tcPr>
          <w:p>
            <w:pPr>
              <w:spacing w:after="0"/>
              <w:rPr>
                <w:sz w:val="23"/>
                <w:szCs w:val="23"/>
                <w:color w:val="auto"/>
              </w:rPr>
            </w:pPr>
          </w:p>
        </w:tc>
        <w:tc>
          <w:tcPr>
            <w:tcW w:w="2000" w:type="dxa"/>
            <w:vAlign w:val="bottom"/>
            <w:tcBorders>
              <w:top w:val="single" w:sz="8" w:color="auto"/>
            </w:tcBorders>
          </w:tcPr>
          <w:p>
            <w:pPr>
              <w:ind w:left="800"/>
              <w:spacing w:after="0"/>
              <w:rPr>
                <w:sz w:val="20"/>
                <w:szCs w:val="20"/>
                <w:color w:val="auto"/>
              </w:rPr>
            </w:pPr>
            <w:r>
              <w:rPr>
                <w:rFonts w:ascii="Arial" w:cs="Arial" w:eastAsia="Arial" w:hAnsi="Arial"/>
                <w:sz w:val="22"/>
                <w:szCs w:val="22"/>
                <w:color w:val="auto"/>
              </w:rPr>
              <w:t>Date</w:t>
            </w:r>
          </w:p>
        </w:tc>
        <w:tc>
          <w:tcPr>
            <w:tcW w:w="1380" w:type="dxa"/>
            <w:vAlign w:val="bottom"/>
          </w:tcPr>
          <w:p>
            <w:pPr>
              <w:spacing w:after="0"/>
              <w:rPr>
                <w:sz w:val="23"/>
                <w:szCs w:val="23"/>
                <w:color w:val="auto"/>
              </w:rPr>
            </w:pPr>
          </w:p>
        </w:tc>
      </w:tr>
      <w:tr>
        <w:trPr>
          <w:trHeight w:val="316"/>
        </w:trPr>
        <w:tc>
          <w:tcPr>
            <w:tcW w:w="2440" w:type="dxa"/>
            <w:vAlign w:val="bottom"/>
            <w:tcBorders>
              <w:bottom w:val="single" w:sz="8" w:color="010101"/>
            </w:tcBorders>
          </w:tcPr>
          <w:p>
            <w:pPr>
              <w:spacing w:after="0"/>
              <w:rPr>
                <w:sz w:val="24"/>
                <w:szCs w:val="24"/>
                <w:color w:val="auto"/>
              </w:rPr>
            </w:pPr>
          </w:p>
        </w:tc>
        <w:tc>
          <w:tcPr>
            <w:tcW w:w="3180" w:type="dxa"/>
            <w:vAlign w:val="bottom"/>
            <w:tcBorders>
              <w:bottom w:val="single" w:sz="8" w:color="010101"/>
            </w:tcBorders>
          </w:tcPr>
          <w:p>
            <w:pPr>
              <w:spacing w:after="0"/>
              <w:rPr>
                <w:sz w:val="24"/>
                <w:szCs w:val="24"/>
                <w:color w:val="auto"/>
              </w:rPr>
            </w:pPr>
          </w:p>
        </w:tc>
        <w:tc>
          <w:tcPr>
            <w:tcW w:w="2460" w:type="dxa"/>
            <w:vAlign w:val="bottom"/>
            <w:tcBorders>
              <w:bottom w:val="single" w:sz="8" w:color="010101"/>
            </w:tcBorders>
          </w:tcPr>
          <w:p>
            <w:pPr>
              <w:spacing w:after="0"/>
              <w:rPr>
                <w:sz w:val="24"/>
                <w:szCs w:val="24"/>
                <w:color w:val="auto"/>
              </w:rPr>
            </w:pPr>
          </w:p>
        </w:tc>
        <w:tc>
          <w:tcPr>
            <w:tcW w:w="200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316" w:gutter="0" w:footer="0" w:header="0"/>
        </w:sectPr>
      </w:pPr>
    </w:p>
    <w:bookmarkStart w:id="77" w:name="page78"/>
    <w:bookmarkEnd w:id="77"/>
    <w:p>
      <w:pPr>
        <w:jc w:val="right"/>
        <w:spacing w:after="0"/>
        <w:rPr>
          <w:sz w:val="20"/>
          <w:szCs w:val="20"/>
          <w:color w:val="auto"/>
        </w:rPr>
      </w:pPr>
      <w:r>
        <w:rPr>
          <w:rFonts w:ascii="Arial" w:cs="Arial" w:eastAsia="Arial" w:hAnsi="Arial"/>
          <w:sz w:val="20"/>
          <w:szCs w:val="20"/>
          <w:b w:val="1"/>
          <w:bCs w:val="1"/>
          <w:color w:val="auto"/>
        </w:rPr>
        <w:t>Exhibit 10.44</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Stock Option Agreement (“Agreement”), is made as of June 2, 2008 (the “Grant Date”), by and between Hansen Natural Corporation, a Delaware corporation (the “Company”), and Rodney C. Sacks (“Holder”).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Recitals</w:t>
      </w:r>
    </w:p>
    <w:p>
      <w:pPr>
        <w:spacing w:after="0" w:line="229" w:lineRule="exact"/>
        <w:rPr>
          <w:sz w:val="20"/>
          <w:szCs w:val="20"/>
          <w:color w:val="auto"/>
        </w:rPr>
      </w:pPr>
    </w:p>
    <w:p>
      <w:pPr>
        <w:ind w:left="1240" w:hanging="584"/>
        <w:spacing w:after="0"/>
        <w:tabs>
          <w:tab w:leader="none" w:pos="12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Holder is an employee of a Participating Company.</w:t>
      </w:r>
    </w:p>
    <w:p>
      <w:pPr>
        <w:spacing w:after="0" w:line="229" w:lineRule="exact"/>
        <w:rPr>
          <w:rFonts w:ascii="Arial" w:cs="Arial" w:eastAsia="Arial" w:hAnsi="Arial"/>
          <w:sz w:val="20"/>
          <w:szCs w:val="20"/>
          <w:color w:val="auto"/>
        </w:rPr>
      </w:pPr>
    </w:p>
    <w:p>
      <w:pPr>
        <w:ind w:right="20" w:firstLine="656"/>
        <w:spacing w:after="0" w:line="287" w:lineRule="auto"/>
        <w:tabs>
          <w:tab w:leader="none" w:pos="1424" w:val="left"/>
        </w:tabs>
        <w:numPr>
          <w:ilvl w:val="0"/>
          <w:numId w:val="54"/>
        </w:numPr>
        <w:rPr>
          <w:rFonts w:ascii="Arial" w:cs="Arial" w:eastAsia="Arial" w:hAnsi="Arial"/>
          <w:sz w:val="19"/>
          <w:szCs w:val="19"/>
          <w:color w:val="auto"/>
        </w:rPr>
      </w:pPr>
      <w:r>
        <w:rPr>
          <w:rFonts w:ascii="Arial" w:cs="Arial" w:eastAsia="Arial" w:hAnsi="Arial"/>
          <w:sz w:val="19"/>
          <w:szCs w:val="19"/>
          <w:color w:val="auto"/>
        </w:rPr>
        <w:t>Pursuant to the Hansen Natural Corporation 2001 Stock Option Plan (the “Plan”), the Company desires to grant Holder an incentive stock option to purchase shares of the Company’s common stock, par value $.0005 per share (the “Common Stock”).</w:t>
      </w:r>
    </w:p>
    <w:p>
      <w:pPr>
        <w:spacing w:after="0" w:line="166" w:lineRule="exact"/>
        <w:rPr>
          <w:rFonts w:ascii="Arial" w:cs="Arial" w:eastAsia="Arial" w:hAnsi="Arial"/>
          <w:sz w:val="19"/>
          <w:szCs w:val="19"/>
          <w:color w:val="auto"/>
        </w:rPr>
      </w:pPr>
    </w:p>
    <w:p>
      <w:pPr>
        <w:ind w:left="1280" w:hanging="624"/>
        <w:spacing w:after="0"/>
        <w:tabs>
          <w:tab w:leader="none" w:pos="12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Capitalized terms not otherwise defined in this Agreement shall have the meaning given to them in the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Company and Holder agree as follows:</w:t>
      </w:r>
    </w:p>
    <w:p>
      <w:pPr>
        <w:spacing w:after="0" w:line="229" w:lineRule="exact"/>
        <w:rPr>
          <w:sz w:val="20"/>
          <w:szCs w:val="20"/>
          <w:color w:val="auto"/>
        </w:rPr>
      </w:pPr>
    </w:p>
    <w:p>
      <w:pPr>
        <w:jc w:val="both"/>
        <w:ind w:firstLine="656"/>
        <w:spacing w:after="0" w:line="242" w:lineRule="auto"/>
        <w:tabs>
          <w:tab w:leader="none" w:pos="1323"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Grant of Incentive Stock Option</w:t>
      </w:r>
      <w:r>
        <w:rPr>
          <w:rFonts w:ascii="Arial" w:cs="Arial" w:eastAsia="Arial" w:hAnsi="Arial"/>
          <w:sz w:val="20"/>
          <w:szCs w:val="20"/>
          <w:color w:val="auto"/>
        </w:rPr>
        <w:t>. The Company hereby grants to Holder, subject to the terms and conditions set forth herein and in the Plan, an incentive stock option (“ISO”) to purchase 400,000 shares of Common Stock, at the purchase price of $31.72 per share (the “Option”), such Option to be exercisable and exercised as hereinafter provided. If for any reason the Option or any portion of the Option shall not qualify as an ISO, then, to the extent of such nonqualification, such Option (or portion thereof) shall be regarded as a nonqualified stock option granted under the Plan, provided that such Option (or portion thereof) otherwise complies with the Plan’s requirements relating to nonqualified stock options. In no event shall any member of the Committee or any Participating Company (or their respective employees, officers or directors) have any liability to Holder (or any other person) due to the failure of an Option (or any portion thereof) to qualify for any reason as an ISO.</w:t>
      </w:r>
    </w:p>
    <w:p>
      <w:pPr>
        <w:spacing w:after="0" w:line="211" w:lineRule="exact"/>
        <w:rPr>
          <w:rFonts w:ascii="Arial" w:cs="Arial" w:eastAsia="Arial" w:hAnsi="Arial"/>
          <w:sz w:val="20"/>
          <w:szCs w:val="20"/>
          <w:color w:val="auto"/>
        </w:rPr>
      </w:pPr>
    </w:p>
    <w:p>
      <w:pPr>
        <w:jc w:val="both"/>
        <w:ind w:firstLine="656"/>
        <w:spacing w:after="0" w:line="259" w:lineRule="auto"/>
        <w:tabs>
          <w:tab w:leader="none" w:pos="1445"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Exercise Period</w:t>
      </w:r>
      <w:r>
        <w:rPr>
          <w:rFonts w:ascii="Arial" w:cs="Arial" w:eastAsia="Arial" w:hAnsi="Arial"/>
          <w:sz w:val="19"/>
          <w:szCs w:val="19"/>
          <w:color w:val="auto"/>
        </w:rPr>
        <w:t>. The Option shall expire three months after the termination of the Holder’s employment with a Participating Company unless the employment is terminated by a Participating Company for Cause (as defined below) or unless the employment is terminated by reason of the death or Total Disability of Holder. If the Holder’s employment is terminated by a Participating Company for Cause, the Option shall expire as of the date employment terminates. If the Holder’s employment terminates due to his death or Total Disability, then the Option may be exercised by Holder or the person or persons to which Holder’s rights under this Agreement pass by will, or if no such person has such right, by his executors or administrators, within six months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date of death or Total Disability, but no later than the expiration date specified in Section 3(d) below. “Cause” means the Holder’s act of fraud or dishonesty, knowing and material failure to comply with applicable laws or regulations, or drug or alcohol abuse, in any case as determined by the Committee.</w:t>
      </w:r>
    </w:p>
    <w:p>
      <w:pPr>
        <w:spacing w:after="0" w:line="200" w:lineRule="exact"/>
        <w:rPr>
          <w:sz w:val="20"/>
          <w:szCs w:val="20"/>
          <w:color w:val="auto"/>
        </w:rPr>
      </w:pPr>
    </w:p>
    <w:p>
      <w:pPr>
        <w:ind w:left="1260" w:hanging="604"/>
        <w:spacing w:after="0"/>
        <w:tabs>
          <w:tab w:leader="none" w:pos="126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p>
    <w:p>
      <w:pPr>
        <w:spacing w:after="0" w:line="229" w:lineRule="exact"/>
        <w:rPr>
          <w:rFonts w:ascii="Arial" w:cs="Arial" w:eastAsia="Arial" w:hAnsi="Arial"/>
          <w:sz w:val="20"/>
          <w:szCs w:val="20"/>
          <w:color w:val="auto"/>
        </w:rPr>
      </w:pPr>
    </w:p>
    <w:p>
      <w:pPr>
        <w:jc w:val="both"/>
        <w:ind w:firstLine="1305"/>
        <w:spacing w:after="0" w:line="250" w:lineRule="auto"/>
        <w:tabs>
          <w:tab w:leader="none" w:pos="2145" w:val="left"/>
        </w:tabs>
        <w:numPr>
          <w:ilvl w:val="1"/>
          <w:numId w:val="56"/>
        </w:numPr>
        <w:rPr>
          <w:rFonts w:ascii="Arial" w:cs="Arial" w:eastAsia="Arial" w:hAnsi="Arial"/>
          <w:sz w:val="20"/>
          <w:szCs w:val="20"/>
          <w:color w:val="auto"/>
        </w:rPr>
      </w:pPr>
      <w:r>
        <w:rPr>
          <w:rFonts w:ascii="Arial" w:cs="Arial" w:eastAsia="Arial" w:hAnsi="Arial"/>
          <w:sz w:val="20"/>
          <w:szCs w:val="20"/>
          <w:color w:val="auto"/>
        </w:rPr>
        <w:t>Subject to the other terms of this Agreement regarding the exercisability of the Option, provided that Holder is employed by a Participating Company on the relevant Exercise Date set forth below, the Option may be exercised in respect of the number of shares (the “Option Portion”) listed in column A from and after the Exercise Date listed in column B,</w:t>
      </w:r>
    </w:p>
    <w:p>
      <w:pPr>
        <w:spacing w:after="0" w:line="200" w:lineRule="exact"/>
        <w:rPr>
          <w:sz w:val="20"/>
          <w:szCs w:val="20"/>
          <w:color w:val="auto"/>
        </w:rPr>
      </w:pPr>
    </w:p>
    <w:tbl>
      <w:tblPr>
        <w:tblLayout w:type="fixed"/>
        <w:tblInd w:w="980" w:type="dxa"/>
        <w:tblCellMar>
          <w:top w:w="0" w:type="dxa"/>
          <w:left w:w="0" w:type="dxa"/>
          <w:bottom w:w="0" w:type="dxa"/>
          <w:right w:w="0" w:type="dxa"/>
        </w:tblCellMar>
      </w:tblPr>
      <w:tr>
        <w:trPr>
          <w:trHeight w:val="250"/>
        </w:trPr>
        <w:tc>
          <w:tcPr>
            <w:tcW w:w="1460" w:type="dxa"/>
            <w:vAlign w:val="bottom"/>
          </w:tcPr>
          <w:p>
            <w:pPr>
              <w:spacing w:after="0"/>
              <w:rPr>
                <w:sz w:val="21"/>
                <w:szCs w:val="21"/>
                <w:color w:val="auto"/>
              </w:rPr>
            </w:pPr>
          </w:p>
        </w:tc>
        <w:tc>
          <w:tcPr>
            <w:tcW w:w="3100" w:type="dxa"/>
            <w:vAlign w:val="bottom"/>
            <w:gridSpan w:val="2"/>
          </w:tcPr>
          <w:p>
            <w:pPr>
              <w:jc w:val="center"/>
              <w:ind w:right="1640"/>
              <w:spacing w:after="0"/>
              <w:rPr>
                <w:sz w:val="20"/>
                <w:szCs w:val="20"/>
                <w:color w:val="auto"/>
              </w:rPr>
            </w:pPr>
            <w:r>
              <w:rPr>
                <w:rFonts w:ascii="Arial" w:cs="Arial" w:eastAsia="Arial" w:hAnsi="Arial"/>
                <w:sz w:val="20"/>
                <w:szCs w:val="20"/>
                <w:color w:val="auto"/>
              </w:rPr>
              <w:t>Column “A”</w:t>
            </w:r>
          </w:p>
        </w:tc>
        <w:tc>
          <w:tcPr>
            <w:tcW w:w="1860" w:type="dxa"/>
            <w:vAlign w:val="bottom"/>
          </w:tcPr>
          <w:p>
            <w:pPr>
              <w:spacing w:after="0"/>
              <w:rPr>
                <w:sz w:val="21"/>
                <w:szCs w:val="21"/>
                <w:color w:val="auto"/>
              </w:rPr>
            </w:pPr>
          </w:p>
        </w:tc>
        <w:tc>
          <w:tcPr>
            <w:tcW w:w="2080" w:type="dxa"/>
            <w:vAlign w:val="bottom"/>
            <w:gridSpan w:val="2"/>
          </w:tcPr>
          <w:p>
            <w:pPr>
              <w:jc w:val="center"/>
              <w:ind w:right="1000"/>
              <w:spacing w:after="0"/>
              <w:rPr>
                <w:sz w:val="20"/>
                <w:szCs w:val="20"/>
                <w:color w:val="auto"/>
              </w:rPr>
            </w:pPr>
            <w:r>
              <w:rPr>
                <w:rFonts w:ascii="Arial" w:cs="Arial" w:eastAsia="Arial" w:hAnsi="Arial"/>
                <w:sz w:val="20"/>
                <w:szCs w:val="20"/>
                <w:color w:val="auto"/>
                <w:w w:val="98"/>
              </w:rPr>
              <w:t>Column “B”</w:t>
            </w:r>
          </w:p>
        </w:tc>
      </w:tr>
      <w:tr>
        <w:trPr>
          <w:trHeight w:val="415"/>
        </w:trPr>
        <w:tc>
          <w:tcPr>
            <w:tcW w:w="1460" w:type="dxa"/>
            <w:vAlign w:val="bottom"/>
          </w:tcPr>
          <w:p>
            <w:pPr>
              <w:spacing w:after="0"/>
              <w:rPr>
                <w:sz w:val="24"/>
                <w:szCs w:val="24"/>
                <w:color w:val="auto"/>
              </w:rPr>
            </w:pPr>
          </w:p>
        </w:tc>
        <w:tc>
          <w:tcPr>
            <w:tcW w:w="3100" w:type="dxa"/>
            <w:vAlign w:val="bottom"/>
            <w:gridSpan w:val="2"/>
          </w:tcPr>
          <w:p>
            <w:pPr>
              <w:jc w:val="center"/>
              <w:ind w:right="1660"/>
              <w:spacing w:after="0"/>
              <w:rPr>
                <w:sz w:val="20"/>
                <w:szCs w:val="20"/>
                <w:color w:val="auto"/>
              </w:rPr>
            </w:pPr>
            <w:r>
              <w:rPr>
                <w:rFonts w:ascii="Arial" w:cs="Arial" w:eastAsia="Arial" w:hAnsi="Arial"/>
                <w:sz w:val="20"/>
                <w:szCs w:val="20"/>
                <w:color w:val="auto"/>
                <w:w w:val="88"/>
              </w:rPr>
              <w:t>Number of Shares</w:t>
            </w:r>
          </w:p>
        </w:tc>
        <w:tc>
          <w:tcPr>
            <w:tcW w:w="1860" w:type="dxa"/>
            <w:vAlign w:val="bottom"/>
          </w:tcPr>
          <w:p>
            <w:pPr>
              <w:spacing w:after="0"/>
              <w:rPr>
                <w:sz w:val="24"/>
                <w:szCs w:val="24"/>
                <w:color w:val="auto"/>
              </w:rPr>
            </w:pPr>
          </w:p>
        </w:tc>
        <w:tc>
          <w:tcPr>
            <w:tcW w:w="2080" w:type="dxa"/>
            <w:vAlign w:val="bottom"/>
            <w:gridSpan w:val="2"/>
          </w:tcPr>
          <w:p>
            <w:pPr>
              <w:jc w:val="center"/>
              <w:ind w:right="980"/>
              <w:spacing w:after="0"/>
              <w:rPr>
                <w:sz w:val="20"/>
                <w:szCs w:val="20"/>
                <w:color w:val="auto"/>
              </w:rPr>
            </w:pPr>
            <w:r>
              <w:rPr>
                <w:rFonts w:ascii="Arial" w:cs="Arial" w:eastAsia="Arial" w:hAnsi="Arial"/>
                <w:sz w:val="20"/>
                <w:szCs w:val="20"/>
                <w:color w:val="auto"/>
                <w:w w:val="88"/>
              </w:rPr>
              <w:t>Exercise Date</w:t>
            </w:r>
          </w:p>
        </w:tc>
      </w:tr>
      <w:tr>
        <w:trPr>
          <w:trHeight w:val="20"/>
        </w:trPr>
        <w:tc>
          <w:tcPr>
            <w:tcW w:w="14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84"/>
        </w:trPr>
        <w:tc>
          <w:tcPr>
            <w:tcW w:w="4560" w:type="dxa"/>
            <w:vAlign w:val="bottom"/>
            <w:gridSpan w:val="3"/>
          </w:tcPr>
          <w:p>
            <w:pPr>
              <w:jc w:val="center"/>
              <w:ind w:right="220"/>
              <w:spacing w:after="0"/>
              <w:rPr>
                <w:sz w:val="20"/>
                <w:szCs w:val="20"/>
                <w:color w:val="auto"/>
              </w:rPr>
            </w:pPr>
            <w:r>
              <w:rPr>
                <w:rFonts w:ascii="Arial" w:cs="Arial" w:eastAsia="Arial" w:hAnsi="Arial"/>
                <w:sz w:val="20"/>
                <w:szCs w:val="20"/>
                <w:color w:val="auto"/>
                <w:w w:val="89"/>
              </w:rPr>
              <w:t>33.333% of the number of shares subject to the Option</w:t>
            </w:r>
          </w:p>
        </w:tc>
        <w:tc>
          <w:tcPr>
            <w:tcW w:w="3940" w:type="dxa"/>
            <w:vAlign w:val="bottom"/>
            <w:gridSpan w:val="3"/>
          </w:tcPr>
          <w:p>
            <w:pPr>
              <w:ind w:left="240"/>
              <w:spacing w:after="0"/>
              <w:rPr>
                <w:sz w:val="20"/>
                <w:szCs w:val="20"/>
                <w:color w:val="auto"/>
              </w:rPr>
            </w:pPr>
            <w:r>
              <w:rPr>
                <w:rFonts w:ascii="Arial" w:cs="Arial" w:eastAsia="Arial" w:hAnsi="Arial"/>
                <w:sz w:val="20"/>
                <w:szCs w:val="20"/>
                <w:color w:val="auto"/>
                <w:w w:val="96"/>
              </w:rPr>
              <w:t>After the first anniversary of the Grant Date</w:t>
            </w:r>
          </w:p>
        </w:tc>
      </w:tr>
      <w:tr>
        <w:trPr>
          <w:trHeight w:val="459"/>
        </w:trPr>
        <w:tc>
          <w:tcPr>
            <w:tcW w:w="4560" w:type="dxa"/>
            <w:vAlign w:val="bottom"/>
            <w:gridSpan w:val="3"/>
          </w:tcPr>
          <w:p>
            <w:pPr>
              <w:jc w:val="center"/>
              <w:ind w:right="220"/>
              <w:spacing w:after="0"/>
              <w:rPr>
                <w:sz w:val="20"/>
                <w:szCs w:val="20"/>
                <w:color w:val="auto"/>
              </w:rPr>
            </w:pPr>
            <w:r>
              <w:rPr>
                <w:rFonts w:ascii="Arial" w:cs="Arial" w:eastAsia="Arial" w:hAnsi="Arial"/>
                <w:sz w:val="20"/>
                <w:szCs w:val="20"/>
                <w:color w:val="auto"/>
                <w:w w:val="89"/>
              </w:rPr>
              <w:t>33.333% of the number of shares subject to the Option</w:t>
            </w:r>
          </w:p>
        </w:tc>
        <w:tc>
          <w:tcPr>
            <w:tcW w:w="3940" w:type="dxa"/>
            <w:vAlign w:val="bottom"/>
            <w:gridSpan w:val="3"/>
          </w:tcPr>
          <w:p>
            <w:pPr>
              <w:ind w:left="240"/>
              <w:spacing w:after="0"/>
              <w:rPr>
                <w:sz w:val="20"/>
                <w:szCs w:val="20"/>
                <w:color w:val="auto"/>
              </w:rPr>
            </w:pPr>
            <w:r>
              <w:rPr>
                <w:rFonts w:ascii="Arial" w:cs="Arial" w:eastAsia="Arial" w:hAnsi="Arial"/>
                <w:sz w:val="20"/>
                <w:szCs w:val="20"/>
                <w:color w:val="auto"/>
                <w:w w:val="88"/>
              </w:rPr>
              <w:t>After the second anniversary of the Grant Date</w:t>
            </w:r>
          </w:p>
        </w:tc>
      </w:tr>
      <w:tr>
        <w:trPr>
          <w:trHeight w:val="459"/>
        </w:trPr>
        <w:tc>
          <w:tcPr>
            <w:tcW w:w="4560" w:type="dxa"/>
            <w:vAlign w:val="bottom"/>
            <w:gridSpan w:val="3"/>
          </w:tcPr>
          <w:p>
            <w:pPr>
              <w:jc w:val="center"/>
              <w:ind w:right="220"/>
              <w:spacing w:after="0"/>
              <w:rPr>
                <w:sz w:val="20"/>
                <w:szCs w:val="20"/>
                <w:color w:val="auto"/>
              </w:rPr>
            </w:pPr>
            <w:r>
              <w:rPr>
                <w:rFonts w:ascii="Arial" w:cs="Arial" w:eastAsia="Arial" w:hAnsi="Arial"/>
                <w:sz w:val="20"/>
                <w:szCs w:val="20"/>
                <w:color w:val="auto"/>
                <w:w w:val="89"/>
              </w:rPr>
              <w:t>33.334% of the number of shares subject to the Option</w:t>
            </w:r>
          </w:p>
        </w:tc>
        <w:tc>
          <w:tcPr>
            <w:tcW w:w="3940" w:type="dxa"/>
            <w:vAlign w:val="bottom"/>
            <w:gridSpan w:val="3"/>
          </w:tcPr>
          <w:p>
            <w:pPr>
              <w:ind w:left="240"/>
              <w:spacing w:after="0"/>
              <w:rPr>
                <w:sz w:val="20"/>
                <w:szCs w:val="20"/>
                <w:color w:val="auto"/>
              </w:rPr>
            </w:pPr>
            <w:r>
              <w:rPr>
                <w:rFonts w:ascii="Arial" w:cs="Arial" w:eastAsia="Arial" w:hAnsi="Arial"/>
                <w:sz w:val="20"/>
                <w:szCs w:val="20"/>
                <w:color w:val="auto"/>
                <w:w w:val="94"/>
              </w:rPr>
              <w:t>After the third anniversary of the Grant Date</w:t>
            </w:r>
          </w:p>
        </w:tc>
      </w:tr>
    </w:tbl>
    <w:p>
      <w:pPr>
        <w:spacing w:after="0" w:line="209" w:lineRule="exact"/>
        <w:rPr>
          <w:sz w:val="20"/>
          <w:szCs w:val="20"/>
          <w:color w:val="auto"/>
        </w:rPr>
      </w:pPr>
    </w:p>
    <w:p>
      <w:pPr>
        <w:jc w:val="both"/>
        <w:ind w:firstLine="1305"/>
        <w:spacing w:after="0" w:line="246" w:lineRule="auto"/>
        <w:tabs>
          <w:tab w:leader="none" w:pos="1972"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This Option may be exercised, to the extent exercisable by its terms, from time to time in whole or in part at any time prior to the expiration thereof. Any exercise shall be accompanied by a written notice to the Company specifying the number of shares as to which this Option is being exercised (the “Option Shares”). Notations of any partial exercise or installment exercise, shall be made by the Company on Schedule A hereto.</w:t>
      </w:r>
    </w:p>
    <w:p>
      <w:pPr>
        <w:spacing w:after="0" w:line="205" w:lineRule="exact"/>
        <w:rPr>
          <w:rFonts w:ascii="Arial" w:cs="Arial" w:eastAsia="Arial" w:hAnsi="Arial"/>
          <w:sz w:val="20"/>
          <w:szCs w:val="20"/>
          <w:color w:val="auto"/>
        </w:rPr>
      </w:pPr>
    </w:p>
    <w:p>
      <w:pPr>
        <w:jc w:val="both"/>
        <w:ind w:firstLine="1305"/>
        <w:spacing w:after="0" w:line="243" w:lineRule="auto"/>
        <w:tabs>
          <w:tab w:leader="none" w:pos="2106" w:val="left"/>
        </w:tabs>
        <w:numPr>
          <w:ilvl w:val="0"/>
          <w:numId w:val="57"/>
        </w:numPr>
        <w:rPr>
          <w:rFonts w:ascii="Arial" w:cs="Arial" w:eastAsia="Arial" w:hAnsi="Arial"/>
          <w:sz w:val="20"/>
          <w:szCs w:val="20"/>
          <w:color w:val="auto"/>
        </w:rPr>
      </w:pPr>
      <w:r>
        <w:rPr>
          <w:rFonts w:ascii="Arial" w:cs="Arial" w:eastAsia="Arial" w:hAnsi="Arial"/>
          <w:sz w:val="20"/>
          <w:szCs w:val="20"/>
          <w:color w:val="auto"/>
        </w:rPr>
        <w:t>Notwithstanding Section 3(a) above, this ISO shall be fully exercisable in the event Holder’s employment with a Participating Company is terminated by the Holder for “Good Reason” (as defined below), or a Participating Company terminates the Holder’s employment without “Cause” (as defined above). “Good Reason” means the Holder’s termination of employment with a Participating Company on or after a reduction in his compensation or benefits, his removal as the Company’s Chairman of the Board or Chief Executive Officer, or his being assigned duties or responsibilities that are inconsistent with the dignity, importance or scope of his position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5" w:right="239" w:bottom="479" w:gutter="0" w:footer="0" w:header="0"/>
        </w:sectPr>
      </w:pPr>
    </w:p>
    <w:bookmarkStart w:id="78" w:name="page79"/>
    <w:bookmarkEnd w:id="78"/>
    <w:p>
      <w:pPr>
        <w:ind w:left="1940" w:hanging="635"/>
        <w:spacing w:after="0"/>
        <w:tabs>
          <w:tab w:leader="none" w:pos="19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Notwithstanding anything else in this Agreement to the contrary, this Option shall expire on the tenth anniversary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Grant Date.</w:t>
      </w:r>
    </w:p>
    <w:p>
      <w:pPr>
        <w:spacing w:after="0" w:line="213" w:lineRule="exact"/>
        <w:rPr>
          <w:sz w:val="20"/>
          <w:szCs w:val="20"/>
          <w:color w:val="auto"/>
        </w:rPr>
      </w:pPr>
    </w:p>
    <w:p>
      <w:pPr>
        <w:jc w:val="both"/>
        <w:ind w:firstLine="1305"/>
        <w:spacing w:after="0" w:line="250" w:lineRule="auto"/>
        <w:tabs>
          <w:tab w:leader="none" w:pos="1931" w:val="left"/>
        </w:tabs>
        <w:numPr>
          <w:ilvl w:val="2"/>
          <w:numId w:val="59"/>
        </w:numPr>
        <w:rPr>
          <w:rFonts w:ascii="Arial" w:cs="Arial" w:eastAsia="Arial" w:hAnsi="Arial"/>
          <w:sz w:val="20"/>
          <w:szCs w:val="20"/>
          <w:color w:val="auto"/>
        </w:rPr>
      </w:pPr>
      <w:r>
        <w:rPr>
          <w:rFonts w:ascii="Arial" w:cs="Arial" w:eastAsia="Arial" w:hAnsi="Arial"/>
          <w:sz w:val="20"/>
          <w:szCs w:val="20"/>
          <w:color w:val="auto"/>
        </w:rPr>
        <w:t>The Holder hereby agrees to notify the Company in writing in the event shares acquired pursuant to the exercise of this Option are transferred, other than by will or by the laws of descent and distribution, within two years after the Grant Date or within one year after the issuance of such shares pursuant to such exercise.</w:t>
      </w:r>
    </w:p>
    <w:p>
      <w:pPr>
        <w:spacing w:after="0" w:line="199" w:lineRule="exact"/>
        <w:rPr>
          <w:rFonts w:ascii="Arial" w:cs="Arial" w:eastAsia="Arial" w:hAnsi="Arial"/>
          <w:sz w:val="20"/>
          <w:szCs w:val="20"/>
          <w:color w:val="auto"/>
        </w:rPr>
      </w:pPr>
    </w:p>
    <w:p>
      <w:pPr>
        <w:ind w:right="20" w:firstLine="656"/>
        <w:spacing w:after="0" w:line="260" w:lineRule="auto"/>
        <w:tabs>
          <w:tab w:leader="none" w:pos="1269" w:val="left"/>
        </w:tabs>
        <w:numPr>
          <w:ilvl w:val="1"/>
          <w:numId w:val="60"/>
        </w:numPr>
        <w:rPr>
          <w:rFonts w:ascii="Arial" w:cs="Arial" w:eastAsia="Arial" w:hAnsi="Arial"/>
          <w:sz w:val="20"/>
          <w:szCs w:val="20"/>
          <w:color w:val="auto"/>
        </w:rPr>
      </w:pPr>
      <w:r>
        <w:rPr>
          <w:rFonts w:ascii="Arial" w:cs="Arial" w:eastAsia="Arial" w:hAnsi="Arial"/>
          <w:sz w:val="20"/>
          <w:szCs w:val="20"/>
          <w:u w:val="single" w:color="auto"/>
          <w:color w:val="auto"/>
        </w:rPr>
        <w:t>Payment of Purchase Price Upon Exercise</w:t>
      </w:r>
      <w:r>
        <w:rPr>
          <w:rFonts w:ascii="Arial" w:cs="Arial" w:eastAsia="Arial" w:hAnsi="Arial"/>
          <w:sz w:val="20"/>
          <w:szCs w:val="20"/>
          <w:color w:val="auto"/>
        </w:rPr>
        <w:t>. At the time of any exercise of all or a portion of the Option, the purchase price shall be paid in full to the Company in any of the following ways or in any combination of the following ways:</w:t>
      </w:r>
    </w:p>
    <w:p>
      <w:pPr>
        <w:spacing w:after="0" w:line="190" w:lineRule="exact"/>
        <w:rPr>
          <w:rFonts w:ascii="Arial" w:cs="Arial" w:eastAsia="Arial" w:hAnsi="Arial"/>
          <w:sz w:val="20"/>
          <w:szCs w:val="20"/>
          <w:color w:val="auto"/>
        </w:rPr>
      </w:pPr>
    </w:p>
    <w:p>
      <w:pPr>
        <w:ind w:left="1920" w:hanging="615"/>
        <w:spacing w:after="0"/>
        <w:tabs>
          <w:tab w:leader="none" w:pos="1920" w:val="left"/>
        </w:tabs>
        <w:numPr>
          <w:ilvl w:val="2"/>
          <w:numId w:val="60"/>
        </w:numPr>
        <w:rPr>
          <w:rFonts w:ascii="Arial" w:cs="Arial" w:eastAsia="Arial" w:hAnsi="Arial"/>
          <w:sz w:val="20"/>
          <w:szCs w:val="20"/>
          <w:color w:val="auto"/>
        </w:rPr>
      </w:pPr>
      <w:r>
        <w:rPr>
          <w:rFonts w:ascii="Arial" w:cs="Arial" w:eastAsia="Arial" w:hAnsi="Arial"/>
          <w:sz w:val="20"/>
          <w:szCs w:val="20"/>
          <w:color w:val="auto"/>
        </w:rPr>
        <w:t>By check or other immediately available funds.</w:t>
      </w:r>
    </w:p>
    <w:p>
      <w:pPr>
        <w:spacing w:after="0" w:line="229" w:lineRule="exact"/>
        <w:rPr>
          <w:rFonts w:ascii="Arial" w:cs="Arial" w:eastAsia="Arial" w:hAnsi="Arial"/>
          <w:sz w:val="20"/>
          <w:szCs w:val="20"/>
          <w:color w:val="auto"/>
        </w:rPr>
      </w:pPr>
    </w:p>
    <w:p>
      <w:pPr>
        <w:jc w:val="both"/>
        <w:ind w:firstLine="1305"/>
        <w:spacing w:after="0" w:line="246" w:lineRule="auto"/>
        <w:tabs>
          <w:tab w:leader="none" w:pos="1958" w:val="left"/>
        </w:tabs>
        <w:numPr>
          <w:ilvl w:val="2"/>
          <w:numId w:val="60"/>
        </w:numPr>
        <w:rPr>
          <w:rFonts w:ascii="Arial" w:cs="Arial" w:eastAsia="Arial" w:hAnsi="Arial"/>
          <w:sz w:val="20"/>
          <w:szCs w:val="20"/>
          <w:color w:val="auto"/>
        </w:rPr>
      </w:pPr>
      <w:r>
        <w:rPr>
          <w:rFonts w:ascii="Arial" w:cs="Arial" w:eastAsia="Arial" w:hAnsi="Arial"/>
          <w:sz w:val="20"/>
          <w:szCs w:val="20"/>
          <w:color w:val="auto"/>
        </w:rPr>
        <w:t>With property consisting of shares of Stock. (The shares of Stock to be used as payment shall be valued as of the date of exercise of the Option at the Closing Price as defined below. For example, if Holder exercises the option for 4,000 shares at a total Exercise Price of $8,000, assuming an exercise price of $2.00 per share, and the Closing Price is $5.00, Holder may pay for the 4,000 Option Shares by transferring 1,600 shares of Stock to the Company.)</w:t>
      </w:r>
    </w:p>
    <w:p>
      <w:pPr>
        <w:spacing w:after="0" w:line="205" w:lineRule="exact"/>
        <w:rPr>
          <w:rFonts w:ascii="Arial" w:cs="Arial" w:eastAsia="Arial" w:hAnsi="Arial"/>
          <w:sz w:val="20"/>
          <w:szCs w:val="20"/>
          <w:color w:val="auto"/>
        </w:rPr>
      </w:pPr>
    </w:p>
    <w:p>
      <w:pPr>
        <w:jc w:val="both"/>
        <w:ind w:firstLine="1305"/>
        <w:spacing w:after="0" w:line="250" w:lineRule="auto"/>
        <w:tabs>
          <w:tab w:leader="none" w:pos="1935" w:val="left"/>
        </w:tabs>
        <w:numPr>
          <w:ilvl w:val="2"/>
          <w:numId w:val="60"/>
        </w:numPr>
        <w:rPr>
          <w:rFonts w:ascii="Arial" w:cs="Arial" w:eastAsia="Arial" w:hAnsi="Arial"/>
          <w:sz w:val="20"/>
          <w:szCs w:val="20"/>
          <w:color w:val="auto"/>
        </w:rPr>
      </w:pPr>
      <w:r>
        <w:rPr>
          <w:rFonts w:ascii="Arial" w:cs="Arial" w:eastAsia="Arial" w:hAnsi="Arial"/>
          <w:sz w:val="20"/>
          <w:szCs w:val="20"/>
          <w:color w:val="auto"/>
        </w:rPr>
        <w:t>By delivering a properly executed exercise notice together with irrevocable instructions to a broker to deliver promptly to the Company the amount of sale proceeds necessary to pay the purchase price and applicable withholding taxes, and such other documents as the Committee may determine.</w:t>
      </w:r>
    </w:p>
    <w:p>
      <w:pPr>
        <w:spacing w:after="0" w:line="199" w:lineRule="exact"/>
        <w:rPr>
          <w:rFonts w:ascii="Arial" w:cs="Arial" w:eastAsia="Arial" w:hAnsi="Arial"/>
          <w:sz w:val="20"/>
          <w:szCs w:val="20"/>
          <w:color w:val="auto"/>
        </w:rPr>
      </w:pPr>
    </w:p>
    <w:p>
      <w:pPr>
        <w:jc w:val="both"/>
        <w:ind w:firstLine="1305"/>
        <w:spacing w:after="0" w:line="257" w:lineRule="auto"/>
        <w:tabs>
          <w:tab w:leader="none" w:pos="2027" w:val="left"/>
        </w:tabs>
        <w:numPr>
          <w:ilvl w:val="2"/>
          <w:numId w:val="60"/>
        </w:numPr>
        <w:rPr>
          <w:rFonts w:ascii="Arial" w:cs="Arial" w:eastAsia="Arial" w:hAnsi="Arial"/>
          <w:sz w:val="19"/>
          <w:szCs w:val="19"/>
          <w:color w:val="auto"/>
        </w:rPr>
      </w:pPr>
      <w:r>
        <w:rPr>
          <w:rFonts w:ascii="Arial" w:cs="Arial" w:eastAsia="Arial" w:hAnsi="Arial"/>
          <w:sz w:val="19"/>
          <w:szCs w:val="19"/>
          <w:color w:val="auto"/>
        </w:rPr>
        <w:t>For purposes of this Agreement, the term “Closing Price” means, with respect to the Company’s Stock, the last sale price regular-way or, in case no such sale takes place on such date, the average of the closing bid and asked prices regular-way on the principal national securities exchange on which the Stock is listed or admitted to trading; or, if the Stock is not listed or admitted to trading on any national securities exchange, the last sale price of the Stock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Stock is not listed on NASDAQ or a comparable system, the “Closing Price” shall be the Fair Market Value of the Stock as determined by the Committee in good faith.</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23" w:lineRule="exact"/>
        <w:rPr>
          <w:rFonts w:ascii="Arial" w:cs="Arial" w:eastAsia="Arial" w:hAnsi="Arial"/>
          <w:sz w:val="19"/>
          <w:szCs w:val="19"/>
          <w:color w:val="auto"/>
        </w:rPr>
      </w:pPr>
    </w:p>
    <w:p>
      <w:pPr>
        <w:jc w:val="both"/>
        <w:ind w:firstLine="656"/>
        <w:spacing w:after="0" w:line="256" w:lineRule="auto"/>
        <w:tabs>
          <w:tab w:leader="none" w:pos="1310"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Purchase for Investment; Resale Restrictions</w:t>
      </w:r>
      <w:r>
        <w:rPr>
          <w:rFonts w:ascii="Arial" w:cs="Arial" w:eastAsia="Arial" w:hAnsi="Arial"/>
          <w:sz w:val="19"/>
          <w:szCs w:val="19"/>
          <w:color w:val="auto"/>
        </w:rPr>
        <w:t>. Unless at the time of exercise of the Option there shall be a valid and effective registration statement under the Securities Act of 1933 (the “‘33 Act”) and appropriate qualification and registration under applicable state securities laws relating to the Option Shares being acquired, Holder shall upon exercise of the Option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194" w:lineRule="exact"/>
        <w:rPr>
          <w:rFonts w:ascii="Arial" w:cs="Arial" w:eastAsia="Arial" w:hAnsi="Arial"/>
          <w:sz w:val="19"/>
          <w:szCs w:val="19"/>
          <w:color w:val="auto"/>
        </w:rPr>
      </w:pPr>
    </w:p>
    <w:p>
      <w:pPr>
        <w:ind w:right="20" w:firstLine="656"/>
        <w:spacing w:after="0" w:line="260" w:lineRule="auto"/>
        <w:tabs>
          <w:tab w:leader="none" w:pos="1310" w:val="left"/>
        </w:tabs>
        <w:numPr>
          <w:ilvl w:val="1"/>
          <w:numId w:val="60"/>
        </w:numPr>
        <w:rPr>
          <w:rFonts w:ascii="Arial" w:cs="Arial" w:eastAsia="Arial" w:hAnsi="Arial"/>
          <w:sz w:val="20"/>
          <w:szCs w:val="20"/>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 This Option shall not be transferable other than by will or by the laws of descent and distribution. During the lifetime of Holder, this Option shall be exercisable only by Holder.</w:t>
      </w:r>
    </w:p>
    <w:p>
      <w:pPr>
        <w:spacing w:after="0" w:line="190" w:lineRule="exact"/>
        <w:rPr>
          <w:rFonts w:ascii="Arial" w:cs="Arial" w:eastAsia="Arial" w:hAnsi="Arial"/>
          <w:sz w:val="20"/>
          <w:szCs w:val="20"/>
          <w:color w:val="auto"/>
        </w:rPr>
      </w:pPr>
    </w:p>
    <w:p>
      <w:pPr>
        <w:ind w:left="1260" w:hanging="604"/>
        <w:spacing w:after="0"/>
        <w:tabs>
          <w:tab w:leader="none" w:pos="1260" w:val="left"/>
        </w:tabs>
        <w:numPr>
          <w:ilvl w:val="1"/>
          <w:numId w:val="60"/>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jc w:val="both"/>
        <w:ind w:firstLine="1305"/>
        <w:spacing w:after="0" w:line="299" w:lineRule="auto"/>
        <w:tabs>
          <w:tab w:leader="none" w:pos="1941" w:val="left"/>
        </w:tabs>
        <w:numPr>
          <w:ilvl w:val="2"/>
          <w:numId w:val="60"/>
        </w:numPr>
        <w:rPr>
          <w:rFonts w:ascii="Arial" w:cs="Arial" w:eastAsia="Arial" w:hAnsi="Arial"/>
          <w:sz w:val="16"/>
          <w:szCs w:val="16"/>
          <w:color w:val="auto"/>
        </w:rPr>
      </w:pPr>
      <w:r>
        <w:rPr>
          <w:rFonts w:ascii="Arial" w:cs="Arial" w:eastAsia="Arial" w:hAnsi="Arial"/>
          <w:sz w:val="16"/>
          <w:szCs w:val="16"/>
          <w:color w:val="auto"/>
        </w:rPr>
        <w:t>Subject to clause 7(b) below, if the outstanding shares of stock of the Company are 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 of the assets or shares of the Company, reorganization, recapitalization, reclassification, stock dividend, stock split, reverse stock split or other distribution with respect to such shares of stock or other securities, then, to the extent permitted by the Board, an appropriate and proportionate adjustment shall be made in</w:t>
      </w:r>
    </w:p>
    <w:p>
      <w:pPr>
        <w:spacing w:after="0" w:line="1" w:lineRule="exact"/>
        <w:rPr>
          <w:rFonts w:ascii="Arial" w:cs="Arial" w:eastAsia="Arial" w:hAnsi="Arial"/>
          <w:sz w:val="16"/>
          <w:szCs w:val="16"/>
          <w:color w:val="auto"/>
        </w:rPr>
      </w:pPr>
    </w:p>
    <w:p>
      <w:pPr>
        <w:jc w:val="both"/>
        <w:ind w:firstLine="8"/>
        <w:spacing w:after="0" w:line="258" w:lineRule="auto"/>
        <w:tabs>
          <w:tab w:leader="none" w:pos="285"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maximum number and/or kind of shares provided in Paragraph 1 above; (2) the number and/or kind of shares or other securities subject to the outstanding options and tandum SARs, if any; and (3) the price for each share or other unit of any other securities subject to outstanding options without change in the aggregate purchase price or value as to which the options remain exercisable or subject to restrictions. Any adjustment under this clause 7(a) shall be made by the Board, whose determination as to what adjustments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-3907790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made, if any, and the extent thereof, will be final, binding and conclusive. No fractional interests will be issued under this Agreement resulting from any such adjustment.</w:t>
      </w:r>
    </w:p>
    <w:p>
      <w:pPr>
        <w:spacing w:after="0" w:line="190" w:lineRule="exact"/>
        <w:rPr>
          <w:sz w:val="20"/>
          <w:szCs w:val="20"/>
          <w:color w:val="auto"/>
        </w:rPr>
      </w:pPr>
    </w:p>
    <w:p>
      <w:pPr>
        <w:jc w:val="both"/>
        <w:ind w:firstLine="1305"/>
        <w:spacing w:after="0" w:line="321" w:lineRule="auto"/>
        <w:tabs>
          <w:tab w:leader="none" w:pos="1923"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Notwithstanding anything else in this Agreement to the contrary, unless the Board, in its sole discretion, determines that the Holder did not perform the duties reasonably requested of him in connection with a Change in Control (as defined in (c) below), including, without limitation, agreeing to provide remunerated services to the Company (for a reasonable length of time) following a Change in Control, upon the occurrence of a Change in Control, the Option or any portion thereof not theretofore exercisable, shall immediately become exercisable in its entirety and the Option may be purchased by the Company for cash at a price equal to the Fair Market Value less the purchase</w:t>
      </w:r>
    </w:p>
    <w:p>
      <w:pPr>
        <w:sectPr>
          <w:pgSz w:w="11900" w:h="16838" w:orient="portrait"/>
          <w:cols w:equalWidth="0" w:num="1">
            <w:col w:w="11420"/>
          </w:cols>
          <w:pgMar w:left="240" w:top="352" w:right="239" w:bottom="0" w:gutter="0" w:footer="0" w:header="0"/>
        </w:sectPr>
      </w:pPr>
    </w:p>
    <w:bookmarkStart w:id="79" w:name="page80"/>
    <w:bookmarkEnd w:id="79"/>
    <w:p>
      <w:pPr>
        <w:ind w:right="60"/>
        <w:spacing w:after="0" w:line="317" w:lineRule="auto"/>
        <w:rPr>
          <w:sz w:val="20"/>
          <w:szCs w:val="20"/>
          <w:color w:val="auto"/>
        </w:rPr>
      </w:pPr>
      <w:r>
        <w:rPr>
          <w:rFonts w:ascii="Arial" w:cs="Arial" w:eastAsia="Arial" w:hAnsi="Arial"/>
          <w:sz w:val="18"/>
          <w:szCs w:val="18"/>
          <w:color w:val="auto"/>
        </w:rPr>
        <w:t>price payable by the Holder to exercise the Option as set out in Section 1 above for one (1) share of Common Stock of the Company multiplied by the number of shares of Common Stock which the Holder has the option to purchase pursuant to the terms of Section 1 above.</w:t>
      </w:r>
    </w:p>
    <w:p>
      <w:pPr>
        <w:spacing w:after="0" w:line="143" w:lineRule="exact"/>
        <w:rPr>
          <w:sz w:val="20"/>
          <w:szCs w:val="20"/>
          <w:color w:val="auto"/>
        </w:rPr>
      </w:pPr>
    </w:p>
    <w:p>
      <w:pPr>
        <w:ind w:left="1920" w:hanging="615"/>
        <w:spacing w:after="0"/>
        <w:tabs>
          <w:tab w:leader="none" w:pos="1920" w:val="left"/>
        </w:tabs>
        <w:numPr>
          <w:ilvl w:val="1"/>
          <w:numId w:val="63"/>
        </w:numPr>
        <w:rPr>
          <w:rFonts w:ascii="Arial" w:cs="Arial" w:eastAsia="Arial" w:hAnsi="Arial"/>
          <w:sz w:val="20"/>
          <w:szCs w:val="20"/>
          <w:color w:val="auto"/>
        </w:rPr>
      </w:pPr>
      <w:r>
        <w:rPr>
          <w:rFonts w:ascii="Arial" w:cs="Arial" w:eastAsia="Arial" w:hAnsi="Arial"/>
          <w:sz w:val="20"/>
          <w:szCs w:val="20"/>
          <w:color w:val="auto"/>
        </w:rPr>
        <w:t>For the purposes of this agreement, “Change in Control” means:</w:t>
      </w:r>
    </w:p>
    <w:p>
      <w:pPr>
        <w:spacing w:after="0" w:line="229" w:lineRule="exact"/>
        <w:rPr>
          <w:rFonts w:ascii="Arial" w:cs="Arial" w:eastAsia="Arial" w:hAnsi="Arial"/>
          <w:sz w:val="20"/>
          <w:szCs w:val="20"/>
          <w:color w:val="auto"/>
        </w:rPr>
      </w:pPr>
    </w:p>
    <w:p>
      <w:pPr>
        <w:ind w:left="2680" w:hanging="727"/>
        <w:spacing w:after="0"/>
        <w:tabs>
          <w:tab w:leader="none" w:pos="26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acquisition (in one or more transactions) of “Beneficial Ownership” by any person (as defined in rule 13</w:t>
      </w:r>
    </w:p>
    <w:p>
      <w:pPr>
        <w:spacing w:after="0" w:line="38" w:lineRule="exact"/>
        <w:rPr>
          <w:rFonts w:ascii="Arial" w:cs="Arial" w:eastAsia="Arial" w:hAnsi="Arial"/>
          <w:sz w:val="18"/>
          <w:szCs w:val="18"/>
          <w:color w:val="auto"/>
        </w:rPr>
      </w:pPr>
    </w:p>
    <w:p>
      <w:pPr>
        <w:ind w:right="40" w:firstLine="8"/>
        <w:spacing w:after="0" w:line="244" w:lineRule="auto"/>
        <w:tabs>
          <w:tab w:leader="none" w:pos="306" w:val="left"/>
        </w:tabs>
        <w:numPr>
          <w:ilvl w:val="0"/>
          <w:numId w:val="64"/>
        </w:numPr>
        <w:rPr>
          <w:rFonts w:ascii="Arial" w:cs="Arial" w:eastAsia="Arial" w:hAnsi="Arial"/>
          <w:sz w:val="20"/>
          <w:szCs w:val="20"/>
          <w:color w:val="auto"/>
        </w:rPr>
      </w:pPr>
      <w:r>
        <w:rPr>
          <w:rFonts w:ascii="Arial" w:cs="Arial" w:eastAsia="Arial" w:hAnsi="Arial"/>
          <w:sz w:val="20"/>
          <w:szCs w:val="20"/>
          <w:color w:val="auto"/>
        </w:rPr>
        <w:t>- 3 under the Securities Exchange Act 1934), corporation or other entity other than the Company or a wholly owned subsidiary of the Company of 20% or more of the outstanding Common Stock,</w:t>
      </w:r>
    </w:p>
    <w:p>
      <w:pPr>
        <w:spacing w:after="0" w:line="205" w:lineRule="exact"/>
        <w:rPr>
          <w:rFonts w:ascii="Arial" w:cs="Arial" w:eastAsia="Arial" w:hAnsi="Arial"/>
          <w:sz w:val="20"/>
          <w:szCs w:val="20"/>
          <w:color w:val="auto"/>
        </w:rPr>
      </w:pPr>
    </w:p>
    <w:p>
      <w:pPr>
        <w:ind w:left="2600" w:hanging="647"/>
        <w:spacing w:after="0"/>
        <w:tabs>
          <w:tab w:leader="none" w:pos="2600" w:val="left"/>
        </w:tabs>
        <w:numPr>
          <w:ilvl w:val="2"/>
          <w:numId w:val="64"/>
        </w:numPr>
        <w:rPr>
          <w:rFonts w:ascii="Arial" w:cs="Arial" w:eastAsia="Arial" w:hAnsi="Arial"/>
          <w:sz w:val="20"/>
          <w:szCs w:val="20"/>
          <w:color w:val="auto"/>
        </w:rPr>
      </w:pPr>
      <w:r>
        <w:rPr>
          <w:rFonts w:ascii="Arial" w:cs="Arial" w:eastAsia="Arial" w:hAnsi="Arial"/>
          <w:sz w:val="20"/>
          <w:szCs w:val="20"/>
          <w:color w:val="auto"/>
        </w:rPr>
        <w:t>the sale or disposition of substantially all of the assets of the Company, or</w:t>
      </w:r>
    </w:p>
    <w:p>
      <w:pPr>
        <w:spacing w:after="0" w:line="229" w:lineRule="exact"/>
        <w:rPr>
          <w:sz w:val="20"/>
          <w:szCs w:val="20"/>
          <w:color w:val="auto"/>
        </w:rPr>
      </w:pPr>
    </w:p>
    <w:p>
      <w:pPr>
        <w:ind w:left="2720" w:hanging="767"/>
        <w:spacing w:after="0"/>
        <w:tabs>
          <w:tab w:leader="none" w:pos="27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merger of the Company with another entity in which the Common Stock of the Company is no longer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outstanding after such merger.</w:t>
      </w:r>
    </w:p>
    <w:p>
      <w:pPr>
        <w:spacing w:after="0" w:line="213" w:lineRule="exact"/>
        <w:rPr>
          <w:rFonts w:ascii="Arial" w:cs="Arial" w:eastAsia="Arial" w:hAnsi="Arial"/>
          <w:sz w:val="18"/>
          <w:szCs w:val="18"/>
          <w:color w:val="auto"/>
        </w:rPr>
      </w:pPr>
    </w:p>
    <w:p>
      <w:pPr>
        <w:ind w:right="40" w:firstLine="656"/>
        <w:spacing w:after="0" w:line="260" w:lineRule="auto"/>
        <w:tabs>
          <w:tab w:leader="none" w:pos="1269"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No Rights as Stockholder</w:t>
      </w:r>
      <w:r>
        <w:rPr>
          <w:rFonts w:ascii="Arial" w:cs="Arial" w:eastAsia="Arial" w:hAnsi="Arial"/>
          <w:sz w:val="20"/>
          <w:szCs w:val="20"/>
          <w:color w:val="auto"/>
        </w:rPr>
        <w:t>. Holder shall have no rights as a stockholder with respect to any shares of Stock subject to this Option prior to the date of issuance to him of a certificate or certificates for such shares.</w:t>
      </w:r>
    </w:p>
    <w:p>
      <w:pPr>
        <w:spacing w:after="0" w:line="190" w:lineRule="exact"/>
        <w:rPr>
          <w:rFonts w:ascii="Arial" w:cs="Arial" w:eastAsia="Arial" w:hAnsi="Arial"/>
          <w:sz w:val="20"/>
          <w:szCs w:val="20"/>
          <w:color w:val="auto"/>
        </w:rPr>
      </w:pPr>
    </w:p>
    <w:p>
      <w:pPr>
        <w:jc w:val="both"/>
        <w:ind w:right="60" w:firstLine="656"/>
        <w:spacing w:after="0" w:line="250" w:lineRule="auto"/>
        <w:tabs>
          <w:tab w:leader="none" w:pos="1256"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No Right to Continue Employment</w:t>
      </w:r>
      <w:r>
        <w:rPr>
          <w:rFonts w:ascii="Arial" w:cs="Arial" w:eastAsia="Arial" w:hAnsi="Arial"/>
          <w:sz w:val="20"/>
          <w:szCs w:val="20"/>
          <w:color w:val="auto"/>
        </w:rPr>
        <w:t>. This Agreement shall not confer upon Holder any right with respect to continuance of employment with a Participating Company nor shall it interfere in any way with the right of a Participating Company to terminate the Holder’s employment at any time.</w:t>
      </w:r>
    </w:p>
    <w:p>
      <w:pPr>
        <w:spacing w:after="0" w:line="199" w:lineRule="exact"/>
        <w:rPr>
          <w:rFonts w:ascii="Arial" w:cs="Arial" w:eastAsia="Arial" w:hAnsi="Arial"/>
          <w:sz w:val="20"/>
          <w:szCs w:val="20"/>
          <w:color w:val="auto"/>
        </w:rPr>
      </w:pPr>
    </w:p>
    <w:p>
      <w:pPr>
        <w:ind w:right="40" w:firstLine="656"/>
        <w:spacing w:after="0" w:line="260" w:lineRule="auto"/>
        <w:tabs>
          <w:tab w:leader="none" w:pos="1305"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Compliance With Law and Regulation</w:t>
      </w:r>
      <w:r>
        <w:rPr>
          <w:rFonts w:ascii="Arial" w:cs="Arial" w:eastAsia="Arial" w:hAnsi="Arial"/>
          <w:sz w:val="20"/>
          <w:szCs w:val="20"/>
          <w:color w:val="auto"/>
        </w:rPr>
        <w:t>. This Agreement and the obligation of the Company to sell and deliver shares of Stock hereunder shall be subject to all applicable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40"/>
        <w:spacing w:after="0" w:line="243" w:lineRule="auto"/>
        <w:rPr>
          <w:sz w:val="20"/>
          <w:szCs w:val="20"/>
          <w:color w:val="auto"/>
        </w:rPr>
      </w:pPr>
      <w:r>
        <w:rPr>
          <w:rFonts w:ascii="Arial" w:cs="Arial" w:eastAsia="Arial" w:hAnsi="Arial"/>
          <w:sz w:val="20"/>
          <w:szCs w:val="20"/>
          <w:color w:val="auto"/>
        </w:rPr>
        <w:t>and state laws, rules and regulations and to such approvals by any government or regulatory agency as may be required. If at any time the Board shall determine that (i) the listing, registration or qualification of the shares of Stock subject or related thereto upon any securities exchange or under any state or federal law, or (ii) the consent or approval of any government regulatory body, is necessary or desirable as a condition of or in connection with the issue or purchase of shares of Stock hereunder, this Option may not be exercised in whole or in part unless such listing, registration, qualification, consent, approval or agreement shall have been effected or obtained free of any conditions not acceptable to the Board.</w:t>
      </w:r>
    </w:p>
    <w:p>
      <w:pPr>
        <w:spacing w:after="0" w:line="210" w:lineRule="exact"/>
        <w:rPr>
          <w:sz w:val="20"/>
          <w:szCs w:val="20"/>
          <w:color w:val="auto"/>
        </w:rPr>
      </w:pPr>
    </w:p>
    <w:p>
      <w:pPr>
        <w:ind w:right="40" w:firstLine="656"/>
        <w:spacing w:after="0" w:line="316" w:lineRule="auto"/>
        <w:tabs>
          <w:tab w:leader="none" w:pos="1433"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Tax Withholding Requirements</w:t>
      </w:r>
      <w:r>
        <w:rPr>
          <w:rFonts w:ascii="Arial" w:cs="Arial" w:eastAsia="Arial" w:hAnsi="Arial"/>
          <w:sz w:val="18"/>
          <w:szCs w:val="18"/>
          <w:color w:val="auto"/>
        </w:rPr>
        <w:t>. The Company shall have the right to require Holder to remit to the Company an amount sufficient to satisfy any federal, state or local withholding tax requirements prior to the delivery of any certificate or certificates for Stock.</w:t>
      </w:r>
    </w:p>
    <w:p>
      <w:pPr>
        <w:spacing w:after="0" w:line="143" w:lineRule="exact"/>
        <w:rPr>
          <w:rFonts w:ascii="Arial" w:cs="Arial" w:eastAsia="Arial" w:hAnsi="Arial"/>
          <w:sz w:val="18"/>
          <w:szCs w:val="18"/>
          <w:color w:val="auto"/>
        </w:rPr>
      </w:pPr>
    </w:p>
    <w:p>
      <w:pPr>
        <w:ind w:right="40" w:firstLine="656"/>
        <w:spacing w:after="0" w:line="316" w:lineRule="auto"/>
        <w:tabs>
          <w:tab w:leader="none" w:pos="1373"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other provision of this Agreement, no fractional shares of Stock shall be issued upon the exercise of this Option, and the Company shall not be under any obligation to compensate Holder in any way for such fractional shares.</w:t>
      </w:r>
    </w:p>
    <w:p>
      <w:pPr>
        <w:spacing w:after="0" w:line="143" w:lineRule="exact"/>
        <w:rPr>
          <w:rFonts w:ascii="Arial" w:cs="Arial" w:eastAsia="Arial" w:hAnsi="Arial"/>
          <w:sz w:val="18"/>
          <w:szCs w:val="18"/>
          <w:color w:val="auto"/>
        </w:rPr>
      </w:pPr>
    </w:p>
    <w:p>
      <w:pPr>
        <w:jc w:val="both"/>
        <w:ind w:right="40" w:firstLine="656"/>
        <w:spacing w:after="0" w:line="246" w:lineRule="auto"/>
        <w:tabs>
          <w:tab w:leader="none" w:pos="1373"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hereunder to the Company shall be addressed to it at its office at 550 Monica Circle, Suite 201, Corona, California 92880, Attention: Rodney C. Sacks with a copy to Benjamin Polk, Schulte Roth &amp; Zabel LLP, 919 Third Avenue, New York, New York 10022, and any notice hereunder to Holder shall be addressed to him at 14 Vienne, Irvine, California 92606, subject to the right of either party to designate at any time hereafter in writing some other address.</w:t>
      </w:r>
    </w:p>
    <w:p>
      <w:pPr>
        <w:spacing w:after="0" w:line="205" w:lineRule="exact"/>
        <w:rPr>
          <w:rFonts w:ascii="Arial" w:cs="Arial" w:eastAsia="Arial" w:hAnsi="Arial"/>
          <w:sz w:val="20"/>
          <w:szCs w:val="20"/>
          <w:color w:val="auto"/>
        </w:rPr>
      </w:pPr>
    </w:p>
    <w:p>
      <w:pPr>
        <w:ind w:right="40" w:firstLine="656"/>
        <w:spacing w:after="0" w:line="260" w:lineRule="auto"/>
        <w:tabs>
          <w:tab w:leader="none" w:pos="1332"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No modification, amendment or waiver of any of the provisions of this Agreement shall be effective unless in writing specifically referring hereto, and signed by both parties.</w:t>
      </w:r>
    </w:p>
    <w:p>
      <w:pPr>
        <w:spacing w:after="0" w:line="190" w:lineRule="exact"/>
        <w:rPr>
          <w:rFonts w:ascii="Arial" w:cs="Arial" w:eastAsia="Arial" w:hAnsi="Arial"/>
          <w:sz w:val="20"/>
          <w:szCs w:val="20"/>
          <w:color w:val="auto"/>
        </w:rPr>
      </w:pPr>
    </w:p>
    <w:p>
      <w:pPr>
        <w:ind w:right="40" w:firstLine="656"/>
        <w:spacing w:after="0" w:line="316" w:lineRule="auto"/>
        <w:tabs>
          <w:tab w:leader="none" w:pos="1373"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20" w:hanging="66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constitute one and the same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instrument.</w:t>
      </w:r>
    </w:p>
    <w:p>
      <w:pPr>
        <w:spacing w:after="0" w:line="213"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IN WITNESS WHEREOF, Hansen Natural Corporation has caused this Agreement to be executed by a duly authorized officer and Holder has executed this Agreement both as of the day and year first above written.</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740" w:type="dxa"/>
            <w:vAlign w:val="bottom"/>
          </w:tcPr>
          <w:p>
            <w:pPr>
              <w:spacing w:after="0"/>
              <w:rPr>
                <w:sz w:val="21"/>
                <w:szCs w:val="21"/>
                <w:color w:val="auto"/>
              </w:rPr>
            </w:pPr>
          </w:p>
        </w:tc>
        <w:tc>
          <w:tcPr>
            <w:tcW w:w="7720" w:type="dxa"/>
            <w:vAlign w:val="bottom"/>
            <w:gridSpan w:val="3"/>
          </w:tcPr>
          <w:p>
            <w:pPr>
              <w:ind w:left="2080"/>
              <w:spacing w:after="0"/>
              <w:rPr>
                <w:sz w:val="20"/>
                <w:szCs w:val="20"/>
                <w:color w:val="auto"/>
              </w:rPr>
            </w:pPr>
            <w:r>
              <w:rPr>
                <w:rFonts w:ascii="Arial" w:cs="Arial" w:eastAsia="Arial" w:hAnsi="Arial"/>
                <w:sz w:val="20"/>
                <w:szCs w:val="20"/>
                <w:color w:val="auto"/>
              </w:rPr>
              <w:t>HANSEN NATURAL CORPORATION</w:t>
            </w:r>
          </w:p>
        </w:tc>
        <w:tc>
          <w:tcPr>
            <w:tcW w:w="0" w:type="dxa"/>
            <w:vAlign w:val="bottom"/>
          </w:tcPr>
          <w:p>
            <w:pPr>
              <w:spacing w:after="0"/>
              <w:rPr>
                <w:sz w:val="1"/>
                <w:szCs w:val="1"/>
                <w:color w:val="auto"/>
              </w:rPr>
            </w:pPr>
          </w:p>
        </w:tc>
      </w:tr>
      <w:tr>
        <w:trPr>
          <w:trHeight w:val="644"/>
        </w:trPr>
        <w:tc>
          <w:tcPr>
            <w:tcW w:w="3740" w:type="dxa"/>
            <w:vAlign w:val="bottom"/>
          </w:tcPr>
          <w:p>
            <w:pPr>
              <w:spacing w:after="0"/>
              <w:rPr>
                <w:sz w:val="20"/>
                <w:szCs w:val="20"/>
                <w:color w:val="auto"/>
              </w:rPr>
            </w:pPr>
            <w:r>
              <w:rPr>
                <w:rFonts w:ascii="Arial" w:cs="Arial" w:eastAsia="Arial" w:hAnsi="Arial"/>
                <w:sz w:val="20"/>
                <w:szCs w:val="20"/>
                <w:color w:val="auto"/>
              </w:rPr>
              <w:t>/s/ Rodney C. Sacks</w:t>
            </w:r>
          </w:p>
        </w:tc>
        <w:tc>
          <w:tcPr>
            <w:tcW w:w="7720" w:type="dxa"/>
            <w:vAlign w:val="bottom"/>
            <w:gridSpan w:val="3"/>
          </w:tcPr>
          <w:p>
            <w:pPr>
              <w:ind w:left="2080"/>
              <w:spacing w:after="0"/>
              <w:rPr>
                <w:sz w:val="20"/>
                <w:szCs w:val="20"/>
                <w:color w:val="auto"/>
              </w:rPr>
            </w:pPr>
            <w:r>
              <w:rPr>
                <w:rFonts w:ascii="Arial" w:cs="Arial" w:eastAsia="Arial" w:hAnsi="Arial"/>
                <w:sz w:val="20"/>
                <w:szCs w:val="20"/>
                <w:color w:val="auto"/>
              </w:rPr>
              <w:t>By: /s/ Hilton Schlosberg</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740" w:type="dxa"/>
            <w:vAlign w:val="bottom"/>
            <w:tcBorders>
              <w:bottom w:val="single" w:sz="8" w:color="auto"/>
            </w:tcBorders>
          </w:tcPr>
          <w:p>
            <w:pPr>
              <w:spacing w:after="0" w:line="20" w:lineRule="exact"/>
              <w:rPr>
                <w:sz w:val="1"/>
                <w:szCs w:val="1"/>
                <w:color w:val="auto"/>
              </w:rPr>
            </w:pPr>
          </w:p>
        </w:tc>
        <w:tc>
          <w:tcPr>
            <w:tcW w:w="7720" w:type="dxa"/>
            <w:vAlign w:val="bottom"/>
            <w:gridSpan w:val="3"/>
            <w:vMerge w:val="restart"/>
          </w:tcPr>
          <w:p>
            <w:pPr>
              <w:ind w:left="2080"/>
              <w:spacing w:after="0"/>
              <w:rPr>
                <w:sz w:val="20"/>
                <w:szCs w:val="20"/>
                <w:color w:val="auto"/>
              </w:rPr>
            </w:pPr>
            <w:r>
              <w:rPr>
                <w:rFonts w:ascii="Arial" w:cs="Arial" w:eastAsia="Arial" w:hAnsi="Arial"/>
                <w:sz w:val="20"/>
                <w:szCs w:val="20"/>
                <w:color w:val="auto"/>
              </w:rPr>
              <w:t>Name: Hilton Schlosberg</w:t>
            </w:r>
          </w:p>
        </w:tc>
        <w:tc>
          <w:tcPr>
            <w:tcW w:w="0" w:type="dxa"/>
            <w:vAlign w:val="bottom"/>
          </w:tcPr>
          <w:p>
            <w:pPr>
              <w:spacing w:after="0"/>
              <w:rPr>
                <w:sz w:val="1"/>
                <w:szCs w:val="1"/>
                <w:color w:val="auto"/>
              </w:rPr>
            </w:pPr>
          </w:p>
        </w:tc>
      </w:tr>
      <w:tr>
        <w:trPr>
          <w:trHeight w:val="206"/>
        </w:trPr>
        <w:tc>
          <w:tcPr>
            <w:tcW w:w="374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c>
          <w:tcPr>
            <w:tcW w:w="77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1"/>
                <w:szCs w:val="21"/>
                <w:color w:val="auto"/>
              </w:rPr>
            </w:pPr>
          </w:p>
        </w:tc>
        <w:tc>
          <w:tcPr>
            <w:tcW w:w="7720" w:type="dxa"/>
            <w:vAlign w:val="bottom"/>
            <w:gridSpan w:val="3"/>
          </w:tcPr>
          <w:p>
            <w:pPr>
              <w:ind w:left="2080"/>
              <w:spacing w:after="0"/>
              <w:rPr>
                <w:sz w:val="20"/>
                <w:szCs w:val="20"/>
                <w:color w:val="auto"/>
              </w:rPr>
            </w:pPr>
            <w:r>
              <w:rPr>
                <w:rFonts w:ascii="Arial" w:cs="Arial" w:eastAsia="Arial" w:hAnsi="Arial"/>
                <w:sz w:val="20"/>
                <w:szCs w:val="20"/>
                <w:color w:val="auto"/>
              </w:rPr>
              <w:t>Title: Vice Chairman of the Board</w:t>
            </w:r>
          </w:p>
        </w:tc>
        <w:tc>
          <w:tcPr>
            <w:tcW w:w="0" w:type="dxa"/>
            <w:vAlign w:val="bottom"/>
          </w:tcPr>
          <w:p>
            <w:pPr>
              <w:spacing w:after="0"/>
              <w:rPr>
                <w:sz w:val="1"/>
                <w:szCs w:val="1"/>
                <w:color w:val="auto"/>
              </w:rPr>
            </w:pPr>
          </w:p>
        </w:tc>
      </w:tr>
      <w:tr>
        <w:trPr>
          <w:trHeight w:val="344"/>
        </w:trPr>
        <w:tc>
          <w:tcPr>
            <w:tcW w:w="3740" w:type="dxa"/>
            <w:vAlign w:val="bottom"/>
            <w:tcBorders>
              <w:bottom w:val="single" w:sz="8" w:color="010101"/>
            </w:tcBorders>
          </w:tcPr>
          <w:p>
            <w:pPr>
              <w:spacing w:after="0"/>
              <w:rPr>
                <w:sz w:val="24"/>
                <w:szCs w:val="24"/>
                <w:color w:val="auto"/>
              </w:rPr>
            </w:pPr>
          </w:p>
        </w:tc>
        <w:tc>
          <w:tcPr>
            <w:tcW w:w="2420" w:type="dxa"/>
            <w:vAlign w:val="bottom"/>
            <w:tcBorders>
              <w:bottom w:val="single" w:sz="8" w:color="010101"/>
            </w:tcBorders>
          </w:tcPr>
          <w:p>
            <w:pPr>
              <w:spacing w:after="0"/>
              <w:rPr>
                <w:sz w:val="24"/>
                <w:szCs w:val="24"/>
                <w:color w:val="auto"/>
              </w:rPr>
            </w:pPr>
          </w:p>
        </w:tc>
        <w:tc>
          <w:tcPr>
            <w:tcW w:w="1680" w:type="dxa"/>
            <w:vAlign w:val="bottom"/>
            <w:tcBorders>
              <w:bottom w:val="single" w:sz="8" w:color="010101"/>
            </w:tcBorders>
          </w:tcPr>
          <w:p>
            <w:pPr>
              <w:spacing w:after="0"/>
              <w:rPr>
                <w:sz w:val="24"/>
                <w:szCs w:val="24"/>
                <w:color w:val="auto"/>
              </w:rPr>
            </w:pPr>
          </w:p>
        </w:tc>
        <w:tc>
          <w:tcPr>
            <w:tcW w:w="36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2" w:right="199" w:bottom="0" w:gutter="0" w:footer="0" w:header="0"/>
        </w:sectPr>
      </w:pPr>
    </w:p>
    <w:bookmarkStart w:id="80" w:name="page81"/>
    <w:bookmarkEnd w:id="80"/>
    <w:p>
      <w:pPr>
        <w:jc w:val="right"/>
        <w:ind w:right="40"/>
        <w:spacing w:after="0"/>
        <w:rPr>
          <w:sz w:val="20"/>
          <w:szCs w:val="20"/>
          <w:color w:val="auto"/>
        </w:rPr>
      </w:pPr>
      <w:r>
        <w:rPr>
          <w:rFonts w:ascii="Arial" w:cs="Arial" w:eastAsia="Arial" w:hAnsi="Arial"/>
          <w:sz w:val="18"/>
          <w:szCs w:val="18"/>
          <w:b w:val="1"/>
          <w:bCs w:val="1"/>
          <w:color w:val="auto"/>
        </w:rPr>
        <w:t>Exhibit 10.44A</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FIRST AMENDMENT TO STOCK OPTION AGREEMENT</w:t>
      </w:r>
    </w:p>
    <w:p>
      <w:pPr>
        <w:spacing w:after="0" w:line="239" w:lineRule="exact"/>
        <w:rPr>
          <w:sz w:val="20"/>
          <w:szCs w:val="20"/>
          <w:color w:val="auto"/>
        </w:rPr>
      </w:pPr>
    </w:p>
    <w:p>
      <w:pPr>
        <w:jc w:val="both"/>
        <w:ind w:right="40" w:firstLine="648"/>
        <w:spacing w:after="0" w:line="328" w:lineRule="auto"/>
        <w:rPr>
          <w:sz w:val="20"/>
          <w:szCs w:val="20"/>
          <w:color w:val="auto"/>
        </w:rPr>
      </w:pPr>
      <w:r>
        <w:rPr>
          <w:rFonts w:ascii="Arial" w:cs="Arial" w:eastAsia="Arial" w:hAnsi="Arial"/>
          <w:sz w:val="19"/>
          <w:szCs w:val="19"/>
          <w:color w:val="auto"/>
        </w:rPr>
        <w:t>THIS FIRST AMENDMENT TO STOCK OPTION AGREEMENT (the “Amendment”) is made as of this 2nd day of August, 2008, between Hansen Natural Corporation, a Delaware corporation (the “Company”) and Rodney C. Sacks (“Holder”).</w:t>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WHEREAS, on June 2, 2008 the Company and Holder entered into an agreement pursuant to which the Company granted Holder an option to purchase up to 400,000 shares of the Company’s common stock, at a purchase price of $31.72 per share (the “Option”), vesting in three (3) annual increments (the “Option Agreement”).</w:t>
      </w:r>
    </w:p>
    <w:p>
      <w:pPr>
        <w:spacing w:after="0" w:line="213"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22"/>
          <w:szCs w:val="22"/>
          <w:color w:val="auto"/>
        </w:rPr>
        <w:t>WHEREAS, the parties desire to amend the Option Agreement by mutual consent to provide that the Option shall vest over five (5) annual increments.</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AGREEMENT</w:t>
      </w:r>
    </w:p>
    <w:p>
      <w:pPr>
        <w:spacing w:after="0" w:line="233"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In consideration for the covenants and agreements contained in the Option Agreement and this Amendment, and other good and valuable consideration, the receipt and sufficiency of which is hereby acknowledged, the parties hereto hereby agree as follows:</w:t>
      </w:r>
    </w:p>
    <w:p>
      <w:pPr>
        <w:spacing w:after="0" w:line="207"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 to Option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Option Agreement is hereby amended as follows:</w:t>
      </w:r>
    </w:p>
    <w:p>
      <w:pPr>
        <w:spacing w:after="0" w:line="239" w:lineRule="exact"/>
        <w:rPr>
          <w:rFonts w:ascii="Arial" w:cs="Arial" w:eastAsia="Arial" w:hAnsi="Arial"/>
          <w:sz w:val="22"/>
          <w:szCs w:val="22"/>
          <w:b w:val="1"/>
          <w:bCs w:val="1"/>
          <w:color w:val="auto"/>
        </w:rPr>
      </w:pPr>
    </w:p>
    <w:p>
      <w:pPr>
        <w:ind w:left="1300" w:right="1960" w:hanging="648"/>
        <w:spacing w:after="0" w:line="461" w:lineRule="auto"/>
        <w:rPr>
          <w:rFonts w:ascii="Arial" w:cs="Arial" w:eastAsia="Arial" w:hAnsi="Arial"/>
          <w:sz w:val="22"/>
          <w:szCs w:val="22"/>
          <w:b w:val="1"/>
          <w:bCs w:val="1"/>
          <w:color w:val="auto"/>
        </w:rPr>
      </w:pPr>
      <w:r>
        <w:rPr>
          <w:rFonts w:ascii="Arial" w:cs="Arial" w:eastAsia="Arial" w:hAnsi="Arial"/>
          <w:sz w:val="22"/>
          <w:szCs w:val="22"/>
          <w:u w:val="single" w:color="auto"/>
          <w:color w:val="auto"/>
        </w:rPr>
        <w:t>Section 3(a)</w:t>
      </w:r>
      <w:r>
        <w:rPr>
          <w:rFonts w:ascii="Arial" w:cs="Arial" w:eastAsia="Arial" w:hAnsi="Arial"/>
          <w:sz w:val="22"/>
          <w:szCs w:val="22"/>
          <w:color w:val="auto"/>
        </w:rPr>
        <w:t xml:space="preserve"> of the Option Agreement is hereby deleted in its entirety and replaced with the following: “3. </w:t>
      </w:r>
      <w:r>
        <w:rPr>
          <w:rFonts w:ascii="Arial" w:cs="Arial" w:eastAsia="Arial" w:hAnsi="Arial"/>
          <w:sz w:val="22"/>
          <w:szCs w:val="22"/>
          <w:u w:val="single" w:color="auto"/>
          <w:color w:val="auto"/>
        </w:rPr>
        <w:t>Exercise of Option</w:t>
      </w:r>
    </w:p>
    <w:p>
      <w:pPr>
        <w:jc w:val="both"/>
        <w:ind w:right="40" w:firstLine="1953"/>
        <w:spacing w:after="0" w:line="297" w:lineRule="auto"/>
        <w:tabs>
          <w:tab w:leader="none" w:pos="2645" w:val="left"/>
        </w:tabs>
        <w:numPr>
          <w:ilvl w:val="1"/>
          <w:numId w:val="69"/>
        </w:numPr>
        <w:rPr>
          <w:rFonts w:ascii="Arial" w:cs="Arial" w:eastAsia="Arial" w:hAnsi="Arial"/>
          <w:sz w:val="19"/>
          <w:szCs w:val="19"/>
          <w:color w:val="auto"/>
        </w:rPr>
      </w:pPr>
      <w:r>
        <w:rPr>
          <w:rFonts w:ascii="Arial" w:cs="Arial" w:eastAsia="Arial" w:hAnsi="Arial"/>
          <w:sz w:val="19"/>
          <w:szCs w:val="19"/>
          <w:color w:val="auto"/>
        </w:rPr>
        <w:t>Subject to the other terms of this Agreement regarding the exercisability of the Option, provided that Holder is employed by a Participating Company on the relevant Exercise Date set forth below, the Option may be exercised in respect of the number of shares (the “Option Portion”) listed in column A from and after the Exercise Date listed in column B,</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340" w:type="dxa"/>
            <w:vAlign w:val="bottom"/>
          </w:tcPr>
          <w:p>
            <w:pPr>
              <w:spacing w:after="0"/>
              <w:rPr>
                <w:sz w:val="23"/>
                <w:szCs w:val="23"/>
                <w:color w:val="auto"/>
              </w:rPr>
            </w:pPr>
          </w:p>
        </w:tc>
        <w:tc>
          <w:tcPr>
            <w:tcW w:w="2820" w:type="dxa"/>
            <w:vAlign w:val="bottom"/>
            <w:gridSpan w:val="2"/>
          </w:tcPr>
          <w:p>
            <w:pPr>
              <w:jc w:val="center"/>
              <w:ind w:right="1240"/>
              <w:spacing w:after="0"/>
              <w:rPr>
                <w:sz w:val="20"/>
                <w:szCs w:val="20"/>
                <w:color w:val="auto"/>
              </w:rPr>
            </w:pPr>
            <w:r>
              <w:rPr>
                <w:rFonts w:ascii="Arial" w:cs="Arial" w:eastAsia="Arial" w:hAnsi="Arial"/>
                <w:sz w:val="22"/>
                <w:szCs w:val="22"/>
                <w:color w:val="auto"/>
                <w:w w:val="98"/>
              </w:rPr>
              <w:t>Column “A”</w:t>
            </w:r>
          </w:p>
        </w:tc>
        <w:tc>
          <w:tcPr>
            <w:tcW w:w="2100" w:type="dxa"/>
            <w:vAlign w:val="bottom"/>
          </w:tcPr>
          <w:p>
            <w:pPr>
              <w:spacing w:after="0"/>
              <w:rPr>
                <w:sz w:val="23"/>
                <w:szCs w:val="23"/>
                <w:color w:val="auto"/>
              </w:rPr>
            </w:pPr>
          </w:p>
        </w:tc>
        <w:tc>
          <w:tcPr>
            <w:tcW w:w="4200" w:type="dxa"/>
            <w:vAlign w:val="bottom"/>
            <w:gridSpan w:val="2"/>
          </w:tcPr>
          <w:p>
            <w:pPr>
              <w:jc w:val="center"/>
              <w:ind w:right="2980"/>
              <w:spacing w:after="0"/>
              <w:rPr>
                <w:sz w:val="20"/>
                <w:szCs w:val="20"/>
                <w:color w:val="auto"/>
              </w:rPr>
            </w:pPr>
            <w:r>
              <w:rPr>
                <w:rFonts w:ascii="Arial" w:cs="Arial" w:eastAsia="Arial" w:hAnsi="Arial"/>
                <w:sz w:val="22"/>
                <w:szCs w:val="22"/>
                <w:color w:val="auto"/>
                <w:w w:val="98"/>
              </w:rPr>
              <w:t>Column “B”</w:t>
            </w:r>
          </w:p>
        </w:tc>
      </w:tr>
      <w:tr>
        <w:trPr>
          <w:trHeight w:val="436"/>
        </w:trPr>
        <w:tc>
          <w:tcPr>
            <w:tcW w:w="2340" w:type="dxa"/>
            <w:vAlign w:val="bottom"/>
          </w:tcPr>
          <w:p>
            <w:pPr>
              <w:spacing w:after="0"/>
              <w:rPr>
                <w:sz w:val="24"/>
                <w:szCs w:val="24"/>
                <w:color w:val="auto"/>
              </w:rPr>
            </w:pPr>
          </w:p>
        </w:tc>
        <w:tc>
          <w:tcPr>
            <w:tcW w:w="2820" w:type="dxa"/>
            <w:vAlign w:val="bottom"/>
            <w:gridSpan w:val="2"/>
          </w:tcPr>
          <w:p>
            <w:pPr>
              <w:jc w:val="center"/>
              <w:ind w:right="1240"/>
              <w:spacing w:after="0"/>
              <w:rPr>
                <w:sz w:val="20"/>
                <w:szCs w:val="20"/>
                <w:color w:val="auto"/>
              </w:rPr>
            </w:pPr>
            <w:r>
              <w:rPr>
                <w:rFonts w:ascii="Arial" w:cs="Arial" w:eastAsia="Arial" w:hAnsi="Arial"/>
                <w:sz w:val="22"/>
                <w:szCs w:val="22"/>
                <w:color w:val="auto"/>
                <w:w w:val="88"/>
              </w:rPr>
              <w:t>Number of Shares</w:t>
            </w:r>
          </w:p>
        </w:tc>
        <w:tc>
          <w:tcPr>
            <w:tcW w:w="6300" w:type="dxa"/>
            <w:vAlign w:val="bottom"/>
            <w:gridSpan w:val="3"/>
          </w:tcPr>
          <w:p>
            <w:pPr>
              <w:jc w:val="center"/>
              <w:ind w:right="880"/>
              <w:spacing w:after="0"/>
              <w:rPr>
                <w:sz w:val="20"/>
                <w:szCs w:val="20"/>
                <w:color w:val="auto"/>
              </w:rPr>
            </w:pPr>
            <w:r>
              <w:rPr>
                <w:rFonts w:ascii="Arial" w:cs="Arial" w:eastAsia="Arial" w:hAnsi="Arial"/>
                <w:sz w:val="22"/>
                <w:szCs w:val="22"/>
                <w:color w:val="auto"/>
                <w:w w:val="89"/>
              </w:rPr>
              <w:t>Exercise Date</w:t>
            </w:r>
          </w:p>
        </w:tc>
      </w:tr>
      <w:tr>
        <w:trPr>
          <w:trHeight w:val="20"/>
        </w:trPr>
        <w:tc>
          <w:tcPr>
            <w:tcW w:w="23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485"/>
        </w:trPr>
        <w:tc>
          <w:tcPr>
            <w:tcW w:w="5160" w:type="dxa"/>
            <w:vAlign w:val="bottom"/>
            <w:gridSpan w:val="3"/>
          </w:tcPr>
          <w:p>
            <w:pPr>
              <w:ind w:left="980"/>
              <w:spacing w:after="0"/>
              <w:rPr>
                <w:sz w:val="20"/>
                <w:szCs w:val="20"/>
                <w:color w:val="auto"/>
              </w:rPr>
            </w:pPr>
            <w:r>
              <w:rPr>
                <w:rFonts w:ascii="Arial" w:cs="Arial" w:eastAsia="Arial" w:hAnsi="Arial"/>
                <w:sz w:val="22"/>
                <w:szCs w:val="22"/>
                <w:color w:val="auto"/>
                <w:w w:val="99"/>
              </w:rPr>
              <w:t>20% of the number of shares subject to the</w:t>
            </w:r>
          </w:p>
        </w:tc>
        <w:tc>
          <w:tcPr>
            <w:tcW w:w="6300" w:type="dxa"/>
            <w:vAlign w:val="bottom"/>
            <w:gridSpan w:val="3"/>
          </w:tcPr>
          <w:p>
            <w:pPr>
              <w:ind w:left="460"/>
              <w:spacing w:after="0"/>
              <w:rPr>
                <w:sz w:val="20"/>
                <w:szCs w:val="20"/>
                <w:color w:val="auto"/>
              </w:rPr>
            </w:pPr>
            <w:r>
              <w:rPr>
                <w:rFonts w:ascii="Arial" w:cs="Arial" w:eastAsia="Arial" w:hAnsi="Arial"/>
                <w:sz w:val="22"/>
                <w:szCs w:val="22"/>
                <w:color w:val="auto"/>
              </w:rPr>
              <w:t>After the first anniversary of the Grant Date</w:t>
            </w:r>
          </w:p>
        </w:tc>
      </w:tr>
      <w:tr>
        <w:trPr>
          <w:trHeight w:val="275"/>
        </w:trPr>
        <w:tc>
          <w:tcPr>
            <w:tcW w:w="5160" w:type="dxa"/>
            <w:vAlign w:val="bottom"/>
            <w:gridSpan w:val="3"/>
          </w:tcPr>
          <w:p>
            <w:pPr>
              <w:ind w:left="980"/>
              <w:spacing w:after="0"/>
              <w:rPr>
                <w:sz w:val="20"/>
                <w:szCs w:val="20"/>
                <w:color w:val="auto"/>
              </w:rPr>
            </w:pPr>
            <w:r>
              <w:rPr>
                <w:rFonts w:ascii="Arial" w:cs="Arial" w:eastAsia="Arial" w:hAnsi="Arial"/>
                <w:sz w:val="22"/>
                <w:szCs w:val="22"/>
                <w:color w:val="auto"/>
              </w:rPr>
              <w:t>Option</w:t>
            </w:r>
          </w:p>
        </w:tc>
        <w:tc>
          <w:tcPr>
            <w:tcW w:w="2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455"/>
        </w:trPr>
        <w:tc>
          <w:tcPr>
            <w:tcW w:w="5160" w:type="dxa"/>
            <w:vAlign w:val="bottom"/>
            <w:gridSpan w:val="3"/>
          </w:tcPr>
          <w:p>
            <w:pPr>
              <w:ind w:left="980"/>
              <w:spacing w:after="0"/>
              <w:rPr>
                <w:sz w:val="20"/>
                <w:szCs w:val="20"/>
                <w:color w:val="auto"/>
              </w:rPr>
            </w:pPr>
            <w:r>
              <w:rPr>
                <w:rFonts w:ascii="Arial" w:cs="Arial" w:eastAsia="Arial" w:hAnsi="Arial"/>
                <w:sz w:val="22"/>
                <w:szCs w:val="22"/>
                <w:color w:val="auto"/>
                <w:w w:val="99"/>
              </w:rPr>
              <w:t>20% of the number of shares subject to the</w:t>
            </w:r>
          </w:p>
        </w:tc>
        <w:tc>
          <w:tcPr>
            <w:tcW w:w="6300" w:type="dxa"/>
            <w:vAlign w:val="bottom"/>
            <w:gridSpan w:val="3"/>
          </w:tcPr>
          <w:p>
            <w:pPr>
              <w:ind w:left="460"/>
              <w:spacing w:after="0"/>
              <w:rPr>
                <w:sz w:val="20"/>
                <w:szCs w:val="20"/>
                <w:color w:val="auto"/>
              </w:rPr>
            </w:pPr>
            <w:r>
              <w:rPr>
                <w:rFonts w:ascii="Arial" w:cs="Arial" w:eastAsia="Arial" w:hAnsi="Arial"/>
                <w:sz w:val="22"/>
                <w:szCs w:val="22"/>
                <w:color w:val="auto"/>
              </w:rPr>
              <w:t>After the second anniversary of the Grant Date</w:t>
            </w:r>
          </w:p>
        </w:tc>
      </w:tr>
      <w:tr>
        <w:trPr>
          <w:trHeight w:val="275"/>
        </w:trPr>
        <w:tc>
          <w:tcPr>
            <w:tcW w:w="5160" w:type="dxa"/>
            <w:vAlign w:val="bottom"/>
            <w:gridSpan w:val="3"/>
          </w:tcPr>
          <w:p>
            <w:pPr>
              <w:ind w:left="980"/>
              <w:spacing w:after="0"/>
              <w:rPr>
                <w:sz w:val="20"/>
                <w:szCs w:val="20"/>
                <w:color w:val="auto"/>
              </w:rPr>
            </w:pPr>
            <w:r>
              <w:rPr>
                <w:rFonts w:ascii="Arial" w:cs="Arial" w:eastAsia="Arial" w:hAnsi="Arial"/>
                <w:sz w:val="22"/>
                <w:szCs w:val="22"/>
                <w:color w:val="auto"/>
              </w:rPr>
              <w:t>Option</w:t>
            </w:r>
          </w:p>
        </w:tc>
        <w:tc>
          <w:tcPr>
            <w:tcW w:w="2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338"/>
        </w:trPr>
        <w:tc>
          <w:tcPr>
            <w:tcW w:w="234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1240" w:type="dxa"/>
            <w:vAlign w:val="bottom"/>
            <w:tcBorders>
              <w:bottom w:val="single" w:sz="8" w:color="010101"/>
            </w:tcBorders>
          </w:tcPr>
          <w:p>
            <w:pPr>
              <w:spacing w:after="0"/>
              <w:rPr>
                <w:sz w:val="24"/>
                <w:szCs w:val="24"/>
                <w:color w:val="auto"/>
              </w:rPr>
            </w:pPr>
          </w:p>
        </w:tc>
        <w:tc>
          <w:tcPr>
            <w:tcW w:w="210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29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200" w:lineRule="exact"/>
        <w:rPr>
          <w:sz w:val="20"/>
          <w:szCs w:val="20"/>
          <w:color w:val="auto"/>
        </w:rPr>
      </w:pPr>
    </w:p>
    <w:p>
      <w:pPr>
        <w:spacing w:after="0" w:line="343" w:lineRule="exact"/>
        <w:rPr>
          <w:sz w:val="20"/>
          <w:szCs w:val="20"/>
          <w:color w:val="auto"/>
        </w:rPr>
      </w:pPr>
    </w:p>
    <w:p>
      <w:pPr>
        <w:ind w:left="980" w:right="220"/>
        <w:spacing w:after="0" w:line="251" w:lineRule="auto"/>
        <w:rPr>
          <w:sz w:val="20"/>
          <w:szCs w:val="20"/>
          <w:color w:val="auto"/>
        </w:rPr>
      </w:pPr>
      <w:r>
        <w:rPr>
          <w:rFonts w:ascii="Arial" w:cs="Arial" w:eastAsia="Arial" w:hAnsi="Arial"/>
          <w:sz w:val="22"/>
          <w:szCs w:val="22"/>
          <w:color w:val="auto"/>
        </w:rPr>
        <w:t>20% of the number of shares subject to the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color w:val="auto"/>
        </w:rPr>
        <w:t>After the third anniversary of the Grant Date</w:t>
      </w:r>
    </w:p>
    <w:p>
      <w:pPr>
        <w:spacing w:after="0" w:line="510" w:lineRule="exact"/>
        <w:rPr>
          <w:sz w:val="20"/>
          <w:szCs w:val="20"/>
          <w:color w:val="auto"/>
        </w:rPr>
      </w:pPr>
    </w:p>
    <w:p>
      <w:pPr>
        <w:sectPr>
          <w:pgSz w:w="11900" w:h="16838" w:orient="portrait"/>
          <w:cols w:equalWidth="0" w:num="2">
            <w:col w:w="4900" w:space="720"/>
            <w:col w:w="5840"/>
          </w:cols>
          <w:pgMar w:left="240" w:top="121" w:right="199" w:bottom="0" w:gutter="0" w:footer="0" w:header="0"/>
          <w:type w:val="continuous"/>
        </w:sectPr>
      </w:pPr>
    </w:p>
    <w:p>
      <w:pPr>
        <w:ind w:left="980" w:right="220"/>
        <w:spacing w:after="0" w:line="251" w:lineRule="auto"/>
        <w:rPr>
          <w:sz w:val="20"/>
          <w:szCs w:val="20"/>
          <w:color w:val="auto"/>
        </w:rPr>
      </w:pPr>
      <w:r>
        <w:rPr>
          <w:rFonts w:ascii="Arial" w:cs="Arial" w:eastAsia="Arial" w:hAnsi="Arial"/>
          <w:sz w:val="22"/>
          <w:szCs w:val="22"/>
          <w:color w:val="auto"/>
        </w:rPr>
        <w:t>20% of the number of shares subject to the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After the fourth anniversary of the Grant Date</w:t>
      </w:r>
    </w:p>
    <w:p>
      <w:pPr>
        <w:spacing w:after="0" w:line="510" w:lineRule="exact"/>
        <w:rPr>
          <w:sz w:val="20"/>
          <w:szCs w:val="20"/>
          <w:color w:val="auto"/>
        </w:rPr>
      </w:pPr>
    </w:p>
    <w:p>
      <w:pPr>
        <w:sectPr>
          <w:pgSz w:w="11900" w:h="16838" w:orient="portrait"/>
          <w:cols w:equalWidth="0" w:num="2">
            <w:col w:w="4900" w:space="720"/>
            <w:col w:w="5840"/>
          </w:cols>
          <w:pgMar w:left="240" w:top="121" w:right="199" w:bottom="0" w:gutter="0" w:footer="0" w:header="0"/>
          <w:type w:val="continuous"/>
        </w:sectPr>
      </w:pPr>
    </w:p>
    <w:p>
      <w:pPr>
        <w:ind w:left="980" w:right="220"/>
        <w:spacing w:after="0" w:line="251" w:lineRule="auto"/>
        <w:rPr>
          <w:sz w:val="20"/>
          <w:szCs w:val="20"/>
          <w:color w:val="auto"/>
        </w:rPr>
      </w:pPr>
      <w:r>
        <w:rPr>
          <w:rFonts w:ascii="Arial" w:cs="Arial" w:eastAsia="Arial" w:hAnsi="Arial"/>
          <w:sz w:val="22"/>
          <w:szCs w:val="22"/>
          <w:color w:val="auto"/>
        </w:rPr>
        <w:t>20% of the number of shares subject to the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After the fifth anniversary of the Grant Date”</w:t>
      </w:r>
    </w:p>
    <w:p>
      <w:pPr>
        <w:spacing w:after="0" w:line="477" w:lineRule="exact"/>
        <w:rPr>
          <w:sz w:val="20"/>
          <w:szCs w:val="20"/>
          <w:color w:val="auto"/>
        </w:rPr>
      </w:pPr>
    </w:p>
    <w:p>
      <w:pPr>
        <w:sectPr>
          <w:pgSz w:w="11900" w:h="16838" w:orient="portrait"/>
          <w:cols w:equalWidth="0" w:num="2">
            <w:col w:w="4900" w:space="720"/>
            <w:col w:w="5840"/>
          </w:cols>
          <w:pgMar w:left="240" w:top="121" w:right="199" w:bottom="0" w:gutter="0" w:footer="0" w:header="0"/>
          <w:type w:val="continuous"/>
        </w:sectPr>
      </w:pPr>
    </w:p>
    <w:p>
      <w:pPr>
        <w:ind w:left="340" w:hanging="332"/>
        <w:spacing w:after="0"/>
        <w:tabs>
          <w:tab w:leader="none" w:pos="34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b w:val="1"/>
          <w:bCs w:val="1"/>
          <w:color w:val="auto"/>
        </w:rPr>
      </w:pPr>
    </w:p>
    <w:p>
      <w:pPr>
        <w:ind w:right="40" w:firstLine="656"/>
        <w:spacing w:after="0" w:line="251" w:lineRule="auto"/>
        <w:tabs>
          <w:tab w:leader="none" w:pos="1334"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This Amendment of the Option Agreement by mutual consent of the parties is authorized and permitted pursuant to Section 14 of the Option Agreement.</w:t>
      </w:r>
    </w:p>
    <w:p>
      <w:pPr>
        <w:spacing w:after="0" w:line="200" w:lineRule="exact"/>
        <w:rPr>
          <w:rFonts w:ascii="Arial" w:cs="Arial" w:eastAsia="Arial" w:hAnsi="Arial"/>
          <w:sz w:val="22"/>
          <w:szCs w:val="22"/>
          <w:color w:val="auto"/>
        </w:rPr>
      </w:pPr>
    </w:p>
    <w:p>
      <w:pPr>
        <w:ind w:right="60" w:firstLine="656"/>
        <w:spacing w:after="0" w:line="251" w:lineRule="auto"/>
        <w:tabs>
          <w:tab w:leader="none" w:pos="1369" w:val="left"/>
        </w:tabs>
        <w:numPr>
          <w:ilvl w:val="1"/>
          <w:numId w:val="70"/>
        </w:numPr>
        <w:rPr>
          <w:rFonts w:ascii="Arial" w:cs="Arial" w:eastAsia="Arial" w:hAnsi="Arial"/>
          <w:sz w:val="22"/>
          <w:szCs w:val="22"/>
          <w:color w:val="auto"/>
        </w:rPr>
      </w:pPr>
      <w:r>
        <w:rPr>
          <w:rFonts w:ascii="Arial" w:cs="Arial" w:eastAsia="Arial" w:hAnsi="Arial"/>
          <w:sz w:val="22"/>
          <w:szCs w:val="22"/>
          <w:color w:val="auto"/>
        </w:rPr>
        <w:t>All capitalized terms not otherwise defined in this Amendment shall have the meaning ascribed to them as set forth on the Option Agreement.</w:t>
      </w:r>
    </w:p>
    <w:p>
      <w:pPr>
        <w:spacing w:after="0" w:line="200" w:lineRule="exact"/>
        <w:rPr>
          <w:rFonts w:ascii="Arial" w:cs="Arial" w:eastAsia="Arial" w:hAnsi="Arial"/>
          <w:sz w:val="22"/>
          <w:szCs w:val="22"/>
          <w:color w:val="auto"/>
        </w:rPr>
      </w:pPr>
    </w:p>
    <w:p>
      <w:pPr>
        <w:ind w:left="1400" w:hanging="744"/>
        <w:spacing w:after="0"/>
        <w:tabs>
          <w:tab w:leader="none" w:pos="1400" w:val="left"/>
        </w:tabs>
        <w:numPr>
          <w:ilvl w:val="1"/>
          <w:numId w:val="70"/>
        </w:numPr>
        <w:rPr>
          <w:rFonts w:ascii="Arial" w:cs="Arial" w:eastAsia="Arial" w:hAnsi="Arial"/>
          <w:sz w:val="19"/>
          <w:szCs w:val="19"/>
          <w:color w:val="auto"/>
        </w:rPr>
      </w:pPr>
      <w:r>
        <w:rPr>
          <w:rFonts w:ascii="Arial" w:cs="Arial" w:eastAsia="Arial" w:hAnsi="Arial"/>
          <w:sz w:val="19"/>
          <w:szCs w:val="19"/>
          <w:color w:val="auto"/>
        </w:rPr>
        <w:t>Except as otherwise provided herein, the terms and conditions of the Option Agreement shall remain in full force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effect.</w:t>
      </w:r>
    </w:p>
    <w:p>
      <w:pPr>
        <w:spacing w:after="0" w:line="215"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IN WITNESS WHEREOF, Hansen Natural Corporation has caused this Amendment to executed by a duly authorized officer and Holder as of the day of July, 2008.</w:t>
      </w:r>
    </w:p>
    <w:p>
      <w:pPr>
        <w:sectPr>
          <w:pgSz w:w="11900" w:h="16838" w:orient="portrait"/>
          <w:cols w:equalWidth="0" w:num="1">
            <w:col w:w="11460"/>
          </w:cols>
          <w:pgMar w:left="240" w:top="121" w:right="199" w:bottom="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75"/>
        </w:trPr>
        <w:tc>
          <w:tcPr>
            <w:tcW w:w="3720" w:type="dxa"/>
            <w:vAlign w:val="bottom"/>
            <w:gridSpan w:val="2"/>
          </w:tcPr>
          <w:p>
            <w:pPr>
              <w:spacing w:after="0"/>
              <w:rPr>
                <w:sz w:val="20"/>
                <w:szCs w:val="20"/>
                <w:color w:val="auto"/>
              </w:rPr>
            </w:pPr>
            <w:r>
              <w:rPr>
                <w:rFonts w:ascii="Arial" w:cs="Arial" w:eastAsia="Arial" w:hAnsi="Arial"/>
                <w:sz w:val="22"/>
                <w:szCs w:val="22"/>
                <w:color w:val="auto"/>
              </w:rPr>
              <w:t>HOLDER</w:t>
            </w:r>
          </w:p>
        </w:tc>
        <w:tc>
          <w:tcPr>
            <w:tcW w:w="7740" w:type="dxa"/>
            <w:vAlign w:val="bottom"/>
            <w:gridSpan w:val="4"/>
          </w:tcPr>
          <w:p>
            <w:pPr>
              <w:ind w:left="1980"/>
              <w:spacing w:after="0"/>
              <w:rPr>
                <w:sz w:val="20"/>
                <w:szCs w:val="20"/>
                <w:color w:val="auto"/>
              </w:rPr>
            </w:pPr>
            <w:r>
              <w:rPr>
                <w:rFonts w:ascii="Arial" w:cs="Arial" w:eastAsia="Arial" w:hAnsi="Arial"/>
                <w:sz w:val="22"/>
                <w:szCs w:val="22"/>
                <w:color w:val="auto"/>
              </w:rPr>
              <w:t>HANSEN NATURAL CORPORATION</w:t>
            </w:r>
          </w:p>
        </w:tc>
        <w:tc>
          <w:tcPr>
            <w:tcW w:w="0" w:type="dxa"/>
            <w:vAlign w:val="bottom"/>
          </w:tcPr>
          <w:p>
            <w:pPr>
              <w:spacing w:after="0"/>
              <w:rPr>
                <w:sz w:val="1"/>
                <w:szCs w:val="1"/>
                <w:color w:val="auto"/>
              </w:rPr>
            </w:pPr>
          </w:p>
        </w:tc>
      </w:tr>
      <w:tr>
        <w:trPr>
          <w:trHeight w:val="455"/>
        </w:trPr>
        <w:tc>
          <w:tcPr>
            <w:tcW w:w="3720" w:type="dxa"/>
            <w:vAlign w:val="bottom"/>
            <w:gridSpan w:val="2"/>
          </w:tcPr>
          <w:p>
            <w:pPr>
              <w:spacing w:after="0"/>
              <w:rPr>
                <w:sz w:val="20"/>
                <w:szCs w:val="20"/>
                <w:color w:val="auto"/>
              </w:rPr>
            </w:pPr>
            <w:r>
              <w:rPr>
                <w:rFonts w:ascii="Arial" w:cs="Arial" w:eastAsia="Arial" w:hAnsi="Arial"/>
                <w:sz w:val="22"/>
                <w:szCs w:val="22"/>
                <w:color w:val="auto"/>
              </w:rPr>
              <w:t>/s/ Rodney C. Sacks</w:t>
            </w:r>
          </w:p>
        </w:tc>
        <w:tc>
          <w:tcPr>
            <w:tcW w:w="7740" w:type="dxa"/>
            <w:vAlign w:val="bottom"/>
            <w:gridSpan w:val="4"/>
          </w:tcPr>
          <w:p>
            <w:pPr>
              <w:ind w:left="1980"/>
              <w:spacing w:after="0"/>
              <w:rPr>
                <w:sz w:val="20"/>
                <w:szCs w:val="20"/>
                <w:color w:val="auto"/>
              </w:rPr>
            </w:pPr>
            <w:r>
              <w:rPr>
                <w:rFonts w:ascii="Arial" w:cs="Arial" w:eastAsia="Arial" w:hAnsi="Arial"/>
                <w:sz w:val="22"/>
                <w:szCs w:val="22"/>
                <w:color w:val="auto"/>
              </w:rPr>
              <w:t>By:  /s/ Hilton H. Schlosberg</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540" w:type="dxa"/>
            <w:vAlign w:val="bottom"/>
            <w:vMerge w:val="restart"/>
          </w:tcPr>
          <w:p>
            <w:pPr>
              <w:spacing w:after="0"/>
              <w:rPr>
                <w:sz w:val="20"/>
                <w:szCs w:val="20"/>
                <w:color w:val="auto"/>
              </w:rPr>
            </w:pPr>
            <w:r>
              <w:rPr>
                <w:rFonts w:ascii="Arial" w:cs="Arial" w:eastAsia="Arial" w:hAnsi="Arial"/>
                <w:sz w:val="22"/>
                <w:szCs w:val="22"/>
                <w:color w:val="auto"/>
                <w:w w:val="80"/>
              </w:rPr>
              <w:t>Name:</w:t>
            </w:r>
          </w:p>
        </w:tc>
        <w:tc>
          <w:tcPr>
            <w:tcW w:w="2900" w:type="dxa"/>
            <w:vAlign w:val="bottom"/>
            <w:tcBorders>
              <w:bottom w:val="single" w:sz="8" w:color="auto"/>
            </w:tcBorders>
          </w:tcPr>
          <w:p>
            <w:pPr>
              <w:spacing w:after="0" w:line="20" w:lineRule="exact"/>
              <w:rPr>
                <w:sz w:val="1"/>
                <w:szCs w:val="1"/>
                <w:color w:val="auto"/>
              </w:rPr>
            </w:pPr>
          </w:p>
        </w:tc>
        <w:tc>
          <w:tcPr>
            <w:tcW w:w="23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700" w:type="dxa"/>
            <w:vAlign w:val="bottom"/>
          </w:tcPr>
          <w:p>
            <w:pPr>
              <w:spacing w:after="0" w:line="216" w:lineRule="exact"/>
              <w:rPr>
                <w:sz w:val="20"/>
                <w:szCs w:val="20"/>
                <w:color w:val="auto"/>
              </w:rPr>
            </w:pPr>
            <w:r>
              <w:rPr>
                <w:rFonts w:ascii="Arial" w:cs="Arial" w:eastAsia="Arial" w:hAnsi="Arial"/>
                <w:sz w:val="22"/>
                <w:szCs w:val="22"/>
                <w:color w:val="auto"/>
              </w:rPr>
              <w:t>Rodney C. Sacks</w:t>
            </w:r>
          </w:p>
        </w:tc>
        <w:tc>
          <w:tcPr>
            <w:tcW w:w="19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900" w:type="dxa"/>
            <w:vAlign w:val="bottom"/>
          </w:tcPr>
          <w:p>
            <w:pPr>
              <w:ind w:left="100"/>
              <w:spacing w:after="0" w:line="216" w:lineRule="exact"/>
              <w:rPr>
                <w:sz w:val="20"/>
                <w:szCs w:val="20"/>
                <w:color w:val="auto"/>
              </w:rPr>
            </w:pPr>
            <w:r>
              <w:rPr>
                <w:rFonts w:ascii="Arial" w:cs="Arial" w:eastAsia="Arial" w:hAnsi="Arial"/>
                <w:sz w:val="22"/>
                <w:szCs w:val="22"/>
                <w:color w:val="auto"/>
              </w:rPr>
              <w:t>Hilton H. Schlosberg</w:t>
            </w:r>
          </w:p>
        </w:tc>
        <w:tc>
          <w:tcPr>
            <w:tcW w:w="2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7740" w:type="dxa"/>
            <w:vAlign w:val="bottom"/>
            <w:gridSpan w:val="4"/>
          </w:tcPr>
          <w:p>
            <w:pPr>
              <w:ind w:left="1980"/>
              <w:spacing w:after="0"/>
              <w:rPr>
                <w:sz w:val="20"/>
                <w:szCs w:val="20"/>
                <w:color w:val="auto"/>
              </w:rPr>
            </w:pPr>
            <w:r>
              <w:rPr>
                <w:rFonts w:ascii="Arial" w:cs="Arial" w:eastAsia="Arial" w:hAnsi="Arial"/>
                <w:sz w:val="22"/>
                <w:szCs w:val="22"/>
                <w:color w:val="auto"/>
              </w:rPr>
              <w:t>Title: Vice Chairman of the Board</w:t>
            </w:r>
          </w:p>
        </w:tc>
        <w:tc>
          <w:tcPr>
            <w:tcW w:w="0" w:type="dxa"/>
            <w:vAlign w:val="bottom"/>
          </w:tcPr>
          <w:p>
            <w:pPr>
              <w:spacing w:after="0"/>
              <w:rPr>
                <w:sz w:val="1"/>
                <w:szCs w:val="1"/>
                <w:color w:val="auto"/>
              </w:rPr>
            </w:pPr>
          </w:p>
        </w:tc>
      </w:tr>
      <w:tr>
        <w:trPr>
          <w:trHeight w:val="338"/>
        </w:trPr>
        <w:tc>
          <w:tcPr>
            <w:tcW w:w="20" w:type="dxa"/>
            <w:vAlign w:val="bottom"/>
            <w:tcBorders>
              <w:bottom w:val="single" w:sz="8" w:color="010101"/>
            </w:tcBorders>
          </w:tcPr>
          <w:p>
            <w:pPr>
              <w:spacing w:after="0"/>
              <w:rPr>
                <w:sz w:val="24"/>
                <w:szCs w:val="24"/>
                <w:color w:val="auto"/>
              </w:rPr>
            </w:pPr>
          </w:p>
        </w:tc>
        <w:tc>
          <w:tcPr>
            <w:tcW w:w="3700" w:type="dxa"/>
            <w:vAlign w:val="bottom"/>
            <w:tcBorders>
              <w:bottom w:val="single" w:sz="8" w:color="010101"/>
            </w:tcBorders>
          </w:tcPr>
          <w:p>
            <w:pPr>
              <w:spacing w:after="0"/>
              <w:rPr>
                <w:sz w:val="24"/>
                <w:szCs w:val="24"/>
                <w:color w:val="auto"/>
              </w:rPr>
            </w:pPr>
          </w:p>
        </w:tc>
        <w:tc>
          <w:tcPr>
            <w:tcW w:w="198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2900" w:type="dxa"/>
            <w:vAlign w:val="bottom"/>
            <w:tcBorders>
              <w:bottom w:val="single" w:sz="8" w:color="010101"/>
            </w:tcBorders>
          </w:tcPr>
          <w:p>
            <w:pPr>
              <w:spacing w:after="0"/>
              <w:rPr>
                <w:sz w:val="24"/>
                <w:szCs w:val="24"/>
                <w:color w:val="auto"/>
              </w:rPr>
            </w:pPr>
          </w:p>
        </w:tc>
        <w:tc>
          <w:tcPr>
            <w:tcW w:w="23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82" w:name="page83"/>
    <w:bookmarkEnd w:id="82"/>
    <w:p>
      <w:pPr>
        <w:jc w:val="right"/>
        <w:spacing w:after="0"/>
        <w:rPr>
          <w:sz w:val="20"/>
          <w:szCs w:val="20"/>
          <w:color w:val="auto"/>
        </w:rPr>
      </w:pPr>
      <w:r>
        <w:rPr>
          <w:rFonts w:ascii="Arial" w:cs="Arial" w:eastAsia="Arial" w:hAnsi="Arial"/>
          <w:sz w:val="20"/>
          <w:szCs w:val="20"/>
          <w:b w:val="1"/>
          <w:bCs w:val="1"/>
          <w:color w:val="auto"/>
        </w:rPr>
        <w:t>Exhibit 10.45</w:t>
      </w:r>
    </w:p>
    <w:p>
      <w:pPr>
        <w:spacing w:after="0" w:line="230"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STOCK OPTION AGREEMENT</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Stock Option Agreement (“Agreement”), is made as of June 2, 2008 (the “Grant Date”), by and between Hansen Natural Corporation, a Delaware corporation (the “Company”), and Hilton H. Schlosberg (“Holder”).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Recitals</w:t>
      </w:r>
    </w:p>
    <w:p>
      <w:pPr>
        <w:spacing w:after="0" w:line="229" w:lineRule="exact"/>
        <w:rPr>
          <w:sz w:val="20"/>
          <w:szCs w:val="20"/>
          <w:color w:val="auto"/>
        </w:rPr>
      </w:pPr>
    </w:p>
    <w:p>
      <w:pPr>
        <w:ind w:left="1240" w:hanging="584"/>
        <w:spacing w:after="0"/>
        <w:tabs>
          <w:tab w:leader="none" w:pos="12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Holder is an employee of a Participating Company.</w:t>
      </w:r>
    </w:p>
    <w:p>
      <w:pPr>
        <w:spacing w:after="0" w:line="229" w:lineRule="exact"/>
        <w:rPr>
          <w:rFonts w:ascii="Arial" w:cs="Arial" w:eastAsia="Arial" w:hAnsi="Arial"/>
          <w:sz w:val="20"/>
          <w:szCs w:val="20"/>
          <w:color w:val="auto"/>
        </w:rPr>
      </w:pPr>
    </w:p>
    <w:p>
      <w:pPr>
        <w:ind w:right="20" w:firstLine="656"/>
        <w:spacing w:after="0" w:line="287" w:lineRule="auto"/>
        <w:tabs>
          <w:tab w:leader="none" w:pos="1424" w:val="left"/>
        </w:tabs>
        <w:numPr>
          <w:ilvl w:val="0"/>
          <w:numId w:val="71"/>
        </w:numPr>
        <w:rPr>
          <w:rFonts w:ascii="Arial" w:cs="Arial" w:eastAsia="Arial" w:hAnsi="Arial"/>
          <w:sz w:val="19"/>
          <w:szCs w:val="19"/>
          <w:color w:val="auto"/>
        </w:rPr>
      </w:pPr>
      <w:r>
        <w:rPr>
          <w:rFonts w:ascii="Arial" w:cs="Arial" w:eastAsia="Arial" w:hAnsi="Arial"/>
          <w:sz w:val="19"/>
          <w:szCs w:val="19"/>
          <w:color w:val="auto"/>
        </w:rPr>
        <w:t>Pursuant to the Hansen Natural Corporation 2001 Stock Option Plan (the “Plan”), the Company desires to grant Holder an incentive stock option to purchase shares of the Company’s common stock, par value $.0005 per share (the “Common Stock”).</w:t>
      </w:r>
    </w:p>
    <w:p>
      <w:pPr>
        <w:spacing w:after="0" w:line="166" w:lineRule="exact"/>
        <w:rPr>
          <w:rFonts w:ascii="Arial" w:cs="Arial" w:eastAsia="Arial" w:hAnsi="Arial"/>
          <w:sz w:val="19"/>
          <w:szCs w:val="19"/>
          <w:color w:val="auto"/>
        </w:rPr>
      </w:pPr>
    </w:p>
    <w:p>
      <w:pPr>
        <w:ind w:left="1280" w:hanging="624"/>
        <w:spacing w:after="0"/>
        <w:tabs>
          <w:tab w:leader="none" w:pos="12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Capitalized terms not otherwise defined in this Agreement shall have the meaning given to them in the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Company and Holder agree as follows:</w:t>
      </w:r>
    </w:p>
    <w:p>
      <w:pPr>
        <w:spacing w:after="0" w:line="229" w:lineRule="exact"/>
        <w:rPr>
          <w:sz w:val="20"/>
          <w:szCs w:val="20"/>
          <w:color w:val="auto"/>
        </w:rPr>
      </w:pPr>
    </w:p>
    <w:p>
      <w:pPr>
        <w:jc w:val="both"/>
        <w:ind w:firstLine="656"/>
        <w:spacing w:after="0" w:line="242" w:lineRule="auto"/>
        <w:tabs>
          <w:tab w:leader="none" w:pos="1323"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Grant of Incentive Stock Option</w:t>
      </w:r>
      <w:r>
        <w:rPr>
          <w:rFonts w:ascii="Arial" w:cs="Arial" w:eastAsia="Arial" w:hAnsi="Arial"/>
          <w:sz w:val="20"/>
          <w:szCs w:val="20"/>
          <w:color w:val="auto"/>
        </w:rPr>
        <w:t>. The Company hereby grants to Holder, subject to the terms and conditions set forth herein and in the Plan, an incentive stock option (“ISO”) to purchase 400,000 shares of Common Stock, at the purchase price of $31.72 per share (the “Option”), such Option to be exercisable and exercised as hereinafter provided. If for any reason the Option or any portion of the Option shall not qualify as an ISO, then, to the extent of such nonqualification, such Option (or portion thereof) shall be regarded as a nonqualified stock option granted under the Plan, provided that such Option (or portion thereof) otherwise complies with the Plan’s requirements relating to nonqualified stock options. In no event shall any member of the Committee or any Participating Company (or their respective employees, officers or directors) have any liability to Holder (or any other person) due to the failure of an Option (or any portion thereof) to qualify for any reason as an ISO.</w:t>
      </w:r>
    </w:p>
    <w:p>
      <w:pPr>
        <w:spacing w:after="0" w:line="211" w:lineRule="exact"/>
        <w:rPr>
          <w:rFonts w:ascii="Arial" w:cs="Arial" w:eastAsia="Arial" w:hAnsi="Arial"/>
          <w:sz w:val="20"/>
          <w:szCs w:val="20"/>
          <w:color w:val="auto"/>
        </w:rPr>
      </w:pPr>
    </w:p>
    <w:p>
      <w:pPr>
        <w:ind w:right="180" w:firstLine="656"/>
        <w:spacing w:after="0" w:line="276" w:lineRule="auto"/>
        <w:tabs>
          <w:tab w:leader="none" w:pos="124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 The Option shall expire three months after the termination of the Holder’s employment with a Participating Company unless the employment is terminated by a Participating Company for Cause (as defined below) or unless the employment is terminated by reason of the death or Total Disability of Holder. If the Holder’s employment is terminated by a Participating Company for Cause, the Option shall expire as of the date employment terminates. If the Holder’s employment terminates due to his death or Total Disability, then the Option may be exercised by Holder or the person or persons to which Holder’s rights under this Agreement pass by will, or if no such person has such right, by his executors or administrators, within six months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the date of death or Total Disability, but no later than the expiration date specified in Section 3(d) below. “Cause” means the Holder’s act of fraud or dishonesty, knowing and material failure to comply with applicable laws or regulations, or drug or alcohol abuse, in any case as determined by the Committee.</w:t>
      </w:r>
    </w:p>
    <w:p>
      <w:pPr>
        <w:spacing w:after="0" w:line="200" w:lineRule="exact"/>
        <w:rPr>
          <w:sz w:val="20"/>
          <w:szCs w:val="20"/>
          <w:color w:val="auto"/>
        </w:rPr>
      </w:pPr>
    </w:p>
    <w:p>
      <w:pPr>
        <w:ind w:left="1260" w:hanging="604"/>
        <w:spacing w:after="0"/>
        <w:tabs>
          <w:tab w:leader="none" w:pos="126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p>
    <w:p>
      <w:pPr>
        <w:spacing w:after="0" w:line="229" w:lineRule="exact"/>
        <w:rPr>
          <w:rFonts w:ascii="Arial" w:cs="Arial" w:eastAsia="Arial" w:hAnsi="Arial"/>
          <w:sz w:val="20"/>
          <w:szCs w:val="20"/>
          <w:color w:val="auto"/>
        </w:rPr>
      </w:pPr>
    </w:p>
    <w:p>
      <w:pPr>
        <w:jc w:val="both"/>
        <w:ind w:firstLine="1305"/>
        <w:spacing w:after="0" w:line="250" w:lineRule="auto"/>
        <w:tabs>
          <w:tab w:leader="none" w:pos="2145" w:val="left"/>
        </w:tabs>
        <w:numPr>
          <w:ilvl w:val="1"/>
          <w:numId w:val="73"/>
        </w:numPr>
        <w:rPr>
          <w:rFonts w:ascii="Arial" w:cs="Arial" w:eastAsia="Arial" w:hAnsi="Arial"/>
          <w:sz w:val="20"/>
          <w:szCs w:val="20"/>
          <w:color w:val="auto"/>
        </w:rPr>
      </w:pPr>
      <w:r>
        <w:rPr>
          <w:rFonts w:ascii="Arial" w:cs="Arial" w:eastAsia="Arial" w:hAnsi="Arial"/>
          <w:sz w:val="20"/>
          <w:szCs w:val="20"/>
          <w:color w:val="auto"/>
        </w:rPr>
        <w:t>Subject to the other terms of this Agreement regarding the exercisability of the Option, provided that Holder is employed by a Participating Company on the relevant Exercise Date set forth below, the Option may be exercised in respect of the number of shares (the “Option Portion”) listed in column A from and after the Exercise Date listed in column B,</w:t>
      </w:r>
    </w:p>
    <w:p>
      <w:pPr>
        <w:spacing w:after="0" w:line="200" w:lineRule="exact"/>
        <w:rPr>
          <w:sz w:val="20"/>
          <w:szCs w:val="20"/>
          <w:color w:val="auto"/>
        </w:rPr>
      </w:pPr>
    </w:p>
    <w:tbl>
      <w:tblPr>
        <w:tblLayout w:type="fixed"/>
        <w:tblInd w:w="980" w:type="dxa"/>
        <w:tblCellMar>
          <w:top w:w="0" w:type="dxa"/>
          <w:left w:w="0" w:type="dxa"/>
          <w:bottom w:w="0" w:type="dxa"/>
          <w:right w:w="0" w:type="dxa"/>
        </w:tblCellMar>
      </w:tblPr>
      <w:tr>
        <w:trPr>
          <w:trHeight w:val="250"/>
        </w:trPr>
        <w:tc>
          <w:tcPr>
            <w:tcW w:w="1380" w:type="dxa"/>
            <w:vAlign w:val="bottom"/>
          </w:tcPr>
          <w:p>
            <w:pPr>
              <w:spacing w:after="0"/>
              <w:rPr>
                <w:sz w:val="21"/>
                <w:szCs w:val="21"/>
                <w:color w:val="auto"/>
              </w:rPr>
            </w:pPr>
          </w:p>
        </w:tc>
        <w:tc>
          <w:tcPr>
            <w:tcW w:w="2760" w:type="dxa"/>
            <w:vAlign w:val="bottom"/>
            <w:gridSpan w:val="2"/>
          </w:tcPr>
          <w:p>
            <w:pPr>
              <w:jc w:val="center"/>
              <w:ind w:right="1300"/>
              <w:spacing w:after="0"/>
              <w:rPr>
                <w:sz w:val="20"/>
                <w:szCs w:val="20"/>
                <w:color w:val="auto"/>
              </w:rPr>
            </w:pPr>
            <w:r>
              <w:rPr>
                <w:rFonts w:ascii="Arial" w:cs="Arial" w:eastAsia="Arial" w:hAnsi="Arial"/>
                <w:sz w:val="20"/>
                <w:szCs w:val="20"/>
                <w:color w:val="auto"/>
              </w:rPr>
              <w:t>Column “A”</w:t>
            </w:r>
          </w:p>
        </w:tc>
        <w:tc>
          <w:tcPr>
            <w:tcW w:w="2140" w:type="dxa"/>
            <w:vAlign w:val="bottom"/>
          </w:tcPr>
          <w:p>
            <w:pPr>
              <w:spacing w:after="0"/>
              <w:rPr>
                <w:sz w:val="21"/>
                <w:szCs w:val="21"/>
                <w:color w:val="auto"/>
              </w:rPr>
            </w:pPr>
          </w:p>
        </w:tc>
        <w:tc>
          <w:tcPr>
            <w:tcW w:w="1960" w:type="dxa"/>
            <w:vAlign w:val="bottom"/>
            <w:gridSpan w:val="2"/>
          </w:tcPr>
          <w:p>
            <w:pPr>
              <w:jc w:val="center"/>
              <w:ind w:right="840"/>
              <w:spacing w:after="0"/>
              <w:rPr>
                <w:sz w:val="20"/>
                <w:szCs w:val="20"/>
                <w:color w:val="auto"/>
              </w:rPr>
            </w:pPr>
            <w:r>
              <w:rPr>
                <w:rFonts w:ascii="Arial" w:cs="Arial" w:eastAsia="Arial" w:hAnsi="Arial"/>
                <w:sz w:val="20"/>
                <w:szCs w:val="20"/>
                <w:color w:val="auto"/>
                <w:w w:val="98"/>
              </w:rPr>
              <w:t>Column “B”</w:t>
            </w:r>
          </w:p>
        </w:tc>
      </w:tr>
      <w:tr>
        <w:trPr>
          <w:trHeight w:val="415"/>
        </w:trPr>
        <w:tc>
          <w:tcPr>
            <w:tcW w:w="1380" w:type="dxa"/>
            <w:vAlign w:val="bottom"/>
          </w:tcPr>
          <w:p>
            <w:pPr>
              <w:spacing w:after="0"/>
              <w:rPr>
                <w:sz w:val="24"/>
                <w:szCs w:val="24"/>
                <w:color w:val="auto"/>
              </w:rPr>
            </w:pPr>
          </w:p>
        </w:tc>
        <w:tc>
          <w:tcPr>
            <w:tcW w:w="2760" w:type="dxa"/>
            <w:vAlign w:val="bottom"/>
            <w:gridSpan w:val="2"/>
          </w:tcPr>
          <w:p>
            <w:pPr>
              <w:jc w:val="center"/>
              <w:ind w:right="1320"/>
              <w:spacing w:after="0"/>
              <w:rPr>
                <w:sz w:val="20"/>
                <w:szCs w:val="20"/>
                <w:color w:val="auto"/>
              </w:rPr>
            </w:pPr>
            <w:r>
              <w:rPr>
                <w:rFonts w:ascii="Arial" w:cs="Arial" w:eastAsia="Arial" w:hAnsi="Arial"/>
                <w:sz w:val="20"/>
                <w:szCs w:val="20"/>
                <w:color w:val="auto"/>
                <w:w w:val="88"/>
              </w:rPr>
              <w:t>Number of Shares</w:t>
            </w:r>
          </w:p>
        </w:tc>
        <w:tc>
          <w:tcPr>
            <w:tcW w:w="4100" w:type="dxa"/>
            <w:vAlign w:val="bottom"/>
            <w:gridSpan w:val="3"/>
          </w:tcPr>
          <w:p>
            <w:pPr>
              <w:jc w:val="center"/>
              <w:ind w:left="1181"/>
              <w:spacing w:after="0"/>
              <w:rPr>
                <w:sz w:val="20"/>
                <w:szCs w:val="20"/>
                <w:color w:val="auto"/>
              </w:rPr>
            </w:pPr>
            <w:r>
              <w:rPr>
                <w:rFonts w:ascii="Arial" w:cs="Arial" w:eastAsia="Arial" w:hAnsi="Arial"/>
                <w:sz w:val="20"/>
                <w:szCs w:val="20"/>
                <w:color w:val="auto"/>
                <w:w w:val="88"/>
              </w:rPr>
              <w:t>Exercise Date</w:t>
            </w:r>
          </w:p>
        </w:tc>
      </w:tr>
      <w:tr>
        <w:trPr>
          <w:trHeight w:val="20"/>
        </w:trPr>
        <w:tc>
          <w:tcPr>
            <w:tcW w:w="13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63"/>
        </w:trPr>
        <w:tc>
          <w:tcPr>
            <w:tcW w:w="4140" w:type="dxa"/>
            <w:vAlign w:val="bottom"/>
            <w:gridSpan w:val="3"/>
          </w:tcPr>
          <w:p>
            <w:pPr>
              <w:spacing w:after="0"/>
              <w:rPr>
                <w:sz w:val="20"/>
                <w:szCs w:val="20"/>
                <w:color w:val="auto"/>
              </w:rPr>
            </w:pPr>
            <w:r>
              <w:rPr>
                <w:rFonts w:ascii="Arial" w:cs="Arial" w:eastAsia="Arial" w:hAnsi="Arial"/>
                <w:sz w:val="20"/>
                <w:szCs w:val="20"/>
                <w:color w:val="auto"/>
                <w:w w:val="98"/>
              </w:rPr>
              <w:t>33.333% of the number of shares subject to the</w:t>
            </w:r>
          </w:p>
        </w:tc>
        <w:tc>
          <w:tcPr>
            <w:tcW w:w="4100" w:type="dxa"/>
            <w:vAlign w:val="bottom"/>
            <w:gridSpan w:val="3"/>
          </w:tcPr>
          <w:p>
            <w:pPr>
              <w:ind w:left="400"/>
              <w:spacing w:after="0"/>
              <w:rPr>
                <w:sz w:val="20"/>
                <w:szCs w:val="20"/>
                <w:color w:val="auto"/>
              </w:rPr>
            </w:pPr>
            <w:r>
              <w:rPr>
                <w:rFonts w:ascii="Arial" w:cs="Arial" w:eastAsia="Arial" w:hAnsi="Arial"/>
                <w:sz w:val="20"/>
                <w:szCs w:val="20"/>
                <w:color w:val="auto"/>
                <w:w w:val="96"/>
              </w:rPr>
              <w:t>After the first anniversary of the Grant Date</w:t>
            </w:r>
          </w:p>
        </w:tc>
      </w:tr>
      <w:tr>
        <w:trPr>
          <w:trHeight w:val="250"/>
        </w:trPr>
        <w:tc>
          <w:tcPr>
            <w:tcW w:w="4140" w:type="dxa"/>
            <w:vAlign w:val="bottom"/>
            <w:gridSpan w:val="3"/>
          </w:tcPr>
          <w:p>
            <w:pPr>
              <w:spacing w:after="0"/>
              <w:rPr>
                <w:sz w:val="20"/>
                <w:szCs w:val="20"/>
                <w:color w:val="auto"/>
              </w:rPr>
            </w:pPr>
            <w:r>
              <w:rPr>
                <w:rFonts w:ascii="Arial" w:cs="Arial" w:eastAsia="Arial" w:hAnsi="Arial"/>
                <w:sz w:val="20"/>
                <w:szCs w:val="20"/>
                <w:color w:val="auto"/>
              </w:rPr>
              <w:t>Option</w:t>
            </w:r>
          </w:p>
        </w:tc>
        <w:tc>
          <w:tcPr>
            <w:tcW w:w="2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38"/>
        </w:trPr>
        <w:tc>
          <w:tcPr>
            <w:tcW w:w="4140" w:type="dxa"/>
            <w:vAlign w:val="bottom"/>
            <w:gridSpan w:val="3"/>
          </w:tcPr>
          <w:p>
            <w:pPr>
              <w:spacing w:after="0"/>
              <w:rPr>
                <w:sz w:val="20"/>
                <w:szCs w:val="20"/>
                <w:color w:val="auto"/>
              </w:rPr>
            </w:pPr>
            <w:r>
              <w:rPr>
                <w:rFonts w:ascii="Arial" w:cs="Arial" w:eastAsia="Arial" w:hAnsi="Arial"/>
                <w:sz w:val="20"/>
                <w:szCs w:val="20"/>
                <w:color w:val="auto"/>
                <w:w w:val="98"/>
              </w:rPr>
              <w:t>33.333% of the number of shares subject to the</w:t>
            </w:r>
          </w:p>
        </w:tc>
        <w:tc>
          <w:tcPr>
            <w:tcW w:w="4100" w:type="dxa"/>
            <w:vAlign w:val="bottom"/>
            <w:gridSpan w:val="3"/>
          </w:tcPr>
          <w:p>
            <w:pPr>
              <w:ind w:left="400"/>
              <w:spacing w:after="0"/>
              <w:rPr>
                <w:sz w:val="20"/>
                <w:szCs w:val="20"/>
                <w:color w:val="auto"/>
              </w:rPr>
            </w:pPr>
            <w:r>
              <w:rPr>
                <w:rFonts w:ascii="Arial" w:cs="Arial" w:eastAsia="Arial" w:hAnsi="Arial"/>
                <w:sz w:val="20"/>
                <w:szCs w:val="20"/>
                <w:color w:val="auto"/>
                <w:w w:val="88"/>
              </w:rPr>
              <w:t>After the second anniversary of the Grant Date</w:t>
            </w:r>
          </w:p>
        </w:tc>
      </w:tr>
      <w:tr>
        <w:trPr>
          <w:trHeight w:val="250"/>
        </w:trPr>
        <w:tc>
          <w:tcPr>
            <w:tcW w:w="4140" w:type="dxa"/>
            <w:vAlign w:val="bottom"/>
            <w:gridSpan w:val="3"/>
          </w:tcPr>
          <w:p>
            <w:pPr>
              <w:spacing w:after="0"/>
              <w:rPr>
                <w:sz w:val="20"/>
                <w:szCs w:val="20"/>
                <w:color w:val="auto"/>
              </w:rPr>
            </w:pPr>
            <w:r>
              <w:rPr>
                <w:rFonts w:ascii="Arial" w:cs="Arial" w:eastAsia="Arial" w:hAnsi="Arial"/>
                <w:sz w:val="20"/>
                <w:szCs w:val="20"/>
                <w:color w:val="auto"/>
              </w:rPr>
              <w:t>Option</w:t>
            </w:r>
          </w:p>
        </w:tc>
        <w:tc>
          <w:tcPr>
            <w:tcW w:w="2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38"/>
        </w:trPr>
        <w:tc>
          <w:tcPr>
            <w:tcW w:w="4140" w:type="dxa"/>
            <w:vAlign w:val="bottom"/>
            <w:gridSpan w:val="3"/>
          </w:tcPr>
          <w:p>
            <w:pPr>
              <w:spacing w:after="0"/>
              <w:rPr>
                <w:sz w:val="20"/>
                <w:szCs w:val="20"/>
                <w:color w:val="auto"/>
              </w:rPr>
            </w:pPr>
            <w:r>
              <w:rPr>
                <w:rFonts w:ascii="Arial" w:cs="Arial" w:eastAsia="Arial" w:hAnsi="Arial"/>
                <w:sz w:val="20"/>
                <w:szCs w:val="20"/>
                <w:color w:val="auto"/>
                <w:w w:val="98"/>
              </w:rPr>
              <w:t>33.334% of the number of shares subject to the</w:t>
            </w:r>
          </w:p>
        </w:tc>
        <w:tc>
          <w:tcPr>
            <w:tcW w:w="4100" w:type="dxa"/>
            <w:vAlign w:val="bottom"/>
            <w:gridSpan w:val="3"/>
          </w:tcPr>
          <w:p>
            <w:pPr>
              <w:ind w:left="400"/>
              <w:spacing w:after="0"/>
              <w:rPr>
                <w:sz w:val="20"/>
                <w:szCs w:val="20"/>
                <w:color w:val="auto"/>
              </w:rPr>
            </w:pPr>
            <w:r>
              <w:rPr>
                <w:rFonts w:ascii="Arial" w:cs="Arial" w:eastAsia="Arial" w:hAnsi="Arial"/>
                <w:sz w:val="20"/>
                <w:szCs w:val="20"/>
                <w:color w:val="auto"/>
                <w:w w:val="94"/>
              </w:rPr>
              <w:t>After the third anniversary of the Grant Date</w:t>
            </w:r>
          </w:p>
        </w:tc>
      </w:tr>
      <w:tr>
        <w:trPr>
          <w:trHeight w:val="250"/>
        </w:trPr>
        <w:tc>
          <w:tcPr>
            <w:tcW w:w="4140" w:type="dxa"/>
            <w:vAlign w:val="bottom"/>
            <w:gridSpan w:val="3"/>
          </w:tcPr>
          <w:p>
            <w:pPr>
              <w:spacing w:after="0"/>
              <w:rPr>
                <w:sz w:val="20"/>
                <w:szCs w:val="20"/>
                <w:color w:val="auto"/>
              </w:rPr>
            </w:pPr>
            <w:r>
              <w:rPr>
                <w:rFonts w:ascii="Arial" w:cs="Arial" w:eastAsia="Arial" w:hAnsi="Arial"/>
                <w:sz w:val="20"/>
                <w:szCs w:val="20"/>
                <w:color w:val="auto"/>
              </w:rPr>
              <w:t>Option</w:t>
            </w:r>
          </w:p>
        </w:tc>
        <w:tc>
          <w:tcPr>
            <w:tcW w:w="2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09" w:lineRule="exact"/>
        <w:rPr>
          <w:sz w:val="20"/>
          <w:szCs w:val="20"/>
          <w:color w:val="auto"/>
        </w:rPr>
      </w:pPr>
    </w:p>
    <w:p>
      <w:pPr>
        <w:ind w:right="200" w:firstLine="1305"/>
        <w:spacing w:after="0" w:line="246" w:lineRule="auto"/>
        <w:tabs>
          <w:tab w:leader="none" w:pos="1923"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This Option may be exercised, to the extent exercisable by its terms, from time to time in whole or in part at any time prior to the expiration thereof. Any exercise shall be accompanied by a written notice to the Company specifying the number of shares as to which this Option is being exercised (the “Option Shares”). Notations of any partial exercise or installment exercise, shall be made by the Company on Schedule A hereto.</w:t>
      </w:r>
    </w:p>
    <w:p>
      <w:pPr>
        <w:spacing w:after="0" w:line="205" w:lineRule="exact"/>
        <w:rPr>
          <w:rFonts w:ascii="Arial" w:cs="Arial" w:eastAsia="Arial" w:hAnsi="Arial"/>
          <w:sz w:val="20"/>
          <w:szCs w:val="20"/>
          <w:color w:val="auto"/>
        </w:rPr>
      </w:pPr>
    </w:p>
    <w:p>
      <w:pPr>
        <w:jc w:val="both"/>
        <w:ind w:firstLine="1305"/>
        <w:spacing w:after="0" w:line="278" w:lineRule="auto"/>
        <w:tabs>
          <w:tab w:leader="none" w:pos="2106"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Section 3(a) above, this ISO shall be fully exercisable in the event Holder’s employment with a Participating Company is terminated by the Holder for “Good Reason” (as defined below), or a Participating Company terminates the Holder’s employment without “Cause” (as defined above). “Good Reason” means the Holder’s termination of employment with a Participating Company on or after a reduction in his compensation or benefits, his removal as the Company’s Vice Chairman of the Board or President, or his being assigned duties or responsibilities that are inconsistent with the dignity, importance or scope of his position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5" w:right="239" w:bottom="0" w:gutter="0" w:footer="0" w:header="0"/>
        </w:sectPr>
      </w:pPr>
    </w:p>
    <w:bookmarkStart w:id="83" w:name="page84"/>
    <w:bookmarkEnd w:id="83"/>
    <w:p>
      <w:pPr>
        <w:ind w:left="1940" w:hanging="635"/>
        <w:spacing w:after="0"/>
        <w:tabs>
          <w:tab w:leader="none" w:pos="19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Notwithstanding anything else in this Agreement to the contrary, this Option shall expire on the tenth anniversary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Grant Date.</w:t>
      </w:r>
    </w:p>
    <w:p>
      <w:pPr>
        <w:spacing w:after="0" w:line="213" w:lineRule="exact"/>
        <w:rPr>
          <w:sz w:val="20"/>
          <w:szCs w:val="20"/>
          <w:color w:val="auto"/>
        </w:rPr>
      </w:pPr>
    </w:p>
    <w:p>
      <w:pPr>
        <w:jc w:val="both"/>
        <w:ind w:firstLine="1305"/>
        <w:spacing w:after="0" w:line="250" w:lineRule="auto"/>
        <w:tabs>
          <w:tab w:leader="none" w:pos="1931" w:val="left"/>
        </w:tabs>
        <w:numPr>
          <w:ilvl w:val="2"/>
          <w:numId w:val="76"/>
        </w:numPr>
        <w:rPr>
          <w:rFonts w:ascii="Arial" w:cs="Arial" w:eastAsia="Arial" w:hAnsi="Arial"/>
          <w:sz w:val="20"/>
          <w:szCs w:val="20"/>
          <w:color w:val="auto"/>
        </w:rPr>
      </w:pPr>
      <w:r>
        <w:rPr>
          <w:rFonts w:ascii="Arial" w:cs="Arial" w:eastAsia="Arial" w:hAnsi="Arial"/>
          <w:sz w:val="20"/>
          <w:szCs w:val="20"/>
          <w:color w:val="auto"/>
        </w:rPr>
        <w:t>The Holder hereby agrees to notify the Company in writing in the event shares acquired pursuant to the exercise of this Option are transferred, other than by will or by the laws of descent and distribution, within two years after the Grant Date or within one year after the issuance of such shares pursuant to such exercise.</w:t>
      </w:r>
    </w:p>
    <w:p>
      <w:pPr>
        <w:spacing w:after="0" w:line="199" w:lineRule="exact"/>
        <w:rPr>
          <w:rFonts w:ascii="Arial" w:cs="Arial" w:eastAsia="Arial" w:hAnsi="Arial"/>
          <w:sz w:val="20"/>
          <w:szCs w:val="20"/>
          <w:color w:val="auto"/>
        </w:rPr>
      </w:pPr>
    </w:p>
    <w:p>
      <w:pPr>
        <w:ind w:firstLine="656"/>
        <w:spacing w:after="0" w:line="260" w:lineRule="auto"/>
        <w:tabs>
          <w:tab w:leader="none" w:pos="1242" w:val="left"/>
        </w:tabs>
        <w:numPr>
          <w:ilvl w:val="1"/>
          <w:numId w:val="77"/>
        </w:numPr>
        <w:rPr>
          <w:rFonts w:ascii="Arial" w:cs="Arial" w:eastAsia="Arial" w:hAnsi="Arial"/>
          <w:sz w:val="20"/>
          <w:szCs w:val="20"/>
          <w:color w:val="auto"/>
        </w:rPr>
      </w:pPr>
      <w:r>
        <w:rPr>
          <w:rFonts w:ascii="Arial" w:cs="Arial" w:eastAsia="Arial" w:hAnsi="Arial"/>
          <w:sz w:val="20"/>
          <w:szCs w:val="20"/>
          <w:u w:val="single" w:color="auto"/>
          <w:color w:val="auto"/>
        </w:rPr>
        <w:t>Payment of Purchase Price Upon Exercise</w:t>
      </w:r>
      <w:r>
        <w:rPr>
          <w:rFonts w:ascii="Arial" w:cs="Arial" w:eastAsia="Arial" w:hAnsi="Arial"/>
          <w:sz w:val="20"/>
          <w:szCs w:val="20"/>
          <w:color w:val="auto"/>
        </w:rPr>
        <w:t>. At the time of any exercise of all or a portion of the Option, the purchase price shall be paid in full to the Company in any of the following ways or in any combination of the following ways:</w:t>
      </w:r>
    </w:p>
    <w:p>
      <w:pPr>
        <w:spacing w:after="0" w:line="190" w:lineRule="exact"/>
        <w:rPr>
          <w:rFonts w:ascii="Arial" w:cs="Arial" w:eastAsia="Arial" w:hAnsi="Arial"/>
          <w:sz w:val="20"/>
          <w:szCs w:val="20"/>
          <w:color w:val="auto"/>
        </w:rPr>
      </w:pPr>
    </w:p>
    <w:p>
      <w:pPr>
        <w:ind w:left="1920" w:hanging="615"/>
        <w:spacing w:after="0"/>
        <w:tabs>
          <w:tab w:leader="none" w:pos="1920" w:val="left"/>
        </w:tabs>
        <w:numPr>
          <w:ilvl w:val="2"/>
          <w:numId w:val="77"/>
        </w:numPr>
        <w:rPr>
          <w:rFonts w:ascii="Arial" w:cs="Arial" w:eastAsia="Arial" w:hAnsi="Arial"/>
          <w:sz w:val="20"/>
          <w:szCs w:val="20"/>
          <w:color w:val="auto"/>
        </w:rPr>
      </w:pPr>
      <w:r>
        <w:rPr>
          <w:rFonts w:ascii="Arial" w:cs="Arial" w:eastAsia="Arial" w:hAnsi="Arial"/>
          <w:sz w:val="20"/>
          <w:szCs w:val="20"/>
          <w:color w:val="auto"/>
        </w:rPr>
        <w:t>By check or other immediately available funds.</w:t>
      </w:r>
    </w:p>
    <w:p>
      <w:pPr>
        <w:spacing w:after="0" w:line="229" w:lineRule="exact"/>
        <w:rPr>
          <w:rFonts w:ascii="Arial" w:cs="Arial" w:eastAsia="Arial" w:hAnsi="Arial"/>
          <w:sz w:val="20"/>
          <w:szCs w:val="20"/>
          <w:color w:val="auto"/>
        </w:rPr>
      </w:pPr>
    </w:p>
    <w:p>
      <w:pPr>
        <w:jc w:val="both"/>
        <w:ind w:firstLine="1305"/>
        <w:spacing w:after="0" w:line="246" w:lineRule="auto"/>
        <w:tabs>
          <w:tab w:leader="none" w:pos="1958" w:val="left"/>
        </w:tabs>
        <w:numPr>
          <w:ilvl w:val="2"/>
          <w:numId w:val="77"/>
        </w:numPr>
        <w:rPr>
          <w:rFonts w:ascii="Arial" w:cs="Arial" w:eastAsia="Arial" w:hAnsi="Arial"/>
          <w:sz w:val="20"/>
          <w:szCs w:val="20"/>
          <w:color w:val="auto"/>
        </w:rPr>
      </w:pPr>
      <w:r>
        <w:rPr>
          <w:rFonts w:ascii="Arial" w:cs="Arial" w:eastAsia="Arial" w:hAnsi="Arial"/>
          <w:sz w:val="20"/>
          <w:szCs w:val="20"/>
          <w:color w:val="auto"/>
        </w:rPr>
        <w:t>With property consisting of shares of Stock. (The shares of Stock to be used as payment shall be valued as of the date of exercise of the Option at the Closing Price as defined below. For example, if Holder exercises the option for 4,000 shares at a total Exercise Price of $8,000, assuming an exercise price of $2.00 per share, and the Closing Price is $5.00, Holder may pay for the 4,000 Option Shares by transferring 1,600 shares of Stock to the Company.)</w:t>
      </w:r>
    </w:p>
    <w:p>
      <w:pPr>
        <w:spacing w:after="0" w:line="205" w:lineRule="exact"/>
        <w:rPr>
          <w:rFonts w:ascii="Arial" w:cs="Arial" w:eastAsia="Arial" w:hAnsi="Arial"/>
          <w:sz w:val="20"/>
          <w:szCs w:val="20"/>
          <w:color w:val="auto"/>
        </w:rPr>
      </w:pPr>
    </w:p>
    <w:p>
      <w:pPr>
        <w:jc w:val="both"/>
        <w:ind w:firstLine="1305"/>
        <w:spacing w:after="0" w:line="250" w:lineRule="auto"/>
        <w:tabs>
          <w:tab w:leader="none" w:pos="1935" w:val="left"/>
        </w:tabs>
        <w:numPr>
          <w:ilvl w:val="2"/>
          <w:numId w:val="77"/>
        </w:numPr>
        <w:rPr>
          <w:rFonts w:ascii="Arial" w:cs="Arial" w:eastAsia="Arial" w:hAnsi="Arial"/>
          <w:sz w:val="20"/>
          <w:szCs w:val="20"/>
          <w:color w:val="auto"/>
        </w:rPr>
      </w:pPr>
      <w:r>
        <w:rPr>
          <w:rFonts w:ascii="Arial" w:cs="Arial" w:eastAsia="Arial" w:hAnsi="Arial"/>
          <w:sz w:val="20"/>
          <w:szCs w:val="20"/>
          <w:color w:val="auto"/>
        </w:rPr>
        <w:t>By delivering a properly executed exercise notice together with irrevocable instructions to a broker to deliver promptly to the Company the amount of sale proceeds necessary to pay the purchase price and applicable withholding taxes, and such other documents as the Committee may determine.</w:t>
      </w:r>
    </w:p>
    <w:p>
      <w:pPr>
        <w:spacing w:after="0" w:line="199" w:lineRule="exact"/>
        <w:rPr>
          <w:rFonts w:ascii="Arial" w:cs="Arial" w:eastAsia="Arial" w:hAnsi="Arial"/>
          <w:sz w:val="20"/>
          <w:szCs w:val="20"/>
          <w:color w:val="auto"/>
        </w:rPr>
      </w:pPr>
    </w:p>
    <w:p>
      <w:pPr>
        <w:jc w:val="both"/>
        <w:ind w:firstLine="1305"/>
        <w:spacing w:after="0" w:line="257" w:lineRule="auto"/>
        <w:tabs>
          <w:tab w:leader="none" w:pos="2027" w:val="left"/>
        </w:tabs>
        <w:numPr>
          <w:ilvl w:val="2"/>
          <w:numId w:val="77"/>
        </w:numPr>
        <w:rPr>
          <w:rFonts w:ascii="Arial" w:cs="Arial" w:eastAsia="Arial" w:hAnsi="Arial"/>
          <w:sz w:val="19"/>
          <w:szCs w:val="19"/>
          <w:color w:val="auto"/>
        </w:rPr>
      </w:pPr>
      <w:r>
        <w:rPr>
          <w:rFonts w:ascii="Arial" w:cs="Arial" w:eastAsia="Arial" w:hAnsi="Arial"/>
          <w:sz w:val="19"/>
          <w:szCs w:val="19"/>
          <w:color w:val="auto"/>
        </w:rPr>
        <w:t>For purposes of this Agreement, the term “Closing Price” means, with respect to the Company’s Stock, the last sale price regular-way or, in case no such sale takes place on such date, the average of the closing bid and asked prices regular-way on the principal national securities exchange on which the Stock is listed or admitted to trading; or, if the Stock is not listed or admitted to trading on any national securities exchange, the last sale price of the Stock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Stock is not listed on NASDAQ or a comparable system, the “Closing Price” shall be the Fair Market Value of the Stock as determined by the Committee in good faith.</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23" w:lineRule="exact"/>
        <w:rPr>
          <w:rFonts w:ascii="Arial" w:cs="Arial" w:eastAsia="Arial" w:hAnsi="Arial"/>
          <w:sz w:val="19"/>
          <w:szCs w:val="19"/>
          <w:color w:val="auto"/>
        </w:rPr>
      </w:pPr>
    </w:p>
    <w:p>
      <w:pPr>
        <w:jc w:val="both"/>
        <w:ind w:firstLine="656"/>
        <w:spacing w:after="0" w:line="256" w:lineRule="auto"/>
        <w:tabs>
          <w:tab w:leader="none" w:pos="1310"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Purchase for Investment; Resale Restrictions</w:t>
      </w:r>
      <w:r>
        <w:rPr>
          <w:rFonts w:ascii="Arial" w:cs="Arial" w:eastAsia="Arial" w:hAnsi="Arial"/>
          <w:sz w:val="19"/>
          <w:szCs w:val="19"/>
          <w:color w:val="auto"/>
        </w:rPr>
        <w:t>. Unless at the time of exercise of the Option there shall be a valid and effective registration statement under the Securities Act of 1933 (the “‘33 Act”) and appropriate qualification and registration under applicable state securities laws relating to the Option Shares being acquired, Holder shall upon exercise of the Option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194" w:lineRule="exact"/>
        <w:rPr>
          <w:rFonts w:ascii="Arial" w:cs="Arial" w:eastAsia="Arial" w:hAnsi="Arial"/>
          <w:sz w:val="19"/>
          <w:szCs w:val="19"/>
          <w:color w:val="auto"/>
        </w:rPr>
      </w:pPr>
    </w:p>
    <w:p>
      <w:pPr>
        <w:ind w:right="20" w:firstLine="656"/>
        <w:spacing w:after="0" w:line="260" w:lineRule="auto"/>
        <w:tabs>
          <w:tab w:leader="none" w:pos="1310" w:val="left"/>
        </w:tabs>
        <w:numPr>
          <w:ilvl w:val="1"/>
          <w:numId w:val="77"/>
        </w:numPr>
        <w:rPr>
          <w:rFonts w:ascii="Arial" w:cs="Arial" w:eastAsia="Arial" w:hAnsi="Arial"/>
          <w:sz w:val="20"/>
          <w:szCs w:val="20"/>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 This Option shall not be transferable other than by will or by the laws of descent and distribution. During the lifetime of Holder, this Option shall be exercisable only by Holder.</w:t>
      </w:r>
    </w:p>
    <w:p>
      <w:pPr>
        <w:spacing w:after="0" w:line="190" w:lineRule="exact"/>
        <w:rPr>
          <w:rFonts w:ascii="Arial" w:cs="Arial" w:eastAsia="Arial" w:hAnsi="Arial"/>
          <w:sz w:val="20"/>
          <w:szCs w:val="20"/>
          <w:color w:val="auto"/>
        </w:rPr>
      </w:pPr>
    </w:p>
    <w:p>
      <w:pPr>
        <w:ind w:left="1260" w:hanging="604"/>
        <w:spacing w:after="0"/>
        <w:tabs>
          <w:tab w:leader="none" w:pos="1260" w:val="left"/>
        </w:tabs>
        <w:numPr>
          <w:ilvl w:val="1"/>
          <w:numId w:val="77"/>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1305"/>
        <w:spacing w:after="0" w:line="303" w:lineRule="auto"/>
        <w:tabs>
          <w:tab w:leader="none" w:pos="1941" w:val="left"/>
        </w:tabs>
        <w:numPr>
          <w:ilvl w:val="2"/>
          <w:numId w:val="77"/>
        </w:numPr>
        <w:rPr>
          <w:rFonts w:ascii="Arial" w:cs="Arial" w:eastAsia="Arial" w:hAnsi="Arial"/>
          <w:sz w:val="16"/>
          <w:szCs w:val="16"/>
          <w:color w:val="auto"/>
        </w:rPr>
      </w:pPr>
      <w:r>
        <w:rPr>
          <w:rFonts w:ascii="Arial" w:cs="Arial" w:eastAsia="Arial" w:hAnsi="Arial"/>
          <w:sz w:val="16"/>
          <w:szCs w:val="16"/>
          <w:color w:val="auto"/>
        </w:rPr>
        <w:t>Subject to clause 7(b) below, if the outstanding shares of stock of the Company are 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 of the assets or shares of the Company, reorganization, recapitalization, reclassification, stock dividend, stock split, reverse stock split or other distribution with respect to such shares of stock or other securities, then, to the extent permitted by the Board, an appropriate and proportionate adjustment shall be made in</w:t>
      </w:r>
    </w:p>
    <w:p>
      <w:pPr>
        <w:spacing w:after="0" w:line="2" w:lineRule="exact"/>
        <w:rPr>
          <w:rFonts w:ascii="Arial" w:cs="Arial" w:eastAsia="Arial" w:hAnsi="Arial"/>
          <w:sz w:val="16"/>
          <w:szCs w:val="16"/>
          <w:color w:val="auto"/>
        </w:rPr>
      </w:pPr>
    </w:p>
    <w:p>
      <w:pPr>
        <w:jc w:val="both"/>
        <w:ind w:firstLine="8"/>
        <w:spacing w:after="0" w:line="258" w:lineRule="auto"/>
        <w:tabs>
          <w:tab w:leader="none" w:pos="285"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maximum number and/or kind of shares provided in Paragraph 1 above; (2) the number and/or kind of shares or other securities subject to the outstanding options and tandum SARs, if any; and (3) the price for each share or other unit of any other securities subject to outstanding options without change in the aggregate purchase price or value as to which the options remain exercisable or subject to restrictions. Any adjustment under this clause 7(a) shall be made by the Board, whose determination as to what adjustments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-4053840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made, if any, and the extent thereof, will be final, binding and conclusive. No fractional interests will be issued under this Agreement resulting from any such adjustment.</w:t>
      </w:r>
    </w:p>
    <w:p>
      <w:pPr>
        <w:spacing w:after="0" w:line="190" w:lineRule="exact"/>
        <w:rPr>
          <w:sz w:val="20"/>
          <w:szCs w:val="20"/>
          <w:color w:val="auto"/>
        </w:rPr>
      </w:pPr>
    </w:p>
    <w:p>
      <w:pPr>
        <w:jc w:val="both"/>
        <w:ind w:firstLine="1305"/>
        <w:spacing w:after="0" w:line="282" w:lineRule="auto"/>
        <w:tabs>
          <w:tab w:leader="none" w:pos="1923"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Notwithstanding anything else in this Agreement to the contrary, unless the Board, in its sole discretion, determines that the Holder did not perform the duties reasonably requested of him in connection with a Change in Control (as defined in (c) below), including, without limitation, agreeing to provide remunerated services to the Company (for a reasonable length of time) following a Change in Control, upon the occurrence of a Change in Control, the Option or any portion thereof not theretofore exercisable, shall immediately become</w:t>
      </w:r>
    </w:p>
    <w:p>
      <w:pPr>
        <w:sectPr>
          <w:pgSz w:w="11900" w:h="16838" w:orient="portrait"/>
          <w:cols w:equalWidth="0" w:num="1">
            <w:col w:w="11420"/>
          </w:cols>
          <w:pgMar w:left="240" w:top="595" w:right="239" w:bottom="0" w:gutter="0" w:footer="0" w:header="0"/>
        </w:sectPr>
      </w:pPr>
    </w:p>
    <w:bookmarkStart w:id="84" w:name="page85"/>
    <w:bookmarkEnd w:id="84"/>
    <w:p>
      <w:pPr>
        <w:jc w:val="both"/>
        <w:spacing w:after="0" w:line="292" w:lineRule="auto"/>
        <w:rPr>
          <w:sz w:val="20"/>
          <w:szCs w:val="20"/>
          <w:color w:val="auto"/>
        </w:rPr>
      </w:pPr>
      <w:r>
        <w:rPr>
          <w:rFonts w:ascii="Arial" w:cs="Arial" w:eastAsia="Arial" w:hAnsi="Arial"/>
          <w:sz w:val="18"/>
          <w:szCs w:val="18"/>
          <w:color w:val="auto"/>
        </w:rPr>
        <w:t>exercisable in its entirety and the Option may be purchased by the Company for cash at a price equal to the Fair Market Value less the purchase price payable by the Holder to exercise the Option as set out in Section 1 above for one (1) share of Common Stock of the Company multiplied by the number of shares of Common Stock which the Holder has the option to purchase pursuant to the terms of Section 1 above.</w:t>
      </w:r>
    </w:p>
    <w:p>
      <w:pPr>
        <w:spacing w:after="0" w:line="164" w:lineRule="exact"/>
        <w:rPr>
          <w:sz w:val="20"/>
          <w:szCs w:val="20"/>
          <w:color w:val="auto"/>
        </w:rPr>
      </w:pPr>
    </w:p>
    <w:p>
      <w:pPr>
        <w:ind w:left="1920" w:hanging="615"/>
        <w:spacing w:after="0"/>
        <w:tabs>
          <w:tab w:leader="none" w:pos="1920" w:val="left"/>
        </w:tabs>
        <w:numPr>
          <w:ilvl w:val="1"/>
          <w:numId w:val="80"/>
        </w:numPr>
        <w:rPr>
          <w:rFonts w:ascii="Arial" w:cs="Arial" w:eastAsia="Arial" w:hAnsi="Arial"/>
          <w:sz w:val="20"/>
          <w:szCs w:val="20"/>
          <w:color w:val="auto"/>
        </w:rPr>
      </w:pPr>
      <w:r>
        <w:rPr>
          <w:rFonts w:ascii="Arial" w:cs="Arial" w:eastAsia="Arial" w:hAnsi="Arial"/>
          <w:sz w:val="20"/>
          <w:szCs w:val="20"/>
          <w:color w:val="auto"/>
        </w:rPr>
        <w:t>For the purposes of this agreement, “Change in Control” means:</w:t>
      </w:r>
    </w:p>
    <w:p>
      <w:pPr>
        <w:spacing w:after="0" w:line="229" w:lineRule="exact"/>
        <w:rPr>
          <w:rFonts w:ascii="Arial" w:cs="Arial" w:eastAsia="Arial" w:hAnsi="Arial"/>
          <w:sz w:val="20"/>
          <w:szCs w:val="20"/>
          <w:color w:val="auto"/>
        </w:rPr>
      </w:pPr>
    </w:p>
    <w:p>
      <w:pPr>
        <w:ind w:left="2680" w:hanging="727"/>
        <w:spacing w:after="0"/>
        <w:tabs>
          <w:tab w:leader="none" w:pos="268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acquisition (in one or more transactions) of “Beneficial Ownership” by any person (as defined in rule 13</w:t>
      </w:r>
    </w:p>
    <w:p>
      <w:pPr>
        <w:spacing w:after="0" w:line="38" w:lineRule="exact"/>
        <w:rPr>
          <w:rFonts w:ascii="Arial" w:cs="Arial" w:eastAsia="Arial" w:hAnsi="Arial"/>
          <w:sz w:val="18"/>
          <w:szCs w:val="18"/>
          <w:color w:val="auto"/>
        </w:rPr>
      </w:pPr>
    </w:p>
    <w:p>
      <w:pPr>
        <w:ind w:firstLine="8"/>
        <w:spacing w:after="0" w:line="244" w:lineRule="auto"/>
        <w:tabs>
          <w:tab w:leader="none" w:pos="306" w:val="left"/>
        </w:tabs>
        <w:numPr>
          <w:ilvl w:val="0"/>
          <w:numId w:val="81"/>
        </w:numPr>
        <w:rPr>
          <w:rFonts w:ascii="Arial" w:cs="Arial" w:eastAsia="Arial" w:hAnsi="Arial"/>
          <w:sz w:val="20"/>
          <w:szCs w:val="20"/>
          <w:color w:val="auto"/>
        </w:rPr>
      </w:pPr>
      <w:r>
        <w:rPr>
          <w:rFonts w:ascii="Arial" w:cs="Arial" w:eastAsia="Arial" w:hAnsi="Arial"/>
          <w:sz w:val="20"/>
          <w:szCs w:val="20"/>
          <w:color w:val="auto"/>
        </w:rPr>
        <w:t>- 3 under the Securities Exchange Act 1934), corporation or other entity other than the Company or a wholly owned subsidiary of the Company of 20% or more of the outstanding Common Stock,</w:t>
      </w:r>
    </w:p>
    <w:p>
      <w:pPr>
        <w:spacing w:after="0" w:line="205" w:lineRule="exact"/>
        <w:rPr>
          <w:rFonts w:ascii="Arial" w:cs="Arial" w:eastAsia="Arial" w:hAnsi="Arial"/>
          <w:sz w:val="20"/>
          <w:szCs w:val="20"/>
          <w:color w:val="auto"/>
        </w:rPr>
      </w:pPr>
    </w:p>
    <w:p>
      <w:pPr>
        <w:ind w:left="2600" w:hanging="647"/>
        <w:spacing w:after="0"/>
        <w:tabs>
          <w:tab w:leader="none" w:pos="2600" w:val="left"/>
        </w:tabs>
        <w:numPr>
          <w:ilvl w:val="2"/>
          <w:numId w:val="81"/>
        </w:numPr>
        <w:rPr>
          <w:rFonts w:ascii="Arial" w:cs="Arial" w:eastAsia="Arial" w:hAnsi="Arial"/>
          <w:sz w:val="20"/>
          <w:szCs w:val="20"/>
          <w:color w:val="auto"/>
        </w:rPr>
      </w:pPr>
      <w:r>
        <w:rPr>
          <w:rFonts w:ascii="Arial" w:cs="Arial" w:eastAsia="Arial" w:hAnsi="Arial"/>
          <w:sz w:val="20"/>
          <w:szCs w:val="20"/>
          <w:color w:val="auto"/>
        </w:rPr>
        <w:t>the sale or disposition of substantially all of the assets of the Company, or</w:t>
      </w:r>
    </w:p>
    <w:p>
      <w:pPr>
        <w:spacing w:after="0" w:line="229" w:lineRule="exact"/>
        <w:rPr>
          <w:sz w:val="20"/>
          <w:szCs w:val="20"/>
          <w:color w:val="auto"/>
        </w:rPr>
      </w:pPr>
    </w:p>
    <w:p>
      <w:pPr>
        <w:ind w:left="2600" w:hanging="647"/>
        <w:spacing w:after="0"/>
        <w:tabs>
          <w:tab w:leader="none" w:pos="2600"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merger of the Company with another entity in which the Common Stock of the Company is no longer</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outstanding after such merger.</w:t>
      </w:r>
    </w:p>
    <w:p>
      <w:pPr>
        <w:spacing w:after="0" w:line="213" w:lineRule="exact"/>
        <w:rPr>
          <w:rFonts w:ascii="Arial" w:cs="Arial" w:eastAsia="Arial" w:hAnsi="Arial"/>
          <w:sz w:val="19"/>
          <w:szCs w:val="19"/>
          <w:color w:val="auto"/>
        </w:rPr>
      </w:pPr>
    </w:p>
    <w:p>
      <w:pPr>
        <w:ind w:firstLine="656"/>
        <w:spacing w:after="0" w:line="260" w:lineRule="auto"/>
        <w:tabs>
          <w:tab w:leader="none" w:pos="1269"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No Rights as Stockholder</w:t>
      </w:r>
      <w:r>
        <w:rPr>
          <w:rFonts w:ascii="Arial" w:cs="Arial" w:eastAsia="Arial" w:hAnsi="Arial"/>
          <w:sz w:val="20"/>
          <w:szCs w:val="20"/>
          <w:color w:val="auto"/>
        </w:rPr>
        <w:t>. Holder shall have no rights as a stockholder with respect to any shares of Stock subject to this Option prior to the date of issuance to him of a certificate or certificates for such shares.</w:t>
      </w:r>
    </w:p>
    <w:p>
      <w:pPr>
        <w:spacing w:after="0" w:line="190" w:lineRule="exact"/>
        <w:rPr>
          <w:rFonts w:ascii="Arial" w:cs="Arial" w:eastAsia="Arial" w:hAnsi="Arial"/>
          <w:sz w:val="20"/>
          <w:szCs w:val="20"/>
          <w:color w:val="auto"/>
        </w:rPr>
      </w:pPr>
    </w:p>
    <w:p>
      <w:pPr>
        <w:jc w:val="both"/>
        <w:ind w:right="20" w:firstLine="656"/>
        <w:spacing w:after="0" w:line="250" w:lineRule="auto"/>
        <w:tabs>
          <w:tab w:leader="none" w:pos="1256"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No Right to Continue Employment</w:t>
      </w:r>
      <w:r>
        <w:rPr>
          <w:rFonts w:ascii="Arial" w:cs="Arial" w:eastAsia="Arial" w:hAnsi="Arial"/>
          <w:sz w:val="20"/>
          <w:szCs w:val="20"/>
          <w:color w:val="auto"/>
        </w:rPr>
        <w:t>. This Agreement shall not confer upon Holder any right with respect to continuance of employment with a Participating Company nor shall it interfere in any way with the right of a Participating Company to terminate the Holder’s employment at any time.</w:t>
      </w:r>
    </w:p>
    <w:p>
      <w:pPr>
        <w:spacing w:after="0" w:line="199" w:lineRule="exact"/>
        <w:rPr>
          <w:rFonts w:ascii="Arial" w:cs="Arial" w:eastAsia="Arial" w:hAnsi="Arial"/>
          <w:sz w:val="20"/>
          <w:szCs w:val="20"/>
          <w:color w:val="auto"/>
        </w:rPr>
      </w:pPr>
    </w:p>
    <w:p>
      <w:pPr>
        <w:ind w:firstLine="656"/>
        <w:spacing w:after="0" w:line="260" w:lineRule="auto"/>
        <w:tabs>
          <w:tab w:leader="none" w:pos="1305"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Compliance With Law and Regulation</w:t>
      </w:r>
      <w:r>
        <w:rPr>
          <w:rFonts w:ascii="Arial" w:cs="Arial" w:eastAsia="Arial" w:hAnsi="Arial"/>
          <w:sz w:val="20"/>
          <w:szCs w:val="20"/>
          <w:color w:val="auto"/>
        </w:rPr>
        <w:t>. This Agreement and the obligation of the Company to sell and deliver shares of Stock hereunder shall be subject to all applicable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and state laws, rules and regulations and to such approvals by any government or regulatory agency as may be required. If at any time the Board shall determine that (i) the listing, registration or qualification of the shares of Stock subject or related thereto upon any securities exchange or under any state or federal law, or (ii) the consent or approval of any government regulatory body, is necessary or desirable as a condition of or in connection with the issue or purchase of shares of Stock hereunder, this Option may not be exercised in whole or in part unless such listing, registration, qualification, consent, approval or agreement shall have been effected or obtained free of any conditions not acceptable to the Board.</w:t>
      </w:r>
    </w:p>
    <w:p>
      <w:pPr>
        <w:spacing w:after="0" w:line="210" w:lineRule="exact"/>
        <w:rPr>
          <w:sz w:val="20"/>
          <w:szCs w:val="20"/>
          <w:color w:val="auto"/>
        </w:rPr>
      </w:pPr>
    </w:p>
    <w:p>
      <w:pPr>
        <w:ind w:firstLine="656"/>
        <w:spacing w:after="0" w:line="316" w:lineRule="auto"/>
        <w:tabs>
          <w:tab w:leader="none" w:pos="143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Tax Withholding Requirements</w:t>
      </w:r>
      <w:r>
        <w:rPr>
          <w:rFonts w:ascii="Arial" w:cs="Arial" w:eastAsia="Arial" w:hAnsi="Arial"/>
          <w:sz w:val="18"/>
          <w:szCs w:val="18"/>
          <w:color w:val="auto"/>
        </w:rPr>
        <w:t>. The Company shall have the right to require Holder to remit to the Company an amount sufficient to satisfy any federal, state or local withholding tax requirements prior to the delivery of any certificate or certificates for Stock.</w:t>
      </w:r>
    </w:p>
    <w:p>
      <w:pPr>
        <w:spacing w:after="0" w:line="143" w:lineRule="exact"/>
        <w:rPr>
          <w:rFonts w:ascii="Arial" w:cs="Arial" w:eastAsia="Arial" w:hAnsi="Arial"/>
          <w:sz w:val="18"/>
          <w:szCs w:val="18"/>
          <w:color w:val="auto"/>
        </w:rPr>
      </w:pPr>
    </w:p>
    <w:p>
      <w:pPr>
        <w:ind w:firstLine="656"/>
        <w:spacing w:after="0" w:line="316" w:lineRule="auto"/>
        <w:tabs>
          <w:tab w:leader="none" w:pos="137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other provision of this Agreement, no fractional shares of Stock shall be issued upon the exercise of this Option, and the Company shall not be under any obligation to compensate Holder in any way for such fractional shares.</w:t>
      </w:r>
    </w:p>
    <w:p>
      <w:pPr>
        <w:spacing w:after="0" w:line="143" w:lineRule="exact"/>
        <w:rPr>
          <w:rFonts w:ascii="Arial" w:cs="Arial" w:eastAsia="Arial" w:hAnsi="Arial"/>
          <w:sz w:val="18"/>
          <w:szCs w:val="18"/>
          <w:color w:val="auto"/>
        </w:rPr>
      </w:pPr>
    </w:p>
    <w:p>
      <w:pPr>
        <w:jc w:val="both"/>
        <w:ind w:firstLine="656"/>
        <w:spacing w:after="0" w:line="246" w:lineRule="auto"/>
        <w:tabs>
          <w:tab w:leader="none" w:pos="1373"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hereunder to the Company shall be addressed to it at its office at 550 Monica Circle, Suite 201, Corona, California 92880, Attention: Rodney C. Sacks with a copy to Benjamin Polk, Schulte Roth &amp; Zabel LLP, 919 Third Avenue, New York, New York 10022, and any notice hereunder to Holder shall be addressed to him at 2 Nidden, Irvine, California 92603, subject to the right of either party to designate at any time hereafter in writing some other address.</w:t>
      </w:r>
    </w:p>
    <w:p>
      <w:pPr>
        <w:spacing w:after="0" w:line="205" w:lineRule="exact"/>
        <w:rPr>
          <w:rFonts w:ascii="Arial" w:cs="Arial" w:eastAsia="Arial" w:hAnsi="Arial"/>
          <w:sz w:val="20"/>
          <w:szCs w:val="20"/>
          <w:color w:val="auto"/>
        </w:rPr>
      </w:pPr>
    </w:p>
    <w:p>
      <w:pPr>
        <w:ind w:firstLine="656"/>
        <w:spacing w:after="0" w:line="260" w:lineRule="auto"/>
        <w:tabs>
          <w:tab w:leader="none" w:pos="1332"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No modification, amendment or waiver of any of the provisions of this Agreement shall be effective unless in writing specifically referring hereto, and signed by both parties.</w:t>
      </w:r>
    </w:p>
    <w:p>
      <w:pPr>
        <w:spacing w:after="0" w:line="190" w:lineRule="exact"/>
        <w:rPr>
          <w:rFonts w:ascii="Arial" w:cs="Arial" w:eastAsia="Arial" w:hAnsi="Arial"/>
          <w:sz w:val="20"/>
          <w:szCs w:val="20"/>
          <w:color w:val="auto"/>
        </w:rPr>
      </w:pPr>
    </w:p>
    <w:p>
      <w:pPr>
        <w:ind w:firstLine="656"/>
        <w:spacing w:after="0" w:line="316" w:lineRule="auto"/>
        <w:tabs>
          <w:tab w:leader="none" w:pos="137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20" w:hanging="664"/>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constitute one and the same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instrument.</w:t>
      </w:r>
    </w:p>
    <w:p>
      <w:pPr>
        <w:spacing w:after="0" w:line="21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Hansen Natural Corporation has caused this Agreement to be executed by a duly authorized officer and Holder has executed this Agreement both as of the day and year first above written.</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3800" w:type="dxa"/>
            <w:vAlign w:val="bottom"/>
            <w:gridSpan w:val="3"/>
          </w:tcPr>
          <w:p>
            <w:pPr>
              <w:ind w:left="580"/>
              <w:spacing w:after="0"/>
              <w:rPr>
                <w:sz w:val="20"/>
                <w:szCs w:val="20"/>
                <w:color w:val="auto"/>
              </w:rPr>
            </w:pPr>
            <w:r>
              <w:rPr>
                <w:rFonts w:ascii="Arial" w:cs="Arial" w:eastAsia="Arial" w:hAnsi="Arial"/>
                <w:sz w:val="20"/>
                <w:szCs w:val="20"/>
                <w:color w:val="auto"/>
                <w:w w:val="95"/>
              </w:rPr>
              <w:t>HANSEN NATURAL CORPORATION</w:t>
            </w:r>
          </w:p>
        </w:tc>
      </w:tr>
      <w:tr>
        <w:trPr>
          <w:trHeight w:val="678"/>
        </w:trPr>
        <w:tc>
          <w:tcPr>
            <w:tcW w:w="5220" w:type="dxa"/>
            <w:vAlign w:val="bottom"/>
            <w:gridSpan w:val="2"/>
          </w:tcPr>
          <w:p>
            <w:pPr>
              <w:spacing w:after="0"/>
              <w:rPr>
                <w:sz w:val="20"/>
                <w:szCs w:val="20"/>
                <w:color w:val="auto"/>
              </w:rPr>
            </w:pPr>
            <w:r>
              <w:rPr>
                <w:rFonts w:ascii="Arial" w:cs="Arial" w:eastAsia="Arial" w:hAnsi="Arial"/>
                <w:sz w:val="20"/>
                <w:szCs w:val="20"/>
                <w:color w:val="auto"/>
              </w:rPr>
              <w:t>/s/ Hilton Schlosberg</w:t>
            </w:r>
          </w:p>
        </w:tc>
        <w:tc>
          <w:tcPr>
            <w:tcW w:w="3800" w:type="dxa"/>
            <w:vAlign w:val="bottom"/>
            <w:gridSpan w:val="3"/>
          </w:tcPr>
          <w:p>
            <w:pPr>
              <w:ind w:left="580"/>
              <w:spacing w:after="0"/>
              <w:rPr>
                <w:sz w:val="20"/>
                <w:szCs w:val="20"/>
                <w:color w:val="auto"/>
              </w:rPr>
            </w:pPr>
            <w:r>
              <w:rPr>
                <w:rFonts w:ascii="Arial" w:cs="Arial" w:eastAsia="Arial" w:hAnsi="Arial"/>
                <w:sz w:val="20"/>
                <w:szCs w:val="20"/>
                <w:color w:val="auto"/>
              </w:rPr>
              <w:t>By:   /s/ Rodney C. Sacks</w:t>
            </w:r>
          </w:p>
        </w:tc>
      </w:tr>
      <w:tr>
        <w:trPr>
          <w:trHeight w:val="213"/>
        </w:trPr>
        <w:tc>
          <w:tcPr>
            <w:tcW w:w="20" w:type="dxa"/>
            <w:vAlign w:val="bottom"/>
          </w:tcPr>
          <w:p>
            <w:pPr>
              <w:spacing w:after="0"/>
              <w:rPr>
                <w:sz w:val="18"/>
                <w:szCs w:val="18"/>
                <w:color w:val="auto"/>
              </w:rPr>
            </w:pPr>
          </w:p>
        </w:tc>
        <w:tc>
          <w:tcPr>
            <w:tcW w:w="5200" w:type="dxa"/>
            <w:vAlign w:val="bottom"/>
            <w:tcBorders>
              <w:top w:val="single" w:sz="8" w:color="auto"/>
            </w:tcBorders>
          </w:tcPr>
          <w:p>
            <w:pPr>
              <w:spacing w:after="0" w:line="213" w:lineRule="exact"/>
              <w:rPr>
                <w:sz w:val="20"/>
                <w:szCs w:val="20"/>
                <w:color w:val="auto"/>
              </w:rPr>
            </w:pPr>
            <w:r>
              <w:rPr>
                <w:rFonts w:ascii="Arial" w:cs="Arial" w:eastAsia="Arial" w:hAnsi="Arial"/>
                <w:sz w:val="20"/>
                <w:szCs w:val="20"/>
                <w:color w:val="auto"/>
              </w:rPr>
              <w:t>Hilton Schlosberg</w:t>
            </w:r>
          </w:p>
        </w:tc>
        <w:tc>
          <w:tcPr>
            <w:tcW w:w="1140" w:type="dxa"/>
            <w:vAlign w:val="bottom"/>
          </w:tcPr>
          <w:p>
            <w:pPr>
              <w:ind w:left="580"/>
              <w:spacing w:after="0" w:line="213" w:lineRule="exact"/>
              <w:rPr>
                <w:sz w:val="20"/>
                <w:szCs w:val="20"/>
                <w:color w:val="auto"/>
              </w:rPr>
            </w:pPr>
            <w:r>
              <w:rPr>
                <w:rFonts w:ascii="Arial" w:cs="Arial" w:eastAsia="Arial" w:hAnsi="Arial"/>
                <w:sz w:val="20"/>
                <w:szCs w:val="20"/>
                <w:color w:val="auto"/>
                <w:w w:val="91"/>
              </w:rPr>
              <w:t>Name:</w:t>
            </w:r>
          </w:p>
        </w:tc>
        <w:tc>
          <w:tcPr>
            <w:tcW w:w="2460" w:type="dxa"/>
            <w:vAlign w:val="bottom"/>
            <w:tcBorders>
              <w:top w:val="single" w:sz="8" w:color="auto"/>
            </w:tcBorders>
          </w:tcPr>
          <w:p>
            <w:pPr>
              <w:ind w:left="20"/>
              <w:spacing w:after="0" w:line="213" w:lineRule="exact"/>
              <w:rPr>
                <w:sz w:val="20"/>
                <w:szCs w:val="20"/>
                <w:color w:val="auto"/>
              </w:rPr>
            </w:pPr>
            <w:r>
              <w:rPr>
                <w:rFonts w:ascii="Arial" w:cs="Arial" w:eastAsia="Arial" w:hAnsi="Arial"/>
                <w:sz w:val="20"/>
                <w:szCs w:val="20"/>
                <w:color w:val="auto"/>
              </w:rPr>
              <w:t>Rodney C. Sacks</w:t>
            </w:r>
          </w:p>
        </w:tc>
        <w:tc>
          <w:tcPr>
            <w:tcW w:w="2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3800" w:type="dxa"/>
            <w:vAlign w:val="bottom"/>
            <w:gridSpan w:val="3"/>
          </w:tcPr>
          <w:p>
            <w:pPr>
              <w:ind w:left="580"/>
              <w:spacing w:after="0"/>
              <w:rPr>
                <w:sz w:val="20"/>
                <w:szCs w:val="20"/>
                <w:color w:val="auto"/>
              </w:rPr>
            </w:pPr>
            <w:r>
              <w:rPr>
                <w:rFonts w:ascii="Arial" w:cs="Arial" w:eastAsia="Arial" w:hAnsi="Arial"/>
                <w:sz w:val="20"/>
                <w:szCs w:val="20"/>
                <w:color w:val="auto"/>
              </w:rPr>
              <w:t>Title: Chairman and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85" w:name="page86"/>
    <w:bookmarkEnd w:id="8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spacing w:after="0" w:line="107" w:lineRule="exact"/>
        <w:rPr>
          <w:sz w:val="20"/>
          <w:szCs w:val="20"/>
          <w:color w:val="auto"/>
        </w:rPr>
      </w:pPr>
    </w:p>
    <w:p>
      <w:pPr>
        <w:jc w:val="right"/>
        <w:ind w:right="40"/>
        <w:spacing w:after="0"/>
        <w:rPr>
          <w:sz w:val="20"/>
          <w:szCs w:val="20"/>
          <w:color w:val="auto"/>
        </w:rPr>
      </w:pPr>
      <w:r>
        <w:rPr>
          <w:rFonts w:ascii="Arial" w:cs="Arial" w:eastAsia="Arial" w:hAnsi="Arial"/>
          <w:sz w:val="20"/>
          <w:szCs w:val="20"/>
          <w:b w:val="1"/>
          <w:bCs w:val="1"/>
          <w:color w:val="auto"/>
        </w:rPr>
        <w:t>Exhibit 10.45A</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FIRST AMENDMENT TO STOCK OPTION AGREEMENT</w:t>
      </w:r>
    </w:p>
    <w:p>
      <w:pPr>
        <w:spacing w:after="0" w:line="235"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THIS FIRST AMENDMENT TO STOCK OPTION AGREEMENT (the “Amendment”) is made as of this 2nd day of August, 2008, between Hansen Natural Corporation, a Delaware corporation (the “Company”) and Hilton H. Schlosberg (“Holder”).</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RECITALS</w:t>
      </w:r>
    </w:p>
    <w:p>
      <w:pPr>
        <w:spacing w:after="0" w:line="229"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WHEREAS, on June 2, 2008 the Company and Holder entered into an agreement pursuant to which the Company granted Holder an option to purchase up to 400,000 shares of the Company’s common stock, at a purchase price of $31.72 per share (the “Option”), vesting in three (3) annual increments (the “Option Agreement”).</w:t>
      </w:r>
    </w:p>
    <w:p>
      <w:pPr>
        <w:spacing w:after="0" w:line="200"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WHEREAS, the parties desire to amend the Option Agreement by mutual consent to provide that the Option shall vest over five (5) annual increments.</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AGREEMENT</w:t>
      </w:r>
    </w:p>
    <w:p>
      <w:pPr>
        <w:spacing w:after="0" w:line="229"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9"/>
          <w:szCs w:val="19"/>
          <w:color w:val="auto"/>
        </w:rPr>
        <w:t>In consideration for the covenants and agreements contained in the Option Agreement and this Amendment, and other good and valuable consideration, the receipt and sufficiency of which is hereby acknowledged, the parties hereto hereby agree as follows:</w:t>
      </w:r>
    </w:p>
    <w:p>
      <w:pPr>
        <w:spacing w:after="0" w:line="160" w:lineRule="exact"/>
        <w:rPr>
          <w:sz w:val="20"/>
          <w:szCs w:val="20"/>
          <w:color w:val="auto"/>
        </w:rPr>
      </w:pPr>
    </w:p>
    <w:p>
      <w:pPr>
        <w:ind w:left="600" w:hanging="592"/>
        <w:spacing w:after="0"/>
        <w:tabs>
          <w:tab w:leader="none" w:pos="60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 to Option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Agreement is hereby amended as follows: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3(a)</w:t>
      </w:r>
      <w:r>
        <w:rPr>
          <w:rFonts w:ascii="Arial" w:cs="Arial" w:eastAsia="Arial" w:hAnsi="Arial"/>
          <w:sz w:val="20"/>
          <w:szCs w:val="20"/>
          <w:color w:val="auto"/>
        </w:rPr>
        <w:t xml:space="preserve"> of the Option Agreement is hereby deleted in its entirety and replaced with the following:</w:t>
      </w:r>
    </w:p>
    <w:p>
      <w:pPr>
        <w:spacing w:after="0" w:line="22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20"/>
          <w:szCs w:val="20"/>
          <w:u w:val="single" w:color="auto"/>
          <w:color w:val="auto"/>
        </w:rPr>
        <w:t>Exercise of Option</w:t>
      </w:r>
    </w:p>
    <w:p>
      <w:pPr>
        <w:spacing w:after="0" w:line="229" w:lineRule="exact"/>
        <w:rPr>
          <w:sz w:val="20"/>
          <w:szCs w:val="20"/>
          <w:color w:val="auto"/>
        </w:rPr>
      </w:pPr>
    </w:p>
    <w:p>
      <w:pPr>
        <w:jc w:val="both"/>
        <w:ind w:right="40" w:firstLine="1953"/>
        <w:spacing w:after="0" w:line="250" w:lineRule="auto"/>
        <w:tabs>
          <w:tab w:leader="none" w:pos="2586" w:val="left"/>
        </w:tabs>
        <w:numPr>
          <w:ilvl w:val="0"/>
          <w:numId w:val="87"/>
        </w:numPr>
        <w:rPr>
          <w:rFonts w:ascii="Arial" w:cs="Arial" w:eastAsia="Arial" w:hAnsi="Arial"/>
          <w:sz w:val="20"/>
          <w:szCs w:val="20"/>
          <w:color w:val="auto"/>
        </w:rPr>
      </w:pPr>
      <w:r>
        <w:rPr>
          <w:rFonts w:ascii="Arial" w:cs="Arial" w:eastAsia="Arial" w:hAnsi="Arial"/>
          <w:sz w:val="20"/>
          <w:szCs w:val="20"/>
          <w:color w:val="auto"/>
        </w:rPr>
        <w:t>Subject to the other terms of this Agreement regarding the exercisability of the Option, provided that Holder is employed by a Participating Company on the relevant Exercise Date set forth below, the Option may be exercised in respect of the number of shares (the “Option Portion”) listed in column A from and after the Exercise Date listed in column B,</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520" w:type="dxa"/>
            <w:vAlign w:val="bottom"/>
          </w:tcPr>
          <w:p>
            <w:pPr>
              <w:spacing w:after="0"/>
              <w:rPr>
                <w:sz w:val="21"/>
                <w:szCs w:val="21"/>
                <w:color w:val="auto"/>
              </w:rPr>
            </w:pPr>
          </w:p>
        </w:tc>
        <w:tc>
          <w:tcPr>
            <w:tcW w:w="2580" w:type="dxa"/>
            <w:vAlign w:val="bottom"/>
            <w:gridSpan w:val="2"/>
          </w:tcPr>
          <w:p>
            <w:pPr>
              <w:jc w:val="center"/>
              <w:ind w:right="1140"/>
              <w:spacing w:after="0"/>
              <w:rPr>
                <w:sz w:val="20"/>
                <w:szCs w:val="20"/>
                <w:color w:val="auto"/>
              </w:rPr>
            </w:pPr>
            <w:r>
              <w:rPr>
                <w:rFonts w:ascii="Arial" w:cs="Arial" w:eastAsia="Arial" w:hAnsi="Arial"/>
                <w:sz w:val="20"/>
                <w:szCs w:val="20"/>
                <w:color w:val="auto"/>
                <w:w w:val="98"/>
              </w:rPr>
              <w:t>Column “A”</w:t>
            </w:r>
          </w:p>
        </w:tc>
        <w:tc>
          <w:tcPr>
            <w:tcW w:w="1920" w:type="dxa"/>
            <w:vAlign w:val="bottom"/>
          </w:tcPr>
          <w:p>
            <w:pPr>
              <w:spacing w:after="0"/>
              <w:rPr>
                <w:sz w:val="21"/>
                <w:szCs w:val="21"/>
                <w:color w:val="auto"/>
              </w:rPr>
            </w:pPr>
          </w:p>
        </w:tc>
        <w:tc>
          <w:tcPr>
            <w:tcW w:w="4440" w:type="dxa"/>
            <w:vAlign w:val="bottom"/>
            <w:gridSpan w:val="2"/>
          </w:tcPr>
          <w:p>
            <w:pPr>
              <w:jc w:val="center"/>
              <w:ind w:right="3320"/>
              <w:spacing w:after="0"/>
              <w:rPr>
                <w:sz w:val="20"/>
                <w:szCs w:val="20"/>
                <w:color w:val="auto"/>
              </w:rPr>
            </w:pPr>
            <w:r>
              <w:rPr>
                <w:rFonts w:ascii="Arial" w:cs="Arial" w:eastAsia="Arial" w:hAnsi="Arial"/>
                <w:sz w:val="20"/>
                <w:szCs w:val="20"/>
                <w:color w:val="auto"/>
                <w:w w:val="98"/>
              </w:rPr>
              <w:t>Column “B”</w:t>
            </w:r>
          </w:p>
        </w:tc>
      </w:tr>
      <w:tr>
        <w:trPr>
          <w:trHeight w:val="415"/>
        </w:trPr>
        <w:tc>
          <w:tcPr>
            <w:tcW w:w="2520" w:type="dxa"/>
            <w:vAlign w:val="bottom"/>
          </w:tcPr>
          <w:p>
            <w:pPr>
              <w:spacing w:after="0"/>
              <w:rPr>
                <w:sz w:val="24"/>
                <w:szCs w:val="24"/>
                <w:color w:val="auto"/>
              </w:rPr>
            </w:pPr>
          </w:p>
        </w:tc>
        <w:tc>
          <w:tcPr>
            <w:tcW w:w="2580" w:type="dxa"/>
            <w:vAlign w:val="bottom"/>
            <w:gridSpan w:val="2"/>
          </w:tcPr>
          <w:p>
            <w:pPr>
              <w:jc w:val="center"/>
              <w:ind w:right="1140"/>
              <w:spacing w:after="0"/>
              <w:rPr>
                <w:sz w:val="20"/>
                <w:szCs w:val="20"/>
                <w:color w:val="auto"/>
              </w:rPr>
            </w:pPr>
            <w:r>
              <w:rPr>
                <w:rFonts w:ascii="Arial" w:cs="Arial" w:eastAsia="Arial" w:hAnsi="Arial"/>
                <w:sz w:val="20"/>
                <w:szCs w:val="20"/>
                <w:color w:val="auto"/>
                <w:w w:val="88"/>
              </w:rPr>
              <w:t>Number of Shares</w:t>
            </w:r>
          </w:p>
        </w:tc>
        <w:tc>
          <w:tcPr>
            <w:tcW w:w="6360" w:type="dxa"/>
            <w:vAlign w:val="bottom"/>
            <w:gridSpan w:val="3"/>
          </w:tcPr>
          <w:p>
            <w:pPr>
              <w:jc w:val="center"/>
              <w:ind w:right="1400"/>
              <w:spacing w:after="0"/>
              <w:rPr>
                <w:sz w:val="20"/>
                <w:szCs w:val="20"/>
                <w:color w:val="auto"/>
              </w:rPr>
            </w:pPr>
            <w:r>
              <w:rPr>
                <w:rFonts w:ascii="Arial" w:cs="Arial" w:eastAsia="Arial" w:hAnsi="Arial"/>
                <w:sz w:val="20"/>
                <w:szCs w:val="20"/>
                <w:color w:val="auto"/>
                <w:w w:val="89"/>
              </w:rPr>
              <w:t>Exercise Date</w:t>
            </w:r>
          </w:p>
        </w:tc>
      </w:tr>
      <w:tr>
        <w:trPr>
          <w:trHeight w:val="20"/>
        </w:trPr>
        <w:tc>
          <w:tcPr>
            <w:tcW w:w="2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463"/>
        </w:trPr>
        <w:tc>
          <w:tcPr>
            <w:tcW w:w="5100" w:type="dxa"/>
            <w:vAlign w:val="bottom"/>
            <w:gridSpan w:val="3"/>
          </w:tcPr>
          <w:p>
            <w:pPr>
              <w:ind w:left="1300"/>
              <w:spacing w:after="0"/>
              <w:rPr>
                <w:sz w:val="20"/>
                <w:szCs w:val="20"/>
                <w:color w:val="auto"/>
              </w:rPr>
            </w:pPr>
            <w:r>
              <w:rPr>
                <w:rFonts w:ascii="Arial" w:cs="Arial" w:eastAsia="Arial" w:hAnsi="Arial"/>
                <w:sz w:val="20"/>
                <w:szCs w:val="20"/>
                <w:color w:val="auto"/>
                <w:w w:val="99"/>
              </w:rPr>
              <w:t>20% of the number of shares subject to the</w:t>
            </w:r>
          </w:p>
        </w:tc>
        <w:tc>
          <w:tcPr>
            <w:tcW w:w="6360" w:type="dxa"/>
            <w:vAlign w:val="bottom"/>
            <w:gridSpan w:val="3"/>
          </w:tcPr>
          <w:p>
            <w:pPr>
              <w:ind w:left="400"/>
              <w:spacing w:after="0"/>
              <w:rPr>
                <w:sz w:val="20"/>
                <w:szCs w:val="20"/>
                <w:color w:val="auto"/>
              </w:rPr>
            </w:pPr>
            <w:r>
              <w:rPr>
                <w:rFonts w:ascii="Arial" w:cs="Arial" w:eastAsia="Arial" w:hAnsi="Arial"/>
                <w:sz w:val="20"/>
                <w:szCs w:val="20"/>
                <w:color w:val="auto"/>
              </w:rPr>
              <w:t>After the first anniversary of the Grant Date</w:t>
            </w:r>
          </w:p>
        </w:tc>
      </w:tr>
      <w:tr>
        <w:trPr>
          <w:trHeight w:val="250"/>
        </w:trPr>
        <w:tc>
          <w:tcPr>
            <w:tcW w:w="5100" w:type="dxa"/>
            <w:vAlign w:val="bottom"/>
            <w:gridSpan w:val="3"/>
          </w:tcPr>
          <w:p>
            <w:pPr>
              <w:ind w:left="1300"/>
              <w:spacing w:after="0"/>
              <w:rPr>
                <w:sz w:val="20"/>
                <w:szCs w:val="20"/>
                <w:color w:val="auto"/>
              </w:rPr>
            </w:pPr>
            <w:r>
              <w:rPr>
                <w:rFonts w:ascii="Arial" w:cs="Arial" w:eastAsia="Arial" w:hAnsi="Arial"/>
                <w:sz w:val="20"/>
                <w:szCs w:val="20"/>
                <w:color w:val="auto"/>
              </w:rPr>
              <w:t>Option</w:t>
            </w:r>
          </w:p>
        </w:tc>
        <w:tc>
          <w:tcPr>
            <w:tcW w:w="1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340" w:type="dxa"/>
            <w:vAlign w:val="bottom"/>
          </w:tcPr>
          <w:p>
            <w:pPr>
              <w:spacing w:after="0"/>
              <w:rPr>
                <w:sz w:val="21"/>
                <w:szCs w:val="21"/>
                <w:color w:val="auto"/>
              </w:rPr>
            </w:pPr>
          </w:p>
        </w:tc>
      </w:tr>
      <w:tr>
        <w:trPr>
          <w:trHeight w:val="459"/>
        </w:trPr>
        <w:tc>
          <w:tcPr>
            <w:tcW w:w="5100" w:type="dxa"/>
            <w:vAlign w:val="bottom"/>
            <w:gridSpan w:val="3"/>
          </w:tcPr>
          <w:p>
            <w:pPr>
              <w:ind w:left="1300"/>
              <w:spacing w:after="0"/>
              <w:rPr>
                <w:sz w:val="20"/>
                <w:szCs w:val="20"/>
                <w:color w:val="auto"/>
              </w:rPr>
            </w:pPr>
            <w:r>
              <w:rPr>
                <w:rFonts w:ascii="Arial" w:cs="Arial" w:eastAsia="Arial" w:hAnsi="Arial"/>
                <w:sz w:val="20"/>
                <w:szCs w:val="20"/>
                <w:color w:val="auto"/>
              </w:rPr>
              <w:t>20% of the number of shares subject</w:t>
            </w:r>
          </w:p>
        </w:tc>
        <w:tc>
          <w:tcPr>
            <w:tcW w:w="6360" w:type="dxa"/>
            <w:vAlign w:val="bottom"/>
            <w:gridSpan w:val="3"/>
          </w:tcPr>
          <w:p>
            <w:pPr>
              <w:ind w:left="400"/>
              <w:spacing w:after="0"/>
              <w:rPr>
                <w:sz w:val="20"/>
                <w:szCs w:val="20"/>
                <w:color w:val="auto"/>
              </w:rPr>
            </w:pPr>
            <w:r>
              <w:rPr>
                <w:rFonts w:ascii="Arial" w:cs="Arial" w:eastAsia="Arial" w:hAnsi="Arial"/>
                <w:sz w:val="20"/>
                <w:szCs w:val="20"/>
                <w:color w:val="auto"/>
              </w:rPr>
              <w:t>After the second anniversary of</w:t>
            </w:r>
          </w:p>
        </w:tc>
      </w:tr>
      <w:tr>
        <w:trPr>
          <w:trHeight w:val="357"/>
        </w:trPr>
        <w:tc>
          <w:tcPr>
            <w:tcW w:w="2520" w:type="dxa"/>
            <w:vAlign w:val="bottom"/>
            <w:tcBorders>
              <w:bottom w:val="single" w:sz="8" w:color="010101"/>
            </w:tcBorders>
          </w:tcPr>
          <w:p>
            <w:pPr>
              <w:spacing w:after="0"/>
              <w:rPr>
                <w:sz w:val="24"/>
                <w:szCs w:val="24"/>
                <w:color w:val="auto"/>
              </w:rPr>
            </w:pPr>
          </w:p>
        </w:tc>
        <w:tc>
          <w:tcPr>
            <w:tcW w:w="144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192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33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45" w:orient="portrait"/>
          <w:cols w:equalWidth="0" w:num="1">
            <w:col w:w="11460"/>
          </w:cols>
          <w:pgMar w:left="240" w:top="116" w:right="19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the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the Grant Date</w:t>
      </w:r>
    </w:p>
    <w:p>
      <w:pPr>
        <w:spacing w:after="0" w:line="222" w:lineRule="exact"/>
        <w:rPr>
          <w:sz w:val="20"/>
          <w:szCs w:val="20"/>
          <w:color w:val="auto"/>
        </w:rPr>
      </w:pPr>
    </w:p>
    <w:p>
      <w:pPr>
        <w:sectPr>
          <w:pgSz w:w="11900" w:h="16945" w:orient="portrait"/>
          <w:cols w:equalWidth="0" w:num="2">
            <w:col w:w="4780" w:space="720"/>
            <w:col w:w="5960"/>
          </w:cols>
          <w:pgMar w:left="240" w:top="116" w:right="199" w:bottom="0" w:gutter="0" w:footer="0" w:header="0"/>
          <w:type w:val="continuous"/>
        </w:sectPr>
      </w:pPr>
    </w:p>
    <w:p>
      <w:pPr>
        <w:spacing w:after="0" w:line="52" w:lineRule="exact"/>
        <w:rPr>
          <w:sz w:val="20"/>
          <w:szCs w:val="20"/>
          <w:color w:val="auto"/>
        </w:rPr>
      </w:pPr>
    </w:p>
    <w:p>
      <w:pPr>
        <w:ind w:left="1300" w:right="80"/>
        <w:spacing w:after="0" w:line="260" w:lineRule="auto"/>
        <w:rPr>
          <w:sz w:val="20"/>
          <w:szCs w:val="20"/>
          <w:color w:val="auto"/>
        </w:rPr>
      </w:pPr>
      <w:r>
        <w:rPr>
          <w:rFonts w:ascii="Arial" w:cs="Arial" w:eastAsia="Arial" w:hAnsi="Arial"/>
          <w:sz w:val="20"/>
          <w:szCs w:val="20"/>
          <w:color w:val="auto"/>
        </w:rPr>
        <w:t>20% of the number of shares subject to the Option</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 the third anniversary of the Grant Date</w:t>
      </w:r>
    </w:p>
    <w:p>
      <w:pPr>
        <w:spacing w:after="0" w:line="481" w:lineRule="exact"/>
        <w:rPr>
          <w:sz w:val="20"/>
          <w:szCs w:val="20"/>
          <w:color w:val="auto"/>
        </w:rPr>
      </w:pPr>
    </w:p>
    <w:p>
      <w:pPr>
        <w:sectPr>
          <w:pgSz w:w="11900" w:h="16945" w:orient="portrait"/>
          <w:cols w:equalWidth="0" w:num="2">
            <w:col w:w="4780" w:space="720"/>
            <w:col w:w="5960"/>
          </w:cols>
          <w:pgMar w:left="240" w:top="116" w:right="199" w:bottom="0" w:gutter="0" w:footer="0" w:header="0"/>
          <w:type w:val="continuous"/>
        </w:sectPr>
      </w:pPr>
    </w:p>
    <w:p>
      <w:pPr>
        <w:ind w:left="1300" w:right="80"/>
        <w:spacing w:after="0" w:line="260" w:lineRule="auto"/>
        <w:rPr>
          <w:sz w:val="20"/>
          <w:szCs w:val="20"/>
          <w:color w:val="auto"/>
        </w:rPr>
      </w:pPr>
      <w:r>
        <w:rPr>
          <w:rFonts w:ascii="Arial" w:cs="Arial" w:eastAsia="Arial" w:hAnsi="Arial"/>
          <w:sz w:val="20"/>
          <w:szCs w:val="20"/>
          <w:color w:val="auto"/>
        </w:rPr>
        <w:t>20% of the number of shares subject to the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After the fourth anniversary of the Grant Date</w:t>
      </w:r>
    </w:p>
    <w:p>
      <w:pPr>
        <w:spacing w:after="0" w:line="481" w:lineRule="exact"/>
        <w:rPr>
          <w:sz w:val="20"/>
          <w:szCs w:val="20"/>
          <w:color w:val="auto"/>
        </w:rPr>
      </w:pPr>
    </w:p>
    <w:p>
      <w:pPr>
        <w:sectPr>
          <w:pgSz w:w="11900" w:h="16945" w:orient="portrait"/>
          <w:cols w:equalWidth="0" w:num="2">
            <w:col w:w="4780" w:space="720"/>
            <w:col w:w="5960"/>
          </w:cols>
          <w:pgMar w:left="240" w:top="116" w:right="199" w:bottom="0" w:gutter="0" w:footer="0" w:header="0"/>
          <w:type w:val="continuous"/>
        </w:sectPr>
      </w:pPr>
    </w:p>
    <w:p>
      <w:pPr>
        <w:ind w:left="1300" w:right="80"/>
        <w:spacing w:after="0" w:line="260" w:lineRule="auto"/>
        <w:rPr>
          <w:sz w:val="20"/>
          <w:szCs w:val="20"/>
          <w:color w:val="auto"/>
        </w:rPr>
      </w:pPr>
      <w:r>
        <w:rPr>
          <w:rFonts w:ascii="Arial" w:cs="Arial" w:eastAsia="Arial" w:hAnsi="Arial"/>
          <w:sz w:val="20"/>
          <w:szCs w:val="20"/>
          <w:color w:val="auto"/>
        </w:rPr>
        <w:t>20% of the number of shares subject to the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After the fifth anniversary of the Grant Date”</w:t>
      </w:r>
    </w:p>
    <w:p>
      <w:pPr>
        <w:spacing w:after="0" w:line="475" w:lineRule="exact"/>
        <w:rPr>
          <w:sz w:val="20"/>
          <w:szCs w:val="20"/>
          <w:color w:val="auto"/>
        </w:rPr>
      </w:pPr>
    </w:p>
    <w:p>
      <w:pPr>
        <w:sectPr>
          <w:pgSz w:w="11900" w:h="16945" w:orient="portrait"/>
          <w:cols w:equalWidth="0" w:num="2">
            <w:col w:w="4780" w:space="720"/>
            <w:col w:w="5960"/>
          </w:cols>
          <w:pgMar w:left="240" w:top="116" w:right="199" w:bottom="0" w:gutter="0" w:footer="0" w:header="0"/>
          <w:type w:val="continuous"/>
        </w:sectPr>
      </w:pPr>
    </w:p>
    <w:p>
      <w:pPr>
        <w:ind w:left="320" w:hanging="312"/>
        <w:spacing w:after="0"/>
        <w:tabs>
          <w:tab w:leader="none" w:pos="32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ind w:right="40" w:firstLine="656"/>
        <w:spacing w:after="0" w:line="260" w:lineRule="auto"/>
        <w:tabs>
          <w:tab w:leader="none" w:pos="1277" w:val="left"/>
        </w:tabs>
        <w:numPr>
          <w:ilvl w:val="1"/>
          <w:numId w:val="88"/>
        </w:numPr>
        <w:rPr>
          <w:rFonts w:ascii="Arial" w:cs="Arial" w:eastAsia="Arial" w:hAnsi="Arial"/>
          <w:sz w:val="20"/>
          <w:szCs w:val="20"/>
          <w:color w:val="auto"/>
        </w:rPr>
      </w:pPr>
      <w:r>
        <w:rPr>
          <w:rFonts w:ascii="Arial" w:cs="Arial" w:eastAsia="Arial" w:hAnsi="Arial"/>
          <w:sz w:val="20"/>
          <w:szCs w:val="20"/>
          <w:color w:val="auto"/>
        </w:rPr>
        <w:t>This Amendment of the Option Agreement by mutual consent of the parties is authorized and permitted pursuant to Section 14 of the Option Agreement.</w:t>
      </w:r>
    </w:p>
    <w:p>
      <w:pPr>
        <w:spacing w:after="0" w:line="190" w:lineRule="exact"/>
        <w:rPr>
          <w:rFonts w:ascii="Arial" w:cs="Arial" w:eastAsia="Arial" w:hAnsi="Arial"/>
          <w:sz w:val="20"/>
          <w:szCs w:val="20"/>
          <w:color w:val="auto"/>
        </w:rPr>
      </w:pPr>
    </w:p>
    <w:p>
      <w:pPr>
        <w:ind w:right="40" w:firstLine="656"/>
        <w:spacing w:after="0" w:line="260" w:lineRule="auto"/>
        <w:tabs>
          <w:tab w:leader="none" w:pos="1422" w:val="left"/>
        </w:tabs>
        <w:numPr>
          <w:ilvl w:val="1"/>
          <w:numId w:val="88"/>
        </w:numPr>
        <w:rPr>
          <w:rFonts w:ascii="Arial" w:cs="Arial" w:eastAsia="Arial" w:hAnsi="Arial"/>
          <w:sz w:val="20"/>
          <w:szCs w:val="20"/>
          <w:color w:val="auto"/>
        </w:rPr>
      </w:pPr>
      <w:r>
        <w:rPr>
          <w:rFonts w:ascii="Arial" w:cs="Arial" w:eastAsia="Arial" w:hAnsi="Arial"/>
          <w:sz w:val="20"/>
          <w:szCs w:val="20"/>
          <w:color w:val="auto"/>
        </w:rPr>
        <w:t>All capitalized terms not otherwise defined in this Amendment shall have the meaning ascribed to them as set forth on the Option Agreement.</w:t>
      </w:r>
    </w:p>
    <w:p>
      <w:pPr>
        <w:spacing w:after="0" w:line="190" w:lineRule="exact"/>
        <w:rPr>
          <w:rFonts w:ascii="Arial" w:cs="Arial" w:eastAsia="Arial" w:hAnsi="Arial"/>
          <w:sz w:val="20"/>
          <w:szCs w:val="20"/>
          <w:color w:val="auto"/>
        </w:rPr>
      </w:pPr>
    </w:p>
    <w:p>
      <w:pPr>
        <w:ind w:left="1280" w:hanging="624"/>
        <w:spacing w:after="0"/>
        <w:tabs>
          <w:tab w:leader="none" w:pos="12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Except as otherwise provided herein, the terms and conditions of the Option Agreement shall remain in full force and effect.</w:t>
      </w:r>
    </w:p>
    <w:p>
      <w:pPr>
        <w:spacing w:after="0" w:line="252"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IN WITNESS WHEREOF, Hansen Natural Corporation has caused this Amendment to executed by a duly authorized officer and Holder as of the day of July, 2008.</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40" w:type="dxa"/>
            <w:vAlign w:val="bottom"/>
          </w:tcPr>
          <w:p>
            <w:pPr>
              <w:spacing w:after="0"/>
              <w:rPr>
                <w:sz w:val="20"/>
                <w:szCs w:val="20"/>
                <w:color w:val="auto"/>
              </w:rPr>
            </w:pPr>
            <w:r>
              <w:rPr>
                <w:rFonts w:ascii="Arial" w:cs="Arial" w:eastAsia="Arial" w:hAnsi="Arial"/>
                <w:sz w:val="20"/>
                <w:szCs w:val="20"/>
                <w:color w:val="auto"/>
              </w:rPr>
              <w:t>HOLDER</w:t>
            </w:r>
          </w:p>
        </w:tc>
        <w:tc>
          <w:tcPr>
            <w:tcW w:w="6400" w:type="dxa"/>
            <w:vAlign w:val="bottom"/>
            <w:gridSpan w:val="2"/>
          </w:tcPr>
          <w:p>
            <w:pPr>
              <w:ind w:left="2900"/>
              <w:spacing w:after="0"/>
              <w:rPr>
                <w:sz w:val="20"/>
                <w:szCs w:val="20"/>
                <w:color w:val="auto"/>
              </w:rPr>
            </w:pPr>
            <w:r>
              <w:rPr>
                <w:rFonts w:ascii="Arial" w:cs="Arial" w:eastAsia="Arial" w:hAnsi="Arial"/>
                <w:sz w:val="20"/>
                <w:szCs w:val="20"/>
                <w:color w:val="auto"/>
              </w:rPr>
              <w:t>HANSEN NATURAL CORPORATION</w:t>
            </w:r>
          </w:p>
        </w:tc>
      </w:tr>
      <w:tr>
        <w:trPr>
          <w:trHeight w:val="455"/>
        </w:trPr>
        <w:tc>
          <w:tcPr>
            <w:tcW w:w="2840" w:type="dxa"/>
            <w:vAlign w:val="bottom"/>
          </w:tcPr>
          <w:p>
            <w:pPr>
              <w:spacing w:after="0"/>
              <w:rPr>
                <w:sz w:val="20"/>
                <w:szCs w:val="20"/>
                <w:color w:val="auto"/>
              </w:rPr>
            </w:pPr>
            <w:r>
              <w:rPr>
                <w:rFonts w:ascii="Arial" w:cs="Arial" w:eastAsia="Arial" w:hAnsi="Arial"/>
                <w:sz w:val="20"/>
                <w:szCs w:val="20"/>
                <w:color w:val="auto"/>
              </w:rPr>
              <w:t>/s/ Hilton H. Schlosberg</w:t>
            </w:r>
          </w:p>
        </w:tc>
        <w:tc>
          <w:tcPr>
            <w:tcW w:w="6400" w:type="dxa"/>
            <w:vAlign w:val="bottom"/>
            <w:gridSpan w:val="2"/>
          </w:tcPr>
          <w:p>
            <w:pPr>
              <w:ind w:left="2900"/>
              <w:spacing w:after="0"/>
              <w:rPr>
                <w:sz w:val="20"/>
                <w:szCs w:val="20"/>
                <w:color w:val="auto"/>
              </w:rPr>
            </w:pPr>
            <w:r>
              <w:rPr>
                <w:rFonts w:ascii="Arial" w:cs="Arial" w:eastAsia="Arial" w:hAnsi="Arial"/>
                <w:sz w:val="20"/>
                <w:szCs w:val="20"/>
                <w:color w:val="auto"/>
              </w:rPr>
              <w:t>By : /s/ Rodney C. Sacks</w:t>
            </w:r>
          </w:p>
        </w:tc>
      </w:tr>
      <w:tr>
        <w:trPr>
          <w:trHeight w:val="20"/>
        </w:trPr>
        <w:tc>
          <w:tcPr>
            <w:tcW w:w="28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44"/>
        </w:trPr>
        <w:tc>
          <w:tcPr>
            <w:tcW w:w="2840" w:type="dxa"/>
            <w:vAlign w:val="bottom"/>
          </w:tcPr>
          <w:p>
            <w:pPr>
              <w:spacing w:after="0"/>
              <w:rPr>
                <w:sz w:val="21"/>
                <w:szCs w:val="21"/>
                <w:color w:val="auto"/>
              </w:rPr>
            </w:pPr>
          </w:p>
        </w:tc>
        <w:tc>
          <w:tcPr>
            <w:tcW w:w="6400" w:type="dxa"/>
            <w:vAlign w:val="bottom"/>
            <w:gridSpan w:val="2"/>
          </w:tcPr>
          <w:p>
            <w:pPr>
              <w:ind w:left="2900"/>
              <w:spacing w:after="0"/>
              <w:rPr>
                <w:sz w:val="20"/>
                <w:szCs w:val="20"/>
                <w:color w:val="auto"/>
              </w:rPr>
            </w:pPr>
            <w:r>
              <w:rPr>
                <w:rFonts w:ascii="Arial" w:cs="Arial" w:eastAsia="Arial" w:hAnsi="Arial"/>
                <w:sz w:val="20"/>
                <w:szCs w:val="20"/>
                <w:color w:val="auto"/>
              </w:rPr>
              <w:t>Name: Rodney C. Sacks</w:t>
            </w:r>
          </w:p>
        </w:tc>
      </w:tr>
    </w:tbl>
    <w:p>
      <w:pPr>
        <w:sectPr>
          <w:pgSz w:w="11900" w:h="16945" w:orient="portrait"/>
          <w:cols w:equalWidth="0" w:num="1">
            <w:col w:w="11460"/>
          </w:cols>
          <w:pgMar w:left="240" w:top="116" w:right="199" w:bottom="0" w:gutter="0" w:footer="0" w:header="0"/>
          <w:type w:val="continuous"/>
        </w:sectPr>
      </w:pPr>
    </w:p>
    <w:bookmarkStart w:id="87" w:name="page88"/>
    <w:bookmarkEnd w:id="87"/>
    <w:p>
      <w:pPr>
        <w:spacing w:after="0"/>
        <w:rPr>
          <w:sz w:val="20"/>
          <w:szCs w:val="20"/>
          <w:color w:val="auto"/>
        </w:rPr>
      </w:pPr>
      <w:r>
        <w:rPr>
          <w:rFonts w:ascii="Arial" w:cs="Arial" w:eastAsia="Arial" w:hAnsi="Arial"/>
          <w:sz w:val="20"/>
          <w:szCs w:val="20"/>
          <w:color w:val="auto"/>
        </w:rPr>
        <w:t>Hilton H. Schlosberg</w:t>
      </w:r>
    </w:p>
    <w:p>
      <w:pPr>
        <w:spacing w:after="0" w:line="17" w:lineRule="exact"/>
        <w:rPr>
          <w:sz w:val="20"/>
          <w:szCs w:val="20"/>
          <w:color w:val="auto"/>
        </w:rPr>
      </w:pPr>
    </w:p>
    <w:p>
      <w:pPr>
        <w:jc w:val="right"/>
        <w:ind w:right="2399"/>
        <w:spacing w:after="0"/>
        <w:rPr>
          <w:sz w:val="20"/>
          <w:szCs w:val="20"/>
          <w:color w:val="auto"/>
        </w:rPr>
      </w:pPr>
      <w:r>
        <w:rPr>
          <w:rFonts w:ascii="Arial" w:cs="Arial" w:eastAsia="Arial" w:hAnsi="Arial"/>
          <w:sz w:val="20"/>
          <w:szCs w:val="20"/>
          <w:color w:val="auto"/>
        </w:rPr>
        <w:t>Title: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20"/>
          <w:szCs w:val="20"/>
          <w:b w:val="1"/>
          <w:bCs w:val="1"/>
          <w:color w:val="auto"/>
        </w:rPr>
        <w:t>Exhibit 10.46</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Stock Option Agreement (“Agreement”), is made as of June 2, 2008 (the “Grant Date”), by and between Hansen Natural Corporation, a Delaware corporation (the “Company”), and Mark J. Hall (“Holder”).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Recitals</w:t>
      </w:r>
    </w:p>
    <w:p>
      <w:pPr>
        <w:spacing w:after="0" w:line="229" w:lineRule="exact"/>
        <w:rPr>
          <w:sz w:val="20"/>
          <w:szCs w:val="20"/>
          <w:color w:val="auto"/>
        </w:rPr>
      </w:pPr>
    </w:p>
    <w:p>
      <w:pPr>
        <w:ind w:left="1240" w:hanging="584"/>
        <w:spacing w:after="0"/>
        <w:tabs>
          <w:tab w:leader="none" w:pos="1240" w:val="left"/>
        </w:tabs>
        <w:numPr>
          <w:ilvl w:val="0"/>
          <w:numId w:val="89"/>
        </w:numPr>
        <w:rPr>
          <w:rFonts w:ascii="Arial" w:cs="Arial" w:eastAsia="Arial" w:hAnsi="Arial"/>
          <w:sz w:val="20"/>
          <w:szCs w:val="20"/>
          <w:color w:val="auto"/>
        </w:rPr>
      </w:pPr>
      <w:r>
        <w:rPr>
          <w:rFonts w:ascii="Arial" w:cs="Arial" w:eastAsia="Arial" w:hAnsi="Arial"/>
          <w:sz w:val="20"/>
          <w:szCs w:val="20"/>
          <w:color w:val="auto"/>
        </w:rPr>
        <w:t>Holder is an employee of a Participating Company.</w:t>
      </w:r>
    </w:p>
    <w:p>
      <w:pPr>
        <w:spacing w:after="0" w:line="229" w:lineRule="exact"/>
        <w:rPr>
          <w:rFonts w:ascii="Arial" w:cs="Arial" w:eastAsia="Arial" w:hAnsi="Arial"/>
          <w:sz w:val="20"/>
          <w:szCs w:val="20"/>
          <w:color w:val="auto"/>
        </w:rPr>
      </w:pPr>
    </w:p>
    <w:p>
      <w:pPr>
        <w:ind w:right="20" w:firstLine="656"/>
        <w:spacing w:after="0" w:line="287" w:lineRule="auto"/>
        <w:tabs>
          <w:tab w:leader="none" w:pos="1424" w:val="left"/>
        </w:tabs>
        <w:numPr>
          <w:ilvl w:val="0"/>
          <w:numId w:val="89"/>
        </w:numPr>
        <w:rPr>
          <w:rFonts w:ascii="Arial" w:cs="Arial" w:eastAsia="Arial" w:hAnsi="Arial"/>
          <w:sz w:val="19"/>
          <w:szCs w:val="19"/>
          <w:color w:val="auto"/>
        </w:rPr>
      </w:pPr>
      <w:r>
        <w:rPr>
          <w:rFonts w:ascii="Arial" w:cs="Arial" w:eastAsia="Arial" w:hAnsi="Arial"/>
          <w:sz w:val="19"/>
          <w:szCs w:val="19"/>
          <w:color w:val="auto"/>
        </w:rPr>
        <w:t>Pursuant to the Hansen Natural Corporation 2001 Stock Option Plan (the “Plan”), the Company desires to grant Holder an incentive stock option to purchase shares of the Company’s common stock, par value $.0005 per share (the “Common Stock”).</w:t>
      </w:r>
    </w:p>
    <w:p>
      <w:pPr>
        <w:spacing w:after="0" w:line="166" w:lineRule="exact"/>
        <w:rPr>
          <w:rFonts w:ascii="Arial" w:cs="Arial" w:eastAsia="Arial" w:hAnsi="Arial"/>
          <w:sz w:val="19"/>
          <w:szCs w:val="19"/>
          <w:color w:val="auto"/>
        </w:rPr>
      </w:pPr>
    </w:p>
    <w:p>
      <w:pPr>
        <w:ind w:left="1280" w:hanging="624"/>
        <w:spacing w:after="0"/>
        <w:tabs>
          <w:tab w:leader="none" w:pos="1280" w:val="left"/>
        </w:tabs>
        <w:numPr>
          <w:ilvl w:val="0"/>
          <w:numId w:val="89"/>
        </w:numPr>
        <w:rPr>
          <w:rFonts w:ascii="Arial" w:cs="Arial" w:eastAsia="Arial" w:hAnsi="Arial"/>
          <w:sz w:val="20"/>
          <w:szCs w:val="20"/>
          <w:color w:val="auto"/>
        </w:rPr>
      </w:pPr>
      <w:r>
        <w:rPr>
          <w:rFonts w:ascii="Arial" w:cs="Arial" w:eastAsia="Arial" w:hAnsi="Arial"/>
          <w:sz w:val="20"/>
          <w:szCs w:val="20"/>
          <w:color w:val="auto"/>
        </w:rPr>
        <w:t>Capitalized terms not otherwise defined in this Agreement shall have the meaning given to them in the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Company and Holder agree as follows:</w:t>
      </w:r>
    </w:p>
    <w:p>
      <w:pPr>
        <w:spacing w:after="0" w:line="229" w:lineRule="exact"/>
        <w:rPr>
          <w:sz w:val="20"/>
          <w:szCs w:val="20"/>
          <w:color w:val="auto"/>
        </w:rPr>
      </w:pPr>
    </w:p>
    <w:p>
      <w:pPr>
        <w:jc w:val="both"/>
        <w:ind w:firstLine="656"/>
        <w:spacing w:after="0" w:line="242" w:lineRule="auto"/>
        <w:tabs>
          <w:tab w:leader="none" w:pos="1323"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Grant of Incentive Stock Option</w:t>
      </w:r>
      <w:r>
        <w:rPr>
          <w:rFonts w:ascii="Arial" w:cs="Arial" w:eastAsia="Arial" w:hAnsi="Arial"/>
          <w:sz w:val="20"/>
          <w:szCs w:val="20"/>
          <w:color w:val="auto"/>
        </w:rPr>
        <w:t>. The Company hereby grants to Holder, subject to the terms and conditions set forth herein and in the Plan, an incentive stock option (“ISO”) to purchase 300,000 shares of Common Stock, at the purchase price of $31.72 per share (the “Option”), such Option to be exercisable and exercised as hereinafter provided. If for any reason the Option or any portion of the Option shall not qualify as an ISO, then, to the extent of such nonqualification, such Option (or portion thereof) shall be regarded as a nonqualified stock option granted under the Plan, provided that such Option (or portion thereof) otherwise complies with the Plan’s requirements relating to nonqualified stock options. In no event shall any member of the Committee or any Participating Company (or their respective employees, officers or directors) have any liability to Holder (or any other person) due to the failure of an Option (or any portion thereof) to qualify for any reason as an ISO.</w:t>
      </w:r>
    </w:p>
    <w:p>
      <w:pPr>
        <w:spacing w:after="0" w:line="211" w:lineRule="exact"/>
        <w:rPr>
          <w:rFonts w:ascii="Arial" w:cs="Arial" w:eastAsia="Arial" w:hAnsi="Arial"/>
          <w:sz w:val="20"/>
          <w:szCs w:val="20"/>
          <w:color w:val="auto"/>
        </w:rPr>
      </w:pPr>
    </w:p>
    <w:p>
      <w:pPr>
        <w:ind w:right="180" w:firstLine="656"/>
        <w:spacing w:after="0" w:line="276" w:lineRule="auto"/>
        <w:tabs>
          <w:tab w:leader="none" w:pos="124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 The Option shall expire three months after the termination of the Holder’s employment with a Participating Company unless the employment is terminated by a Participating Company for Cause (as defined below) or unless the employment is terminated by reason of the death or Total Disability of Holder. If the Holder’s employment is terminated by a Participating Company for Cause, the Option shall expire as of the date employment terminates. If the Holder’s employment terminates due to his death or Total Disability, then the Option may be exercised by Holder or the person or persons to which Holder’s rights under this Agreement pass by will, or if no such person has such right, by his executors or administrators, within six months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the date of death or Total Disability, but no later than the expiration date specified in Section 3(c) below. “Cause” means, as determined by the Committee, the Holder’s (i) act(s) of fraud or dishonesty, (ii) knowing and material failure to comply with applicable laws or regulations or satisfactorily perform his duties of employment, (iii) insubordination or (iv) drug or alcohol abuse.</w:t>
      </w:r>
    </w:p>
    <w:p>
      <w:pPr>
        <w:spacing w:after="0" w:line="184" w:lineRule="exact"/>
        <w:rPr>
          <w:sz w:val="20"/>
          <w:szCs w:val="20"/>
          <w:color w:val="auto"/>
        </w:rPr>
      </w:pPr>
    </w:p>
    <w:p>
      <w:pPr>
        <w:ind w:left="1260" w:hanging="604"/>
        <w:spacing w:after="0"/>
        <w:tabs>
          <w:tab w:leader="none" w:pos="126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p>
    <w:p>
      <w:pPr>
        <w:spacing w:after="0" w:line="229" w:lineRule="exact"/>
        <w:rPr>
          <w:rFonts w:ascii="Arial" w:cs="Arial" w:eastAsia="Arial" w:hAnsi="Arial"/>
          <w:sz w:val="20"/>
          <w:szCs w:val="20"/>
          <w:color w:val="auto"/>
        </w:rPr>
      </w:pPr>
    </w:p>
    <w:p>
      <w:pPr>
        <w:jc w:val="both"/>
        <w:ind w:firstLine="1305"/>
        <w:spacing w:after="0" w:line="250" w:lineRule="auto"/>
        <w:tabs>
          <w:tab w:leader="none" w:pos="2145" w:val="left"/>
        </w:tabs>
        <w:numPr>
          <w:ilvl w:val="1"/>
          <w:numId w:val="91"/>
        </w:numPr>
        <w:rPr>
          <w:rFonts w:ascii="Arial" w:cs="Arial" w:eastAsia="Arial" w:hAnsi="Arial"/>
          <w:sz w:val="20"/>
          <w:szCs w:val="20"/>
          <w:color w:val="auto"/>
        </w:rPr>
      </w:pPr>
      <w:r>
        <w:rPr>
          <w:rFonts w:ascii="Arial" w:cs="Arial" w:eastAsia="Arial" w:hAnsi="Arial"/>
          <w:sz w:val="20"/>
          <w:szCs w:val="20"/>
          <w:color w:val="auto"/>
        </w:rPr>
        <w:t>Subject to the other terms of this Agreement regarding the exercisability of the Option, provided that Holder is employed by a Participating Company on the relevant Exercise Date set forth below, the Option may be exercised in respect of the number of shares (the “Option Portion”) listed in column A from and after the Exercise Date listed in column B,</w:t>
      </w:r>
    </w:p>
    <w:p>
      <w:pPr>
        <w:spacing w:after="0" w:line="200" w:lineRule="exact"/>
        <w:rPr>
          <w:sz w:val="20"/>
          <w:szCs w:val="20"/>
          <w:color w:val="auto"/>
        </w:rPr>
      </w:pPr>
    </w:p>
    <w:tbl>
      <w:tblPr>
        <w:tblLayout w:type="fixed"/>
        <w:tblInd w:w="1500" w:type="dxa"/>
        <w:tblCellMar>
          <w:top w:w="0" w:type="dxa"/>
          <w:left w:w="0" w:type="dxa"/>
          <w:bottom w:w="0" w:type="dxa"/>
          <w:right w:w="0" w:type="dxa"/>
        </w:tblCellMar>
      </w:tblPr>
      <w:tr>
        <w:trPr>
          <w:trHeight w:val="250"/>
        </w:trPr>
        <w:tc>
          <w:tcPr>
            <w:tcW w:w="1400" w:type="dxa"/>
            <w:vAlign w:val="bottom"/>
          </w:tcPr>
          <w:p>
            <w:pPr>
              <w:spacing w:after="0"/>
              <w:rPr>
                <w:sz w:val="21"/>
                <w:szCs w:val="21"/>
                <w:color w:val="auto"/>
              </w:rPr>
            </w:pPr>
          </w:p>
        </w:tc>
        <w:tc>
          <w:tcPr>
            <w:tcW w:w="2820" w:type="dxa"/>
            <w:vAlign w:val="bottom"/>
            <w:gridSpan w:val="2"/>
          </w:tcPr>
          <w:p>
            <w:pPr>
              <w:jc w:val="center"/>
              <w:ind w:right="1380"/>
              <w:spacing w:after="0"/>
              <w:rPr>
                <w:sz w:val="20"/>
                <w:szCs w:val="20"/>
                <w:color w:val="auto"/>
              </w:rPr>
            </w:pPr>
            <w:r>
              <w:rPr>
                <w:rFonts w:ascii="Arial" w:cs="Arial" w:eastAsia="Arial" w:hAnsi="Arial"/>
                <w:sz w:val="20"/>
                <w:szCs w:val="20"/>
                <w:color w:val="auto"/>
                <w:w w:val="98"/>
              </w:rPr>
              <w:t>Column “A”</w:t>
            </w:r>
          </w:p>
        </w:tc>
        <w:tc>
          <w:tcPr>
            <w:tcW w:w="1680" w:type="dxa"/>
            <w:vAlign w:val="bottom"/>
          </w:tcPr>
          <w:p>
            <w:pPr>
              <w:spacing w:after="0"/>
              <w:rPr>
                <w:sz w:val="21"/>
                <w:szCs w:val="21"/>
                <w:color w:val="auto"/>
              </w:rPr>
            </w:pPr>
          </w:p>
        </w:tc>
        <w:tc>
          <w:tcPr>
            <w:tcW w:w="2280" w:type="dxa"/>
            <w:vAlign w:val="bottom"/>
            <w:gridSpan w:val="2"/>
          </w:tcPr>
          <w:p>
            <w:pPr>
              <w:jc w:val="center"/>
              <w:ind w:right="1180"/>
              <w:spacing w:after="0"/>
              <w:rPr>
                <w:sz w:val="20"/>
                <w:szCs w:val="20"/>
                <w:color w:val="auto"/>
              </w:rPr>
            </w:pPr>
            <w:r>
              <w:rPr>
                <w:rFonts w:ascii="Arial" w:cs="Arial" w:eastAsia="Arial" w:hAnsi="Arial"/>
                <w:sz w:val="20"/>
                <w:szCs w:val="20"/>
                <w:color w:val="auto"/>
                <w:w w:val="96"/>
              </w:rPr>
              <w:t>Column “B”</w:t>
            </w:r>
          </w:p>
        </w:tc>
      </w:tr>
      <w:tr>
        <w:trPr>
          <w:trHeight w:val="415"/>
        </w:trPr>
        <w:tc>
          <w:tcPr>
            <w:tcW w:w="14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20"/>
                <w:szCs w:val="20"/>
                <w:color w:val="auto"/>
                <w:w w:val="88"/>
              </w:rPr>
              <w:t>Number of Shares</w:t>
            </w:r>
          </w:p>
        </w:tc>
        <w:tc>
          <w:tcPr>
            <w:tcW w:w="1380" w:type="dxa"/>
            <w:vAlign w:val="bottom"/>
          </w:tcPr>
          <w:p>
            <w:pPr>
              <w:spacing w:after="0"/>
              <w:rPr>
                <w:sz w:val="24"/>
                <w:szCs w:val="24"/>
                <w:color w:val="auto"/>
              </w:rPr>
            </w:pPr>
          </w:p>
        </w:tc>
        <w:tc>
          <w:tcPr>
            <w:tcW w:w="3960" w:type="dxa"/>
            <w:vAlign w:val="bottom"/>
            <w:gridSpan w:val="3"/>
          </w:tcPr>
          <w:p>
            <w:pPr>
              <w:jc w:val="center"/>
              <w:ind w:left="401"/>
              <w:spacing w:after="0"/>
              <w:rPr>
                <w:sz w:val="20"/>
                <w:szCs w:val="20"/>
                <w:color w:val="auto"/>
              </w:rPr>
            </w:pPr>
            <w:r>
              <w:rPr>
                <w:rFonts w:ascii="Arial" w:cs="Arial" w:eastAsia="Arial" w:hAnsi="Arial"/>
                <w:sz w:val="20"/>
                <w:szCs w:val="20"/>
                <w:color w:val="auto"/>
                <w:w w:val="88"/>
              </w:rPr>
              <w:t>Exercise Date</w:t>
            </w:r>
          </w:p>
        </w:tc>
      </w:tr>
      <w:tr>
        <w:trPr>
          <w:trHeight w:val="20"/>
        </w:trPr>
        <w:tc>
          <w:tcPr>
            <w:tcW w:w="14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84"/>
        </w:trPr>
        <w:tc>
          <w:tcPr>
            <w:tcW w:w="4220" w:type="dxa"/>
            <w:vAlign w:val="bottom"/>
            <w:gridSpan w:val="3"/>
          </w:tcPr>
          <w:p>
            <w:pPr>
              <w:spacing w:after="0"/>
              <w:rPr>
                <w:sz w:val="20"/>
                <w:szCs w:val="20"/>
                <w:color w:val="auto"/>
              </w:rPr>
            </w:pPr>
            <w:r>
              <w:rPr>
                <w:rFonts w:ascii="Arial" w:cs="Arial" w:eastAsia="Arial" w:hAnsi="Arial"/>
                <w:sz w:val="20"/>
                <w:szCs w:val="20"/>
                <w:color w:val="auto"/>
                <w:w w:val="94"/>
              </w:rPr>
              <w:t>20% of the number of shares subject to the Option</w:t>
            </w:r>
          </w:p>
        </w:tc>
        <w:tc>
          <w:tcPr>
            <w:tcW w:w="3960" w:type="dxa"/>
            <w:vAlign w:val="bottom"/>
            <w:gridSpan w:val="3"/>
          </w:tcPr>
          <w:p>
            <w:pPr>
              <w:ind w:left="240"/>
              <w:spacing w:after="0"/>
              <w:rPr>
                <w:sz w:val="20"/>
                <w:szCs w:val="20"/>
                <w:color w:val="auto"/>
              </w:rPr>
            </w:pPr>
            <w:r>
              <w:rPr>
                <w:rFonts w:ascii="Arial" w:cs="Arial" w:eastAsia="Arial" w:hAnsi="Arial"/>
                <w:sz w:val="20"/>
                <w:szCs w:val="20"/>
                <w:color w:val="auto"/>
                <w:w w:val="97"/>
              </w:rPr>
              <w:t>After the first anniversary of the Grant Date</w:t>
            </w:r>
          </w:p>
        </w:tc>
      </w:tr>
      <w:tr>
        <w:trPr>
          <w:trHeight w:val="459"/>
        </w:trPr>
        <w:tc>
          <w:tcPr>
            <w:tcW w:w="4220" w:type="dxa"/>
            <w:vAlign w:val="bottom"/>
            <w:gridSpan w:val="3"/>
          </w:tcPr>
          <w:p>
            <w:pPr>
              <w:spacing w:after="0"/>
              <w:rPr>
                <w:sz w:val="20"/>
                <w:szCs w:val="20"/>
                <w:color w:val="auto"/>
              </w:rPr>
            </w:pPr>
            <w:r>
              <w:rPr>
                <w:rFonts w:ascii="Arial" w:cs="Arial" w:eastAsia="Arial" w:hAnsi="Arial"/>
                <w:sz w:val="20"/>
                <w:szCs w:val="20"/>
                <w:color w:val="auto"/>
                <w:w w:val="94"/>
              </w:rPr>
              <w:t>20% of the number of shares subject to the Option</w:t>
            </w:r>
          </w:p>
        </w:tc>
        <w:tc>
          <w:tcPr>
            <w:tcW w:w="3960" w:type="dxa"/>
            <w:vAlign w:val="bottom"/>
            <w:gridSpan w:val="3"/>
          </w:tcPr>
          <w:p>
            <w:pPr>
              <w:ind w:left="240"/>
              <w:spacing w:after="0"/>
              <w:rPr>
                <w:sz w:val="20"/>
                <w:szCs w:val="20"/>
                <w:color w:val="auto"/>
              </w:rPr>
            </w:pPr>
            <w:r>
              <w:rPr>
                <w:rFonts w:ascii="Arial" w:cs="Arial" w:eastAsia="Arial" w:hAnsi="Arial"/>
                <w:sz w:val="20"/>
                <w:szCs w:val="20"/>
                <w:color w:val="auto"/>
                <w:w w:val="89"/>
              </w:rPr>
              <w:t>After the second anniversary of the Grant Date</w:t>
            </w:r>
          </w:p>
        </w:tc>
      </w:tr>
      <w:tr>
        <w:trPr>
          <w:trHeight w:val="459"/>
        </w:trPr>
        <w:tc>
          <w:tcPr>
            <w:tcW w:w="4220" w:type="dxa"/>
            <w:vAlign w:val="bottom"/>
            <w:gridSpan w:val="3"/>
          </w:tcPr>
          <w:p>
            <w:pPr>
              <w:spacing w:after="0"/>
              <w:rPr>
                <w:sz w:val="20"/>
                <w:szCs w:val="20"/>
                <w:color w:val="auto"/>
              </w:rPr>
            </w:pPr>
            <w:r>
              <w:rPr>
                <w:rFonts w:ascii="Arial" w:cs="Arial" w:eastAsia="Arial" w:hAnsi="Arial"/>
                <w:sz w:val="20"/>
                <w:szCs w:val="20"/>
                <w:color w:val="auto"/>
                <w:w w:val="94"/>
              </w:rPr>
              <w:t>20% of the number of shares subject to the Option</w:t>
            </w:r>
          </w:p>
        </w:tc>
        <w:tc>
          <w:tcPr>
            <w:tcW w:w="3960" w:type="dxa"/>
            <w:vAlign w:val="bottom"/>
            <w:gridSpan w:val="3"/>
          </w:tcPr>
          <w:p>
            <w:pPr>
              <w:ind w:left="240"/>
              <w:spacing w:after="0"/>
              <w:rPr>
                <w:sz w:val="20"/>
                <w:szCs w:val="20"/>
                <w:color w:val="auto"/>
              </w:rPr>
            </w:pPr>
            <w:r>
              <w:rPr>
                <w:rFonts w:ascii="Arial" w:cs="Arial" w:eastAsia="Arial" w:hAnsi="Arial"/>
                <w:sz w:val="20"/>
                <w:szCs w:val="20"/>
                <w:color w:val="auto"/>
                <w:w w:val="95"/>
              </w:rPr>
              <w:t>After the third anniversary of the Grant Date</w:t>
            </w:r>
          </w:p>
        </w:tc>
      </w:tr>
      <w:tr>
        <w:trPr>
          <w:trHeight w:val="459"/>
        </w:trPr>
        <w:tc>
          <w:tcPr>
            <w:tcW w:w="4220" w:type="dxa"/>
            <w:vAlign w:val="bottom"/>
            <w:gridSpan w:val="3"/>
          </w:tcPr>
          <w:p>
            <w:pPr>
              <w:spacing w:after="0"/>
              <w:rPr>
                <w:sz w:val="20"/>
                <w:szCs w:val="20"/>
                <w:color w:val="auto"/>
              </w:rPr>
            </w:pPr>
            <w:r>
              <w:rPr>
                <w:rFonts w:ascii="Arial" w:cs="Arial" w:eastAsia="Arial" w:hAnsi="Arial"/>
                <w:sz w:val="20"/>
                <w:szCs w:val="20"/>
                <w:color w:val="auto"/>
                <w:w w:val="94"/>
              </w:rPr>
              <w:t>20% of the number of shares subject to the Option</w:t>
            </w:r>
          </w:p>
        </w:tc>
        <w:tc>
          <w:tcPr>
            <w:tcW w:w="3960" w:type="dxa"/>
            <w:vAlign w:val="bottom"/>
            <w:gridSpan w:val="3"/>
          </w:tcPr>
          <w:p>
            <w:pPr>
              <w:ind w:left="240"/>
              <w:spacing w:after="0"/>
              <w:rPr>
                <w:sz w:val="20"/>
                <w:szCs w:val="20"/>
                <w:color w:val="auto"/>
              </w:rPr>
            </w:pPr>
            <w:r>
              <w:rPr>
                <w:rFonts w:ascii="Arial" w:cs="Arial" w:eastAsia="Arial" w:hAnsi="Arial"/>
                <w:sz w:val="20"/>
                <w:szCs w:val="20"/>
                <w:color w:val="auto"/>
                <w:w w:val="92"/>
              </w:rPr>
              <w:t>After the fourth anniversary of the Grant Date</w:t>
            </w:r>
          </w:p>
        </w:tc>
      </w:tr>
      <w:tr>
        <w:trPr>
          <w:trHeight w:val="459"/>
        </w:trPr>
        <w:tc>
          <w:tcPr>
            <w:tcW w:w="4220" w:type="dxa"/>
            <w:vAlign w:val="bottom"/>
            <w:gridSpan w:val="3"/>
          </w:tcPr>
          <w:p>
            <w:pPr>
              <w:spacing w:after="0"/>
              <w:rPr>
                <w:sz w:val="20"/>
                <w:szCs w:val="20"/>
                <w:color w:val="auto"/>
              </w:rPr>
            </w:pPr>
            <w:r>
              <w:rPr>
                <w:rFonts w:ascii="Arial" w:cs="Arial" w:eastAsia="Arial" w:hAnsi="Arial"/>
                <w:sz w:val="20"/>
                <w:szCs w:val="20"/>
                <w:color w:val="auto"/>
                <w:w w:val="94"/>
              </w:rPr>
              <w:t>20% of the number of shares subject to the Option</w:t>
            </w:r>
          </w:p>
        </w:tc>
        <w:tc>
          <w:tcPr>
            <w:tcW w:w="3960" w:type="dxa"/>
            <w:vAlign w:val="bottom"/>
            <w:gridSpan w:val="3"/>
          </w:tcPr>
          <w:p>
            <w:pPr>
              <w:ind w:left="240"/>
              <w:spacing w:after="0"/>
              <w:rPr>
                <w:sz w:val="20"/>
                <w:szCs w:val="20"/>
                <w:color w:val="auto"/>
              </w:rPr>
            </w:pPr>
            <w:r>
              <w:rPr>
                <w:rFonts w:ascii="Arial" w:cs="Arial" w:eastAsia="Arial" w:hAnsi="Arial"/>
                <w:sz w:val="20"/>
                <w:szCs w:val="20"/>
                <w:color w:val="auto"/>
                <w:w w:val="97"/>
              </w:rPr>
              <w:t>After the fifth anniversary of the Grant Date</w:t>
            </w:r>
          </w:p>
        </w:tc>
      </w:tr>
    </w:tbl>
    <w:p>
      <w:pPr>
        <w:spacing w:after="0" w:line="209" w:lineRule="exact"/>
        <w:rPr>
          <w:sz w:val="20"/>
          <w:szCs w:val="20"/>
          <w:color w:val="auto"/>
        </w:rPr>
      </w:pPr>
    </w:p>
    <w:p>
      <w:pPr>
        <w:jc w:val="both"/>
        <w:ind w:firstLine="1305"/>
        <w:spacing w:after="0" w:line="246" w:lineRule="auto"/>
        <w:tabs>
          <w:tab w:leader="none" w:pos="1972"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This Option may be exercised, to the extent exercisable by its terms, from time to time in whole or in part at any time prior to the expiration thereof. Any exercise shall be accompanied by a written notice to the Company specifying the number of shares as to which this Option is being exercised (the “Option Shares”). Notations of any partial exercise or installment exercise, shall be made by the Company on Schedule A hereto.</w:t>
      </w:r>
    </w:p>
    <w:p>
      <w:pPr>
        <w:spacing w:after="0" w:line="205" w:lineRule="exact"/>
        <w:rPr>
          <w:rFonts w:ascii="Arial" w:cs="Arial" w:eastAsia="Arial" w:hAnsi="Arial"/>
          <w:sz w:val="20"/>
          <w:szCs w:val="20"/>
          <w:color w:val="auto"/>
        </w:rPr>
      </w:pPr>
    </w:p>
    <w:p>
      <w:pPr>
        <w:ind w:left="2060" w:hanging="755"/>
        <w:spacing w:after="0"/>
        <w:tabs>
          <w:tab w:leader="none" w:pos="2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Notwithstanding anything else herein to the contrary, this Option shall expire on the tenth anniversary of the Grant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Date.</w:t>
      </w:r>
    </w:p>
    <w:p>
      <w:pPr>
        <w:spacing w:after="0" w:line="213" w:lineRule="exact"/>
        <w:rPr>
          <w:rFonts w:ascii="Arial" w:cs="Arial" w:eastAsia="Arial" w:hAnsi="Arial"/>
          <w:sz w:val="18"/>
          <w:szCs w:val="18"/>
          <w:color w:val="auto"/>
        </w:rPr>
      </w:pPr>
    </w:p>
    <w:p>
      <w:pPr>
        <w:ind w:firstLine="1305"/>
        <w:spacing w:after="0" w:line="260" w:lineRule="auto"/>
        <w:tabs>
          <w:tab w:leader="none" w:pos="1939"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Holder hereby agrees to notify the Company in writing in the event shares acquired pursuant to the exercise of this Option are transferred, other than by will or by the</w:t>
      </w:r>
    </w:p>
    <w:p>
      <w:pPr>
        <w:sectPr>
          <w:pgSz w:w="11900" w:h="16838" w:orient="portrait"/>
          <w:cols w:equalWidth="0" w:num="1">
            <w:col w:w="11420"/>
          </w:cols>
          <w:pgMar w:left="240" w:top="115" w:right="239" w:bottom="0" w:gutter="0" w:footer="0" w:header="0"/>
        </w:sectPr>
      </w:pPr>
    </w:p>
    <w:bookmarkStart w:id="89" w:name="page90"/>
    <w:bookmarkEnd w:id="89"/>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60" w:lineRule="auto"/>
        <w:rPr>
          <w:sz w:val="20"/>
          <w:szCs w:val="20"/>
          <w:color w:val="auto"/>
        </w:rPr>
      </w:pPr>
      <w:r>
        <w:rPr>
          <w:rFonts w:ascii="Arial" w:cs="Arial" w:eastAsia="Arial" w:hAnsi="Arial"/>
          <w:sz w:val="20"/>
          <w:szCs w:val="20"/>
          <w:color w:val="auto"/>
        </w:rPr>
        <w:t>laws of descent and distribution, within two years after the Grant Date or within one year after the issuance of such shares pursuant to such exercise.</w:t>
      </w:r>
    </w:p>
    <w:p>
      <w:pPr>
        <w:spacing w:after="0" w:line="190" w:lineRule="exact"/>
        <w:rPr>
          <w:sz w:val="20"/>
          <w:szCs w:val="20"/>
          <w:color w:val="auto"/>
        </w:rPr>
      </w:pPr>
    </w:p>
    <w:p>
      <w:pPr>
        <w:ind w:right="20" w:firstLine="656"/>
        <w:spacing w:after="0" w:line="260" w:lineRule="auto"/>
        <w:tabs>
          <w:tab w:leader="none" w:pos="1269"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Payment of Purchase Price Upon Exercise</w:t>
      </w:r>
      <w:r>
        <w:rPr>
          <w:rFonts w:ascii="Arial" w:cs="Arial" w:eastAsia="Arial" w:hAnsi="Arial"/>
          <w:sz w:val="20"/>
          <w:szCs w:val="20"/>
          <w:color w:val="auto"/>
        </w:rPr>
        <w:t>. At the time of any exercise of all or a portion of the Option, the purchase price shall be paid in full to the Company in any of the following ways or in any combination of the following ways:</w:t>
      </w:r>
    </w:p>
    <w:p>
      <w:pPr>
        <w:spacing w:after="0" w:line="190" w:lineRule="exact"/>
        <w:rPr>
          <w:rFonts w:ascii="Arial" w:cs="Arial" w:eastAsia="Arial" w:hAnsi="Arial"/>
          <w:sz w:val="20"/>
          <w:szCs w:val="20"/>
          <w:color w:val="auto"/>
        </w:rPr>
      </w:pPr>
    </w:p>
    <w:p>
      <w:pPr>
        <w:ind w:left="1920" w:hanging="615"/>
        <w:spacing w:after="0"/>
        <w:tabs>
          <w:tab w:leader="none" w:pos="1920" w:val="left"/>
        </w:tabs>
        <w:numPr>
          <w:ilvl w:val="1"/>
          <w:numId w:val="93"/>
        </w:numPr>
        <w:rPr>
          <w:rFonts w:ascii="Arial" w:cs="Arial" w:eastAsia="Arial" w:hAnsi="Arial"/>
          <w:sz w:val="20"/>
          <w:szCs w:val="20"/>
          <w:color w:val="auto"/>
        </w:rPr>
      </w:pPr>
      <w:r>
        <w:rPr>
          <w:rFonts w:ascii="Arial" w:cs="Arial" w:eastAsia="Arial" w:hAnsi="Arial"/>
          <w:sz w:val="20"/>
          <w:szCs w:val="20"/>
          <w:color w:val="auto"/>
        </w:rPr>
        <w:t>By check or other immediately available funds.</w:t>
      </w:r>
    </w:p>
    <w:p>
      <w:pPr>
        <w:spacing w:after="0" w:line="229" w:lineRule="exact"/>
        <w:rPr>
          <w:rFonts w:ascii="Arial" w:cs="Arial" w:eastAsia="Arial" w:hAnsi="Arial"/>
          <w:sz w:val="20"/>
          <w:szCs w:val="20"/>
          <w:color w:val="auto"/>
        </w:rPr>
      </w:pPr>
    </w:p>
    <w:p>
      <w:pPr>
        <w:jc w:val="both"/>
        <w:ind w:firstLine="1305"/>
        <w:spacing w:after="0" w:line="246" w:lineRule="auto"/>
        <w:tabs>
          <w:tab w:leader="none" w:pos="1958" w:val="left"/>
        </w:tabs>
        <w:numPr>
          <w:ilvl w:val="1"/>
          <w:numId w:val="93"/>
        </w:numPr>
        <w:rPr>
          <w:rFonts w:ascii="Arial" w:cs="Arial" w:eastAsia="Arial" w:hAnsi="Arial"/>
          <w:sz w:val="20"/>
          <w:szCs w:val="20"/>
          <w:color w:val="auto"/>
        </w:rPr>
      </w:pPr>
      <w:r>
        <w:rPr>
          <w:rFonts w:ascii="Arial" w:cs="Arial" w:eastAsia="Arial" w:hAnsi="Arial"/>
          <w:sz w:val="20"/>
          <w:szCs w:val="20"/>
          <w:color w:val="auto"/>
        </w:rPr>
        <w:t>With property consisting of shares of Stock. (The shares of Stock to be used as payment shall be valued as of the date of exercise of the Option at the Closing Price as defined below. For example, if Holder exercises the option for 4,000 shares at a total Exercise Price of $8,000, assuming an exercise price of $2.00 per share, and the Closing Price is $5.00, Holder may pay for the 4,000 Option Shares by transferring 1,600 shares of Stock to the Company.)</w:t>
      </w:r>
    </w:p>
    <w:p>
      <w:pPr>
        <w:spacing w:after="0" w:line="205" w:lineRule="exact"/>
        <w:rPr>
          <w:rFonts w:ascii="Arial" w:cs="Arial" w:eastAsia="Arial" w:hAnsi="Arial"/>
          <w:sz w:val="20"/>
          <w:szCs w:val="20"/>
          <w:color w:val="auto"/>
        </w:rPr>
      </w:pPr>
    </w:p>
    <w:p>
      <w:pPr>
        <w:jc w:val="both"/>
        <w:ind w:firstLine="1305"/>
        <w:spacing w:after="0" w:line="250" w:lineRule="auto"/>
        <w:tabs>
          <w:tab w:leader="none" w:pos="1935" w:val="left"/>
        </w:tabs>
        <w:numPr>
          <w:ilvl w:val="1"/>
          <w:numId w:val="93"/>
        </w:numPr>
        <w:rPr>
          <w:rFonts w:ascii="Arial" w:cs="Arial" w:eastAsia="Arial" w:hAnsi="Arial"/>
          <w:sz w:val="20"/>
          <w:szCs w:val="20"/>
          <w:color w:val="auto"/>
        </w:rPr>
      </w:pPr>
      <w:r>
        <w:rPr>
          <w:rFonts w:ascii="Arial" w:cs="Arial" w:eastAsia="Arial" w:hAnsi="Arial"/>
          <w:sz w:val="20"/>
          <w:szCs w:val="20"/>
          <w:color w:val="auto"/>
        </w:rPr>
        <w:t>By delivering a properly executed exercise notice together with irrevocable instructions to a broker to deliver promptly to the Company the amount of sale proceeds necessary to pay the purchase price and applicable withholding taxes, and such other documents as the Committee may determine.</w:t>
      </w:r>
    </w:p>
    <w:p>
      <w:pPr>
        <w:spacing w:after="0" w:line="199" w:lineRule="exact"/>
        <w:rPr>
          <w:rFonts w:ascii="Arial" w:cs="Arial" w:eastAsia="Arial" w:hAnsi="Arial"/>
          <w:sz w:val="20"/>
          <w:szCs w:val="20"/>
          <w:color w:val="auto"/>
        </w:rPr>
      </w:pPr>
    </w:p>
    <w:p>
      <w:pPr>
        <w:jc w:val="both"/>
        <w:ind w:firstLine="1305"/>
        <w:spacing w:after="0" w:line="257" w:lineRule="auto"/>
        <w:tabs>
          <w:tab w:leader="none" w:pos="2027" w:val="left"/>
        </w:tabs>
        <w:numPr>
          <w:ilvl w:val="1"/>
          <w:numId w:val="93"/>
        </w:numPr>
        <w:rPr>
          <w:rFonts w:ascii="Arial" w:cs="Arial" w:eastAsia="Arial" w:hAnsi="Arial"/>
          <w:sz w:val="19"/>
          <w:szCs w:val="19"/>
          <w:color w:val="auto"/>
        </w:rPr>
      </w:pPr>
      <w:r>
        <w:rPr>
          <w:rFonts w:ascii="Arial" w:cs="Arial" w:eastAsia="Arial" w:hAnsi="Arial"/>
          <w:sz w:val="19"/>
          <w:szCs w:val="19"/>
          <w:color w:val="auto"/>
        </w:rPr>
        <w:t>For purposes of this Agreement, the term “Closing Price” means, with respect to the Company’s Stock, the last sale price regular-way or, in case no such sale takes place on such date, the average of the closing bid and asked prices regular-way on the principal national securities exchange on which the Stock is listed or admitted to trading; or, if the Stock is not listed or admitted to trading on any national securities exchange, the last sale price of the Stock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Stock is not listed on NASDAQ or a comparable system, the “Closing Price” shall be the Fair Market Value of the Stock as determined by the Committee in good faith.</w:t>
      </w:r>
    </w:p>
    <w:p>
      <w:pPr>
        <w:spacing w:after="0" w:line="194" w:lineRule="exact"/>
        <w:rPr>
          <w:rFonts w:ascii="Arial" w:cs="Arial" w:eastAsia="Arial" w:hAnsi="Arial"/>
          <w:sz w:val="19"/>
          <w:szCs w:val="19"/>
          <w:color w:val="auto"/>
        </w:rPr>
      </w:pPr>
    </w:p>
    <w:p>
      <w:pPr>
        <w:jc w:val="both"/>
        <w:ind w:firstLine="656"/>
        <w:spacing w:after="0" w:line="244" w:lineRule="auto"/>
        <w:tabs>
          <w:tab w:leader="none" w:pos="1269"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Purchase for Investment; Resale Restrictions</w:t>
      </w:r>
      <w:r>
        <w:rPr>
          <w:rFonts w:ascii="Arial" w:cs="Arial" w:eastAsia="Arial" w:hAnsi="Arial"/>
          <w:sz w:val="20"/>
          <w:szCs w:val="20"/>
          <w:color w:val="auto"/>
        </w:rPr>
        <w:t>. Unless at the time of exercise of the Option there shall be a valid and effective registration statement under the Securities Act of 1933 (the “‘33 Act”) and appropriate qualification and registration under applicable state securities laws relating to the Option Shares being acquired, Holder shall upon exercise of the Option give a representation that he is acquiring such shares for his own account for investment and not with a view to, or for sale in connection with, the resale or distribution of any such shares. In the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179" w:lineRule="exact"/>
        <w:rPr>
          <w:sz w:val="20"/>
          <w:szCs w:val="20"/>
          <w:color w:val="auto"/>
        </w:rPr>
      </w:pPr>
    </w:p>
    <w:p>
      <w:pPr>
        <w:ind w:right="20" w:firstLine="656"/>
        <w:spacing w:after="0" w:line="260" w:lineRule="auto"/>
        <w:tabs>
          <w:tab w:leader="none" w:pos="1310" w:val="left"/>
        </w:tabs>
        <w:numPr>
          <w:ilvl w:val="1"/>
          <w:numId w:val="94"/>
        </w:numPr>
        <w:rPr>
          <w:rFonts w:ascii="Arial" w:cs="Arial" w:eastAsia="Arial" w:hAnsi="Arial"/>
          <w:sz w:val="20"/>
          <w:szCs w:val="20"/>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 This Option shall not be transferable other than by will or by the laws of descent and distribution. During the lifetime of Holder, this Option shall be exercisable only by Holder.</w:t>
      </w:r>
    </w:p>
    <w:p>
      <w:pPr>
        <w:spacing w:after="0" w:line="190" w:lineRule="exact"/>
        <w:rPr>
          <w:rFonts w:ascii="Arial" w:cs="Arial" w:eastAsia="Arial" w:hAnsi="Arial"/>
          <w:sz w:val="20"/>
          <w:szCs w:val="20"/>
          <w:color w:val="auto"/>
        </w:rPr>
      </w:pPr>
    </w:p>
    <w:p>
      <w:pPr>
        <w:ind w:left="1260" w:hanging="604"/>
        <w:spacing w:after="0"/>
        <w:tabs>
          <w:tab w:leader="none" w:pos="1260" w:val="left"/>
        </w:tabs>
        <w:numPr>
          <w:ilvl w:val="1"/>
          <w:numId w:val="94"/>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1305"/>
        <w:spacing w:after="0" w:line="303" w:lineRule="auto"/>
        <w:tabs>
          <w:tab w:leader="none" w:pos="1941" w:val="left"/>
        </w:tabs>
        <w:numPr>
          <w:ilvl w:val="2"/>
          <w:numId w:val="94"/>
        </w:numPr>
        <w:rPr>
          <w:rFonts w:ascii="Arial" w:cs="Arial" w:eastAsia="Arial" w:hAnsi="Arial"/>
          <w:sz w:val="16"/>
          <w:szCs w:val="16"/>
          <w:color w:val="auto"/>
        </w:rPr>
      </w:pPr>
      <w:r>
        <w:rPr>
          <w:rFonts w:ascii="Arial" w:cs="Arial" w:eastAsia="Arial" w:hAnsi="Arial"/>
          <w:sz w:val="16"/>
          <w:szCs w:val="16"/>
          <w:color w:val="auto"/>
        </w:rPr>
        <w:t>Subject to clause 7(b) below, if the outstanding shares of stock of the Company are 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 of the assets or shares of the Company, reorganization, recapitalization, reclassification, stock dividend, stock split, reverse stock split or other distribution with respect to such shares of stock or other securities, then, to the extent permitted by the Board, an appropriate and proportionate adjustment shall be made in</w:t>
      </w:r>
    </w:p>
    <w:p>
      <w:pPr>
        <w:spacing w:after="0" w:line="2" w:lineRule="exact"/>
        <w:rPr>
          <w:rFonts w:ascii="Arial" w:cs="Arial" w:eastAsia="Arial" w:hAnsi="Arial"/>
          <w:sz w:val="16"/>
          <w:szCs w:val="16"/>
          <w:color w:val="auto"/>
        </w:rPr>
      </w:pPr>
    </w:p>
    <w:p>
      <w:pPr>
        <w:jc w:val="both"/>
        <w:ind w:firstLine="8"/>
        <w:spacing w:after="0" w:line="315" w:lineRule="auto"/>
        <w:tabs>
          <w:tab w:leader="none" w:pos="285"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maximum number and/or kind of shares provided in Paragraph 1 above; (2) the number and/or kind of shares or other securities subject to the outstanding options and tandum SARs, if any; and (3) the price for each share or other unit of any other securities subject to outstanding options without change in the aggregate purchase price or value as to which the options remain exercisable or subject to restrictions. Any adjustment under this clause 7(a) shall be made by the Board, whose determination as to what adjustments shall be made, if any, and the extent thereof, will be final, binding and conclusive. No fractional interests will be issued under this Agreement resulting from any such adjustment.</w:t>
      </w:r>
    </w:p>
    <w:p>
      <w:pPr>
        <w:spacing w:after="0" w:line="154" w:lineRule="exact"/>
        <w:rPr>
          <w:rFonts w:ascii="Arial" w:cs="Arial" w:eastAsia="Arial" w:hAnsi="Arial"/>
          <w:sz w:val="16"/>
          <w:szCs w:val="16"/>
          <w:color w:val="auto"/>
        </w:rPr>
      </w:pPr>
    </w:p>
    <w:p>
      <w:pPr>
        <w:jc w:val="both"/>
        <w:ind w:firstLine="1305"/>
        <w:spacing w:after="0" w:line="246" w:lineRule="auto"/>
        <w:tabs>
          <w:tab w:leader="none" w:pos="1923" w:val="left"/>
        </w:tabs>
        <w:numPr>
          <w:ilvl w:val="2"/>
          <w:numId w:val="95"/>
        </w:numPr>
        <w:rPr>
          <w:rFonts w:ascii="Arial" w:cs="Arial" w:eastAsia="Arial" w:hAnsi="Arial"/>
          <w:sz w:val="20"/>
          <w:szCs w:val="20"/>
          <w:color w:val="auto"/>
        </w:rPr>
      </w:pPr>
      <w:r>
        <w:rPr>
          <w:rFonts w:ascii="Arial" w:cs="Arial" w:eastAsia="Arial" w:hAnsi="Arial"/>
          <w:sz w:val="20"/>
          <w:szCs w:val="20"/>
          <w:color w:val="auto"/>
        </w:rPr>
        <w:t>Notwithstanding anything else in this Agreement to the contrary, unless the Board, in its sole discretion, determines that the Holder did not perform the duties reasonably requested of him in connection with such Change in Control (as defined in (c) below), including, without limitation, agreeing to provide remunerated services to the Company (for a reasonable length of time) following a Change in Control, upon the occurrence of a Change in Control,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Option or any portion thereof not theretofore exercisable, shall immediately become exercisable in its entirety and the Option may be purchased by the Company for cash at a price equal to the Fair Market Value less the purchase price payable by the Holder to exercise the Option as set out in Section 1 above for one (1) share of Common Stock of the Company multiplied by the number of shares of Common Stock which the Holder has the option to purchase pursuant to the terms of Section 1 above.</w:t>
      </w:r>
    </w:p>
    <w:p>
      <w:pPr>
        <w:sectPr>
          <w:pgSz w:w="11900" w:h="16892" w:orient="portrait"/>
          <w:cols w:equalWidth="0" w:num="1">
            <w:col w:w="11420"/>
          </w:cols>
          <w:pgMar w:left="240" w:top="744" w:right="239" w:bottom="0" w:gutter="0" w:footer="0" w:header="0"/>
        </w:sectPr>
      </w:pPr>
    </w:p>
    <w:bookmarkStart w:id="90" w:name="page91"/>
    <w:bookmarkEnd w:id="90"/>
    <w:p>
      <w:pPr>
        <w:ind w:left="1920" w:hanging="615"/>
        <w:spacing w:after="0"/>
        <w:tabs>
          <w:tab w:leader="none" w:pos="1920" w:val="left"/>
        </w:tabs>
        <w:numPr>
          <w:ilvl w:val="1"/>
          <w:numId w:val="96"/>
        </w:numPr>
        <w:rPr>
          <w:rFonts w:ascii="Arial" w:cs="Arial" w:eastAsia="Arial" w:hAnsi="Arial"/>
          <w:sz w:val="20"/>
          <w:szCs w:val="20"/>
          <w:color w:val="auto"/>
        </w:rPr>
      </w:pPr>
      <w:r>
        <w:rPr>
          <w:rFonts w:ascii="Arial" w:cs="Arial" w:eastAsia="Arial" w:hAnsi="Arial"/>
          <w:sz w:val="20"/>
          <w:szCs w:val="20"/>
          <w:color w:val="auto"/>
        </w:rPr>
        <w:t>For the purposes of this agreement, “Change in Control” means:</w:t>
      </w:r>
    </w:p>
    <w:p>
      <w:pPr>
        <w:spacing w:after="0" w:line="229" w:lineRule="exact"/>
        <w:rPr>
          <w:rFonts w:ascii="Arial" w:cs="Arial" w:eastAsia="Arial" w:hAnsi="Arial"/>
          <w:sz w:val="20"/>
          <w:szCs w:val="20"/>
          <w:color w:val="auto"/>
        </w:rPr>
      </w:pPr>
    </w:p>
    <w:p>
      <w:pPr>
        <w:ind w:left="2680" w:hanging="727"/>
        <w:spacing w:after="0"/>
        <w:tabs>
          <w:tab w:leader="none" w:pos="2680"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acquisition (in one or more transactions) of “Beneficial Ownership” by any person (as defined in rule 13</w:t>
      </w:r>
    </w:p>
    <w:p>
      <w:pPr>
        <w:spacing w:after="0" w:line="38" w:lineRule="exact"/>
        <w:rPr>
          <w:rFonts w:ascii="Arial" w:cs="Arial" w:eastAsia="Arial" w:hAnsi="Arial"/>
          <w:sz w:val="18"/>
          <w:szCs w:val="18"/>
          <w:color w:val="auto"/>
        </w:rPr>
      </w:pPr>
    </w:p>
    <w:p>
      <w:pPr>
        <w:ind w:right="40" w:firstLine="8"/>
        <w:spacing w:after="0" w:line="244" w:lineRule="auto"/>
        <w:tabs>
          <w:tab w:leader="none" w:pos="306" w:val="left"/>
        </w:tabs>
        <w:numPr>
          <w:ilvl w:val="0"/>
          <w:numId w:val="97"/>
        </w:numPr>
        <w:rPr>
          <w:rFonts w:ascii="Arial" w:cs="Arial" w:eastAsia="Arial" w:hAnsi="Arial"/>
          <w:sz w:val="20"/>
          <w:szCs w:val="20"/>
          <w:color w:val="auto"/>
        </w:rPr>
      </w:pPr>
      <w:r>
        <w:rPr>
          <w:rFonts w:ascii="Arial" w:cs="Arial" w:eastAsia="Arial" w:hAnsi="Arial"/>
          <w:sz w:val="20"/>
          <w:szCs w:val="20"/>
          <w:color w:val="auto"/>
        </w:rPr>
        <w:t>- 3 under the Securities Exchange Act 1934), corporation or other entity other than the Company or a wholly owned subsidiary of the Company of 50% or more of the outstanding Common Stock,</w:t>
      </w:r>
    </w:p>
    <w:p>
      <w:pPr>
        <w:spacing w:after="0" w:line="205" w:lineRule="exact"/>
        <w:rPr>
          <w:rFonts w:ascii="Arial" w:cs="Arial" w:eastAsia="Arial" w:hAnsi="Arial"/>
          <w:sz w:val="20"/>
          <w:szCs w:val="20"/>
          <w:color w:val="auto"/>
        </w:rPr>
      </w:pPr>
    </w:p>
    <w:p>
      <w:pPr>
        <w:ind w:left="2600" w:hanging="647"/>
        <w:spacing w:after="0"/>
        <w:tabs>
          <w:tab w:leader="none" w:pos="2600" w:val="left"/>
        </w:tabs>
        <w:numPr>
          <w:ilvl w:val="2"/>
          <w:numId w:val="97"/>
        </w:numPr>
        <w:rPr>
          <w:rFonts w:ascii="Arial" w:cs="Arial" w:eastAsia="Arial" w:hAnsi="Arial"/>
          <w:sz w:val="20"/>
          <w:szCs w:val="20"/>
          <w:color w:val="auto"/>
        </w:rPr>
      </w:pPr>
      <w:r>
        <w:rPr>
          <w:rFonts w:ascii="Arial" w:cs="Arial" w:eastAsia="Arial" w:hAnsi="Arial"/>
          <w:sz w:val="20"/>
          <w:szCs w:val="20"/>
          <w:color w:val="auto"/>
        </w:rPr>
        <w:t>the sale or disposition of substantially all of the assets of the Company, or</w:t>
      </w:r>
    </w:p>
    <w:p>
      <w:pPr>
        <w:spacing w:after="0" w:line="229" w:lineRule="exact"/>
        <w:rPr>
          <w:sz w:val="20"/>
          <w:szCs w:val="20"/>
          <w:color w:val="auto"/>
        </w:rPr>
      </w:pPr>
    </w:p>
    <w:p>
      <w:pPr>
        <w:ind w:left="2720" w:hanging="767"/>
        <w:spacing w:after="0"/>
        <w:tabs>
          <w:tab w:leader="none" w:pos="27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merger of the Company with another entity in which the Common Stock of the Company is no longer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outstanding after such merger.</w:t>
      </w:r>
    </w:p>
    <w:p>
      <w:pPr>
        <w:spacing w:after="0" w:line="213" w:lineRule="exact"/>
        <w:rPr>
          <w:rFonts w:ascii="Arial" w:cs="Arial" w:eastAsia="Arial" w:hAnsi="Arial"/>
          <w:sz w:val="18"/>
          <w:szCs w:val="18"/>
          <w:color w:val="auto"/>
        </w:rPr>
      </w:pPr>
    </w:p>
    <w:p>
      <w:pPr>
        <w:ind w:right="40" w:firstLine="656"/>
        <w:spacing w:after="0" w:line="260" w:lineRule="auto"/>
        <w:tabs>
          <w:tab w:leader="none" w:pos="1269"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No Rights as Stockholder</w:t>
      </w:r>
      <w:r>
        <w:rPr>
          <w:rFonts w:ascii="Arial" w:cs="Arial" w:eastAsia="Arial" w:hAnsi="Arial"/>
          <w:sz w:val="20"/>
          <w:szCs w:val="20"/>
          <w:color w:val="auto"/>
        </w:rPr>
        <w:t>. Holder shall have no rights as a stockholder with respect to any shares of Stock subject to this Option prior to the date of issuance to him of a certificate or certificates for such shares.</w:t>
      </w:r>
    </w:p>
    <w:p>
      <w:pPr>
        <w:spacing w:after="0" w:line="190" w:lineRule="exact"/>
        <w:rPr>
          <w:rFonts w:ascii="Arial" w:cs="Arial" w:eastAsia="Arial" w:hAnsi="Arial"/>
          <w:sz w:val="20"/>
          <w:szCs w:val="20"/>
          <w:color w:val="auto"/>
        </w:rPr>
      </w:pPr>
    </w:p>
    <w:p>
      <w:pPr>
        <w:jc w:val="both"/>
        <w:ind w:right="60" w:firstLine="656"/>
        <w:spacing w:after="0" w:line="250" w:lineRule="auto"/>
        <w:tabs>
          <w:tab w:leader="none" w:pos="1256"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No Right to Continue Employment</w:t>
      </w:r>
      <w:r>
        <w:rPr>
          <w:rFonts w:ascii="Arial" w:cs="Arial" w:eastAsia="Arial" w:hAnsi="Arial"/>
          <w:sz w:val="20"/>
          <w:szCs w:val="20"/>
          <w:color w:val="auto"/>
        </w:rPr>
        <w:t>. This Agreement shall not confer upon Holder any right with respect to continuance of employment with a Participating Company nor shall it interfere in any way with the right of a Participating Company to terminate the Holder’s employment at any time.</w:t>
      </w:r>
    </w:p>
    <w:p>
      <w:pPr>
        <w:spacing w:after="0" w:line="199" w:lineRule="exact"/>
        <w:rPr>
          <w:rFonts w:ascii="Arial" w:cs="Arial" w:eastAsia="Arial" w:hAnsi="Arial"/>
          <w:sz w:val="20"/>
          <w:szCs w:val="20"/>
          <w:color w:val="auto"/>
        </w:rPr>
      </w:pPr>
    </w:p>
    <w:p>
      <w:pPr>
        <w:jc w:val="both"/>
        <w:ind w:right="40" w:firstLine="656"/>
        <w:spacing w:after="0" w:line="258" w:lineRule="auto"/>
        <w:tabs>
          <w:tab w:leader="none" w:pos="1305"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Compliance With Law and Regulation</w:t>
      </w:r>
      <w:r>
        <w:rPr>
          <w:rFonts w:ascii="Arial" w:cs="Arial" w:eastAsia="Arial" w:hAnsi="Arial"/>
          <w:sz w:val="19"/>
          <w:szCs w:val="19"/>
          <w:color w:val="auto"/>
        </w:rPr>
        <w:t>. This Agreement and the obligation of the Company to sell and deliver shares of Stock hereunder shall be subject to all applicable federal and state laws, rules and regulations and to such approvals by any government or regulatory agency as may be required. If at any time the Board shall determine that (i) the listing, registration or qualification of the shares of Stock subject or related thereto upon any securities exchange or under any state or federal law, or (ii) the consent or approval of any government regulatory body, is necessary or desirable as a condition of or in connection with the issue or purchase of shares of Stock hereunder, this Option may not be exercised in whole or in part unless such listing, registration, qualification, consent, approval or agreement shall have been effected or obtained free of any conditions not acceptable to the Board.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21" w:lineRule="exact"/>
        <w:rPr>
          <w:rFonts w:ascii="Arial" w:cs="Arial" w:eastAsia="Arial" w:hAnsi="Arial"/>
          <w:sz w:val="19"/>
          <w:szCs w:val="19"/>
          <w:color w:val="auto"/>
        </w:rPr>
      </w:pPr>
    </w:p>
    <w:p>
      <w:pPr>
        <w:ind w:right="40" w:firstLine="656"/>
        <w:spacing w:after="0" w:line="316" w:lineRule="auto"/>
        <w:tabs>
          <w:tab w:leader="none" w:pos="143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Tax Withholding Requirements</w:t>
      </w:r>
      <w:r>
        <w:rPr>
          <w:rFonts w:ascii="Arial" w:cs="Arial" w:eastAsia="Arial" w:hAnsi="Arial"/>
          <w:sz w:val="18"/>
          <w:szCs w:val="18"/>
          <w:color w:val="auto"/>
        </w:rPr>
        <w:t>. The Company shall have the right to require Holder to remit to the Company an amount sufficient to satisfy any federal, state or local withholding tax requirements prior to the delivery of any certificate or certificates for Stock.</w:t>
      </w:r>
    </w:p>
    <w:p>
      <w:pPr>
        <w:spacing w:after="0" w:line="143" w:lineRule="exact"/>
        <w:rPr>
          <w:rFonts w:ascii="Arial" w:cs="Arial" w:eastAsia="Arial" w:hAnsi="Arial"/>
          <w:sz w:val="18"/>
          <w:szCs w:val="18"/>
          <w:color w:val="auto"/>
        </w:rPr>
      </w:pPr>
    </w:p>
    <w:p>
      <w:pPr>
        <w:ind w:right="40" w:firstLine="656"/>
        <w:spacing w:after="0" w:line="316" w:lineRule="auto"/>
        <w:tabs>
          <w:tab w:leader="none" w:pos="137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other provision of this Agreement, no fractional shares of Stock shall be issued upon the exercise of this Option, and the Company shall not be under any obligation to compensate Holder in any way for such fractional shares.</w:t>
      </w:r>
    </w:p>
    <w:p>
      <w:pPr>
        <w:spacing w:after="0" w:line="143" w:lineRule="exact"/>
        <w:rPr>
          <w:rFonts w:ascii="Arial" w:cs="Arial" w:eastAsia="Arial" w:hAnsi="Arial"/>
          <w:sz w:val="18"/>
          <w:szCs w:val="18"/>
          <w:color w:val="auto"/>
        </w:rPr>
      </w:pPr>
    </w:p>
    <w:p>
      <w:pPr>
        <w:jc w:val="both"/>
        <w:ind w:right="40" w:firstLine="656"/>
        <w:spacing w:after="0" w:line="246" w:lineRule="auto"/>
        <w:tabs>
          <w:tab w:leader="none" w:pos="1373"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hereunder to the Company shall be addressed to it at its office at 550 Monica Circle, Suite 201, Corona, California 92880, Attention: Rodney C. Sacks with a copy to Benjamin Polk, Schulte Roth &amp; Zabel LLP, 919 Third Avenue, New York, New York 10022, and any notice hereunder to Holder shall be addressed to him at 40651 Avenida La Cresta, Murrieta, California 92562, subject to the right of either party to designate at any time hereafter in writing some other address.</w:t>
      </w:r>
    </w:p>
    <w:p>
      <w:pPr>
        <w:spacing w:after="0" w:line="205" w:lineRule="exact"/>
        <w:rPr>
          <w:rFonts w:ascii="Arial" w:cs="Arial" w:eastAsia="Arial" w:hAnsi="Arial"/>
          <w:sz w:val="20"/>
          <w:szCs w:val="20"/>
          <w:color w:val="auto"/>
        </w:rPr>
      </w:pPr>
    </w:p>
    <w:p>
      <w:pPr>
        <w:ind w:right="40" w:firstLine="656"/>
        <w:spacing w:after="0" w:line="260" w:lineRule="auto"/>
        <w:tabs>
          <w:tab w:leader="none" w:pos="1332"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No modification, amendment or waiver of any of the provisions of this Agreement shall be effective unless in writing specifically referring hereto, and signed by both parties.</w:t>
      </w:r>
    </w:p>
    <w:p>
      <w:pPr>
        <w:spacing w:after="0" w:line="190" w:lineRule="exact"/>
        <w:rPr>
          <w:rFonts w:ascii="Arial" w:cs="Arial" w:eastAsia="Arial" w:hAnsi="Arial"/>
          <w:sz w:val="20"/>
          <w:szCs w:val="20"/>
          <w:color w:val="auto"/>
        </w:rPr>
      </w:pPr>
    </w:p>
    <w:p>
      <w:pPr>
        <w:ind w:right="40" w:firstLine="656"/>
        <w:spacing w:after="0" w:line="316" w:lineRule="auto"/>
        <w:tabs>
          <w:tab w:leader="none" w:pos="137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43" w:lineRule="exact"/>
        <w:rPr>
          <w:rFonts w:ascii="Arial" w:cs="Arial" w:eastAsia="Arial" w:hAnsi="Arial"/>
          <w:sz w:val="18"/>
          <w:szCs w:val="18"/>
          <w:color w:val="auto"/>
        </w:rPr>
      </w:pPr>
    </w:p>
    <w:p>
      <w:pPr>
        <w:ind w:left="1320" w:hanging="664"/>
        <w:spacing w:after="0"/>
        <w:tabs>
          <w:tab w:leader="none" w:pos="13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constitute one and the same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-3165475</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3"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IN WITNESS WHEREOF, Hansen Natural Corporation has caused this Agreement to be executed by a duly authorized officer and Holder has executed this Agreement both as of the day and year first above written.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7620" w:type="dxa"/>
            <w:vAlign w:val="bottom"/>
            <w:gridSpan w:val="3"/>
          </w:tcPr>
          <w:p>
            <w:pPr>
              <w:ind w:left="2220"/>
              <w:spacing w:after="0"/>
              <w:rPr>
                <w:sz w:val="20"/>
                <w:szCs w:val="20"/>
                <w:color w:val="auto"/>
              </w:rPr>
            </w:pPr>
            <w:r>
              <w:rPr>
                <w:rFonts w:ascii="Arial" w:cs="Arial" w:eastAsia="Arial" w:hAnsi="Arial"/>
                <w:sz w:val="20"/>
                <w:szCs w:val="20"/>
                <w:color w:val="auto"/>
              </w:rPr>
              <w:t>HANSEN NATURAL CORPORATION</w:t>
            </w:r>
          </w:p>
        </w:tc>
      </w:tr>
      <w:tr>
        <w:trPr>
          <w:trHeight w:val="678"/>
        </w:trPr>
        <w:tc>
          <w:tcPr>
            <w:tcW w:w="3840" w:type="dxa"/>
            <w:vAlign w:val="bottom"/>
            <w:gridSpan w:val="2"/>
          </w:tcPr>
          <w:p>
            <w:pPr>
              <w:spacing w:after="0"/>
              <w:rPr>
                <w:sz w:val="20"/>
                <w:szCs w:val="20"/>
                <w:color w:val="auto"/>
              </w:rPr>
            </w:pPr>
            <w:r>
              <w:rPr>
                <w:rFonts w:ascii="Arial" w:cs="Arial" w:eastAsia="Arial" w:hAnsi="Arial"/>
                <w:sz w:val="20"/>
                <w:szCs w:val="20"/>
                <w:color w:val="auto"/>
              </w:rPr>
              <w:t>/s/ Mark J. Hall</w:t>
            </w:r>
          </w:p>
        </w:tc>
        <w:tc>
          <w:tcPr>
            <w:tcW w:w="7620" w:type="dxa"/>
            <w:vAlign w:val="bottom"/>
            <w:gridSpan w:val="3"/>
          </w:tcPr>
          <w:p>
            <w:pPr>
              <w:ind w:left="2220"/>
              <w:spacing w:after="0"/>
              <w:rPr>
                <w:sz w:val="20"/>
                <w:szCs w:val="20"/>
                <w:color w:val="auto"/>
              </w:rPr>
            </w:pPr>
            <w:r>
              <w:rPr>
                <w:rFonts w:ascii="Arial" w:cs="Arial" w:eastAsia="Arial" w:hAnsi="Arial"/>
                <w:sz w:val="20"/>
                <w:szCs w:val="20"/>
                <w:color w:val="auto"/>
              </w:rPr>
              <w:t>By:/s/  Rodney C. Sacks</w:t>
            </w:r>
          </w:p>
        </w:tc>
      </w:tr>
      <w:tr>
        <w:trPr>
          <w:trHeight w:val="213"/>
        </w:trPr>
        <w:tc>
          <w:tcPr>
            <w:tcW w:w="20" w:type="dxa"/>
            <w:vAlign w:val="bottom"/>
          </w:tcPr>
          <w:p>
            <w:pPr>
              <w:spacing w:after="0"/>
              <w:rPr>
                <w:sz w:val="18"/>
                <w:szCs w:val="18"/>
                <w:color w:val="auto"/>
              </w:rPr>
            </w:pPr>
          </w:p>
        </w:tc>
        <w:tc>
          <w:tcPr>
            <w:tcW w:w="3820" w:type="dxa"/>
            <w:vAlign w:val="bottom"/>
            <w:tcBorders>
              <w:top w:val="single" w:sz="8" w:color="auto"/>
            </w:tcBorders>
          </w:tcPr>
          <w:p>
            <w:pPr>
              <w:spacing w:after="0" w:line="213" w:lineRule="exact"/>
              <w:rPr>
                <w:sz w:val="20"/>
                <w:szCs w:val="20"/>
                <w:color w:val="auto"/>
              </w:rPr>
            </w:pPr>
            <w:r>
              <w:rPr>
                <w:rFonts w:ascii="Arial" w:cs="Arial" w:eastAsia="Arial" w:hAnsi="Arial"/>
                <w:sz w:val="20"/>
                <w:szCs w:val="20"/>
                <w:color w:val="auto"/>
              </w:rPr>
              <w:t>Mark J. Hall</w:t>
            </w:r>
          </w:p>
        </w:tc>
        <w:tc>
          <w:tcPr>
            <w:tcW w:w="2860" w:type="dxa"/>
            <w:vAlign w:val="bottom"/>
          </w:tcPr>
          <w:p>
            <w:pPr>
              <w:ind w:left="2220"/>
              <w:spacing w:after="0" w:line="213" w:lineRule="exact"/>
              <w:rPr>
                <w:sz w:val="20"/>
                <w:szCs w:val="20"/>
                <w:color w:val="auto"/>
              </w:rPr>
            </w:pPr>
            <w:r>
              <w:rPr>
                <w:rFonts w:ascii="Arial" w:cs="Arial" w:eastAsia="Arial" w:hAnsi="Arial"/>
                <w:sz w:val="20"/>
                <w:szCs w:val="20"/>
                <w:color w:val="auto"/>
              </w:rPr>
              <w:t>Name:</w:t>
            </w:r>
          </w:p>
        </w:tc>
        <w:tc>
          <w:tcPr>
            <w:tcW w:w="2200" w:type="dxa"/>
            <w:vAlign w:val="bottom"/>
            <w:tcBorders>
              <w:top w:val="single" w:sz="8" w:color="auto"/>
            </w:tcBorders>
          </w:tcPr>
          <w:p>
            <w:pPr>
              <w:spacing w:after="0" w:line="213" w:lineRule="exact"/>
              <w:rPr>
                <w:sz w:val="20"/>
                <w:szCs w:val="20"/>
                <w:color w:val="auto"/>
              </w:rPr>
            </w:pPr>
            <w:r>
              <w:rPr>
                <w:rFonts w:ascii="Arial" w:cs="Arial" w:eastAsia="Arial" w:hAnsi="Arial"/>
                <w:sz w:val="20"/>
                <w:szCs w:val="20"/>
                <w:color w:val="auto"/>
              </w:rPr>
              <w:t>Rodney C. Sacks</w:t>
            </w:r>
          </w:p>
        </w:tc>
        <w:tc>
          <w:tcPr>
            <w:tcW w:w="256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7620" w:type="dxa"/>
            <w:vAlign w:val="bottom"/>
            <w:gridSpan w:val="3"/>
          </w:tcPr>
          <w:p>
            <w:pPr>
              <w:ind w:left="2220"/>
              <w:spacing w:after="0"/>
              <w:rPr>
                <w:sz w:val="20"/>
                <w:szCs w:val="20"/>
                <w:color w:val="auto"/>
              </w:rPr>
            </w:pPr>
            <w:r>
              <w:rPr>
                <w:rFonts w:ascii="Arial" w:cs="Arial" w:eastAsia="Arial" w:hAnsi="Arial"/>
                <w:sz w:val="20"/>
                <w:szCs w:val="20"/>
                <w:color w:val="auto"/>
              </w:rPr>
              <w:t>Title: Chairman and CEO</w:t>
            </w:r>
          </w:p>
        </w:tc>
      </w:tr>
      <w:tr>
        <w:trPr>
          <w:trHeight w:val="357"/>
        </w:trPr>
        <w:tc>
          <w:tcPr>
            <w:tcW w:w="20" w:type="dxa"/>
            <w:vAlign w:val="bottom"/>
            <w:tcBorders>
              <w:bottom w:val="single" w:sz="8" w:color="010101"/>
            </w:tcBorders>
          </w:tcPr>
          <w:p>
            <w:pPr>
              <w:spacing w:after="0"/>
              <w:rPr>
                <w:sz w:val="24"/>
                <w:szCs w:val="24"/>
                <w:color w:val="auto"/>
              </w:rPr>
            </w:pPr>
          </w:p>
        </w:tc>
        <w:tc>
          <w:tcPr>
            <w:tcW w:w="3820" w:type="dxa"/>
            <w:vAlign w:val="bottom"/>
            <w:tcBorders>
              <w:bottom w:val="single" w:sz="8" w:color="010101"/>
            </w:tcBorders>
          </w:tcPr>
          <w:p>
            <w:pPr>
              <w:spacing w:after="0"/>
              <w:rPr>
                <w:sz w:val="24"/>
                <w:szCs w:val="24"/>
                <w:color w:val="auto"/>
              </w:rPr>
            </w:pPr>
          </w:p>
        </w:tc>
        <w:tc>
          <w:tcPr>
            <w:tcW w:w="2860" w:type="dxa"/>
            <w:vAlign w:val="bottom"/>
            <w:tcBorders>
              <w:bottom w:val="single" w:sz="8" w:color="010101"/>
            </w:tcBorders>
          </w:tcPr>
          <w:p>
            <w:pPr>
              <w:spacing w:after="0"/>
              <w:rPr>
                <w:sz w:val="24"/>
                <w:szCs w:val="24"/>
                <w:color w:val="auto"/>
              </w:rPr>
            </w:pPr>
          </w:p>
        </w:tc>
        <w:tc>
          <w:tcPr>
            <w:tcW w:w="2200" w:type="dxa"/>
            <w:vAlign w:val="bottom"/>
            <w:tcBorders>
              <w:bottom w:val="single" w:sz="8" w:color="010101"/>
            </w:tcBorders>
          </w:tcPr>
          <w:p>
            <w:pPr>
              <w:spacing w:after="0"/>
              <w:rPr>
                <w:sz w:val="24"/>
                <w:szCs w:val="24"/>
                <w:color w:val="auto"/>
              </w:rPr>
            </w:pPr>
          </w:p>
        </w:tc>
        <w:tc>
          <w:tcPr>
            <w:tcW w:w="25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2" w:right="19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b w:val="1"/>
          <w:bCs w:val="1"/>
          <w:color w:val="auto"/>
        </w:rPr>
        <w:t>Exhibit 10.47</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Stock Option Agreement (“Agreement”), is made as of June 2, 2008 (the “Grant Date”), by and between Hansen Natural Corporation, a Delaware corporation (the “Company”), and Thomas Kelly (“Holder”).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Recitals</w:t>
      </w:r>
    </w:p>
    <w:p>
      <w:pPr>
        <w:spacing w:after="0" w:line="229" w:lineRule="exact"/>
        <w:rPr>
          <w:sz w:val="20"/>
          <w:szCs w:val="20"/>
          <w:color w:val="auto"/>
        </w:rPr>
      </w:pPr>
    </w:p>
    <w:p>
      <w:pPr>
        <w:ind w:left="1240" w:hanging="584"/>
        <w:spacing w:after="0"/>
        <w:tabs>
          <w:tab w:leader="none" w:pos="12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Holder is an employee of a Participating Company.</w:t>
      </w:r>
    </w:p>
    <w:p>
      <w:pPr>
        <w:spacing w:after="0" w:line="229" w:lineRule="exact"/>
        <w:rPr>
          <w:rFonts w:ascii="Arial" w:cs="Arial" w:eastAsia="Arial" w:hAnsi="Arial"/>
          <w:sz w:val="20"/>
          <w:szCs w:val="20"/>
          <w:color w:val="auto"/>
        </w:rPr>
      </w:pPr>
    </w:p>
    <w:p>
      <w:pPr>
        <w:ind w:right="20" w:firstLine="656"/>
        <w:spacing w:after="0" w:line="287" w:lineRule="auto"/>
        <w:tabs>
          <w:tab w:leader="none" w:pos="142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Pursuant to the Hansen Natural Corporation 2001 Stock Option Plan (the “Plan”), the Company desires to grant Holder an incentive stock option to purchase shares of the Company’s common stock, par value $.0005 per share (the “Common Stock”).</w:t>
      </w:r>
    </w:p>
    <w:p>
      <w:pPr>
        <w:spacing w:after="0" w:line="166" w:lineRule="exact"/>
        <w:rPr>
          <w:rFonts w:ascii="Arial" w:cs="Arial" w:eastAsia="Arial" w:hAnsi="Arial"/>
          <w:sz w:val="19"/>
          <w:szCs w:val="19"/>
          <w:color w:val="auto"/>
        </w:rPr>
      </w:pPr>
    </w:p>
    <w:p>
      <w:pPr>
        <w:ind w:left="1280" w:hanging="624"/>
        <w:spacing w:after="0"/>
        <w:tabs>
          <w:tab w:leader="none" w:pos="128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Capitalized terms not otherwise defined in this Agreement shall have the meaning given to them in the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Company and Holder agree as follows:</w:t>
      </w:r>
    </w:p>
    <w:p>
      <w:pPr>
        <w:spacing w:after="0" w:line="229" w:lineRule="exact"/>
        <w:rPr>
          <w:sz w:val="20"/>
          <w:szCs w:val="20"/>
          <w:color w:val="auto"/>
        </w:rPr>
      </w:pPr>
    </w:p>
    <w:p>
      <w:pPr>
        <w:jc w:val="both"/>
        <w:ind w:firstLine="656"/>
        <w:spacing w:after="0" w:line="242" w:lineRule="auto"/>
        <w:tabs>
          <w:tab w:leader="none" w:pos="1323"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Grant of Incentive Stock Option</w:t>
      </w:r>
      <w:r>
        <w:rPr>
          <w:rFonts w:ascii="Arial" w:cs="Arial" w:eastAsia="Arial" w:hAnsi="Arial"/>
          <w:sz w:val="20"/>
          <w:szCs w:val="20"/>
          <w:color w:val="auto"/>
        </w:rPr>
        <w:t>. The Company hereby grants to Holder, subject to the terms and conditions set forth herein and in the Plan, an incentive stock option (“ISO”) to purchase 20,000 shares of Common Stock, at the purchase price of $31.72 per share (the “Option”), such Option to be exercisable and exercised as hereinafter provided. If for any reason the Option or any portion of the Option shall not qualify as an ISO, then, to the extent of such nonqualification, such Option (or portion thereof) shall be regarded as a nonqualified stock option granted under the Plan, provided that such Option (or portion thereof) otherwise complies with the Plan’s requirements relating to nonqualified stock options. In no event shall any member of the Committee or any Participating Company (or their respective employees, officers or directors) have any liability to Holder (or any other person) due to the failure of an Option (or any portion thereof) to qualify for any reason as an ISO.</w:t>
      </w:r>
    </w:p>
    <w:p>
      <w:pPr>
        <w:spacing w:after="0" w:line="211" w:lineRule="exact"/>
        <w:rPr>
          <w:rFonts w:ascii="Arial" w:cs="Arial" w:eastAsia="Arial" w:hAnsi="Arial"/>
          <w:sz w:val="20"/>
          <w:szCs w:val="20"/>
          <w:color w:val="auto"/>
        </w:rPr>
      </w:pPr>
    </w:p>
    <w:p>
      <w:pPr>
        <w:ind w:right="180" w:firstLine="656"/>
        <w:spacing w:after="0" w:line="276" w:lineRule="auto"/>
        <w:tabs>
          <w:tab w:leader="none" w:pos="1242"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 The Option shall expire three months after the termination of the Holder’s employment with a Participating Company unless the employment is terminated by a Participating Company for Cause (as defined below) or unless the employment is terminated by reason of the death or Total Disability of Holder. If the Holder’s employment is terminated by a Participating Company for Cause, the Option shall expire as of the date employment terminates. If the Holder’s employment terminates due to his death or Total Disability, then the Option may be exercised by Holder or the person or persons to which Holder’s rights under this Agreement pass by will, or if no such person has such right, by his executors or administrators, within six months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the date of death or Total Disability, but no later than the expiration date specified in Section 3(c) below. “Cause” means, as determined by the Committee, the Holder’s (i) act(s) of fraud or dishonesty, (ii) knowing and material failure to comply with applicable laws or regulations or satisfactorily perform his duties of employment, (iii) insubordination or (iv) drug or alcohol abuse.</w:t>
      </w:r>
    </w:p>
    <w:p>
      <w:pPr>
        <w:spacing w:after="0" w:line="184" w:lineRule="exact"/>
        <w:rPr>
          <w:sz w:val="20"/>
          <w:szCs w:val="20"/>
          <w:color w:val="auto"/>
        </w:rPr>
      </w:pPr>
    </w:p>
    <w:p>
      <w:pPr>
        <w:ind w:left="1260" w:hanging="604"/>
        <w:spacing w:after="0"/>
        <w:tabs>
          <w:tab w:leader="none" w:pos="1260"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p>
    <w:p>
      <w:pPr>
        <w:spacing w:after="0" w:line="229" w:lineRule="exact"/>
        <w:rPr>
          <w:rFonts w:ascii="Arial" w:cs="Arial" w:eastAsia="Arial" w:hAnsi="Arial"/>
          <w:sz w:val="20"/>
          <w:szCs w:val="20"/>
          <w:color w:val="auto"/>
        </w:rPr>
      </w:pPr>
    </w:p>
    <w:p>
      <w:pPr>
        <w:jc w:val="both"/>
        <w:ind w:firstLine="1305"/>
        <w:spacing w:after="0" w:line="250" w:lineRule="auto"/>
        <w:tabs>
          <w:tab w:leader="none" w:pos="2145" w:val="left"/>
        </w:tabs>
        <w:numPr>
          <w:ilvl w:val="1"/>
          <w:numId w:val="102"/>
        </w:numPr>
        <w:rPr>
          <w:rFonts w:ascii="Arial" w:cs="Arial" w:eastAsia="Arial" w:hAnsi="Arial"/>
          <w:sz w:val="20"/>
          <w:szCs w:val="20"/>
          <w:color w:val="auto"/>
        </w:rPr>
      </w:pPr>
      <w:r>
        <w:rPr>
          <w:rFonts w:ascii="Arial" w:cs="Arial" w:eastAsia="Arial" w:hAnsi="Arial"/>
          <w:sz w:val="20"/>
          <w:szCs w:val="20"/>
          <w:color w:val="auto"/>
        </w:rPr>
        <w:t>Subject to the other terms of this Agreement regarding the exercisability of the Option, provided that Holder is employed by a Participating Company on the relevant Exercise Date set forth below, the Option may be exercised in respect of the number of shares (the “Option Portion”) listed in column A from and after the Exercise Date listed in column B,</w:t>
      </w:r>
    </w:p>
    <w:p>
      <w:pPr>
        <w:spacing w:after="0" w:line="200" w:lineRule="exact"/>
        <w:rPr>
          <w:sz w:val="20"/>
          <w:szCs w:val="20"/>
          <w:color w:val="auto"/>
        </w:rPr>
      </w:pPr>
    </w:p>
    <w:tbl>
      <w:tblPr>
        <w:tblLayout w:type="fixed"/>
        <w:tblInd w:w="1500" w:type="dxa"/>
        <w:tblCellMar>
          <w:top w:w="0" w:type="dxa"/>
          <w:left w:w="0" w:type="dxa"/>
          <w:bottom w:w="0" w:type="dxa"/>
          <w:right w:w="0" w:type="dxa"/>
        </w:tblCellMar>
      </w:tblPr>
      <w:tr>
        <w:trPr>
          <w:trHeight w:val="250"/>
        </w:trPr>
        <w:tc>
          <w:tcPr>
            <w:tcW w:w="1300" w:type="dxa"/>
            <w:vAlign w:val="bottom"/>
          </w:tcPr>
          <w:p>
            <w:pPr>
              <w:spacing w:after="0"/>
              <w:rPr>
                <w:sz w:val="21"/>
                <w:szCs w:val="21"/>
                <w:color w:val="auto"/>
              </w:rPr>
            </w:pPr>
          </w:p>
        </w:tc>
        <w:tc>
          <w:tcPr>
            <w:tcW w:w="2860" w:type="dxa"/>
            <w:vAlign w:val="bottom"/>
            <w:gridSpan w:val="2"/>
          </w:tcPr>
          <w:p>
            <w:pPr>
              <w:jc w:val="center"/>
              <w:ind w:right="1420"/>
              <w:spacing w:after="0"/>
              <w:rPr>
                <w:sz w:val="20"/>
                <w:szCs w:val="20"/>
                <w:color w:val="auto"/>
              </w:rPr>
            </w:pPr>
            <w:r>
              <w:rPr>
                <w:rFonts w:ascii="Arial" w:cs="Arial" w:eastAsia="Arial" w:hAnsi="Arial"/>
                <w:sz w:val="20"/>
                <w:szCs w:val="20"/>
                <w:color w:val="auto"/>
                <w:w w:val="98"/>
              </w:rPr>
              <w:t>Column “A”</w:t>
            </w:r>
          </w:p>
        </w:tc>
        <w:tc>
          <w:tcPr>
            <w:tcW w:w="1660" w:type="dxa"/>
            <w:vAlign w:val="bottom"/>
          </w:tcPr>
          <w:p>
            <w:pPr>
              <w:spacing w:after="0"/>
              <w:rPr>
                <w:sz w:val="21"/>
                <w:szCs w:val="21"/>
                <w:color w:val="auto"/>
              </w:rPr>
            </w:pPr>
          </w:p>
        </w:tc>
        <w:tc>
          <w:tcPr>
            <w:tcW w:w="2220" w:type="dxa"/>
            <w:vAlign w:val="bottom"/>
            <w:gridSpan w:val="2"/>
          </w:tcPr>
          <w:p>
            <w:pPr>
              <w:jc w:val="center"/>
              <w:ind w:right="1100"/>
              <w:spacing w:after="0"/>
              <w:rPr>
                <w:sz w:val="20"/>
                <w:szCs w:val="20"/>
                <w:color w:val="auto"/>
              </w:rPr>
            </w:pPr>
            <w:r>
              <w:rPr>
                <w:rFonts w:ascii="Arial" w:cs="Arial" w:eastAsia="Arial" w:hAnsi="Arial"/>
                <w:sz w:val="20"/>
                <w:szCs w:val="20"/>
                <w:color w:val="auto"/>
                <w:w w:val="98"/>
              </w:rPr>
              <w:t>Column “B”</w:t>
            </w:r>
          </w:p>
        </w:tc>
      </w:tr>
      <w:tr>
        <w:trPr>
          <w:trHeight w:val="415"/>
        </w:trPr>
        <w:tc>
          <w:tcPr>
            <w:tcW w:w="130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Number of Shares</w:t>
            </w:r>
          </w:p>
        </w:tc>
        <w:tc>
          <w:tcPr>
            <w:tcW w:w="1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Exercise Date</w:t>
            </w:r>
          </w:p>
        </w:tc>
        <w:tc>
          <w:tcPr>
            <w:tcW w:w="1100" w:type="dxa"/>
            <w:vAlign w:val="bottom"/>
          </w:tcPr>
          <w:p>
            <w:pPr>
              <w:spacing w:after="0"/>
              <w:rPr>
                <w:sz w:val="24"/>
                <w:szCs w:val="24"/>
                <w:color w:val="auto"/>
              </w:rPr>
            </w:pPr>
          </w:p>
        </w:tc>
      </w:tr>
      <w:tr>
        <w:trPr>
          <w:trHeight w:val="484"/>
        </w:trPr>
        <w:tc>
          <w:tcPr>
            <w:tcW w:w="4160" w:type="dxa"/>
            <w:vAlign w:val="bottom"/>
            <w:gridSpan w:val="3"/>
          </w:tcPr>
          <w:p>
            <w:pPr>
              <w:spacing w:after="0"/>
              <w:rPr>
                <w:sz w:val="20"/>
                <w:szCs w:val="20"/>
                <w:color w:val="auto"/>
              </w:rPr>
            </w:pPr>
            <w:r>
              <w:rPr>
                <w:rFonts w:ascii="Arial" w:cs="Arial" w:eastAsia="Arial" w:hAnsi="Arial"/>
                <w:sz w:val="20"/>
                <w:szCs w:val="20"/>
                <w:color w:val="auto"/>
                <w:w w:val="92"/>
              </w:rPr>
              <w:t>20% of the number of shares subject to the Option</w:t>
            </w:r>
          </w:p>
        </w:tc>
        <w:tc>
          <w:tcPr>
            <w:tcW w:w="3880" w:type="dxa"/>
            <w:vAlign w:val="bottom"/>
            <w:gridSpan w:val="3"/>
          </w:tcPr>
          <w:p>
            <w:pPr>
              <w:ind w:left="160"/>
              <w:spacing w:after="0"/>
              <w:rPr>
                <w:sz w:val="20"/>
                <w:szCs w:val="20"/>
                <w:color w:val="auto"/>
              </w:rPr>
            </w:pPr>
            <w:r>
              <w:rPr>
                <w:rFonts w:ascii="Arial" w:cs="Arial" w:eastAsia="Arial" w:hAnsi="Arial"/>
                <w:sz w:val="20"/>
                <w:szCs w:val="20"/>
                <w:color w:val="auto"/>
                <w:w w:val="97"/>
              </w:rPr>
              <w:t>After the first anniversary of the Grant Date</w:t>
            </w:r>
          </w:p>
        </w:tc>
      </w:tr>
      <w:tr>
        <w:trPr>
          <w:trHeight w:val="459"/>
        </w:trPr>
        <w:tc>
          <w:tcPr>
            <w:tcW w:w="4160" w:type="dxa"/>
            <w:vAlign w:val="bottom"/>
            <w:gridSpan w:val="3"/>
          </w:tcPr>
          <w:p>
            <w:pPr>
              <w:spacing w:after="0"/>
              <w:rPr>
                <w:sz w:val="20"/>
                <w:szCs w:val="20"/>
                <w:color w:val="auto"/>
              </w:rPr>
            </w:pPr>
            <w:r>
              <w:rPr>
                <w:rFonts w:ascii="Arial" w:cs="Arial" w:eastAsia="Arial" w:hAnsi="Arial"/>
                <w:sz w:val="20"/>
                <w:szCs w:val="20"/>
                <w:color w:val="auto"/>
                <w:w w:val="92"/>
              </w:rPr>
              <w:t>20% of the number of shares subject to the Option</w:t>
            </w:r>
          </w:p>
        </w:tc>
        <w:tc>
          <w:tcPr>
            <w:tcW w:w="3880" w:type="dxa"/>
            <w:vAlign w:val="bottom"/>
            <w:gridSpan w:val="3"/>
          </w:tcPr>
          <w:p>
            <w:pPr>
              <w:ind w:left="160"/>
              <w:spacing w:after="0"/>
              <w:rPr>
                <w:sz w:val="20"/>
                <w:szCs w:val="20"/>
                <w:color w:val="auto"/>
              </w:rPr>
            </w:pPr>
            <w:r>
              <w:rPr>
                <w:rFonts w:ascii="Arial" w:cs="Arial" w:eastAsia="Arial" w:hAnsi="Arial"/>
                <w:sz w:val="20"/>
                <w:szCs w:val="20"/>
                <w:color w:val="auto"/>
                <w:w w:val="89"/>
              </w:rPr>
              <w:t>After the second anniversary of the Grant Date</w:t>
            </w:r>
          </w:p>
        </w:tc>
      </w:tr>
      <w:tr>
        <w:trPr>
          <w:trHeight w:val="459"/>
        </w:trPr>
        <w:tc>
          <w:tcPr>
            <w:tcW w:w="4160" w:type="dxa"/>
            <w:vAlign w:val="bottom"/>
            <w:gridSpan w:val="3"/>
          </w:tcPr>
          <w:p>
            <w:pPr>
              <w:spacing w:after="0"/>
              <w:rPr>
                <w:sz w:val="20"/>
                <w:szCs w:val="20"/>
                <w:color w:val="auto"/>
              </w:rPr>
            </w:pPr>
            <w:r>
              <w:rPr>
                <w:rFonts w:ascii="Arial" w:cs="Arial" w:eastAsia="Arial" w:hAnsi="Arial"/>
                <w:sz w:val="20"/>
                <w:szCs w:val="20"/>
                <w:color w:val="auto"/>
                <w:w w:val="92"/>
              </w:rPr>
              <w:t>20% of the number of shares subject to the Option</w:t>
            </w:r>
          </w:p>
        </w:tc>
        <w:tc>
          <w:tcPr>
            <w:tcW w:w="3880" w:type="dxa"/>
            <w:vAlign w:val="bottom"/>
            <w:gridSpan w:val="3"/>
          </w:tcPr>
          <w:p>
            <w:pPr>
              <w:ind w:left="160"/>
              <w:spacing w:after="0"/>
              <w:rPr>
                <w:sz w:val="20"/>
                <w:szCs w:val="20"/>
                <w:color w:val="auto"/>
              </w:rPr>
            </w:pPr>
            <w:r>
              <w:rPr>
                <w:rFonts w:ascii="Arial" w:cs="Arial" w:eastAsia="Arial" w:hAnsi="Arial"/>
                <w:sz w:val="20"/>
                <w:szCs w:val="20"/>
                <w:color w:val="auto"/>
                <w:w w:val="95"/>
              </w:rPr>
              <w:t>After the third anniversary of the Grant Date</w:t>
            </w:r>
          </w:p>
        </w:tc>
      </w:tr>
      <w:tr>
        <w:trPr>
          <w:trHeight w:val="459"/>
        </w:trPr>
        <w:tc>
          <w:tcPr>
            <w:tcW w:w="4160" w:type="dxa"/>
            <w:vAlign w:val="bottom"/>
            <w:gridSpan w:val="3"/>
          </w:tcPr>
          <w:p>
            <w:pPr>
              <w:spacing w:after="0"/>
              <w:rPr>
                <w:sz w:val="20"/>
                <w:szCs w:val="20"/>
                <w:color w:val="auto"/>
              </w:rPr>
            </w:pPr>
            <w:r>
              <w:rPr>
                <w:rFonts w:ascii="Arial" w:cs="Arial" w:eastAsia="Arial" w:hAnsi="Arial"/>
                <w:sz w:val="20"/>
                <w:szCs w:val="20"/>
                <w:color w:val="auto"/>
                <w:w w:val="92"/>
              </w:rPr>
              <w:t>20% of the number of shares subject to the Option</w:t>
            </w:r>
          </w:p>
        </w:tc>
        <w:tc>
          <w:tcPr>
            <w:tcW w:w="3880" w:type="dxa"/>
            <w:vAlign w:val="bottom"/>
            <w:gridSpan w:val="3"/>
          </w:tcPr>
          <w:p>
            <w:pPr>
              <w:ind w:left="160"/>
              <w:spacing w:after="0"/>
              <w:rPr>
                <w:sz w:val="20"/>
                <w:szCs w:val="20"/>
                <w:color w:val="auto"/>
              </w:rPr>
            </w:pPr>
            <w:r>
              <w:rPr>
                <w:rFonts w:ascii="Arial" w:cs="Arial" w:eastAsia="Arial" w:hAnsi="Arial"/>
                <w:sz w:val="20"/>
                <w:szCs w:val="20"/>
                <w:color w:val="auto"/>
                <w:w w:val="92"/>
              </w:rPr>
              <w:t>After the fourth anniversary of the Grant Date</w:t>
            </w:r>
          </w:p>
        </w:tc>
      </w:tr>
      <w:tr>
        <w:trPr>
          <w:trHeight w:val="459"/>
        </w:trPr>
        <w:tc>
          <w:tcPr>
            <w:tcW w:w="4160" w:type="dxa"/>
            <w:vAlign w:val="bottom"/>
            <w:gridSpan w:val="3"/>
          </w:tcPr>
          <w:p>
            <w:pPr>
              <w:spacing w:after="0"/>
              <w:rPr>
                <w:sz w:val="20"/>
                <w:szCs w:val="20"/>
                <w:color w:val="auto"/>
              </w:rPr>
            </w:pPr>
            <w:r>
              <w:rPr>
                <w:rFonts w:ascii="Arial" w:cs="Arial" w:eastAsia="Arial" w:hAnsi="Arial"/>
                <w:sz w:val="20"/>
                <w:szCs w:val="20"/>
                <w:color w:val="auto"/>
                <w:w w:val="92"/>
              </w:rPr>
              <w:t>20% of the number of shares subject to the Option</w:t>
            </w:r>
          </w:p>
        </w:tc>
        <w:tc>
          <w:tcPr>
            <w:tcW w:w="3880" w:type="dxa"/>
            <w:vAlign w:val="bottom"/>
            <w:gridSpan w:val="3"/>
          </w:tcPr>
          <w:p>
            <w:pPr>
              <w:ind w:left="160"/>
              <w:spacing w:after="0"/>
              <w:rPr>
                <w:sz w:val="20"/>
                <w:szCs w:val="20"/>
                <w:color w:val="auto"/>
              </w:rPr>
            </w:pPr>
            <w:r>
              <w:rPr>
                <w:rFonts w:ascii="Arial" w:cs="Arial" w:eastAsia="Arial" w:hAnsi="Arial"/>
                <w:sz w:val="20"/>
                <w:szCs w:val="20"/>
                <w:color w:val="auto"/>
                <w:w w:val="97"/>
              </w:rPr>
              <w:t>After the fifth anniversary of the Grant Date</w:t>
            </w:r>
          </w:p>
        </w:tc>
      </w:tr>
    </w:tbl>
    <w:p>
      <w:pPr>
        <w:spacing w:after="0" w:line="209" w:lineRule="exact"/>
        <w:rPr>
          <w:sz w:val="20"/>
          <w:szCs w:val="20"/>
          <w:color w:val="auto"/>
        </w:rPr>
      </w:pPr>
    </w:p>
    <w:p>
      <w:pPr>
        <w:ind w:right="200" w:firstLine="1305"/>
        <w:spacing w:after="0" w:line="246" w:lineRule="auto"/>
        <w:tabs>
          <w:tab w:leader="none" w:pos="1923"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This Option may be exercised, to the extent exercisable by its terms, from time to time in whole or in part at any time prior to the expiration thereof. Any exercise shall be accompanied by a written notice to the Company specifying the number of shares as to which this Option is being exercised (the “Option Shares”). Notations of any partial exercise or installment exercise, shall be made by the Company on Schedule A hereto.</w:t>
      </w:r>
    </w:p>
    <w:p>
      <w:pPr>
        <w:spacing w:after="0" w:line="205" w:lineRule="exact"/>
        <w:rPr>
          <w:rFonts w:ascii="Arial" w:cs="Arial" w:eastAsia="Arial" w:hAnsi="Arial"/>
          <w:sz w:val="20"/>
          <w:szCs w:val="20"/>
          <w:color w:val="auto"/>
        </w:rPr>
      </w:pPr>
    </w:p>
    <w:p>
      <w:pPr>
        <w:ind w:left="2060" w:hanging="755"/>
        <w:spacing w:after="0"/>
        <w:tabs>
          <w:tab w:leader="none" w:pos="2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Notwithstanding anything else herein to the contrary, this Option shall expire on the tenth anniversary of the Grant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Date.</w:t>
      </w:r>
    </w:p>
    <w:p>
      <w:pPr>
        <w:spacing w:after="0" w:line="213" w:lineRule="exact"/>
        <w:rPr>
          <w:rFonts w:ascii="Arial" w:cs="Arial" w:eastAsia="Arial" w:hAnsi="Arial"/>
          <w:sz w:val="18"/>
          <w:szCs w:val="18"/>
          <w:color w:val="auto"/>
        </w:rPr>
      </w:pPr>
    </w:p>
    <w:p>
      <w:pPr>
        <w:ind w:left="1940" w:hanging="635"/>
        <w:spacing w:after="0"/>
        <w:tabs>
          <w:tab w:leader="none" w:pos="194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Holder hereby agrees to notify the Company in writing in the event</w:t>
      </w:r>
    </w:p>
    <w:p>
      <w:pPr>
        <w:sectPr>
          <w:pgSz w:w="11900" w:h="16838" w:orient="portrait"/>
          <w:cols w:equalWidth="0" w:num="1">
            <w:col w:w="11420"/>
          </w:cols>
          <w:pgMar w:left="240" w:top="116" w:right="239" w:bottom="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16" w:right="239" w:bottom="0" w:gutter="0" w:footer="0" w:header="0"/>
          <w:type w:val="continuous"/>
        </w:sectPr>
      </w:pPr>
    </w:p>
    <w:bookmarkStart w:id="92" w:name="page93"/>
    <w:bookmarkEnd w:id="92"/>
    <w:p>
      <w:pPr>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acquired pursuant to the exercise of this Option are transferred, other than by will or by the laws of descent and distribution, within two years after the Grant Date or within one year after the issuance of such shares pursuant to such exercise.</w:t>
      </w:r>
    </w:p>
    <w:p>
      <w:pPr>
        <w:spacing w:after="0" w:line="190" w:lineRule="exact"/>
        <w:rPr>
          <w:sz w:val="20"/>
          <w:szCs w:val="20"/>
          <w:color w:val="auto"/>
        </w:rPr>
      </w:pPr>
    </w:p>
    <w:p>
      <w:pPr>
        <w:ind w:right="20" w:firstLine="656"/>
        <w:spacing w:after="0" w:line="260" w:lineRule="auto"/>
        <w:tabs>
          <w:tab w:leader="none" w:pos="1269"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Payment of Purchase Price Upon Exercise</w:t>
      </w:r>
      <w:r>
        <w:rPr>
          <w:rFonts w:ascii="Arial" w:cs="Arial" w:eastAsia="Arial" w:hAnsi="Arial"/>
          <w:sz w:val="20"/>
          <w:szCs w:val="20"/>
          <w:color w:val="auto"/>
        </w:rPr>
        <w:t>. At the time of any exercise of all or a portion of the Option, the purchase price shall be paid in full to the Company in any of the following ways or in any combination of the following ways:</w:t>
      </w:r>
    </w:p>
    <w:p>
      <w:pPr>
        <w:spacing w:after="0" w:line="190" w:lineRule="exact"/>
        <w:rPr>
          <w:rFonts w:ascii="Arial" w:cs="Arial" w:eastAsia="Arial" w:hAnsi="Arial"/>
          <w:sz w:val="20"/>
          <w:szCs w:val="20"/>
          <w:color w:val="auto"/>
        </w:rPr>
      </w:pPr>
    </w:p>
    <w:p>
      <w:pPr>
        <w:ind w:left="1920" w:hanging="615"/>
        <w:spacing w:after="0"/>
        <w:tabs>
          <w:tab w:leader="none" w:pos="192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By check or other immediately available funds.</w:t>
      </w:r>
    </w:p>
    <w:p>
      <w:pPr>
        <w:spacing w:after="0" w:line="229" w:lineRule="exact"/>
        <w:rPr>
          <w:rFonts w:ascii="Arial" w:cs="Arial" w:eastAsia="Arial" w:hAnsi="Arial"/>
          <w:sz w:val="20"/>
          <w:szCs w:val="20"/>
          <w:color w:val="auto"/>
        </w:rPr>
      </w:pPr>
    </w:p>
    <w:p>
      <w:pPr>
        <w:jc w:val="both"/>
        <w:ind w:firstLine="1305"/>
        <w:spacing w:after="0" w:line="246" w:lineRule="auto"/>
        <w:tabs>
          <w:tab w:leader="none" w:pos="1958" w:val="left"/>
        </w:tabs>
        <w:numPr>
          <w:ilvl w:val="1"/>
          <w:numId w:val="104"/>
        </w:numPr>
        <w:rPr>
          <w:rFonts w:ascii="Arial" w:cs="Arial" w:eastAsia="Arial" w:hAnsi="Arial"/>
          <w:sz w:val="20"/>
          <w:szCs w:val="20"/>
          <w:color w:val="auto"/>
        </w:rPr>
      </w:pPr>
      <w:r>
        <w:rPr>
          <w:rFonts w:ascii="Arial" w:cs="Arial" w:eastAsia="Arial" w:hAnsi="Arial"/>
          <w:sz w:val="20"/>
          <w:szCs w:val="20"/>
          <w:color w:val="auto"/>
        </w:rPr>
        <w:t>With property consisting of shares of Stock. (The shares of Stock to be used as payment shall be valued as of the date of exercise of the Option at the Closing Price as defined below. For example, if Holder exercises the option for 4,000 shares at a total Exercise Price of $8,000, assuming an exercise price of $2.00 per share, and the Closing Price is $5.00, Holder may pay for the 4,000 Option Shares by transferring 1,600 shares of Stock to the Company.)</w:t>
      </w:r>
    </w:p>
    <w:p>
      <w:pPr>
        <w:spacing w:after="0" w:line="205" w:lineRule="exact"/>
        <w:rPr>
          <w:rFonts w:ascii="Arial" w:cs="Arial" w:eastAsia="Arial" w:hAnsi="Arial"/>
          <w:sz w:val="20"/>
          <w:szCs w:val="20"/>
          <w:color w:val="auto"/>
        </w:rPr>
      </w:pPr>
    </w:p>
    <w:p>
      <w:pPr>
        <w:jc w:val="both"/>
        <w:ind w:firstLine="1305"/>
        <w:spacing w:after="0" w:line="250" w:lineRule="auto"/>
        <w:tabs>
          <w:tab w:leader="none" w:pos="1935" w:val="left"/>
        </w:tabs>
        <w:numPr>
          <w:ilvl w:val="1"/>
          <w:numId w:val="104"/>
        </w:numPr>
        <w:rPr>
          <w:rFonts w:ascii="Arial" w:cs="Arial" w:eastAsia="Arial" w:hAnsi="Arial"/>
          <w:sz w:val="20"/>
          <w:szCs w:val="20"/>
          <w:color w:val="auto"/>
        </w:rPr>
      </w:pPr>
      <w:r>
        <w:rPr>
          <w:rFonts w:ascii="Arial" w:cs="Arial" w:eastAsia="Arial" w:hAnsi="Arial"/>
          <w:sz w:val="20"/>
          <w:szCs w:val="20"/>
          <w:color w:val="auto"/>
        </w:rPr>
        <w:t>By delivering a properly executed exercise notice together with irrevocable instructions to a broker to deliver promptly to the Company the amount of sale proceeds necessary to pay the purchase price and applicable withholding taxes, and such other documents as the Committee may determine.</w:t>
      </w:r>
    </w:p>
    <w:p>
      <w:pPr>
        <w:spacing w:after="0" w:line="199" w:lineRule="exact"/>
        <w:rPr>
          <w:rFonts w:ascii="Arial" w:cs="Arial" w:eastAsia="Arial" w:hAnsi="Arial"/>
          <w:sz w:val="20"/>
          <w:szCs w:val="20"/>
          <w:color w:val="auto"/>
        </w:rPr>
      </w:pPr>
    </w:p>
    <w:p>
      <w:pPr>
        <w:jc w:val="both"/>
        <w:ind w:firstLine="1305"/>
        <w:spacing w:after="0" w:line="257" w:lineRule="auto"/>
        <w:tabs>
          <w:tab w:leader="none" w:pos="2027" w:val="left"/>
        </w:tabs>
        <w:numPr>
          <w:ilvl w:val="1"/>
          <w:numId w:val="104"/>
        </w:numPr>
        <w:rPr>
          <w:rFonts w:ascii="Arial" w:cs="Arial" w:eastAsia="Arial" w:hAnsi="Arial"/>
          <w:sz w:val="19"/>
          <w:szCs w:val="19"/>
          <w:color w:val="auto"/>
        </w:rPr>
      </w:pPr>
      <w:r>
        <w:rPr>
          <w:rFonts w:ascii="Arial" w:cs="Arial" w:eastAsia="Arial" w:hAnsi="Arial"/>
          <w:sz w:val="19"/>
          <w:szCs w:val="19"/>
          <w:color w:val="auto"/>
        </w:rPr>
        <w:t>For purposes of this Agreement, the term “Closing Price” means, with respect to the Company’s Stock, the last sale price regular-way or, in case no such sale takes place on such date, the average of the closing bid and asked prices regular-way on the principal national securities exchange on which the Stock is listed or admitted to trading; or, if the Stock is not listed or admitted to trading on any national securities exchange, the last sale price of the Stock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Stock is not listed on NASDAQ or a comparable system, the “Closing Price” shall be the fair market value of the Stock as determined by the Committee in good faith.</w:t>
      </w:r>
    </w:p>
    <w:p>
      <w:pPr>
        <w:spacing w:after="0" w:line="194" w:lineRule="exact"/>
        <w:rPr>
          <w:rFonts w:ascii="Arial" w:cs="Arial" w:eastAsia="Arial" w:hAnsi="Arial"/>
          <w:sz w:val="19"/>
          <w:szCs w:val="19"/>
          <w:color w:val="auto"/>
        </w:rPr>
      </w:pPr>
    </w:p>
    <w:p>
      <w:pPr>
        <w:jc w:val="both"/>
        <w:ind w:firstLine="656"/>
        <w:spacing w:after="0" w:line="250" w:lineRule="auto"/>
        <w:tabs>
          <w:tab w:leader="none" w:pos="1269"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Purchase for Investment; Resale Restrictions</w:t>
      </w:r>
      <w:r>
        <w:rPr>
          <w:rFonts w:ascii="Arial" w:cs="Arial" w:eastAsia="Arial" w:hAnsi="Arial"/>
          <w:sz w:val="20"/>
          <w:szCs w:val="20"/>
          <w:color w:val="auto"/>
        </w:rPr>
        <w:t>. Unless at the time of exercise of the Option there shall be a valid and effective registration statement under the Securities Act of 1933 (the “‘33 Act”) and appropriate qualification and registration under applicable state securities laws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relating to the Option Shares being acquired, Holder shall upon exercise of the Option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183" w:lineRule="exact"/>
        <w:rPr>
          <w:sz w:val="20"/>
          <w:szCs w:val="20"/>
          <w:color w:val="auto"/>
        </w:rPr>
      </w:pPr>
    </w:p>
    <w:p>
      <w:pPr>
        <w:ind w:right="20" w:firstLine="656"/>
        <w:spacing w:after="0" w:line="260" w:lineRule="auto"/>
        <w:tabs>
          <w:tab w:leader="none" w:pos="1310" w:val="left"/>
        </w:tabs>
        <w:numPr>
          <w:ilvl w:val="1"/>
          <w:numId w:val="105"/>
        </w:numPr>
        <w:rPr>
          <w:rFonts w:ascii="Arial" w:cs="Arial" w:eastAsia="Arial" w:hAnsi="Arial"/>
          <w:sz w:val="20"/>
          <w:szCs w:val="20"/>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 This Option shall not be transferable other than by will or by the laws of descent and distribution. During the lifetime of Holder, this Option shall be exercisable only by Holder.</w:t>
      </w:r>
    </w:p>
    <w:p>
      <w:pPr>
        <w:spacing w:after="0" w:line="190" w:lineRule="exact"/>
        <w:rPr>
          <w:rFonts w:ascii="Arial" w:cs="Arial" w:eastAsia="Arial" w:hAnsi="Arial"/>
          <w:sz w:val="20"/>
          <w:szCs w:val="20"/>
          <w:color w:val="auto"/>
        </w:rPr>
      </w:pPr>
    </w:p>
    <w:p>
      <w:pPr>
        <w:ind w:left="1260" w:hanging="604"/>
        <w:spacing w:after="0"/>
        <w:tabs>
          <w:tab w:leader="none" w:pos="1260" w:val="left"/>
        </w:tabs>
        <w:numPr>
          <w:ilvl w:val="1"/>
          <w:numId w:val="105"/>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1305"/>
        <w:spacing w:after="0" w:line="303" w:lineRule="auto"/>
        <w:tabs>
          <w:tab w:leader="none" w:pos="1941" w:val="left"/>
        </w:tabs>
        <w:numPr>
          <w:ilvl w:val="2"/>
          <w:numId w:val="105"/>
        </w:numPr>
        <w:rPr>
          <w:rFonts w:ascii="Arial" w:cs="Arial" w:eastAsia="Arial" w:hAnsi="Arial"/>
          <w:sz w:val="16"/>
          <w:szCs w:val="16"/>
          <w:color w:val="auto"/>
        </w:rPr>
      </w:pPr>
      <w:r>
        <w:rPr>
          <w:rFonts w:ascii="Arial" w:cs="Arial" w:eastAsia="Arial" w:hAnsi="Arial"/>
          <w:sz w:val="16"/>
          <w:szCs w:val="16"/>
          <w:color w:val="auto"/>
        </w:rPr>
        <w:t>Subject to clause 7(b) below, if the outstanding shares of stock of the Company are 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 of the assets or shares of the Company, reorganization, recapitalization, reclassification, stock dividend, stock split, reverse stock split or other distribution with respect to such shares of stock or other securities, then, to the extent permitted by the Board, an appropriate and proportionate adjustment shall be made in</w:t>
      </w:r>
    </w:p>
    <w:p>
      <w:pPr>
        <w:spacing w:after="0" w:line="2" w:lineRule="exact"/>
        <w:rPr>
          <w:rFonts w:ascii="Arial" w:cs="Arial" w:eastAsia="Arial" w:hAnsi="Arial"/>
          <w:sz w:val="16"/>
          <w:szCs w:val="16"/>
          <w:color w:val="auto"/>
        </w:rPr>
      </w:pPr>
    </w:p>
    <w:p>
      <w:pPr>
        <w:jc w:val="both"/>
        <w:ind w:firstLine="8"/>
        <w:spacing w:after="0" w:line="315" w:lineRule="auto"/>
        <w:tabs>
          <w:tab w:leader="none" w:pos="28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maximum number and/or kind of shares provided in Paragraph 1 above; (2) the number and/or kind of shares or other securities subject to the outstanding options and tandum SARs, if any; and (3) the price for each share or other unit of any other securities subject to outstanding options without change in the aggregate purchase price or value as to which the options remain exercisable or subject to restrictions. Any adjustment under this clause 7(a) shall be made by the Board, whose determination as to what adjustments shall be made, if any, and the extent thereof, will be final, binding and conclusive. No fractional interests will be issued under this Agreement resulting from any such adjustment.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1305"/>
        <w:spacing w:after="0" w:line="246" w:lineRule="auto"/>
        <w:tabs>
          <w:tab w:leader="none" w:pos="2035" w:val="left"/>
        </w:tabs>
        <w:numPr>
          <w:ilvl w:val="1"/>
          <w:numId w:val="107"/>
        </w:numPr>
        <w:rPr>
          <w:rFonts w:ascii="Arial" w:cs="Arial" w:eastAsia="Arial" w:hAnsi="Arial"/>
          <w:sz w:val="20"/>
          <w:szCs w:val="20"/>
          <w:color w:val="auto"/>
        </w:rPr>
      </w:pPr>
      <w:r>
        <w:rPr>
          <w:rFonts w:ascii="Arial" w:cs="Arial" w:eastAsia="Arial" w:hAnsi="Arial"/>
          <w:sz w:val="20"/>
          <w:szCs w:val="20"/>
          <w:color w:val="auto"/>
        </w:rPr>
        <w:t>Notwithstanding anything else herein to the contrary, the Board may, at any time, in its sole discretion, provide that upon the occurrence of a change in control of the Company (as determined by the Board), all or a specified portion of any outstanding options not theretofore exercisable shall immediately become exercisable and that any option not exercised prior to such change in control shall be canceled.</w:t>
      </w:r>
    </w:p>
    <w:p>
      <w:pPr>
        <w:spacing w:after="0" w:line="205" w:lineRule="exact"/>
        <w:rPr>
          <w:rFonts w:ascii="Arial" w:cs="Arial" w:eastAsia="Arial" w:hAnsi="Arial"/>
          <w:sz w:val="20"/>
          <w:szCs w:val="20"/>
          <w:color w:val="auto"/>
        </w:rPr>
      </w:pPr>
    </w:p>
    <w:p>
      <w:pPr>
        <w:ind w:firstLine="656"/>
        <w:spacing w:after="0" w:line="260" w:lineRule="auto"/>
        <w:tabs>
          <w:tab w:leader="none" w:pos="1269"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No Rights as Stockholder</w:t>
      </w:r>
      <w:r>
        <w:rPr>
          <w:rFonts w:ascii="Arial" w:cs="Arial" w:eastAsia="Arial" w:hAnsi="Arial"/>
          <w:sz w:val="20"/>
          <w:szCs w:val="20"/>
          <w:color w:val="auto"/>
        </w:rPr>
        <w:t>. Holder shall have no rights as a stockholder with respect to any shares of Stock subject to this Option prior to the date of issuance to him of a certificate or certificates for such shares.</w:t>
      </w:r>
    </w:p>
    <w:p>
      <w:pPr>
        <w:sectPr>
          <w:pgSz w:w="11900" w:h="16838" w:orient="portrait"/>
          <w:cols w:equalWidth="0" w:num="1">
            <w:col w:w="11420"/>
          </w:cols>
          <w:pgMar w:left="240" w:top="730" w:right="239" w:bottom="0" w:gutter="0" w:footer="0" w:header="0"/>
        </w:sectPr>
      </w:pPr>
    </w:p>
    <w:bookmarkStart w:id="93" w:name="page94"/>
    <w:bookmarkEnd w:id="93"/>
    <w:p>
      <w:pPr>
        <w:jc w:val="both"/>
        <w:ind w:right="60" w:firstLine="656"/>
        <w:spacing w:after="0" w:line="250" w:lineRule="auto"/>
        <w:tabs>
          <w:tab w:leader="none" w:pos="1256"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No Right to Continue Employment</w:t>
      </w:r>
      <w:r>
        <w:rPr>
          <w:rFonts w:ascii="Arial" w:cs="Arial" w:eastAsia="Arial" w:hAnsi="Arial"/>
          <w:sz w:val="20"/>
          <w:szCs w:val="20"/>
          <w:color w:val="auto"/>
        </w:rPr>
        <w:t>. This Agreement shall not confer upon Holder any right with respect to continuance of employment with a Participating Company nor shall it interfere in any way with the right of a Participating Company to terminate the Holder’s employment at any time.</w:t>
      </w:r>
    </w:p>
    <w:p>
      <w:pPr>
        <w:spacing w:after="0" w:line="199" w:lineRule="exact"/>
        <w:rPr>
          <w:rFonts w:ascii="Arial" w:cs="Arial" w:eastAsia="Arial" w:hAnsi="Arial"/>
          <w:sz w:val="20"/>
          <w:szCs w:val="20"/>
          <w:color w:val="auto"/>
        </w:rPr>
      </w:pPr>
    </w:p>
    <w:p>
      <w:pPr>
        <w:jc w:val="both"/>
        <w:ind w:right="40" w:firstLine="656"/>
        <w:spacing w:after="0" w:line="258" w:lineRule="auto"/>
        <w:tabs>
          <w:tab w:leader="none" w:pos="1305"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Compliance With Law and Regulation</w:t>
      </w:r>
      <w:r>
        <w:rPr>
          <w:rFonts w:ascii="Arial" w:cs="Arial" w:eastAsia="Arial" w:hAnsi="Arial"/>
          <w:sz w:val="19"/>
          <w:szCs w:val="19"/>
          <w:color w:val="auto"/>
        </w:rPr>
        <w:t>. This Agreement and the obligation of the Company to sell and deliver shares of Stock hereunder shall be subject to all applicable federal and state laws, rules and regulations and to such approvals by any government or regulatory agency as may be required. If at any time the Board shall determine that (i) the listing, registration or qualification of the shares of Stock subject or related thereto upon any securities exchange or under any state or federal law, or (ii) the consent or approval of any government regulatory body, is necessary or desirable as a condition of or in connection with the issue or purchase of shares of Stock hereunder, this Option may not be exercised in whole or in part unless such listing, registration, qualification, consent, approval or agreement shall have been effected or obtained free of any conditions not acceptable to the Board.</w:t>
      </w:r>
    </w:p>
    <w:p>
      <w:pPr>
        <w:spacing w:after="0" w:line="192" w:lineRule="exact"/>
        <w:rPr>
          <w:rFonts w:ascii="Arial" w:cs="Arial" w:eastAsia="Arial" w:hAnsi="Arial"/>
          <w:sz w:val="19"/>
          <w:szCs w:val="19"/>
          <w:color w:val="auto"/>
        </w:rPr>
      </w:pPr>
    </w:p>
    <w:p>
      <w:pPr>
        <w:ind w:right="40" w:firstLine="656"/>
        <w:spacing w:after="0" w:line="316" w:lineRule="auto"/>
        <w:tabs>
          <w:tab w:leader="none" w:pos="143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Tax Withholding Requirements</w:t>
      </w:r>
      <w:r>
        <w:rPr>
          <w:rFonts w:ascii="Arial" w:cs="Arial" w:eastAsia="Arial" w:hAnsi="Arial"/>
          <w:sz w:val="18"/>
          <w:szCs w:val="18"/>
          <w:color w:val="auto"/>
        </w:rPr>
        <w:t>. The Company shall have the right to require Holder to remit to the Company an amount sufficient to satisfy any federal, state or local withholding tax requirements prior to the delivery of any certificate or certificates for Stock.</w:t>
      </w:r>
    </w:p>
    <w:p>
      <w:pPr>
        <w:spacing w:after="0" w:line="143" w:lineRule="exact"/>
        <w:rPr>
          <w:rFonts w:ascii="Arial" w:cs="Arial" w:eastAsia="Arial" w:hAnsi="Arial"/>
          <w:sz w:val="18"/>
          <w:szCs w:val="18"/>
          <w:color w:val="auto"/>
        </w:rPr>
      </w:pPr>
    </w:p>
    <w:p>
      <w:pPr>
        <w:ind w:right="40" w:firstLine="656"/>
        <w:spacing w:after="0" w:line="316" w:lineRule="auto"/>
        <w:tabs>
          <w:tab w:leader="none" w:pos="137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other provision of this Agreement, no fractional shares of Stock shall be issued upon the exercise of this Option, and the Company shall not be under any obligation to compensate Holder in any way for such fractional shares.</w:t>
      </w:r>
    </w:p>
    <w:p>
      <w:pPr>
        <w:spacing w:after="0" w:line="143" w:lineRule="exact"/>
        <w:rPr>
          <w:rFonts w:ascii="Arial" w:cs="Arial" w:eastAsia="Arial" w:hAnsi="Arial"/>
          <w:sz w:val="18"/>
          <w:szCs w:val="18"/>
          <w:color w:val="auto"/>
        </w:rPr>
      </w:pPr>
    </w:p>
    <w:p>
      <w:pPr>
        <w:ind w:right="40" w:firstLine="656"/>
        <w:spacing w:after="0" w:line="260" w:lineRule="auto"/>
        <w:tabs>
          <w:tab w:leader="none" w:pos="1373"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hereunder to the Company shall be addressed to it at its office at 550 Monica Circle, Suite 201, Corona, California 92880, Attention: Rodney C. Sacks with</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a copy to Benjamin Polk, Schulte Roth &amp; Zabel LLP, 919 Third Avenue, New York, New York 10022, and any notice hereunder to Holder shall be addressed to him at 4472 Torrey Pines, Chino Hills, CA 91709, subject to the right of either party to designate at any time hereafter in writing some other address.</w:t>
      </w:r>
    </w:p>
    <w:p>
      <w:pPr>
        <w:spacing w:after="0" w:line="200" w:lineRule="exact"/>
        <w:rPr>
          <w:sz w:val="20"/>
          <w:szCs w:val="20"/>
          <w:color w:val="auto"/>
        </w:rPr>
      </w:pPr>
    </w:p>
    <w:p>
      <w:pPr>
        <w:ind w:right="40" w:firstLine="656"/>
        <w:spacing w:after="0" w:line="260" w:lineRule="auto"/>
        <w:tabs>
          <w:tab w:leader="none" w:pos="1332"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No modification, amendment or waiver of any of the provisions of this Agreement shall be effective unless in writing specifically referring hereto, and signed by both parties.</w:t>
      </w:r>
    </w:p>
    <w:p>
      <w:pPr>
        <w:spacing w:after="0" w:line="190" w:lineRule="exact"/>
        <w:rPr>
          <w:rFonts w:ascii="Arial" w:cs="Arial" w:eastAsia="Arial" w:hAnsi="Arial"/>
          <w:sz w:val="20"/>
          <w:szCs w:val="20"/>
          <w:color w:val="auto"/>
        </w:rPr>
      </w:pPr>
    </w:p>
    <w:p>
      <w:pPr>
        <w:ind w:right="40" w:firstLine="656"/>
        <w:spacing w:after="0" w:line="316" w:lineRule="auto"/>
        <w:tabs>
          <w:tab w:leader="none" w:pos="1373"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43" w:lineRule="exact"/>
        <w:rPr>
          <w:rFonts w:ascii="Arial" w:cs="Arial" w:eastAsia="Arial" w:hAnsi="Arial"/>
          <w:sz w:val="18"/>
          <w:szCs w:val="18"/>
          <w:color w:val="auto"/>
        </w:rPr>
      </w:pPr>
    </w:p>
    <w:p>
      <w:pPr>
        <w:ind w:left="1320" w:hanging="664"/>
        <w:spacing w:after="0"/>
        <w:tabs>
          <w:tab w:leader="none" w:pos="13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constitute one and the same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instrument.</w:t>
      </w:r>
    </w:p>
    <w:p>
      <w:pPr>
        <w:spacing w:after="0" w:line="213"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IN WITNESS WHEREOF, Hansen Natural Corporation has caused this Agreement to be executed by a duly authorized officer and Holder has executed this Agreement both as of the day and year first above written.</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6480" w:type="dxa"/>
            <w:vAlign w:val="bottom"/>
            <w:gridSpan w:val="2"/>
          </w:tcPr>
          <w:p>
            <w:pPr>
              <w:ind w:left="780"/>
              <w:spacing w:after="0"/>
              <w:rPr>
                <w:sz w:val="20"/>
                <w:szCs w:val="20"/>
                <w:color w:val="auto"/>
              </w:rPr>
            </w:pPr>
            <w:r>
              <w:rPr>
                <w:rFonts w:ascii="Arial" w:cs="Arial" w:eastAsia="Arial" w:hAnsi="Arial"/>
                <w:sz w:val="20"/>
                <w:szCs w:val="20"/>
                <w:color w:val="auto"/>
              </w:rPr>
              <w:t>HANSEN NATURAL CORPORATION</w:t>
            </w:r>
          </w:p>
        </w:tc>
        <w:tc>
          <w:tcPr>
            <w:tcW w:w="40" w:type="dxa"/>
            <w:vAlign w:val="bottom"/>
          </w:tcPr>
          <w:p>
            <w:pPr>
              <w:spacing w:after="0"/>
              <w:rPr>
                <w:sz w:val="21"/>
                <w:szCs w:val="21"/>
                <w:color w:val="auto"/>
              </w:rPr>
            </w:pPr>
          </w:p>
        </w:tc>
      </w:tr>
      <w:tr>
        <w:trPr>
          <w:trHeight w:val="678"/>
        </w:trPr>
        <w:tc>
          <w:tcPr>
            <w:tcW w:w="4940" w:type="dxa"/>
            <w:vAlign w:val="bottom"/>
            <w:gridSpan w:val="2"/>
          </w:tcPr>
          <w:p>
            <w:pPr>
              <w:spacing w:after="0"/>
              <w:rPr>
                <w:sz w:val="20"/>
                <w:szCs w:val="20"/>
                <w:color w:val="auto"/>
              </w:rPr>
            </w:pPr>
            <w:r>
              <w:rPr>
                <w:rFonts w:ascii="Arial" w:cs="Arial" w:eastAsia="Arial" w:hAnsi="Arial"/>
                <w:sz w:val="20"/>
                <w:szCs w:val="20"/>
                <w:color w:val="auto"/>
              </w:rPr>
              <w:t>/s/ Thomas Kelly</w:t>
            </w:r>
          </w:p>
        </w:tc>
        <w:tc>
          <w:tcPr>
            <w:tcW w:w="6480" w:type="dxa"/>
            <w:vAlign w:val="bottom"/>
            <w:gridSpan w:val="2"/>
          </w:tcPr>
          <w:p>
            <w:pPr>
              <w:ind w:left="780"/>
              <w:spacing w:after="0"/>
              <w:rPr>
                <w:sz w:val="20"/>
                <w:szCs w:val="20"/>
                <w:color w:val="auto"/>
              </w:rPr>
            </w:pPr>
            <w:r>
              <w:rPr>
                <w:rFonts w:ascii="Arial" w:cs="Arial" w:eastAsia="Arial" w:hAnsi="Arial"/>
                <w:sz w:val="20"/>
                <w:szCs w:val="20"/>
                <w:color w:val="auto"/>
              </w:rPr>
              <w:t>By:  /s/ Rodney C. Sacks</w:t>
            </w:r>
          </w:p>
        </w:tc>
        <w:tc>
          <w:tcPr>
            <w:tcW w:w="4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4920" w:type="dxa"/>
            <w:vAlign w:val="bottom"/>
            <w:tcBorders>
              <w:top w:val="single" w:sz="8" w:color="auto"/>
            </w:tcBorders>
          </w:tcPr>
          <w:p>
            <w:pPr>
              <w:spacing w:after="0" w:line="213" w:lineRule="exact"/>
              <w:rPr>
                <w:sz w:val="20"/>
                <w:szCs w:val="20"/>
                <w:color w:val="auto"/>
              </w:rPr>
            </w:pPr>
            <w:r>
              <w:rPr>
                <w:rFonts w:ascii="Arial" w:cs="Arial" w:eastAsia="Arial" w:hAnsi="Arial"/>
                <w:sz w:val="20"/>
                <w:szCs w:val="20"/>
                <w:color w:val="auto"/>
              </w:rPr>
              <w:t>Thomas Kelly</w:t>
            </w:r>
          </w:p>
        </w:tc>
        <w:tc>
          <w:tcPr>
            <w:tcW w:w="1220" w:type="dxa"/>
            <w:vAlign w:val="bottom"/>
          </w:tcPr>
          <w:p>
            <w:pPr>
              <w:ind w:left="780"/>
              <w:spacing w:after="0" w:line="213" w:lineRule="exact"/>
              <w:rPr>
                <w:sz w:val="20"/>
                <w:szCs w:val="20"/>
                <w:color w:val="auto"/>
              </w:rPr>
            </w:pPr>
            <w:r>
              <w:rPr>
                <w:rFonts w:ascii="Arial" w:cs="Arial" w:eastAsia="Arial" w:hAnsi="Arial"/>
                <w:sz w:val="20"/>
                <w:szCs w:val="20"/>
                <w:color w:val="auto"/>
                <w:w w:val="71"/>
              </w:rPr>
              <w:t>Name:</w:t>
            </w:r>
          </w:p>
        </w:tc>
        <w:tc>
          <w:tcPr>
            <w:tcW w:w="5260" w:type="dxa"/>
            <w:vAlign w:val="bottom"/>
            <w:tcBorders>
              <w:top w:val="single" w:sz="8" w:color="auto"/>
            </w:tcBorders>
          </w:tcPr>
          <w:p>
            <w:pPr>
              <w:ind w:left="180"/>
              <w:spacing w:after="0" w:line="213"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6480" w:type="dxa"/>
            <w:vAlign w:val="bottom"/>
            <w:gridSpan w:val="2"/>
          </w:tcPr>
          <w:p>
            <w:pPr>
              <w:ind w:left="780"/>
              <w:spacing w:after="0"/>
              <w:rPr>
                <w:sz w:val="20"/>
                <w:szCs w:val="20"/>
                <w:color w:val="auto"/>
              </w:rPr>
            </w:pPr>
            <w:r>
              <w:rPr>
                <w:rFonts w:ascii="Arial" w:cs="Arial" w:eastAsia="Arial" w:hAnsi="Arial"/>
                <w:sz w:val="20"/>
                <w:szCs w:val="20"/>
                <w:color w:val="auto"/>
              </w:rPr>
              <w:t>Title: Chairman and CEO</w:t>
            </w:r>
          </w:p>
        </w:tc>
        <w:tc>
          <w:tcPr>
            <w:tcW w:w="40" w:type="dxa"/>
            <w:vAlign w:val="bottom"/>
          </w:tcPr>
          <w:p>
            <w:pPr>
              <w:spacing w:after="0"/>
              <w:rPr>
                <w:sz w:val="21"/>
                <w:szCs w:val="21"/>
                <w:color w:val="auto"/>
              </w:rPr>
            </w:pPr>
          </w:p>
        </w:tc>
      </w:tr>
      <w:tr>
        <w:trPr>
          <w:trHeight w:val="40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20" w:type="dxa"/>
            <w:vAlign w:val="bottom"/>
          </w:tcPr>
          <w:p>
            <w:pPr>
              <w:ind w:left="740"/>
              <w:spacing w:after="0"/>
              <w:rPr>
                <w:sz w:val="20"/>
                <w:szCs w:val="20"/>
                <w:color w:val="auto"/>
              </w:rPr>
            </w:pPr>
            <w:r>
              <w:rPr>
                <w:rFonts w:ascii="Arial" w:cs="Arial" w:eastAsia="Arial" w:hAnsi="Arial"/>
                <w:sz w:val="16"/>
                <w:szCs w:val="16"/>
                <w:color w:val="auto"/>
              </w:rPr>
              <w:t>6</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8"/>
        </w:trPr>
        <w:tc>
          <w:tcPr>
            <w:tcW w:w="20" w:type="dxa"/>
            <w:vAlign w:val="bottom"/>
            <w:tcBorders>
              <w:bottom w:val="single" w:sz="8" w:color="010101"/>
            </w:tcBorders>
          </w:tcPr>
          <w:p>
            <w:pPr>
              <w:spacing w:after="0"/>
              <w:rPr>
                <w:sz w:val="11"/>
                <w:szCs w:val="11"/>
                <w:color w:val="auto"/>
              </w:rPr>
            </w:pPr>
          </w:p>
        </w:tc>
        <w:tc>
          <w:tcPr>
            <w:tcW w:w="492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2" w:right="199" w:bottom="1440" w:gutter="0" w:footer="0" w:header="0"/>
        </w:sectPr>
      </w:pPr>
    </w:p>
    <w:bookmarkStart w:id="94" w:name="page95"/>
    <w:bookmarkEnd w:id="94"/>
    <w:p>
      <w:pPr>
        <w:jc w:val="right"/>
        <w:spacing w:after="0"/>
        <w:rPr>
          <w:sz w:val="20"/>
          <w:szCs w:val="20"/>
          <w:color w:val="auto"/>
        </w:rPr>
      </w:pPr>
      <w:r>
        <w:rPr>
          <w:rFonts w:ascii="Arial" w:cs="Arial" w:eastAsia="Arial" w:hAnsi="Arial"/>
          <w:sz w:val="20"/>
          <w:szCs w:val="20"/>
          <w:b w:val="1"/>
          <w:bCs w:val="1"/>
          <w:color w:val="auto"/>
        </w:rPr>
        <w:t>Exhibit 10.49</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Stock Option Agreement (“Agreement”), is made as of June 1, 2009 (the “Grant Date”), by and between Hansen Natural Corporation, a Delaware corporation (the “Company”), and Thomas Kelly (“Holder”).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Recitals</w:t>
      </w:r>
    </w:p>
    <w:p>
      <w:pPr>
        <w:spacing w:after="0" w:line="229" w:lineRule="exact"/>
        <w:rPr>
          <w:sz w:val="20"/>
          <w:szCs w:val="20"/>
          <w:color w:val="auto"/>
        </w:rPr>
      </w:pPr>
    </w:p>
    <w:p>
      <w:pPr>
        <w:ind w:left="1240" w:hanging="584"/>
        <w:spacing w:after="0"/>
        <w:tabs>
          <w:tab w:leader="none" w:pos="124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Holder is an employee of a Participating Company.</w:t>
      </w:r>
    </w:p>
    <w:p>
      <w:pPr>
        <w:spacing w:after="0" w:line="229" w:lineRule="exact"/>
        <w:rPr>
          <w:rFonts w:ascii="Arial" w:cs="Arial" w:eastAsia="Arial" w:hAnsi="Arial"/>
          <w:sz w:val="20"/>
          <w:szCs w:val="20"/>
          <w:color w:val="auto"/>
        </w:rPr>
      </w:pPr>
    </w:p>
    <w:p>
      <w:pPr>
        <w:ind w:right="20" w:firstLine="656"/>
        <w:spacing w:after="0" w:line="287" w:lineRule="auto"/>
        <w:tabs>
          <w:tab w:leader="none" w:pos="142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Pursuant to the Hansen Natural Corporation 2001 Stock Option Plan (the “Plan”), the Company desires to grant Holder an incentive stock option to purchase shares of the Company’s common stock, par value $0.005 per share (the “Common Stock”).</w:t>
      </w:r>
    </w:p>
    <w:p>
      <w:pPr>
        <w:spacing w:after="0" w:line="166" w:lineRule="exact"/>
        <w:rPr>
          <w:rFonts w:ascii="Arial" w:cs="Arial" w:eastAsia="Arial" w:hAnsi="Arial"/>
          <w:sz w:val="19"/>
          <w:szCs w:val="19"/>
          <w:color w:val="auto"/>
        </w:rPr>
      </w:pPr>
    </w:p>
    <w:p>
      <w:pPr>
        <w:ind w:left="1280" w:hanging="624"/>
        <w:spacing w:after="0"/>
        <w:tabs>
          <w:tab w:leader="none" w:pos="128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Capitalized terms not otherwise defined in this Agreement shall have the meaning given to them in the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Company and Holder agree as follows:</w:t>
      </w:r>
    </w:p>
    <w:p>
      <w:pPr>
        <w:spacing w:after="0" w:line="229" w:lineRule="exact"/>
        <w:rPr>
          <w:sz w:val="20"/>
          <w:szCs w:val="20"/>
          <w:color w:val="auto"/>
        </w:rPr>
      </w:pPr>
    </w:p>
    <w:p>
      <w:pPr>
        <w:jc w:val="both"/>
        <w:ind w:firstLine="656"/>
        <w:spacing w:after="0" w:line="242" w:lineRule="auto"/>
        <w:tabs>
          <w:tab w:leader="none" w:pos="1337"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Grant of Incentive Stock Option</w:t>
      </w:r>
      <w:r>
        <w:rPr>
          <w:rFonts w:ascii="Arial" w:cs="Arial" w:eastAsia="Arial" w:hAnsi="Arial"/>
          <w:sz w:val="20"/>
          <w:szCs w:val="20"/>
          <w:color w:val="auto"/>
        </w:rPr>
        <w:t>. The Company hereby grants to Holder, subject to the terms and conditions set forth herein and in the Plan, an incentive stock option (“ISO”) to purchase 10,000 shares of Common Stock, at the purchase price of $36.13 per share (the “Option”), such Option to be exercisable and exercised as hereinafter provided. If for any reason the Option or any portion of the Option shall not qualify as an ISO, then, to the extent of such nonqualification, such Option (or portion thereof) shall be regarded as a nonqualified stock option granted under the Plan, provided that such Option (or portion thereof) otherwise complies with the Plan’s requirements relating to nonqualified stock options. In no event shall any member of the Committee or any Participating Company (or their respective employees, officers or directors) have any liability to Holder (or any other person) due to the failure of an Option (or any portion thereof) to qualify for any reason as an ISO.</w:t>
      </w:r>
    </w:p>
    <w:p>
      <w:pPr>
        <w:spacing w:after="0" w:line="211" w:lineRule="exact"/>
        <w:rPr>
          <w:rFonts w:ascii="Arial" w:cs="Arial" w:eastAsia="Arial" w:hAnsi="Arial"/>
          <w:sz w:val="20"/>
          <w:szCs w:val="20"/>
          <w:color w:val="auto"/>
        </w:rPr>
      </w:pPr>
    </w:p>
    <w:p>
      <w:pPr>
        <w:jc w:val="both"/>
        <w:ind w:firstLine="656"/>
        <w:spacing w:after="0" w:line="278" w:lineRule="auto"/>
        <w:tabs>
          <w:tab w:leader="none" w:pos="1323"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 The Option shall expire three months after the termination of the Holder’s employment with a Participating Company unless the employment is terminated by a Participating Company for Cause (as defined below) or unless the employment is terminated by reason of the death or Total Disability of Holder. If the Holder’s employment is terminated by a Participating Company for Cause, the Option shall expire as of the date employment terminates. If the Holder’s employment terminates due to his death or Total Disability, then the Option may be exercised by Holder or the person or persons to which Holder’s rights under this Agreement pass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will, or if no such person has such right, by his executors or administrators, within six months after the date of death or Total Disability, but no later than the expiration date specified in Section 3(c) below. “Cause” means, as determined by the Committee, the Holder’s (i) act(s) of fraud or dishonesty, (ii) knowing and material failure to comply with applicable laws or regulations or satisfactorily perform his duties of employment, (iii) insubordination or (iv) drug or alcohol abuse.</w:t>
      </w:r>
    </w:p>
    <w:p>
      <w:pPr>
        <w:spacing w:after="0" w:line="205" w:lineRule="exact"/>
        <w:rPr>
          <w:sz w:val="20"/>
          <w:szCs w:val="20"/>
          <w:color w:val="auto"/>
        </w:rPr>
      </w:pPr>
    </w:p>
    <w:p>
      <w:pPr>
        <w:ind w:left="1260" w:hanging="604"/>
        <w:spacing w:after="0"/>
        <w:tabs>
          <w:tab w:leader="none" w:pos="1260"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p>
    <w:p>
      <w:pPr>
        <w:spacing w:after="0" w:line="229" w:lineRule="exact"/>
        <w:rPr>
          <w:rFonts w:ascii="Arial" w:cs="Arial" w:eastAsia="Arial" w:hAnsi="Arial"/>
          <w:sz w:val="20"/>
          <w:szCs w:val="20"/>
          <w:color w:val="auto"/>
        </w:rPr>
      </w:pPr>
    </w:p>
    <w:p>
      <w:pPr>
        <w:jc w:val="both"/>
        <w:ind w:firstLine="1305"/>
        <w:spacing w:after="0" w:line="250" w:lineRule="auto"/>
        <w:tabs>
          <w:tab w:leader="none" w:pos="215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Subject to the other terms of this Agreement regarding the exercisability of the Option, provided that Holder is employed by a Participating Company on the relevant Exercise Date set forth below, the Option may be exercised in respect of the number of shares (the “Option Portion”) listed in column A from and after the Exercise Date listed in column B,</w:t>
      </w:r>
    </w:p>
    <w:p>
      <w:pPr>
        <w:spacing w:after="0" w:line="200" w:lineRule="exact"/>
        <w:rPr>
          <w:sz w:val="20"/>
          <w:szCs w:val="20"/>
          <w:color w:val="auto"/>
        </w:rPr>
      </w:pPr>
    </w:p>
    <w:tbl>
      <w:tblPr>
        <w:tblLayout w:type="fixed"/>
        <w:tblInd w:w="1500" w:type="dxa"/>
        <w:tblCellMar>
          <w:top w:w="0" w:type="dxa"/>
          <w:left w:w="0" w:type="dxa"/>
          <w:bottom w:w="0" w:type="dxa"/>
          <w:right w:w="0" w:type="dxa"/>
        </w:tblCellMar>
      </w:tblPr>
      <w:tr>
        <w:trPr>
          <w:trHeight w:val="250"/>
        </w:trPr>
        <w:tc>
          <w:tcPr>
            <w:tcW w:w="1280" w:type="dxa"/>
            <w:vAlign w:val="bottom"/>
          </w:tcPr>
          <w:p>
            <w:pPr>
              <w:spacing w:after="0"/>
              <w:rPr>
                <w:sz w:val="21"/>
                <w:szCs w:val="21"/>
                <w:color w:val="auto"/>
              </w:rPr>
            </w:pPr>
          </w:p>
        </w:tc>
        <w:tc>
          <w:tcPr>
            <w:tcW w:w="2940" w:type="dxa"/>
            <w:vAlign w:val="bottom"/>
            <w:gridSpan w:val="2"/>
          </w:tcPr>
          <w:p>
            <w:pPr>
              <w:jc w:val="center"/>
              <w:ind w:right="1500"/>
              <w:spacing w:after="0"/>
              <w:rPr>
                <w:sz w:val="20"/>
                <w:szCs w:val="20"/>
                <w:color w:val="auto"/>
              </w:rPr>
            </w:pPr>
            <w:r>
              <w:rPr>
                <w:rFonts w:ascii="Arial" w:cs="Arial" w:eastAsia="Arial" w:hAnsi="Arial"/>
                <w:sz w:val="20"/>
                <w:szCs w:val="20"/>
                <w:color w:val="auto"/>
                <w:w w:val="98"/>
              </w:rPr>
              <w:t>Column “A”</w:t>
            </w:r>
          </w:p>
        </w:tc>
        <w:tc>
          <w:tcPr>
            <w:tcW w:w="1680" w:type="dxa"/>
            <w:vAlign w:val="bottom"/>
          </w:tcPr>
          <w:p>
            <w:pPr>
              <w:spacing w:after="0"/>
              <w:rPr>
                <w:sz w:val="21"/>
                <w:szCs w:val="21"/>
                <w:color w:val="auto"/>
              </w:rPr>
            </w:pPr>
          </w:p>
        </w:tc>
        <w:tc>
          <w:tcPr>
            <w:tcW w:w="2280" w:type="dxa"/>
            <w:vAlign w:val="bottom"/>
            <w:gridSpan w:val="2"/>
          </w:tcPr>
          <w:p>
            <w:pPr>
              <w:jc w:val="center"/>
              <w:ind w:right="1160"/>
              <w:spacing w:after="0"/>
              <w:rPr>
                <w:sz w:val="20"/>
                <w:szCs w:val="20"/>
                <w:color w:val="auto"/>
              </w:rPr>
            </w:pPr>
            <w:r>
              <w:rPr>
                <w:rFonts w:ascii="Arial" w:cs="Arial" w:eastAsia="Arial" w:hAnsi="Arial"/>
                <w:sz w:val="20"/>
                <w:szCs w:val="20"/>
                <w:color w:val="auto"/>
                <w:w w:val="98"/>
              </w:rPr>
              <w:t>Column “B”</w:t>
            </w:r>
          </w:p>
        </w:tc>
      </w:tr>
      <w:tr>
        <w:trPr>
          <w:trHeight w:val="415"/>
        </w:trPr>
        <w:tc>
          <w:tcPr>
            <w:tcW w:w="1280" w:type="dxa"/>
            <w:vAlign w:val="bottom"/>
          </w:tcPr>
          <w:p>
            <w:pPr>
              <w:spacing w:after="0"/>
              <w:rPr>
                <w:sz w:val="24"/>
                <w:szCs w:val="24"/>
                <w:color w:val="auto"/>
              </w:rPr>
            </w:pPr>
          </w:p>
        </w:tc>
        <w:tc>
          <w:tcPr>
            <w:tcW w:w="2940" w:type="dxa"/>
            <w:vAlign w:val="bottom"/>
            <w:gridSpan w:val="2"/>
          </w:tcPr>
          <w:p>
            <w:pPr>
              <w:jc w:val="center"/>
              <w:ind w:right="1500"/>
              <w:spacing w:after="0"/>
              <w:rPr>
                <w:sz w:val="20"/>
                <w:szCs w:val="20"/>
                <w:color w:val="auto"/>
              </w:rPr>
            </w:pPr>
            <w:r>
              <w:rPr>
                <w:rFonts w:ascii="Arial" w:cs="Arial" w:eastAsia="Arial" w:hAnsi="Arial"/>
                <w:sz w:val="20"/>
                <w:szCs w:val="20"/>
                <w:color w:val="auto"/>
                <w:w w:val="88"/>
              </w:rPr>
              <w:t>Number of Shares</w:t>
            </w:r>
          </w:p>
        </w:tc>
        <w:tc>
          <w:tcPr>
            <w:tcW w:w="3960" w:type="dxa"/>
            <w:vAlign w:val="bottom"/>
            <w:gridSpan w:val="3"/>
          </w:tcPr>
          <w:p>
            <w:pPr>
              <w:jc w:val="center"/>
              <w:ind w:left="401"/>
              <w:spacing w:after="0"/>
              <w:rPr>
                <w:sz w:val="20"/>
                <w:szCs w:val="20"/>
                <w:color w:val="auto"/>
              </w:rPr>
            </w:pPr>
            <w:r>
              <w:rPr>
                <w:rFonts w:ascii="Arial" w:cs="Arial" w:eastAsia="Arial" w:hAnsi="Arial"/>
                <w:sz w:val="20"/>
                <w:szCs w:val="20"/>
                <w:color w:val="auto"/>
                <w:w w:val="88"/>
              </w:rPr>
              <w:t>Exercise Date</w:t>
            </w:r>
          </w:p>
        </w:tc>
      </w:tr>
      <w:tr>
        <w:trPr>
          <w:trHeight w:val="20"/>
        </w:trPr>
        <w:tc>
          <w:tcPr>
            <w:tcW w:w="1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84"/>
        </w:trPr>
        <w:tc>
          <w:tcPr>
            <w:tcW w:w="4220" w:type="dxa"/>
            <w:vAlign w:val="bottom"/>
            <w:gridSpan w:val="3"/>
          </w:tcPr>
          <w:p>
            <w:pPr>
              <w:jc w:val="center"/>
              <w:ind w:right="240"/>
              <w:spacing w:after="0"/>
              <w:rPr>
                <w:sz w:val="20"/>
                <w:szCs w:val="20"/>
                <w:color w:val="auto"/>
              </w:rPr>
            </w:pPr>
            <w:r>
              <w:rPr>
                <w:rFonts w:ascii="Arial" w:cs="Arial" w:eastAsia="Arial" w:hAnsi="Arial"/>
                <w:sz w:val="20"/>
                <w:szCs w:val="20"/>
                <w:color w:val="auto"/>
                <w:w w:val="89"/>
              </w:rPr>
              <w:t>20% of the number of shares subject to the Option</w:t>
            </w:r>
          </w:p>
        </w:tc>
        <w:tc>
          <w:tcPr>
            <w:tcW w:w="3960" w:type="dxa"/>
            <w:vAlign w:val="bottom"/>
            <w:gridSpan w:val="3"/>
          </w:tcPr>
          <w:p>
            <w:pPr>
              <w:ind w:left="260"/>
              <w:spacing w:after="0"/>
              <w:rPr>
                <w:sz w:val="20"/>
                <w:szCs w:val="20"/>
                <w:color w:val="auto"/>
              </w:rPr>
            </w:pPr>
            <w:r>
              <w:rPr>
                <w:rFonts w:ascii="Arial" w:cs="Arial" w:eastAsia="Arial" w:hAnsi="Arial"/>
                <w:sz w:val="20"/>
                <w:szCs w:val="20"/>
                <w:color w:val="auto"/>
                <w:w w:val="96"/>
              </w:rPr>
              <w:t>After the first anniversary of the Grant Date</w:t>
            </w:r>
          </w:p>
        </w:tc>
      </w:tr>
      <w:tr>
        <w:trPr>
          <w:trHeight w:val="459"/>
        </w:trPr>
        <w:tc>
          <w:tcPr>
            <w:tcW w:w="4220" w:type="dxa"/>
            <w:vAlign w:val="bottom"/>
            <w:gridSpan w:val="3"/>
          </w:tcPr>
          <w:p>
            <w:pPr>
              <w:jc w:val="center"/>
              <w:ind w:right="240"/>
              <w:spacing w:after="0"/>
              <w:rPr>
                <w:sz w:val="20"/>
                <w:szCs w:val="20"/>
                <w:color w:val="auto"/>
              </w:rPr>
            </w:pPr>
            <w:r>
              <w:rPr>
                <w:rFonts w:ascii="Arial" w:cs="Arial" w:eastAsia="Arial" w:hAnsi="Arial"/>
                <w:sz w:val="20"/>
                <w:szCs w:val="20"/>
                <w:color w:val="auto"/>
                <w:w w:val="89"/>
              </w:rPr>
              <w:t>20% of the number of shares subject to the Option</w:t>
            </w:r>
          </w:p>
        </w:tc>
        <w:tc>
          <w:tcPr>
            <w:tcW w:w="3960" w:type="dxa"/>
            <w:vAlign w:val="bottom"/>
            <w:gridSpan w:val="3"/>
          </w:tcPr>
          <w:p>
            <w:pPr>
              <w:ind w:left="260"/>
              <w:spacing w:after="0"/>
              <w:rPr>
                <w:sz w:val="20"/>
                <w:szCs w:val="20"/>
                <w:color w:val="auto"/>
              </w:rPr>
            </w:pPr>
            <w:r>
              <w:rPr>
                <w:rFonts w:ascii="Arial" w:cs="Arial" w:eastAsia="Arial" w:hAnsi="Arial"/>
                <w:sz w:val="20"/>
                <w:szCs w:val="20"/>
                <w:color w:val="auto"/>
                <w:w w:val="88"/>
              </w:rPr>
              <w:t>After the second anniversary of the Grant Date</w:t>
            </w:r>
          </w:p>
        </w:tc>
      </w:tr>
      <w:tr>
        <w:trPr>
          <w:trHeight w:val="459"/>
        </w:trPr>
        <w:tc>
          <w:tcPr>
            <w:tcW w:w="4220" w:type="dxa"/>
            <w:vAlign w:val="bottom"/>
            <w:gridSpan w:val="3"/>
          </w:tcPr>
          <w:p>
            <w:pPr>
              <w:jc w:val="center"/>
              <w:ind w:right="240"/>
              <w:spacing w:after="0"/>
              <w:rPr>
                <w:sz w:val="20"/>
                <w:szCs w:val="20"/>
                <w:color w:val="auto"/>
              </w:rPr>
            </w:pPr>
            <w:r>
              <w:rPr>
                <w:rFonts w:ascii="Arial" w:cs="Arial" w:eastAsia="Arial" w:hAnsi="Arial"/>
                <w:sz w:val="20"/>
                <w:szCs w:val="20"/>
                <w:color w:val="auto"/>
                <w:w w:val="89"/>
              </w:rPr>
              <w:t>20% of the number of shares subject to the Option</w:t>
            </w:r>
          </w:p>
        </w:tc>
        <w:tc>
          <w:tcPr>
            <w:tcW w:w="3960" w:type="dxa"/>
            <w:vAlign w:val="bottom"/>
            <w:gridSpan w:val="3"/>
          </w:tcPr>
          <w:p>
            <w:pPr>
              <w:ind w:left="260"/>
              <w:spacing w:after="0"/>
              <w:rPr>
                <w:sz w:val="20"/>
                <w:szCs w:val="20"/>
                <w:color w:val="auto"/>
              </w:rPr>
            </w:pPr>
            <w:r>
              <w:rPr>
                <w:rFonts w:ascii="Arial" w:cs="Arial" w:eastAsia="Arial" w:hAnsi="Arial"/>
                <w:sz w:val="20"/>
                <w:szCs w:val="20"/>
                <w:color w:val="auto"/>
                <w:w w:val="94"/>
              </w:rPr>
              <w:t>After the third anniversary of the Grant Date</w:t>
            </w:r>
          </w:p>
        </w:tc>
      </w:tr>
      <w:tr>
        <w:trPr>
          <w:trHeight w:val="459"/>
        </w:trPr>
        <w:tc>
          <w:tcPr>
            <w:tcW w:w="4220" w:type="dxa"/>
            <w:vAlign w:val="bottom"/>
            <w:gridSpan w:val="3"/>
          </w:tcPr>
          <w:p>
            <w:pPr>
              <w:jc w:val="center"/>
              <w:ind w:right="240"/>
              <w:spacing w:after="0"/>
              <w:rPr>
                <w:sz w:val="20"/>
                <w:szCs w:val="20"/>
                <w:color w:val="auto"/>
              </w:rPr>
            </w:pPr>
            <w:r>
              <w:rPr>
                <w:rFonts w:ascii="Arial" w:cs="Arial" w:eastAsia="Arial" w:hAnsi="Arial"/>
                <w:sz w:val="20"/>
                <w:szCs w:val="20"/>
                <w:color w:val="auto"/>
                <w:w w:val="89"/>
              </w:rPr>
              <w:t>20% of the number of shares subject to the Option</w:t>
            </w:r>
          </w:p>
        </w:tc>
        <w:tc>
          <w:tcPr>
            <w:tcW w:w="3960" w:type="dxa"/>
            <w:vAlign w:val="bottom"/>
            <w:gridSpan w:val="3"/>
          </w:tcPr>
          <w:p>
            <w:pPr>
              <w:ind w:left="260"/>
              <w:spacing w:after="0"/>
              <w:rPr>
                <w:sz w:val="20"/>
                <w:szCs w:val="20"/>
                <w:color w:val="auto"/>
              </w:rPr>
            </w:pPr>
            <w:r>
              <w:rPr>
                <w:rFonts w:ascii="Arial" w:cs="Arial" w:eastAsia="Arial" w:hAnsi="Arial"/>
                <w:sz w:val="20"/>
                <w:szCs w:val="20"/>
                <w:color w:val="auto"/>
                <w:w w:val="91"/>
              </w:rPr>
              <w:t>After the fourth anniversary of the Grant Date</w:t>
            </w:r>
          </w:p>
        </w:tc>
      </w:tr>
      <w:tr>
        <w:trPr>
          <w:trHeight w:val="459"/>
        </w:trPr>
        <w:tc>
          <w:tcPr>
            <w:tcW w:w="4220" w:type="dxa"/>
            <w:vAlign w:val="bottom"/>
            <w:gridSpan w:val="3"/>
          </w:tcPr>
          <w:p>
            <w:pPr>
              <w:jc w:val="center"/>
              <w:ind w:right="240"/>
              <w:spacing w:after="0"/>
              <w:rPr>
                <w:sz w:val="20"/>
                <w:szCs w:val="20"/>
                <w:color w:val="auto"/>
              </w:rPr>
            </w:pPr>
            <w:r>
              <w:rPr>
                <w:rFonts w:ascii="Arial" w:cs="Arial" w:eastAsia="Arial" w:hAnsi="Arial"/>
                <w:sz w:val="20"/>
                <w:szCs w:val="20"/>
                <w:color w:val="auto"/>
                <w:w w:val="89"/>
              </w:rPr>
              <w:t>20% of the number of shares subject to the Option</w:t>
            </w:r>
          </w:p>
        </w:tc>
        <w:tc>
          <w:tcPr>
            <w:tcW w:w="3960" w:type="dxa"/>
            <w:vAlign w:val="bottom"/>
            <w:gridSpan w:val="3"/>
          </w:tcPr>
          <w:p>
            <w:pPr>
              <w:ind w:left="260"/>
              <w:spacing w:after="0"/>
              <w:rPr>
                <w:sz w:val="20"/>
                <w:szCs w:val="20"/>
                <w:color w:val="auto"/>
              </w:rPr>
            </w:pPr>
            <w:r>
              <w:rPr>
                <w:rFonts w:ascii="Arial" w:cs="Arial" w:eastAsia="Arial" w:hAnsi="Arial"/>
                <w:sz w:val="20"/>
                <w:szCs w:val="20"/>
                <w:color w:val="auto"/>
                <w:w w:val="96"/>
              </w:rPr>
              <w:t>After the fifth anniversary of the Grant Date</w:t>
            </w:r>
          </w:p>
        </w:tc>
      </w:tr>
    </w:tbl>
    <w:p>
      <w:pPr>
        <w:spacing w:after="0" w:line="209" w:lineRule="exact"/>
        <w:rPr>
          <w:sz w:val="20"/>
          <w:szCs w:val="20"/>
          <w:color w:val="auto"/>
        </w:rPr>
      </w:pPr>
    </w:p>
    <w:p>
      <w:pPr>
        <w:jc w:val="both"/>
        <w:ind w:firstLine="1305"/>
        <w:spacing w:after="0" w:line="246" w:lineRule="auto"/>
        <w:tabs>
          <w:tab w:leader="none" w:pos="1972"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This Option may be exercised, to the extent exercisable by its terms, from time to time in whole or in part at any time prior to the expiration thereof. Any exercise shall be accompanied by a written notice to the Company specifying the number of shares as to which this Option is being exercised (the “Option Shares”). Notations of any partial exercise or installment exercise, shall be made by the Company on Schedule A hereto.</w:t>
      </w:r>
    </w:p>
    <w:p>
      <w:pPr>
        <w:spacing w:after="0" w:line="205" w:lineRule="exact"/>
        <w:rPr>
          <w:rFonts w:ascii="Arial" w:cs="Arial" w:eastAsia="Arial" w:hAnsi="Arial"/>
          <w:sz w:val="20"/>
          <w:szCs w:val="20"/>
          <w:color w:val="auto"/>
        </w:rPr>
      </w:pPr>
    </w:p>
    <w:p>
      <w:pPr>
        <w:ind w:left="2060" w:hanging="755"/>
        <w:spacing w:after="0"/>
        <w:tabs>
          <w:tab w:leader="none" w:pos="2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Notwithstanding anything else herein to the contrary, this Option shall expire on the tenth anniversary of the Grant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Date.</w:t>
      </w:r>
    </w:p>
    <w:p>
      <w:pPr>
        <w:spacing w:after="0" w:line="213" w:lineRule="exact"/>
        <w:rPr>
          <w:rFonts w:ascii="Arial" w:cs="Arial" w:eastAsia="Arial" w:hAnsi="Arial"/>
          <w:sz w:val="18"/>
          <w:szCs w:val="18"/>
          <w:color w:val="auto"/>
        </w:rPr>
      </w:pPr>
    </w:p>
    <w:p>
      <w:pPr>
        <w:ind w:left="1940" w:hanging="635"/>
        <w:spacing w:after="0"/>
        <w:tabs>
          <w:tab w:leader="none" w:pos="194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Holder hereby agrees to notify the Company in writing in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6" w:right="239" w:bottom="39" w:gutter="0" w:footer="0" w:header="0"/>
        </w:sectPr>
      </w:pPr>
    </w:p>
    <w:bookmarkStart w:id="95" w:name="page96"/>
    <w:bookmarkEnd w:id="95"/>
    <w:p>
      <w:pPr>
        <w:spacing w:after="0" w:line="260" w:lineRule="auto"/>
        <w:rPr>
          <w:sz w:val="20"/>
          <w:szCs w:val="20"/>
          <w:color w:val="auto"/>
        </w:rPr>
      </w:pPr>
      <w:r>
        <w:rPr>
          <w:rFonts w:ascii="Arial" w:cs="Arial" w:eastAsia="Arial" w:hAnsi="Arial"/>
          <w:sz w:val="20"/>
          <w:szCs w:val="20"/>
          <w:color w:val="auto"/>
        </w:rPr>
        <w:t>shares acquired pursuant to the exercise of this Option are transferred, other than by will or by the laws of descent and distribution, within two years after the Grant Date or within one year after the issuance of such shares pursuant to such exercise.</w:t>
      </w:r>
    </w:p>
    <w:p>
      <w:pPr>
        <w:spacing w:after="0" w:line="190" w:lineRule="exact"/>
        <w:rPr>
          <w:sz w:val="20"/>
          <w:szCs w:val="20"/>
          <w:color w:val="auto"/>
        </w:rPr>
      </w:pPr>
    </w:p>
    <w:p>
      <w:pPr>
        <w:ind w:firstLine="656"/>
        <w:spacing w:after="0" w:line="260" w:lineRule="auto"/>
        <w:tabs>
          <w:tab w:leader="none" w:pos="1242"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Payment of Purchase Price Upon Exercise</w:t>
      </w:r>
      <w:r>
        <w:rPr>
          <w:rFonts w:ascii="Arial" w:cs="Arial" w:eastAsia="Arial" w:hAnsi="Arial"/>
          <w:sz w:val="20"/>
          <w:szCs w:val="20"/>
          <w:color w:val="auto"/>
        </w:rPr>
        <w:t>. At the time of any exercise of all or a portion of the Option, the purchase price shall be paid in full to the Company in any of the following ways or in any combination of the following ways:</w:t>
      </w:r>
    </w:p>
    <w:p>
      <w:pPr>
        <w:spacing w:after="0" w:line="190" w:lineRule="exact"/>
        <w:rPr>
          <w:rFonts w:ascii="Arial" w:cs="Arial" w:eastAsia="Arial" w:hAnsi="Arial"/>
          <w:sz w:val="20"/>
          <w:szCs w:val="20"/>
          <w:color w:val="auto"/>
        </w:rPr>
      </w:pPr>
    </w:p>
    <w:p>
      <w:pPr>
        <w:ind w:left="1920" w:hanging="615"/>
        <w:spacing w:after="0"/>
        <w:tabs>
          <w:tab w:leader="none" w:pos="192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By check or other immediately available funds.</w:t>
      </w:r>
    </w:p>
    <w:p>
      <w:pPr>
        <w:spacing w:after="0" w:line="229" w:lineRule="exact"/>
        <w:rPr>
          <w:rFonts w:ascii="Arial" w:cs="Arial" w:eastAsia="Arial" w:hAnsi="Arial"/>
          <w:sz w:val="20"/>
          <w:szCs w:val="20"/>
          <w:color w:val="auto"/>
        </w:rPr>
      </w:pPr>
    </w:p>
    <w:p>
      <w:pPr>
        <w:jc w:val="both"/>
        <w:ind w:firstLine="1305"/>
        <w:spacing w:after="0" w:line="246" w:lineRule="auto"/>
        <w:tabs>
          <w:tab w:leader="none" w:pos="1958" w:val="left"/>
        </w:tabs>
        <w:numPr>
          <w:ilvl w:val="1"/>
          <w:numId w:val="115"/>
        </w:numPr>
        <w:rPr>
          <w:rFonts w:ascii="Arial" w:cs="Arial" w:eastAsia="Arial" w:hAnsi="Arial"/>
          <w:sz w:val="20"/>
          <w:szCs w:val="20"/>
          <w:color w:val="auto"/>
        </w:rPr>
      </w:pPr>
      <w:r>
        <w:rPr>
          <w:rFonts w:ascii="Arial" w:cs="Arial" w:eastAsia="Arial" w:hAnsi="Arial"/>
          <w:sz w:val="20"/>
          <w:szCs w:val="20"/>
          <w:color w:val="auto"/>
        </w:rPr>
        <w:t>With property consisting of shares of Stock. (The shares of Stock to be used as payment shall be valued as of the date of exercise of the Option at the Closing Price as defined below. For example, if Holder exercises the option for 4,000 shares at a total Exercise Price of $8,000, assuming an exercise price of $2.00 per share, and the Closing Price is $5.00, Holder may pay for the 4,000 Option Shares by transferring 1,600 shares of Stock to the Company.)</w:t>
      </w:r>
    </w:p>
    <w:p>
      <w:pPr>
        <w:spacing w:after="0" w:line="205" w:lineRule="exact"/>
        <w:rPr>
          <w:rFonts w:ascii="Arial" w:cs="Arial" w:eastAsia="Arial" w:hAnsi="Arial"/>
          <w:sz w:val="20"/>
          <w:szCs w:val="20"/>
          <w:color w:val="auto"/>
        </w:rPr>
      </w:pPr>
    </w:p>
    <w:p>
      <w:pPr>
        <w:jc w:val="both"/>
        <w:ind w:firstLine="1305"/>
        <w:spacing w:after="0" w:line="250" w:lineRule="auto"/>
        <w:tabs>
          <w:tab w:leader="none" w:pos="1935" w:val="left"/>
        </w:tabs>
        <w:numPr>
          <w:ilvl w:val="1"/>
          <w:numId w:val="115"/>
        </w:numPr>
        <w:rPr>
          <w:rFonts w:ascii="Arial" w:cs="Arial" w:eastAsia="Arial" w:hAnsi="Arial"/>
          <w:sz w:val="20"/>
          <w:szCs w:val="20"/>
          <w:color w:val="auto"/>
        </w:rPr>
      </w:pPr>
      <w:r>
        <w:rPr>
          <w:rFonts w:ascii="Arial" w:cs="Arial" w:eastAsia="Arial" w:hAnsi="Arial"/>
          <w:sz w:val="20"/>
          <w:szCs w:val="20"/>
          <w:color w:val="auto"/>
        </w:rPr>
        <w:t>By delivering a properly executed exercise notice together with irrevocable instructions to a broker to deliver promptly to the Company the amount of sale proceeds necessary to pay the purchase price and applicable withholding taxes, and such other documents as the Committee may determine.</w:t>
      </w:r>
    </w:p>
    <w:p>
      <w:pPr>
        <w:spacing w:after="0" w:line="199" w:lineRule="exact"/>
        <w:rPr>
          <w:rFonts w:ascii="Arial" w:cs="Arial" w:eastAsia="Arial" w:hAnsi="Arial"/>
          <w:sz w:val="20"/>
          <w:szCs w:val="20"/>
          <w:color w:val="auto"/>
        </w:rPr>
      </w:pPr>
    </w:p>
    <w:p>
      <w:pPr>
        <w:jc w:val="both"/>
        <w:ind w:firstLine="1305"/>
        <w:spacing w:after="0" w:line="257" w:lineRule="auto"/>
        <w:tabs>
          <w:tab w:leader="none" w:pos="2027" w:val="left"/>
        </w:tabs>
        <w:numPr>
          <w:ilvl w:val="1"/>
          <w:numId w:val="115"/>
        </w:numPr>
        <w:rPr>
          <w:rFonts w:ascii="Arial" w:cs="Arial" w:eastAsia="Arial" w:hAnsi="Arial"/>
          <w:sz w:val="19"/>
          <w:szCs w:val="19"/>
          <w:color w:val="auto"/>
        </w:rPr>
      </w:pPr>
      <w:r>
        <w:rPr>
          <w:rFonts w:ascii="Arial" w:cs="Arial" w:eastAsia="Arial" w:hAnsi="Arial"/>
          <w:sz w:val="19"/>
          <w:szCs w:val="19"/>
          <w:color w:val="auto"/>
        </w:rPr>
        <w:t>For purposes of this Agreement, the term “Closing Price” means, with respect to the Company’s Stock, the last sale price regular-way or, in case no such sale takes place on such date, the average of the closing bid and asked prices regular-way on the principal national securities exchange on which the Stock is listed or admitted to trading; or, if the Stock is not listed or admitted to trading on any national securities exchange, the last sale price of the Stock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Stock is not listed on NASDAQ or a comparable system, the “Closing Price” shall be the fair market value of the Stock as determined by the Committee in good faith.</w:t>
      </w:r>
    </w:p>
    <w:p>
      <w:pPr>
        <w:spacing w:after="0" w:line="194" w:lineRule="exact"/>
        <w:rPr>
          <w:rFonts w:ascii="Arial" w:cs="Arial" w:eastAsia="Arial" w:hAnsi="Arial"/>
          <w:sz w:val="19"/>
          <w:szCs w:val="19"/>
          <w:color w:val="auto"/>
        </w:rPr>
      </w:pPr>
    </w:p>
    <w:p>
      <w:pPr>
        <w:jc w:val="both"/>
        <w:ind w:firstLine="656"/>
        <w:spacing w:after="0" w:line="250" w:lineRule="auto"/>
        <w:tabs>
          <w:tab w:leader="none" w:pos="131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Purchase for Investment; Resale Restrictions</w:t>
      </w:r>
      <w:r>
        <w:rPr>
          <w:rFonts w:ascii="Arial" w:cs="Arial" w:eastAsia="Arial" w:hAnsi="Arial"/>
          <w:sz w:val="20"/>
          <w:szCs w:val="20"/>
          <w:color w:val="auto"/>
        </w:rPr>
        <w:t>. Unless at the time of exercise of the Option there shall be a valid and effective registration statement under the Securities Act of 1933 (the “‘33 Act”) and appropriate qualification and registration under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relating to the Option Shares being acquired, Holder shall upon exercise of the Option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183" w:lineRule="exact"/>
        <w:rPr>
          <w:sz w:val="20"/>
          <w:szCs w:val="20"/>
          <w:color w:val="auto"/>
        </w:rPr>
      </w:pPr>
    </w:p>
    <w:p>
      <w:pPr>
        <w:ind w:firstLine="656"/>
        <w:spacing w:after="0" w:line="260" w:lineRule="auto"/>
        <w:tabs>
          <w:tab w:leader="none" w:pos="1296" w:val="left"/>
        </w:tabs>
        <w:numPr>
          <w:ilvl w:val="1"/>
          <w:numId w:val="116"/>
        </w:numPr>
        <w:rPr>
          <w:rFonts w:ascii="Arial" w:cs="Arial" w:eastAsia="Arial" w:hAnsi="Arial"/>
          <w:sz w:val="20"/>
          <w:szCs w:val="20"/>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 This Option shall not be transferable other than by will or by the laws of descent and distribution. During the lifetime of Holder, this Option shall be exercisable only by Holder.</w:t>
      </w:r>
    </w:p>
    <w:p>
      <w:pPr>
        <w:spacing w:after="0" w:line="190" w:lineRule="exact"/>
        <w:rPr>
          <w:rFonts w:ascii="Arial" w:cs="Arial" w:eastAsia="Arial" w:hAnsi="Arial"/>
          <w:sz w:val="20"/>
          <w:szCs w:val="20"/>
          <w:color w:val="auto"/>
        </w:rPr>
      </w:pPr>
    </w:p>
    <w:p>
      <w:pPr>
        <w:ind w:left="1260" w:hanging="604"/>
        <w:spacing w:after="0"/>
        <w:tabs>
          <w:tab w:leader="none" w:pos="1260" w:val="left"/>
        </w:tabs>
        <w:numPr>
          <w:ilvl w:val="1"/>
          <w:numId w:val="116"/>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1305"/>
        <w:spacing w:after="0" w:line="303" w:lineRule="auto"/>
        <w:tabs>
          <w:tab w:leader="none" w:pos="1941" w:val="left"/>
        </w:tabs>
        <w:numPr>
          <w:ilvl w:val="2"/>
          <w:numId w:val="116"/>
        </w:numPr>
        <w:rPr>
          <w:rFonts w:ascii="Arial" w:cs="Arial" w:eastAsia="Arial" w:hAnsi="Arial"/>
          <w:sz w:val="16"/>
          <w:szCs w:val="16"/>
          <w:color w:val="auto"/>
        </w:rPr>
      </w:pPr>
      <w:r>
        <w:rPr>
          <w:rFonts w:ascii="Arial" w:cs="Arial" w:eastAsia="Arial" w:hAnsi="Arial"/>
          <w:sz w:val="16"/>
          <w:szCs w:val="16"/>
          <w:color w:val="auto"/>
        </w:rPr>
        <w:t>Subject to clause 7(b) below, if the outstanding shares of stock of the Company are 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 of the assets or shares of the Company, reorganization, recapitalization, reclassification, stock dividend, stock split, reverse stock split or other distribution with respect to such shares of stock or other securities, then, to the extent permitted by the Board, an appropriate and proportionate adjustment shall be made in</w:t>
      </w:r>
    </w:p>
    <w:p>
      <w:pPr>
        <w:spacing w:after="0" w:line="2" w:lineRule="exact"/>
        <w:rPr>
          <w:rFonts w:ascii="Arial" w:cs="Arial" w:eastAsia="Arial" w:hAnsi="Arial"/>
          <w:sz w:val="16"/>
          <w:szCs w:val="16"/>
          <w:color w:val="auto"/>
        </w:rPr>
      </w:pPr>
    </w:p>
    <w:p>
      <w:pPr>
        <w:jc w:val="both"/>
        <w:ind w:firstLine="8"/>
        <w:spacing w:after="0" w:line="315" w:lineRule="auto"/>
        <w:tabs>
          <w:tab w:leader="none" w:pos="28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maximum number and/or kind of shares provided in Paragraph 1 above; (2) the number and/or kind of shares or other securities subject to the outstanding options and tandum SARs, if any; and (3) the price for each share or other unit of any other securities subject to outstanding options without change in the aggregate purchase price or value as to which the options remain exercisable or subject to restrictions. Any adjustment under this clause 7(a) shall be made by the Board, whose determination as to what adjustments shall be made, if any, and the extent thereof, will be final, binding and conclusive. No fractional interests will be issued under this Agreement resulting from any such adjustment.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3" w:lineRule="exact"/>
        <w:rPr>
          <w:rFonts w:ascii="Arial" w:cs="Arial" w:eastAsia="Arial" w:hAnsi="Arial"/>
          <w:sz w:val="16"/>
          <w:szCs w:val="16"/>
          <w:color w:val="auto"/>
        </w:rPr>
      </w:pPr>
    </w:p>
    <w:p>
      <w:pPr>
        <w:jc w:val="both"/>
        <w:ind w:firstLine="1305"/>
        <w:spacing w:after="0" w:line="246" w:lineRule="auto"/>
        <w:tabs>
          <w:tab w:leader="none" w:pos="2035" w:val="left"/>
        </w:tabs>
        <w:numPr>
          <w:ilvl w:val="2"/>
          <w:numId w:val="117"/>
        </w:numPr>
        <w:rPr>
          <w:rFonts w:ascii="Arial" w:cs="Arial" w:eastAsia="Arial" w:hAnsi="Arial"/>
          <w:sz w:val="20"/>
          <w:szCs w:val="20"/>
          <w:color w:val="auto"/>
        </w:rPr>
      </w:pPr>
      <w:r>
        <w:rPr>
          <w:rFonts w:ascii="Arial" w:cs="Arial" w:eastAsia="Arial" w:hAnsi="Arial"/>
          <w:sz w:val="20"/>
          <w:szCs w:val="20"/>
          <w:color w:val="auto"/>
        </w:rPr>
        <w:t>Notwithstanding anything else herein to the contrary, the Board may, at any time, in its sole discretion, provide that upon the occurrence of a change in control of the Company (as determined by the Board), all or a specified portion of any outstanding options not theretofore exercisable shall immediately become exercisable and that any option not exercised prior to such change in control shall be canceled.</w:t>
      </w:r>
    </w:p>
    <w:p>
      <w:pPr>
        <w:spacing w:after="0" w:line="205" w:lineRule="exact"/>
        <w:rPr>
          <w:rFonts w:ascii="Arial" w:cs="Arial" w:eastAsia="Arial" w:hAnsi="Arial"/>
          <w:sz w:val="20"/>
          <w:szCs w:val="20"/>
          <w:color w:val="auto"/>
        </w:rPr>
      </w:pPr>
    </w:p>
    <w:p>
      <w:pPr>
        <w:ind w:right="20" w:firstLine="656"/>
        <w:spacing w:after="0" w:line="260" w:lineRule="auto"/>
        <w:tabs>
          <w:tab w:leader="none" w:pos="1404" w:val="left"/>
        </w:tabs>
        <w:numPr>
          <w:ilvl w:val="1"/>
          <w:numId w:val="117"/>
        </w:numPr>
        <w:rPr>
          <w:rFonts w:ascii="Arial" w:cs="Arial" w:eastAsia="Arial" w:hAnsi="Arial"/>
          <w:sz w:val="20"/>
          <w:szCs w:val="20"/>
          <w:color w:val="auto"/>
        </w:rPr>
      </w:pPr>
      <w:r>
        <w:rPr>
          <w:rFonts w:ascii="Arial" w:cs="Arial" w:eastAsia="Arial" w:hAnsi="Arial"/>
          <w:sz w:val="20"/>
          <w:szCs w:val="20"/>
          <w:u w:val="single" w:color="auto"/>
          <w:color w:val="auto"/>
        </w:rPr>
        <w:t>No Rights as Stockholder</w:t>
      </w:r>
      <w:r>
        <w:rPr>
          <w:rFonts w:ascii="Arial" w:cs="Arial" w:eastAsia="Arial" w:hAnsi="Arial"/>
          <w:sz w:val="20"/>
          <w:szCs w:val="20"/>
          <w:color w:val="auto"/>
        </w:rPr>
        <w:t>. Holder shall have no rights as a stockholder with respect to any shares of Stock subject to this Option prior to the date of issuance to him of a certificate or certificates for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-1430655</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95" w:right="239" w:bottom="176" w:gutter="0" w:footer="0" w:header="0"/>
        </w:sectPr>
      </w:pPr>
    </w:p>
    <w:bookmarkStart w:id="96" w:name="page97"/>
    <w:bookmarkEnd w:id="96"/>
    <w:p>
      <w:pPr>
        <w:jc w:val="both"/>
        <w:ind w:right="40" w:firstLine="656"/>
        <w:spacing w:after="0" w:line="250" w:lineRule="auto"/>
        <w:tabs>
          <w:tab w:leader="none" w:pos="1377"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No Right to Continue Employment</w:t>
      </w:r>
      <w:r>
        <w:rPr>
          <w:rFonts w:ascii="Arial" w:cs="Arial" w:eastAsia="Arial" w:hAnsi="Arial"/>
          <w:sz w:val="20"/>
          <w:szCs w:val="20"/>
          <w:color w:val="auto"/>
        </w:rPr>
        <w:t>. This Agreement shall not confer upon Holder any right with respect to continuance of employment with a Participating Company nor shall it interfere in any way with the right of a Participating Company to terminate the Holder’s employment at any time.</w:t>
      </w:r>
    </w:p>
    <w:p>
      <w:pPr>
        <w:spacing w:after="0" w:line="200" w:lineRule="exact"/>
        <w:rPr>
          <w:rFonts w:ascii="Arial" w:cs="Arial" w:eastAsia="Arial" w:hAnsi="Arial"/>
          <w:sz w:val="20"/>
          <w:szCs w:val="20"/>
          <w:color w:val="auto"/>
        </w:rPr>
      </w:pPr>
    </w:p>
    <w:p>
      <w:pPr>
        <w:jc w:val="both"/>
        <w:ind w:right="40" w:firstLine="656"/>
        <w:spacing w:after="0" w:line="258" w:lineRule="auto"/>
        <w:tabs>
          <w:tab w:leader="none" w:pos="1318"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Compliance With Law and Regulation</w:t>
      </w:r>
      <w:r>
        <w:rPr>
          <w:rFonts w:ascii="Arial" w:cs="Arial" w:eastAsia="Arial" w:hAnsi="Arial"/>
          <w:sz w:val="19"/>
          <w:szCs w:val="19"/>
          <w:color w:val="auto"/>
        </w:rPr>
        <w:t>. This Agreement and the obligation of the Company to sell and deliver shares of Stock hereunder shall be subject to all applicable federal and state laws, rules and regulations and to such approvals by any government or regulatory agency as may be required. If at any time the Board shall determine that (i) the listing, registration or qualification of the shares of Stock subject or related thereto upon any securities exchange or under any state or federal law, or (ii) the consent or approval of any government regulatory body, is necessary or desirable as a condition of or in connection with the issue or purchase of shares of Stock hereunder, this Option may not be exercised in whole or in part unless such listing, registration, qualification, consent, approval or agreement shall have been effected or obtained free of any conditions not acceptable to the Board.</w:t>
      </w:r>
    </w:p>
    <w:p>
      <w:pPr>
        <w:spacing w:after="0" w:line="192" w:lineRule="exact"/>
        <w:rPr>
          <w:rFonts w:ascii="Arial" w:cs="Arial" w:eastAsia="Arial" w:hAnsi="Arial"/>
          <w:sz w:val="19"/>
          <w:szCs w:val="19"/>
          <w:color w:val="auto"/>
        </w:rPr>
      </w:pPr>
    </w:p>
    <w:p>
      <w:pPr>
        <w:ind w:right="40" w:firstLine="656"/>
        <w:spacing w:after="0" w:line="316" w:lineRule="auto"/>
        <w:tabs>
          <w:tab w:leader="none" w:pos="1433"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Tax Withholding Requirements</w:t>
      </w:r>
      <w:r>
        <w:rPr>
          <w:rFonts w:ascii="Arial" w:cs="Arial" w:eastAsia="Arial" w:hAnsi="Arial"/>
          <w:sz w:val="18"/>
          <w:szCs w:val="18"/>
          <w:color w:val="auto"/>
        </w:rPr>
        <w:t>. The Company shall have the right to require Holder to remit to the Company an amount sufficient to satisfy any federal, state or local withholding tax requirements prior to the delivery of any certificate or certificates for Stock.</w:t>
      </w:r>
    </w:p>
    <w:p>
      <w:pPr>
        <w:spacing w:after="0" w:line="143" w:lineRule="exact"/>
        <w:rPr>
          <w:rFonts w:ascii="Arial" w:cs="Arial" w:eastAsia="Arial" w:hAnsi="Arial"/>
          <w:sz w:val="18"/>
          <w:szCs w:val="18"/>
          <w:color w:val="auto"/>
        </w:rPr>
      </w:pPr>
    </w:p>
    <w:p>
      <w:pPr>
        <w:ind w:right="40" w:firstLine="656"/>
        <w:spacing w:after="0" w:line="316" w:lineRule="auto"/>
        <w:tabs>
          <w:tab w:leader="none" w:pos="1345"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other provision of this Agreement, no fractional shares of Stock shall be issued upon the exercise of this Option, and the Company shall not be under any obligation to compensate Holder in any way for such fractional shares.</w:t>
      </w:r>
    </w:p>
    <w:p>
      <w:pPr>
        <w:spacing w:after="0" w:line="143" w:lineRule="exact"/>
        <w:rPr>
          <w:rFonts w:ascii="Arial" w:cs="Arial" w:eastAsia="Arial" w:hAnsi="Arial"/>
          <w:sz w:val="18"/>
          <w:szCs w:val="18"/>
          <w:color w:val="auto"/>
        </w:rPr>
      </w:pPr>
    </w:p>
    <w:p>
      <w:pPr>
        <w:ind w:right="60" w:firstLine="656"/>
        <w:spacing w:after="0" w:line="260" w:lineRule="auto"/>
        <w:tabs>
          <w:tab w:leader="none" w:pos="1345"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hereunder to the Company shall be addressed to it at its office at 550 Monica Circle, Suite 201, Corona, California 92880, Attention: Rodney C. Sacks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copy to Benjamin Polk, Schulte Roth &amp; Zabel LLP, 919 Third Avenue, New York, New York 10022, and any notice hereunder to Holder shall be addressed to him at 4472 Torrey Pines Drive, Chino Hills, CA 91709, subject to the right of either party to designate at any time hereafter in writing some other address.</w:t>
      </w:r>
    </w:p>
    <w:p>
      <w:pPr>
        <w:spacing w:after="0" w:line="200" w:lineRule="exact"/>
        <w:rPr>
          <w:sz w:val="20"/>
          <w:szCs w:val="20"/>
          <w:color w:val="auto"/>
        </w:rPr>
      </w:pPr>
    </w:p>
    <w:p>
      <w:pPr>
        <w:ind w:right="40" w:firstLine="656"/>
        <w:spacing w:after="0" w:line="260" w:lineRule="auto"/>
        <w:tabs>
          <w:tab w:leader="none" w:pos="1373"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No modification, amendment or waiver of any of the provisions of this Agreement shall be effective unless in writing specifically referring hereto, and signed by both parties.</w:t>
      </w:r>
    </w:p>
    <w:p>
      <w:pPr>
        <w:spacing w:after="0" w:line="190" w:lineRule="exact"/>
        <w:rPr>
          <w:rFonts w:ascii="Arial" w:cs="Arial" w:eastAsia="Arial" w:hAnsi="Arial"/>
          <w:sz w:val="20"/>
          <w:szCs w:val="20"/>
          <w:color w:val="auto"/>
        </w:rPr>
      </w:pPr>
    </w:p>
    <w:p>
      <w:pPr>
        <w:ind w:right="40" w:firstLine="656"/>
        <w:spacing w:after="0" w:line="316" w:lineRule="auto"/>
        <w:tabs>
          <w:tab w:leader="none" w:pos="1359"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43" w:lineRule="exact"/>
        <w:rPr>
          <w:rFonts w:ascii="Arial" w:cs="Arial" w:eastAsia="Arial" w:hAnsi="Arial"/>
          <w:sz w:val="18"/>
          <w:szCs w:val="18"/>
          <w:color w:val="auto"/>
        </w:rPr>
      </w:pPr>
    </w:p>
    <w:p>
      <w:pPr>
        <w:ind w:left="1340" w:hanging="684"/>
        <w:spacing w:after="0"/>
        <w:tabs>
          <w:tab w:leader="none" w:pos="134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constitute one and the same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instrument.</w:t>
      </w:r>
    </w:p>
    <w:p>
      <w:pPr>
        <w:spacing w:after="0" w:line="213"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IN WITNESS WHEREOF, Hansen Natural Corporation has caused this Agreement to be executed by a duly authorized officer and Holder has executed this Agreement both as of the day and year first above written.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5940" w:type="dxa"/>
            <w:vAlign w:val="bottom"/>
            <w:gridSpan w:val="2"/>
          </w:tcPr>
          <w:p>
            <w:pPr>
              <w:ind w:left="580"/>
              <w:spacing w:after="0"/>
              <w:rPr>
                <w:sz w:val="20"/>
                <w:szCs w:val="20"/>
                <w:color w:val="auto"/>
              </w:rPr>
            </w:pPr>
            <w:r>
              <w:rPr>
                <w:rFonts w:ascii="Arial" w:cs="Arial" w:eastAsia="Arial" w:hAnsi="Arial"/>
                <w:sz w:val="20"/>
                <w:szCs w:val="20"/>
                <w:color w:val="auto"/>
              </w:rPr>
              <w:t>HANSEN NATURAL CORPORATION</w:t>
            </w:r>
          </w:p>
        </w:tc>
        <w:tc>
          <w:tcPr>
            <w:tcW w:w="40" w:type="dxa"/>
            <w:vAlign w:val="bottom"/>
          </w:tcPr>
          <w:p>
            <w:pPr>
              <w:spacing w:after="0"/>
              <w:rPr>
                <w:sz w:val="21"/>
                <w:szCs w:val="21"/>
                <w:color w:val="auto"/>
              </w:rPr>
            </w:pPr>
          </w:p>
        </w:tc>
      </w:tr>
      <w:tr>
        <w:trPr>
          <w:trHeight w:val="678"/>
        </w:trPr>
        <w:tc>
          <w:tcPr>
            <w:tcW w:w="5480" w:type="dxa"/>
            <w:vAlign w:val="bottom"/>
            <w:gridSpan w:val="2"/>
          </w:tcPr>
          <w:p>
            <w:pPr>
              <w:spacing w:after="0"/>
              <w:rPr>
                <w:sz w:val="20"/>
                <w:szCs w:val="20"/>
                <w:color w:val="auto"/>
              </w:rPr>
            </w:pPr>
            <w:r>
              <w:rPr>
                <w:rFonts w:ascii="Arial" w:cs="Arial" w:eastAsia="Arial" w:hAnsi="Arial"/>
                <w:sz w:val="20"/>
                <w:szCs w:val="20"/>
                <w:color w:val="auto"/>
              </w:rPr>
              <w:t>/s/Thomas Kelly</w:t>
            </w:r>
          </w:p>
        </w:tc>
        <w:tc>
          <w:tcPr>
            <w:tcW w:w="5940" w:type="dxa"/>
            <w:vAlign w:val="bottom"/>
            <w:gridSpan w:val="2"/>
          </w:tcPr>
          <w:p>
            <w:pPr>
              <w:ind w:left="580"/>
              <w:spacing w:after="0"/>
              <w:rPr>
                <w:sz w:val="20"/>
                <w:szCs w:val="20"/>
                <w:color w:val="auto"/>
              </w:rPr>
            </w:pPr>
            <w:r>
              <w:rPr>
                <w:rFonts w:ascii="Arial" w:cs="Arial" w:eastAsia="Arial" w:hAnsi="Arial"/>
                <w:sz w:val="20"/>
                <w:szCs w:val="20"/>
                <w:color w:val="auto"/>
              </w:rPr>
              <w:t>By:  /s/ Rodney C. Sacks</w:t>
            </w:r>
          </w:p>
        </w:tc>
        <w:tc>
          <w:tcPr>
            <w:tcW w:w="4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460" w:type="dxa"/>
            <w:vAlign w:val="bottom"/>
            <w:tcBorders>
              <w:top w:val="single" w:sz="8" w:color="auto"/>
            </w:tcBorders>
          </w:tcPr>
          <w:p>
            <w:pPr>
              <w:spacing w:after="0" w:line="213" w:lineRule="exact"/>
              <w:rPr>
                <w:sz w:val="20"/>
                <w:szCs w:val="20"/>
                <w:color w:val="auto"/>
              </w:rPr>
            </w:pPr>
            <w:r>
              <w:rPr>
                <w:rFonts w:ascii="Arial" w:cs="Arial" w:eastAsia="Arial" w:hAnsi="Arial"/>
                <w:sz w:val="20"/>
                <w:szCs w:val="20"/>
                <w:color w:val="auto"/>
              </w:rPr>
              <w:t>Thomas Kelly</w:t>
            </w:r>
          </w:p>
        </w:tc>
        <w:tc>
          <w:tcPr>
            <w:tcW w:w="1020" w:type="dxa"/>
            <w:vAlign w:val="bottom"/>
          </w:tcPr>
          <w:p>
            <w:pPr>
              <w:ind w:left="580"/>
              <w:spacing w:after="0" w:line="213" w:lineRule="exact"/>
              <w:rPr>
                <w:sz w:val="20"/>
                <w:szCs w:val="20"/>
                <w:color w:val="auto"/>
              </w:rPr>
            </w:pPr>
            <w:r>
              <w:rPr>
                <w:rFonts w:ascii="Arial" w:cs="Arial" w:eastAsia="Arial" w:hAnsi="Arial"/>
                <w:sz w:val="20"/>
                <w:szCs w:val="20"/>
                <w:color w:val="auto"/>
                <w:w w:val="71"/>
              </w:rPr>
              <w:t>Name:</w:t>
            </w:r>
          </w:p>
        </w:tc>
        <w:tc>
          <w:tcPr>
            <w:tcW w:w="4920" w:type="dxa"/>
            <w:vAlign w:val="bottom"/>
            <w:tcBorders>
              <w:top w:val="single" w:sz="8" w:color="auto"/>
            </w:tcBorders>
          </w:tcPr>
          <w:p>
            <w:pPr>
              <w:ind w:left="180"/>
              <w:spacing w:after="0" w:line="213"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5940" w:type="dxa"/>
            <w:vAlign w:val="bottom"/>
            <w:gridSpan w:val="2"/>
          </w:tcPr>
          <w:p>
            <w:pPr>
              <w:ind w:left="580"/>
              <w:spacing w:after="0"/>
              <w:rPr>
                <w:sz w:val="20"/>
                <w:szCs w:val="20"/>
                <w:color w:val="auto"/>
              </w:rPr>
            </w:pPr>
            <w:r>
              <w:rPr>
                <w:rFonts w:ascii="Arial" w:cs="Arial" w:eastAsia="Arial" w:hAnsi="Arial"/>
                <w:sz w:val="20"/>
                <w:szCs w:val="20"/>
                <w:color w:val="auto"/>
              </w:rPr>
              <w:t>Title: Chairman and CEO</w:t>
            </w:r>
          </w:p>
        </w:tc>
        <w:tc>
          <w:tcPr>
            <w:tcW w:w="40" w:type="dxa"/>
            <w:vAlign w:val="bottom"/>
          </w:tcPr>
          <w:p>
            <w:pPr>
              <w:spacing w:after="0"/>
              <w:rPr>
                <w:sz w:val="21"/>
                <w:szCs w:val="21"/>
                <w:color w:val="auto"/>
              </w:rPr>
            </w:pPr>
          </w:p>
        </w:tc>
      </w:tr>
      <w:tr>
        <w:trPr>
          <w:trHeight w:val="357"/>
        </w:trPr>
        <w:tc>
          <w:tcPr>
            <w:tcW w:w="20" w:type="dxa"/>
            <w:vAlign w:val="bottom"/>
            <w:tcBorders>
              <w:bottom w:val="single" w:sz="8" w:color="010101"/>
            </w:tcBorders>
          </w:tcPr>
          <w:p>
            <w:pPr>
              <w:spacing w:after="0"/>
              <w:rPr>
                <w:sz w:val="24"/>
                <w:szCs w:val="24"/>
                <w:color w:val="auto"/>
              </w:rPr>
            </w:pPr>
          </w:p>
        </w:tc>
        <w:tc>
          <w:tcPr>
            <w:tcW w:w="546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97" w:name="page98"/>
    <w:bookmarkEnd w:id="97"/>
    <w:p>
      <w:pPr>
        <w:jc w:val="right"/>
        <w:spacing w:after="0"/>
        <w:rPr>
          <w:sz w:val="20"/>
          <w:szCs w:val="20"/>
          <w:color w:val="auto"/>
        </w:rPr>
      </w:pPr>
      <w:r>
        <w:rPr>
          <w:rFonts w:ascii="Arial" w:cs="Arial" w:eastAsia="Arial" w:hAnsi="Arial"/>
          <w:sz w:val="20"/>
          <w:szCs w:val="20"/>
          <w:b w:val="1"/>
          <w:bCs w:val="1"/>
          <w:color w:val="auto"/>
        </w:rPr>
        <w:t>Exhibit 10.50</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Stock Option Agreement (“Agreement”), is made as of August 3, 2009 (the “Grant Date”), by and between Hansen Natural Corporation, a Delaware corporation (the “Company”), and Nick Gagliardi (“Holder”).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Recitals</w:t>
      </w:r>
    </w:p>
    <w:p>
      <w:pPr>
        <w:spacing w:after="0" w:line="229" w:lineRule="exact"/>
        <w:rPr>
          <w:sz w:val="20"/>
          <w:szCs w:val="20"/>
          <w:color w:val="auto"/>
        </w:rPr>
      </w:pPr>
    </w:p>
    <w:p>
      <w:pPr>
        <w:ind w:left="1240" w:hanging="584"/>
        <w:spacing w:after="0"/>
        <w:tabs>
          <w:tab w:leader="none" w:pos="124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Holder is an employee of a Participating Company.</w:t>
      </w:r>
    </w:p>
    <w:p>
      <w:pPr>
        <w:spacing w:after="0" w:line="229" w:lineRule="exact"/>
        <w:rPr>
          <w:rFonts w:ascii="Arial" w:cs="Arial" w:eastAsia="Arial" w:hAnsi="Arial"/>
          <w:sz w:val="20"/>
          <w:szCs w:val="20"/>
          <w:color w:val="auto"/>
        </w:rPr>
      </w:pPr>
    </w:p>
    <w:p>
      <w:pPr>
        <w:ind w:right="20" w:firstLine="656"/>
        <w:spacing w:after="0" w:line="287" w:lineRule="auto"/>
        <w:tabs>
          <w:tab w:leader="none" w:pos="1424" w:val="left"/>
        </w:tabs>
        <w:numPr>
          <w:ilvl w:val="0"/>
          <w:numId w:val="120"/>
        </w:numPr>
        <w:rPr>
          <w:rFonts w:ascii="Arial" w:cs="Arial" w:eastAsia="Arial" w:hAnsi="Arial"/>
          <w:sz w:val="19"/>
          <w:szCs w:val="19"/>
          <w:color w:val="auto"/>
        </w:rPr>
      </w:pPr>
      <w:r>
        <w:rPr>
          <w:rFonts w:ascii="Arial" w:cs="Arial" w:eastAsia="Arial" w:hAnsi="Arial"/>
          <w:sz w:val="19"/>
          <w:szCs w:val="19"/>
          <w:color w:val="auto"/>
        </w:rPr>
        <w:t>Pursuant to the Hansen Natural Corporation 2001 Stock Option Plan (the “Plan”), the Company desires to grant Holder an incentive stock option to purchase shares of the Company’s common stock, par value $0.005 per share (the “Common Stock”).</w:t>
      </w:r>
    </w:p>
    <w:p>
      <w:pPr>
        <w:spacing w:after="0" w:line="166" w:lineRule="exact"/>
        <w:rPr>
          <w:rFonts w:ascii="Arial" w:cs="Arial" w:eastAsia="Arial" w:hAnsi="Arial"/>
          <w:sz w:val="19"/>
          <w:szCs w:val="19"/>
          <w:color w:val="auto"/>
        </w:rPr>
      </w:pPr>
    </w:p>
    <w:p>
      <w:pPr>
        <w:ind w:left="1280" w:hanging="624"/>
        <w:spacing w:after="0"/>
        <w:tabs>
          <w:tab w:leader="none" w:pos="128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Capitalized terms not otherwise defined in this Agreement shall have the meaning given to them in the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Company and Holder agree as follows:</w:t>
      </w:r>
    </w:p>
    <w:p>
      <w:pPr>
        <w:spacing w:after="0" w:line="229" w:lineRule="exact"/>
        <w:rPr>
          <w:sz w:val="20"/>
          <w:szCs w:val="20"/>
          <w:color w:val="auto"/>
        </w:rPr>
      </w:pPr>
    </w:p>
    <w:p>
      <w:pPr>
        <w:jc w:val="both"/>
        <w:ind w:firstLine="656"/>
        <w:spacing w:after="0" w:line="242" w:lineRule="auto"/>
        <w:tabs>
          <w:tab w:leader="none" w:pos="1337"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Grant of Incentive Stock Option</w:t>
      </w:r>
      <w:r>
        <w:rPr>
          <w:rFonts w:ascii="Arial" w:cs="Arial" w:eastAsia="Arial" w:hAnsi="Arial"/>
          <w:sz w:val="20"/>
          <w:szCs w:val="20"/>
          <w:color w:val="auto"/>
        </w:rPr>
        <w:t>. The Company hereby grants to Holder, subject to the terms and conditions set forth herein and in the Plan, an incentive stock option (“ISO”) to purchase 60,000 shares of Common Stock, at the purchase price of $32.25 per share (the “Option”), such Option to be exercisable and exercised as hereinafter provided. If for any reason the Option or any portion of the Option shall not qualify as an ISO, then, to the extent of such nonqualification, such Option (or portion thereof) shall be regarded as a nonqualified stock option granted under the Plan, provided that such Option (or portion thereof) otherwise complies with the Plan’s requirements relating to nonqualified stock options. In no event shall any member of the Committee or any Participating Company (or their respective employees, officers or directors) have any liability to Holder (or any other person) due to the failure of an Option (or any portion thereof) to qualify for any reason as an ISO.</w:t>
      </w:r>
    </w:p>
    <w:p>
      <w:pPr>
        <w:spacing w:after="0" w:line="211" w:lineRule="exact"/>
        <w:rPr>
          <w:rFonts w:ascii="Arial" w:cs="Arial" w:eastAsia="Arial" w:hAnsi="Arial"/>
          <w:sz w:val="20"/>
          <w:szCs w:val="20"/>
          <w:color w:val="auto"/>
        </w:rPr>
      </w:pPr>
    </w:p>
    <w:p>
      <w:pPr>
        <w:jc w:val="both"/>
        <w:ind w:firstLine="656"/>
        <w:spacing w:after="0" w:line="278" w:lineRule="auto"/>
        <w:tabs>
          <w:tab w:leader="none" w:pos="1323"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 The Option shall expire three months after the termination of the Holder’s employment with a Participating Company unless the employment is terminated by a Participating Company for Cause (as defined below) or unless the employment is terminated by reason of the death or Total Disability of Holder. If the Holder’s employment is terminated by a Participating Company for Cause, the Option shall expire as of the date employment terminates. If the Holder’s employment terminates due to his death or Total Disability, then the Option may be exercised by Holder or the person or persons to which Holder’s rights under this Agreement pass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will, or if no such person has such right, by his executors or administrators, within six months after the date of death or Total Disability, but no later than the expiration date specified in Section 3(c) below. “Cause” means, as determined by the Committee, the Holder’s (i) act(s) of fraud or dishonesty, (ii) knowing and material failure to comply with applicable laws or regulations or satisfactorily perform his duties of employment, (iii) insubordination or (iv) drug or alcohol abuse.</w:t>
      </w:r>
    </w:p>
    <w:p>
      <w:pPr>
        <w:spacing w:after="0" w:line="205" w:lineRule="exact"/>
        <w:rPr>
          <w:sz w:val="20"/>
          <w:szCs w:val="20"/>
          <w:color w:val="auto"/>
        </w:rPr>
      </w:pPr>
    </w:p>
    <w:p>
      <w:pPr>
        <w:ind w:left="1260" w:hanging="604"/>
        <w:spacing w:after="0"/>
        <w:tabs>
          <w:tab w:leader="none" w:pos="1260"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p>
    <w:p>
      <w:pPr>
        <w:spacing w:after="0" w:line="229" w:lineRule="exact"/>
        <w:rPr>
          <w:rFonts w:ascii="Arial" w:cs="Arial" w:eastAsia="Arial" w:hAnsi="Arial"/>
          <w:sz w:val="20"/>
          <w:szCs w:val="20"/>
          <w:color w:val="auto"/>
        </w:rPr>
      </w:pPr>
    </w:p>
    <w:p>
      <w:pPr>
        <w:jc w:val="both"/>
        <w:ind w:firstLine="1305"/>
        <w:spacing w:after="0" w:line="250" w:lineRule="auto"/>
        <w:tabs>
          <w:tab w:leader="none" w:pos="2145" w:val="left"/>
        </w:tabs>
        <w:numPr>
          <w:ilvl w:val="1"/>
          <w:numId w:val="122"/>
        </w:numPr>
        <w:rPr>
          <w:rFonts w:ascii="Arial" w:cs="Arial" w:eastAsia="Arial" w:hAnsi="Arial"/>
          <w:sz w:val="20"/>
          <w:szCs w:val="20"/>
          <w:color w:val="auto"/>
        </w:rPr>
      </w:pPr>
      <w:r>
        <w:rPr>
          <w:rFonts w:ascii="Arial" w:cs="Arial" w:eastAsia="Arial" w:hAnsi="Arial"/>
          <w:sz w:val="20"/>
          <w:szCs w:val="20"/>
          <w:color w:val="auto"/>
        </w:rPr>
        <w:t>Subject to the other terms of this Agreement regarding the exercisability of the Option, provided that Holder is employed by a Participating Company on the relevant Exercise Date set forth below, the Option may be exercised in respect of the number of shares (the “Option Portion”) listed in column A from and after the Exercise Date listed in column B,</w:t>
      </w:r>
    </w:p>
    <w:p>
      <w:pPr>
        <w:spacing w:after="0" w:line="200" w:lineRule="exact"/>
        <w:rPr>
          <w:sz w:val="20"/>
          <w:szCs w:val="20"/>
          <w:color w:val="auto"/>
        </w:rPr>
      </w:pPr>
    </w:p>
    <w:tbl>
      <w:tblPr>
        <w:tblLayout w:type="fixed"/>
        <w:tblInd w:w="1500" w:type="dxa"/>
        <w:tblCellMar>
          <w:top w:w="0" w:type="dxa"/>
          <w:left w:w="0" w:type="dxa"/>
          <w:bottom w:w="0" w:type="dxa"/>
          <w:right w:w="0" w:type="dxa"/>
        </w:tblCellMar>
      </w:tblPr>
      <w:tr>
        <w:trPr>
          <w:trHeight w:val="250"/>
        </w:trPr>
        <w:tc>
          <w:tcPr>
            <w:tcW w:w="1300" w:type="dxa"/>
            <w:vAlign w:val="bottom"/>
          </w:tcPr>
          <w:p>
            <w:pPr>
              <w:spacing w:after="0"/>
              <w:rPr>
                <w:sz w:val="21"/>
                <w:szCs w:val="21"/>
                <w:color w:val="auto"/>
              </w:rPr>
            </w:pPr>
          </w:p>
        </w:tc>
        <w:tc>
          <w:tcPr>
            <w:tcW w:w="2920" w:type="dxa"/>
            <w:vAlign w:val="bottom"/>
            <w:gridSpan w:val="2"/>
          </w:tcPr>
          <w:p>
            <w:pPr>
              <w:jc w:val="center"/>
              <w:ind w:right="1480"/>
              <w:spacing w:after="0"/>
              <w:rPr>
                <w:sz w:val="20"/>
                <w:szCs w:val="20"/>
                <w:color w:val="auto"/>
              </w:rPr>
            </w:pPr>
            <w:r>
              <w:rPr>
                <w:rFonts w:ascii="Arial" w:cs="Arial" w:eastAsia="Arial" w:hAnsi="Arial"/>
                <w:sz w:val="20"/>
                <w:szCs w:val="20"/>
                <w:color w:val="auto"/>
                <w:w w:val="98"/>
              </w:rPr>
              <w:t>Column “A”</w:t>
            </w:r>
          </w:p>
        </w:tc>
        <w:tc>
          <w:tcPr>
            <w:tcW w:w="1680" w:type="dxa"/>
            <w:vAlign w:val="bottom"/>
          </w:tcPr>
          <w:p>
            <w:pPr>
              <w:spacing w:after="0"/>
              <w:rPr>
                <w:sz w:val="21"/>
                <w:szCs w:val="21"/>
                <w:color w:val="auto"/>
              </w:rPr>
            </w:pPr>
          </w:p>
        </w:tc>
        <w:tc>
          <w:tcPr>
            <w:tcW w:w="2280" w:type="dxa"/>
            <w:vAlign w:val="bottom"/>
            <w:gridSpan w:val="2"/>
          </w:tcPr>
          <w:p>
            <w:pPr>
              <w:jc w:val="center"/>
              <w:ind w:right="1180"/>
              <w:spacing w:after="0"/>
              <w:rPr>
                <w:sz w:val="20"/>
                <w:szCs w:val="20"/>
                <w:color w:val="auto"/>
              </w:rPr>
            </w:pPr>
            <w:r>
              <w:rPr>
                <w:rFonts w:ascii="Arial" w:cs="Arial" w:eastAsia="Arial" w:hAnsi="Arial"/>
                <w:sz w:val="20"/>
                <w:szCs w:val="20"/>
                <w:color w:val="auto"/>
                <w:w w:val="96"/>
              </w:rPr>
              <w:t>Column “B”</w:t>
            </w:r>
          </w:p>
        </w:tc>
      </w:tr>
      <w:tr>
        <w:trPr>
          <w:trHeight w:val="415"/>
        </w:trPr>
        <w:tc>
          <w:tcPr>
            <w:tcW w:w="1300" w:type="dxa"/>
            <w:vAlign w:val="bottom"/>
          </w:tcPr>
          <w:p>
            <w:pPr>
              <w:spacing w:after="0"/>
              <w:rPr>
                <w:sz w:val="24"/>
                <w:szCs w:val="24"/>
                <w:color w:val="auto"/>
              </w:rPr>
            </w:pPr>
          </w:p>
        </w:tc>
        <w:tc>
          <w:tcPr>
            <w:tcW w:w="2920" w:type="dxa"/>
            <w:vAlign w:val="bottom"/>
            <w:gridSpan w:val="2"/>
          </w:tcPr>
          <w:p>
            <w:pPr>
              <w:jc w:val="center"/>
              <w:ind w:right="1480"/>
              <w:spacing w:after="0"/>
              <w:rPr>
                <w:sz w:val="20"/>
                <w:szCs w:val="20"/>
                <w:color w:val="auto"/>
              </w:rPr>
            </w:pPr>
            <w:r>
              <w:rPr>
                <w:rFonts w:ascii="Arial" w:cs="Arial" w:eastAsia="Arial" w:hAnsi="Arial"/>
                <w:sz w:val="20"/>
                <w:szCs w:val="20"/>
                <w:color w:val="auto"/>
                <w:w w:val="88"/>
              </w:rPr>
              <w:t>Number of Shares</w:t>
            </w:r>
          </w:p>
        </w:tc>
        <w:tc>
          <w:tcPr>
            <w:tcW w:w="3960" w:type="dxa"/>
            <w:vAlign w:val="bottom"/>
            <w:gridSpan w:val="3"/>
          </w:tcPr>
          <w:p>
            <w:pPr>
              <w:jc w:val="center"/>
              <w:ind w:left="401"/>
              <w:spacing w:after="0"/>
              <w:rPr>
                <w:sz w:val="20"/>
                <w:szCs w:val="20"/>
                <w:color w:val="auto"/>
              </w:rPr>
            </w:pPr>
            <w:r>
              <w:rPr>
                <w:rFonts w:ascii="Arial" w:cs="Arial" w:eastAsia="Arial" w:hAnsi="Arial"/>
                <w:sz w:val="20"/>
                <w:szCs w:val="20"/>
                <w:color w:val="auto"/>
                <w:w w:val="88"/>
              </w:rPr>
              <w:t>Exercise Date</w:t>
            </w:r>
          </w:p>
        </w:tc>
      </w:tr>
      <w:tr>
        <w:trPr>
          <w:trHeight w:val="20"/>
        </w:trPr>
        <w:tc>
          <w:tcPr>
            <w:tcW w:w="1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84"/>
        </w:trPr>
        <w:tc>
          <w:tcPr>
            <w:tcW w:w="4220" w:type="dxa"/>
            <w:vAlign w:val="bottom"/>
            <w:gridSpan w:val="3"/>
          </w:tcPr>
          <w:p>
            <w:pPr>
              <w:spacing w:after="0"/>
              <w:rPr>
                <w:sz w:val="20"/>
                <w:szCs w:val="20"/>
                <w:color w:val="auto"/>
              </w:rPr>
            </w:pPr>
            <w:r>
              <w:rPr>
                <w:rFonts w:ascii="Arial" w:cs="Arial" w:eastAsia="Arial" w:hAnsi="Arial"/>
                <w:sz w:val="20"/>
                <w:szCs w:val="20"/>
                <w:color w:val="auto"/>
                <w:w w:val="94"/>
              </w:rPr>
              <w:t>20% of the number of shares subject to the Option</w:t>
            </w:r>
          </w:p>
        </w:tc>
        <w:tc>
          <w:tcPr>
            <w:tcW w:w="3960" w:type="dxa"/>
            <w:vAlign w:val="bottom"/>
            <w:gridSpan w:val="3"/>
          </w:tcPr>
          <w:p>
            <w:pPr>
              <w:ind w:left="240"/>
              <w:spacing w:after="0"/>
              <w:rPr>
                <w:sz w:val="20"/>
                <w:szCs w:val="20"/>
                <w:color w:val="auto"/>
              </w:rPr>
            </w:pPr>
            <w:r>
              <w:rPr>
                <w:rFonts w:ascii="Arial" w:cs="Arial" w:eastAsia="Arial" w:hAnsi="Arial"/>
                <w:sz w:val="20"/>
                <w:szCs w:val="20"/>
                <w:color w:val="auto"/>
                <w:w w:val="97"/>
              </w:rPr>
              <w:t>After the first anniversary of the Grant Date</w:t>
            </w:r>
          </w:p>
        </w:tc>
      </w:tr>
      <w:tr>
        <w:trPr>
          <w:trHeight w:val="459"/>
        </w:trPr>
        <w:tc>
          <w:tcPr>
            <w:tcW w:w="4220" w:type="dxa"/>
            <w:vAlign w:val="bottom"/>
            <w:gridSpan w:val="3"/>
          </w:tcPr>
          <w:p>
            <w:pPr>
              <w:spacing w:after="0"/>
              <w:rPr>
                <w:sz w:val="20"/>
                <w:szCs w:val="20"/>
                <w:color w:val="auto"/>
              </w:rPr>
            </w:pPr>
            <w:r>
              <w:rPr>
                <w:rFonts w:ascii="Arial" w:cs="Arial" w:eastAsia="Arial" w:hAnsi="Arial"/>
                <w:sz w:val="20"/>
                <w:szCs w:val="20"/>
                <w:color w:val="auto"/>
                <w:w w:val="94"/>
              </w:rPr>
              <w:t>20% of the number of shares subject to the Option</w:t>
            </w:r>
          </w:p>
        </w:tc>
        <w:tc>
          <w:tcPr>
            <w:tcW w:w="3960" w:type="dxa"/>
            <w:vAlign w:val="bottom"/>
            <w:gridSpan w:val="3"/>
          </w:tcPr>
          <w:p>
            <w:pPr>
              <w:ind w:left="240"/>
              <w:spacing w:after="0"/>
              <w:rPr>
                <w:sz w:val="20"/>
                <w:szCs w:val="20"/>
                <w:color w:val="auto"/>
              </w:rPr>
            </w:pPr>
            <w:r>
              <w:rPr>
                <w:rFonts w:ascii="Arial" w:cs="Arial" w:eastAsia="Arial" w:hAnsi="Arial"/>
                <w:sz w:val="20"/>
                <w:szCs w:val="20"/>
                <w:color w:val="auto"/>
                <w:w w:val="89"/>
              </w:rPr>
              <w:t>After the second anniversary of the Grant Date</w:t>
            </w:r>
          </w:p>
        </w:tc>
      </w:tr>
      <w:tr>
        <w:trPr>
          <w:trHeight w:val="459"/>
        </w:trPr>
        <w:tc>
          <w:tcPr>
            <w:tcW w:w="4220" w:type="dxa"/>
            <w:vAlign w:val="bottom"/>
            <w:gridSpan w:val="3"/>
          </w:tcPr>
          <w:p>
            <w:pPr>
              <w:spacing w:after="0"/>
              <w:rPr>
                <w:sz w:val="20"/>
                <w:szCs w:val="20"/>
                <w:color w:val="auto"/>
              </w:rPr>
            </w:pPr>
            <w:r>
              <w:rPr>
                <w:rFonts w:ascii="Arial" w:cs="Arial" w:eastAsia="Arial" w:hAnsi="Arial"/>
                <w:sz w:val="20"/>
                <w:szCs w:val="20"/>
                <w:color w:val="auto"/>
                <w:w w:val="94"/>
              </w:rPr>
              <w:t>20% of the number of shares subject to the Option</w:t>
            </w:r>
          </w:p>
        </w:tc>
        <w:tc>
          <w:tcPr>
            <w:tcW w:w="3960" w:type="dxa"/>
            <w:vAlign w:val="bottom"/>
            <w:gridSpan w:val="3"/>
          </w:tcPr>
          <w:p>
            <w:pPr>
              <w:ind w:left="240"/>
              <w:spacing w:after="0"/>
              <w:rPr>
                <w:sz w:val="20"/>
                <w:szCs w:val="20"/>
                <w:color w:val="auto"/>
              </w:rPr>
            </w:pPr>
            <w:r>
              <w:rPr>
                <w:rFonts w:ascii="Arial" w:cs="Arial" w:eastAsia="Arial" w:hAnsi="Arial"/>
                <w:sz w:val="20"/>
                <w:szCs w:val="20"/>
                <w:color w:val="auto"/>
                <w:w w:val="95"/>
              </w:rPr>
              <w:t>After the third anniversary of the Grant Date</w:t>
            </w:r>
          </w:p>
        </w:tc>
      </w:tr>
      <w:tr>
        <w:trPr>
          <w:trHeight w:val="459"/>
        </w:trPr>
        <w:tc>
          <w:tcPr>
            <w:tcW w:w="4220" w:type="dxa"/>
            <w:vAlign w:val="bottom"/>
            <w:gridSpan w:val="3"/>
          </w:tcPr>
          <w:p>
            <w:pPr>
              <w:spacing w:after="0"/>
              <w:rPr>
                <w:sz w:val="20"/>
                <w:szCs w:val="20"/>
                <w:color w:val="auto"/>
              </w:rPr>
            </w:pPr>
            <w:r>
              <w:rPr>
                <w:rFonts w:ascii="Arial" w:cs="Arial" w:eastAsia="Arial" w:hAnsi="Arial"/>
                <w:sz w:val="20"/>
                <w:szCs w:val="20"/>
                <w:color w:val="auto"/>
                <w:w w:val="94"/>
              </w:rPr>
              <w:t>20% of the number of shares subject to the Option</w:t>
            </w:r>
          </w:p>
        </w:tc>
        <w:tc>
          <w:tcPr>
            <w:tcW w:w="3960" w:type="dxa"/>
            <w:vAlign w:val="bottom"/>
            <w:gridSpan w:val="3"/>
          </w:tcPr>
          <w:p>
            <w:pPr>
              <w:ind w:left="240"/>
              <w:spacing w:after="0"/>
              <w:rPr>
                <w:sz w:val="20"/>
                <w:szCs w:val="20"/>
                <w:color w:val="auto"/>
              </w:rPr>
            </w:pPr>
            <w:r>
              <w:rPr>
                <w:rFonts w:ascii="Arial" w:cs="Arial" w:eastAsia="Arial" w:hAnsi="Arial"/>
                <w:sz w:val="20"/>
                <w:szCs w:val="20"/>
                <w:color w:val="auto"/>
                <w:w w:val="92"/>
              </w:rPr>
              <w:t>After the fourth anniversary of the Grant Date</w:t>
            </w:r>
          </w:p>
        </w:tc>
      </w:tr>
      <w:tr>
        <w:trPr>
          <w:trHeight w:val="459"/>
        </w:trPr>
        <w:tc>
          <w:tcPr>
            <w:tcW w:w="4220" w:type="dxa"/>
            <w:vAlign w:val="bottom"/>
            <w:gridSpan w:val="3"/>
          </w:tcPr>
          <w:p>
            <w:pPr>
              <w:spacing w:after="0"/>
              <w:rPr>
                <w:sz w:val="20"/>
                <w:szCs w:val="20"/>
                <w:color w:val="auto"/>
              </w:rPr>
            </w:pPr>
            <w:r>
              <w:rPr>
                <w:rFonts w:ascii="Arial" w:cs="Arial" w:eastAsia="Arial" w:hAnsi="Arial"/>
                <w:sz w:val="20"/>
                <w:szCs w:val="20"/>
                <w:color w:val="auto"/>
                <w:w w:val="94"/>
              </w:rPr>
              <w:t>20% of the number of shares subject to the Option</w:t>
            </w:r>
          </w:p>
        </w:tc>
        <w:tc>
          <w:tcPr>
            <w:tcW w:w="3960" w:type="dxa"/>
            <w:vAlign w:val="bottom"/>
            <w:gridSpan w:val="3"/>
          </w:tcPr>
          <w:p>
            <w:pPr>
              <w:ind w:left="240"/>
              <w:spacing w:after="0"/>
              <w:rPr>
                <w:sz w:val="20"/>
                <w:szCs w:val="20"/>
                <w:color w:val="auto"/>
              </w:rPr>
            </w:pPr>
            <w:r>
              <w:rPr>
                <w:rFonts w:ascii="Arial" w:cs="Arial" w:eastAsia="Arial" w:hAnsi="Arial"/>
                <w:sz w:val="20"/>
                <w:szCs w:val="20"/>
                <w:color w:val="auto"/>
                <w:w w:val="97"/>
              </w:rPr>
              <w:t>After the fifth anniversary of the Grant Date</w:t>
            </w:r>
          </w:p>
        </w:tc>
      </w:tr>
    </w:tbl>
    <w:p>
      <w:pPr>
        <w:spacing w:after="0" w:line="20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Notwithstanding the foregoing, subject to Section 7(b), in the event that the Holder is terminated by the Company without Cause within one (1) year following a change in control of the Company (as determined by the Board), the Option, to the extent it has not been previously exercised, cancelled or forfeited, may be exercised in respect of all of the shares subject to the Option.</w:t>
      </w:r>
    </w:p>
    <w:p>
      <w:pPr>
        <w:spacing w:after="0" w:line="184" w:lineRule="exact"/>
        <w:rPr>
          <w:sz w:val="20"/>
          <w:szCs w:val="20"/>
          <w:color w:val="auto"/>
        </w:rPr>
      </w:pPr>
    </w:p>
    <w:p>
      <w:pPr>
        <w:ind w:left="1940" w:hanging="635"/>
        <w:spacing w:after="0"/>
        <w:tabs>
          <w:tab w:leader="none" w:pos="194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This Option may be exercised, to the extent exercisable by its terms,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5" w:right="239" w:bottom="957" w:gutter="0" w:footer="0" w:header="0"/>
        </w:sectPr>
      </w:pPr>
    </w:p>
    <w:bookmarkStart w:id="98" w:name="page99"/>
    <w:bookmarkEnd w:id="98"/>
    <w:p>
      <w:pPr>
        <w:jc w:val="both"/>
        <w:spacing w:after="0" w:line="250" w:lineRule="auto"/>
        <w:rPr>
          <w:sz w:val="20"/>
          <w:szCs w:val="20"/>
          <w:color w:val="auto"/>
        </w:rPr>
      </w:pPr>
      <w:r>
        <w:rPr>
          <w:rFonts w:ascii="Arial" w:cs="Arial" w:eastAsia="Arial" w:hAnsi="Arial"/>
          <w:sz w:val="20"/>
          <w:szCs w:val="20"/>
          <w:color w:val="auto"/>
        </w:rPr>
        <w:t>time to time in whole or in part at any time prior to the expiration thereof. Any exercise shall be accompanied by a written notice to the Company specifying the number of shares as to which this Option is being exercised (the “Option Shares”). Notations of any partial exercise or installment exercise, shall be made by the Company on Schedule A hereto.</w:t>
      </w:r>
    </w:p>
    <w:p>
      <w:pPr>
        <w:spacing w:after="0" w:line="201" w:lineRule="exact"/>
        <w:rPr>
          <w:sz w:val="20"/>
          <w:szCs w:val="20"/>
          <w:color w:val="auto"/>
        </w:rPr>
      </w:pPr>
    </w:p>
    <w:p>
      <w:pPr>
        <w:ind w:left="2060" w:hanging="755"/>
        <w:spacing w:after="0"/>
        <w:tabs>
          <w:tab w:leader="none" w:pos="2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anything else herein to the contrary, this Option shall expire on the tenth anniversary of the Grant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13" w:lineRule="exact"/>
        <w:rPr>
          <w:sz w:val="20"/>
          <w:szCs w:val="20"/>
          <w:color w:val="auto"/>
        </w:rPr>
      </w:pPr>
    </w:p>
    <w:p>
      <w:pPr>
        <w:jc w:val="both"/>
        <w:ind w:firstLine="1305"/>
        <w:spacing w:after="0" w:line="250" w:lineRule="auto"/>
        <w:tabs>
          <w:tab w:leader="none" w:pos="1939"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The Holder hereby agrees to notify the Company in writing in the event shares acquired pursuant to the exercise of this Option are transferred, other than by will or by the laws of descent and distribution, within two years after the Grant Date or within one year after the issuance of such shares pursuant to such exercise.</w:t>
      </w:r>
    </w:p>
    <w:p>
      <w:pPr>
        <w:spacing w:after="0" w:line="199" w:lineRule="exact"/>
        <w:rPr>
          <w:rFonts w:ascii="Arial" w:cs="Arial" w:eastAsia="Arial" w:hAnsi="Arial"/>
          <w:sz w:val="20"/>
          <w:szCs w:val="20"/>
          <w:color w:val="auto"/>
        </w:rPr>
      </w:pPr>
    </w:p>
    <w:p>
      <w:pPr>
        <w:ind w:firstLine="656"/>
        <w:spacing w:after="0" w:line="260" w:lineRule="auto"/>
        <w:tabs>
          <w:tab w:leader="none" w:pos="1242"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Payment of Purchase Price Upon Exercise</w:t>
      </w:r>
      <w:r>
        <w:rPr>
          <w:rFonts w:ascii="Arial" w:cs="Arial" w:eastAsia="Arial" w:hAnsi="Arial"/>
          <w:sz w:val="20"/>
          <w:szCs w:val="20"/>
          <w:color w:val="auto"/>
        </w:rPr>
        <w:t>. At the time of any exercise of all or a portion of the Option, the purchase price shall be paid in full to the Company in any of the following ways or in any combination of the following ways:</w:t>
      </w:r>
    </w:p>
    <w:p>
      <w:pPr>
        <w:spacing w:after="0" w:line="190" w:lineRule="exact"/>
        <w:rPr>
          <w:rFonts w:ascii="Arial" w:cs="Arial" w:eastAsia="Arial" w:hAnsi="Arial"/>
          <w:sz w:val="20"/>
          <w:szCs w:val="20"/>
          <w:color w:val="auto"/>
        </w:rPr>
      </w:pPr>
    </w:p>
    <w:p>
      <w:pPr>
        <w:ind w:left="1920" w:hanging="615"/>
        <w:spacing w:after="0"/>
        <w:tabs>
          <w:tab w:leader="none" w:pos="1920" w:val="left"/>
        </w:tabs>
        <w:numPr>
          <w:ilvl w:val="1"/>
          <w:numId w:val="126"/>
        </w:numPr>
        <w:rPr>
          <w:rFonts w:ascii="Arial" w:cs="Arial" w:eastAsia="Arial" w:hAnsi="Arial"/>
          <w:sz w:val="20"/>
          <w:szCs w:val="20"/>
          <w:color w:val="auto"/>
        </w:rPr>
      </w:pPr>
      <w:r>
        <w:rPr>
          <w:rFonts w:ascii="Arial" w:cs="Arial" w:eastAsia="Arial" w:hAnsi="Arial"/>
          <w:sz w:val="20"/>
          <w:szCs w:val="20"/>
          <w:color w:val="auto"/>
        </w:rPr>
        <w:t>By check or other immediately available funds.</w:t>
      </w:r>
    </w:p>
    <w:p>
      <w:pPr>
        <w:spacing w:after="0" w:line="229" w:lineRule="exact"/>
        <w:rPr>
          <w:rFonts w:ascii="Arial" w:cs="Arial" w:eastAsia="Arial" w:hAnsi="Arial"/>
          <w:sz w:val="20"/>
          <w:szCs w:val="20"/>
          <w:color w:val="auto"/>
        </w:rPr>
      </w:pPr>
    </w:p>
    <w:p>
      <w:pPr>
        <w:jc w:val="both"/>
        <w:ind w:firstLine="1305"/>
        <w:spacing w:after="0" w:line="246" w:lineRule="auto"/>
        <w:tabs>
          <w:tab w:leader="none" w:pos="1958" w:val="left"/>
        </w:tabs>
        <w:numPr>
          <w:ilvl w:val="1"/>
          <w:numId w:val="126"/>
        </w:numPr>
        <w:rPr>
          <w:rFonts w:ascii="Arial" w:cs="Arial" w:eastAsia="Arial" w:hAnsi="Arial"/>
          <w:sz w:val="20"/>
          <w:szCs w:val="20"/>
          <w:color w:val="auto"/>
        </w:rPr>
      </w:pPr>
      <w:r>
        <w:rPr>
          <w:rFonts w:ascii="Arial" w:cs="Arial" w:eastAsia="Arial" w:hAnsi="Arial"/>
          <w:sz w:val="20"/>
          <w:szCs w:val="20"/>
          <w:color w:val="auto"/>
        </w:rPr>
        <w:t>With property consisting of shares of Stock. (The shares of Stock to be used as payment shall be valued as of the date of exercise of the Option at the Closing Price as defined below. For example, if Holder exercises the option for 4,000 shares at a total Exercise Price of $8,000, assuming an exercise price of $2.00 per share, and the Closing Price is $5.00, Holder may pay for the 4,000 Option Shares by transferring 1,600 shares of Stock to the Company.)</w:t>
      </w:r>
    </w:p>
    <w:p>
      <w:pPr>
        <w:spacing w:after="0" w:line="205" w:lineRule="exact"/>
        <w:rPr>
          <w:rFonts w:ascii="Arial" w:cs="Arial" w:eastAsia="Arial" w:hAnsi="Arial"/>
          <w:sz w:val="20"/>
          <w:szCs w:val="20"/>
          <w:color w:val="auto"/>
        </w:rPr>
      </w:pPr>
    </w:p>
    <w:p>
      <w:pPr>
        <w:jc w:val="both"/>
        <w:ind w:firstLine="1305"/>
        <w:spacing w:after="0" w:line="250" w:lineRule="auto"/>
        <w:tabs>
          <w:tab w:leader="none" w:pos="1935" w:val="left"/>
        </w:tabs>
        <w:numPr>
          <w:ilvl w:val="1"/>
          <w:numId w:val="126"/>
        </w:numPr>
        <w:rPr>
          <w:rFonts w:ascii="Arial" w:cs="Arial" w:eastAsia="Arial" w:hAnsi="Arial"/>
          <w:sz w:val="20"/>
          <w:szCs w:val="20"/>
          <w:color w:val="auto"/>
        </w:rPr>
      </w:pPr>
      <w:r>
        <w:rPr>
          <w:rFonts w:ascii="Arial" w:cs="Arial" w:eastAsia="Arial" w:hAnsi="Arial"/>
          <w:sz w:val="20"/>
          <w:szCs w:val="20"/>
          <w:color w:val="auto"/>
        </w:rPr>
        <w:t>By delivering a properly executed exercise notice together with irrevocable instructions to a broker to deliver promptly to the Company the amount of sale proceeds necessary to pay the purchase price and applicable withholding taxes, and such other documents as the Committee may determine.</w:t>
      </w:r>
    </w:p>
    <w:p>
      <w:pPr>
        <w:spacing w:after="0" w:line="199" w:lineRule="exact"/>
        <w:rPr>
          <w:rFonts w:ascii="Arial" w:cs="Arial" w:eastAsia="Arial" w:hAnsi="Arial"/>
          <w:sz w:val="20"/>
          <w:szCs w:val="20"/>
          <w:color w:val="auto"/>
        </w:rPr>
      </w:pPr>
    </w:p>
    <w:p>
      <w:pPr>
        <w:jc w:val="both"/>
        <w:ind w:firstLine="1305"/>
        <w:spacing w:after="0" w:line="260" w:lineRule="auto"/>
        <w:tabs>
          <w:tab w:leader="none" w:pos="2027" w:val="left"/>
        </w:tabs>
        <w:numPr>
          <w:ilvl w:val="1"/>
          <w:numId w:val="126"/>
        </w:numPr>
        <w:rPr>
          <w:rFonts w:ascii="Arial" w:cs="Arial" w:eastAsia="Arial" w:hAnsi="Arial"/>
          <w:sz w:val="19"/>
          <w:szCs w:val="19"/>
          <w:color w:val="auto"/>
        </w:rPr>
      </w:pPr>
      <w:r>
        <w:rPr>
          <w:rFonts w:ascii="Arial" w:cs="Arial" w:eastAsia="Arial" w:hAnsi="Arial"/>
          <w:sz w:val="19"/>
          <w:szCs w:val="19"/>
          <w:color w:val="auto"/>
        </w:rPr>
        <w:t>For purposes of this Agreement, the term “Closing Price” means, with respect to the Company’s Stock, the last sale price regular-way or, in case no such sale takes place on such date, the average of the closing bid and asked prices regular-way on the principal national securities exchange on which the Stock is listed or admitted to trading; or, if the Stock is not listed or admitted to trading on any national securities exchange, the last sale price of the Stock on the consolidated transaction reporting system of the National Association of Securities Dealers (“NASD”), if such last sale information is reported on such system or, if not so reported,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average of the closing bid and asked prices of the securities on the National Association of Securities Dealers Automatic Quotation System (“NASDAQ”) or any comparable system or, if the Stock is not listed on NASDAQ or a comparable system, the “Closing Price” shall be the fair market value of the Stock as determined by the Committee in good faith.</w:t>
      </w:r>
    </w:p>
    <w:p>
      <w:pPr>
        <w:spacing w:after="0" w:line="200" w:lineRule="exact"/>
        <w:rPr>
          <w:sz w:val="20"/>
          <w:szCs w:val="20"/>
          <w:color w:val="auto"/>
        </w:rPr>
      </w:pPr>
    </w:p>
    <w:p>
      <w:pPr>
        <w:jc w:val="both"/>
        <w:ind w:firstLine="656"/>
        <w:spacing w:after="0" w:line="256" w:lineRule="auto"/>
        <w:tabs>
          <w:tab w:leader="none" w:pos="1310" w:val="left"/>
        </w:tabs>
        <w:numPr>
          <w:ilvl w:val="1"/>
          <w:numId w:val="127"/>
        </w:numPr>
        <w:rPr>
          <w:rFonts w:ascii="Arial" w:cs="Arial" w:eastAsia="Arial" w:hAnsi="Arial"/>
          <w:sz w:val="19"/>
          <w:szCs w:val="19"/>
          <w:color w:val="auto"/>
        </w:rPr>
      </w:pPr>
      <w:r>
        <w:rPr>
          <w:rFonts w:ascii="Arial" w:cs="Arial" w:eastAsia="Arial" w:hAnsi="Arial"/>
          <w:sz w:val="19"/>
          <w:szCs w:val="19"/>
          <w:u w:val="single" w:color="auto"/>
          <w:color w:val="auto"/>
        </w:rPr>
        <w:t>Purchase for Investment; Resale Restrictions</w:t>
      </w:r>
      <w:r>
        <w:rPr>
          <w:rFonts w:ascii="Arial" w:cs="Arial" w:eastAsia="Arial" w:hAnsi="Arial"/>
          <w:sz w:val="19"/>
          <w:szCs w:val="19"/>
          <w:color w:val="auto"/>
        </w:rPr>
        <w:t>. Unless at the time of exercise of the Option there shall be a valid and effective registration statement under the Securities Act of 1933 (the “‘33 Act”) and appropriate qualification and registration under applicable state securities laws relating to the Option Shares being acquired, Holder shall upon exercise of the Option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194" w:lineRule="exact"/>
        <w:rPr>
          <w:rFonts w:ascii="Arial" w:cs="Arial" w:eastAsia="Arial" w:hAnsi="Arial"/>
          <w:sz w:val="19"/>
          <w:szCs w:val="19"/>
          <w:color w:val="auto"/>
        </w:rPr>
      </w:pPr>
    </w:p>
    <w:p>
      <w:pPr>
        <w:ind w:firstLine="656"/>
        <w:spacing w:after="0" w:line="260" w:lineRule="auto"/>
        <w:tabs>
          <w:tab w:leader="none" w:pos="1296" w:val="left"/>
        </w:tabs>
        <w:numPr>
          <w:ilvl w:val="1"/>
          <w:numId w:val="127"/>
        </w:numPr>
        <w:rPr>
          <w:rFonts w:ascii="Arial" w:cs="Arial" w:eastAsia="Arial" w:hAnsi="Arial"/>
          <w:sz w:val="20"/>
          <w:szCs w:val="20"/>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 This Option shall not be transferable other than by will or by the laws of descent and distribution. During the lifetime of Holder, this Option shall be exercisable only by Holder.</w:t>
      </w:r>
    </w:p>
    <w:p>
      <w:pPr>
        <w:spacing w:after="0" w:line="190" w:lineRule="exact"/>
        <w:rPr>
          <w:rFonts w:ascii="Arial" w:cs="Arial" w:eastAsia="Arial" w:hAnsi="Arial"/>
          <w:sz w:val="20"/>
          <w:szCs w:val="20"/>
          <w:color w:val="auto"/>
        </w:rPr>
      </w:pPr>
    </w:p>
    <w:p>
      <w:pPr>
        <w:ind w:left="1260" w:hanging="604"/>
        <w:spacing w:after="0"/>
        <w:tabs>
          <w:tab w:leader="none" w:pos="1260" w:val="left"/>
        </w:tabs>
        <w:numPr>
          <w:ilvl w:val="1"/>
          <w:numId w:val="127"/>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1305"/>
        <w:spacing w:after="0" w:line="303" w:lineRule="auto"/>
        <w:tabs>
          <w:tab w:leader="none" w:pos="1941" w:val="left"/>
        </w:tabs>
        <w:numPr>
          <w:ilvl w:val="2"/>
          <w:numId w:val="127"/>
        </w:numPr>
        <w:rPr>
          <w:rFonts w:ascii="Arial" w:cs="Arial" w:eastAsia="Arial" w:hAnsi="Arial"/>
          <w:sz w:val="16"/>
          <w:szCs w:val="16"/>
          <w:color w:val="auto"/>
        </w:rPr>
      </w:pPr>
      <w:r>
        <w:rPr>
          <w:rFonts w:ascii="Arial" w:cs="Arial" w:eastAsia="Arial" w:hAnsi="Arial"/>
          <w:sz w:val="16"/>
          <w:szCs w:val="16"/>
          <w:color w:val="auto"/>
        </w:rPr>
        <w:t>Subject to clause 7(b) below, if the outstanding shares of stock of the Company are 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 of the assets or shares of the Company, reorganization, recapitalization, reclassification, stock dividend, stock split, reverse stock split or other distribution with respect to such shares of stock or other securities, then, to the extent permitted by the Board, an appropriate and proportionate adjustment shall be made in</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maximum number and/or kind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provided in Paragraph 1 above; (2) the number and/or kind of shares or other securities subject to the outstanding options and tandum SARs, if any; and (3) the price for each share or other unit of any other securities subject to outstanding options without change in the aggregate purchase price or value as to which the options remain exercisable or subject to restrictions. Any adjustment under this clause 7(a) shall be made by the Board, whose determination as to what adjustments shall be made, if any, and the extent thereof, will be final, binding and conclusive. No fractional interests will be issued under this Agreement resulting from any such adjustment.</w:t>
      </w:r>
    </w:p>
    <w:p>
      <w:pPr>
        <w:sectPr>
          <w:pgSz w:w="11900" w:h="16838" w:orient="portrait"/>
          <w:cols w:equalWidth="0" w:num="1">
            <w:col w:w="11420"/>
          </w:cols>
          <w:pgMar w:left="240" w:top="121" w:right="239" w:bottom="193" w:gutter="0" w:footer="0" w:header="0"/>
        </w:sectPr>
      </w:pPr>
    </w:p>
    <w:bookmarkStart w:id="99" w:name="page100"/>
    <w:bookmarkEnd w:id="99"/>
    <w:p>
      <w:pPr>
        <w:jc w:val="both"/>
        <w:ind w:right="40" w:firstLine="1305"/>
        <w:spacing w:after="0" w:line="247" w:lineRule="auto"/>
        <w:tabs>
          <w:tab w:leader="none" w:pos="2035" w:val="left"/>
        </w:tabs>
        <w:numPr>
          <w:ilvl w:val="1"/>
          <w:numId w:val="129"/>
        </w:numPr>
        <w:rPr>
          <w:rFonts w:ascii="Arial" w:cs="Arial" w:eastAsia="Arial" w:hAnsi="Arial"/>
          <w:sz w:val="20"/>
          <w:szCs w:val="20"/>
          <w:color w:val="auto"/>
        </w:rPr>
      </w:pPr>
      <w:r>
        <w:rPr>
          <w:rFonts w:ascii="Arial" w:cs="Arial" w:eastAsia="Arial" w:hAnsi="Arial"/>
          <w:sz w:val="20"/>
          <w:szCs w:val="20"/>
          <w:color w:val="auto"/>
        </w:rPr>
        <w:t>Notwithstanding anything else herein to the contrary, the Board may, at any time, in its sole discretion, provide that upon the occurrence of a change in control of the Company (as determined by the Board), all or a specified portion of any outstanding options not theretofore exercisable shall immediately become exercisable and that any option not exercised prior to such change in control shall be canceled.</w:t>
      </w:r>
    </w:p>
    <w:p>
      <w:pPr>
        <w:spacing w:after="0" w:line="202" w:lineRule="exact"/>
        <w:rPr>
          <w:rFonts w:ascii="Arial" w:cs="Arial" w:eastAsia="Arial" w:hAnsi="Arial"/>
          <w:sz w:val="20"/>
          <w:szCs w:val="20"/>
          <w:color w:val="auto"/>
        </w:rPr>
      </w:pPr>
    </w:p>
    <w:p>
      <w:pPr>
        <w:ind w:right="60" w:firstLine="656"/>
        <w:spacing w:after="0" w:line="260" w:lineRule="auto"/>
        <w:tabs>
          <w:tab w:leader="none" w:pos="1404"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No Rights as Stockholder</w:t>
      </w:r>
      <w:r>
        <w:rPr>
          <w:rFonts w:ascii="Arial" w:cs="Arial" w:eastAsia="Arial" w:hAnsi="Arial"/>
          <w:sz w:val="20"/>
          <w:szCs w:val="20"/>
          <w:color w:val="auto"/>
        </w:rPr>
        <w:t>. Holder shall have no rights as a stockholder with respect to any shares of Stock subject to this Option prior to the date of issuance to him of a certificate or certificates for such shares.</w:t>
      </w:r>
    </w:p>
    <w:p>
      <w:pPr>
        <w:spacing w:after="0" w:line="190" w:lineRule="exact"/>
        <w:rPr>
          <w:rFonts w:ascii="Arial" w:cs="Arial" w:eastAsia="Arial" w:hAnsi="Arial"/>
          <w:sz w:val="20"/>
          <w:szCs w:val="20"/>
          <w:color w:val="auto"/>
        </w:rPr>
      </w:pPr>
    </w:p>
    <w:p>
      <w:pPr>
        <w:jc w:val="both"/>
        <w:ind w:right="40" w:firstLine="656"/>
        <w:spacing w:after="0" w:line="250" w:lineRule="auto"/>
        <w:tabs>
          <w:tab w:leader="none" w:pos="1377"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No Right to Continue Employment</w:t>
      </w:r>
      <w:r>
        <w:rPr>
          <w:rFonts w:ascii="Arial" w:cs="Arial" w:eastAsia="Arial" w:hAnsi="Arial"/>
          <w:sz w:val="20"/>
          <w:szCs w:val="20"/>
          <w:color w:val="auto"/>
        </w:rPr>
        <w:t>. This Agreement shall not confer upon Holder any right with respect to continuance of employment with a Participating Company nor shall it interfere in any way with the right of a Participating Company to terminate the Holder’s employment at any time.</w:t>
      </w:r>
    </w:p>
    <w:p>
      <w:pPr>
        <w:spacing w:after="0" w:line="199" w:lineRule="exact"/>
        <w:rPr>
          <w:rFonts w:ascii="Arial" w:cs="Arial" w:eastAsia="Arial" w:hAnsi="Arial"/>
          <w:sz w:val="20"/>
          <w:szCs w:val="20"/>
          <w:color w:val="auto"/>
        </w:rPr>
      </w:pPr>
    </w:p>
    <w:p>
      <w:pPr>
        <w:jc w:val="both"/>
        <w:ind w:right="40" w:firstLine="656"/>
        <w:spacing w:after="0" w:line="258" w:lineRule="auto"/>
        <w:tabs>
          <w:tab w:leader="none" w:pos="1318"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Compliance With Law and Regulation</w:t>
      </w:r>
      <w:r>
        <w:rPr>
          <w:rFonts w:ascii="Arial" w:cs="Arial" w:eastAsia="Arial" w:hAnsi="Arial"/>
          <w:sz w:val="19"/>
          <w:szCs w:val="19"/>
          <w:color w:val="auto"/>
        </w:rPr>
        <w:t>. This Agreement and the obligation of the Company to sell and deliver shares of Stock hereunder shall be subject to all applicable federal and state laws, rules and regulations and to such approvals by any government or regulatory agency as may be required. If at any time the Board shall determine that (i) the listing, registration or qualification of the shares of Stock subject or related thereto upon any securities exchange or under any state or federal law, or (ii) the consent or approval of any government regulatory body, is necessary or desirable as a condition of or in connection with the issue or purchase of shares of Stock hereunder, this Option may not be exercised in whole or in part unless such listing, registration, qualification, consent, approval or agreement shall have been effected or obtained free of any conditions not acceptable to the Board.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21" w:lineRule="exact"/>
        <w:rPr>
          <w:rFonts w:ascii="Arial" w:cs="Arial" w:eastAsia="Arial" w:hAnsi="Arial"/>
          <w:sz w:val="19"/>
          <w:szCs w:val="19"/>
          <w:color w:val="auto"/>
        </w:rPr>
      </w:pPr>
    </w:p>
    <w:p>
      <w:pPr>
        <w:ind w:right="40" w:firstLine="656"/>
        <w:spacing w:after="0" w:line="316" w:lineRule="auto"/>
        <w:tabs>
          <w:tab w:leader="none" w:pos="1433"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Tax Withholding Requirements</w:t>
      </w:r>
      <w:r>
        <w:rPr>
          <w:rFonts w:ascii="Arial" w:cs="Arial" w:eastAsia="Arial" w:hAnsi="Arial"/>
          <w:sz w:val="18"/>
          <w:szCs w:val="18"/>
          <w:color w:val="auto"/>
        </w:rPr>
        <w:t>. The Company shall have the right to require Holder to remit to the Company an amount sufficient to satisfy any federal, state or local withholding tax requirements prior to the delivery of any certificate or certificates for Stock.</w:t>
      </w:r>
    </w:p>
    <w:p>
      <w:pPr>
        <w:spacing w:after="0" w:line="143" w:lineRule="exact"/>
        <w:rPr>
          <w:rFonts w:ascii="Arial" w:cs="Arial" w:eastAsia="Arial" w:hAnsi="Arial"/>
          <w:sz w:val="18"/>
          <w:szCs w:val="18"/>
          <w:color w:val="auto"/>
        </w:rPr>
      </w:pPr>
    </w:p>
    <w:p>
      <w:pPr>
        <w:ind w:right="40" w:firstLine="656"/>
        <w:spacing w:after="0" w:line="316" w:lineRule="auto"/>
        <w:tabs>
          <w:tab w:leader="none" w:pos="134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other provision of this Agreement, no fractional shares of Stock shall be issued upon the exercise of this Option, and the Company shall not be under any obligation to compensate Holder in any way for such fractional shares.</w:t>
      </w:r>
    </w:p>
    <w:p>
      <w:pPr>
        <w:spacing w:after="0" w:line="143" w:lineRule="exact"/>
        <w:rPr>
          <w:rFonts w:ascii="Arial" w:cs="Arial" w:eastAsia="Arial" w:hAnsi="Arial"/>
          <w:sz w:val="18"/>
          <w:szCs w:val="18"/>
          <w:color w:val="auto"/>
        </w:rPr>
      </w:pPr>
    </w:p>
    <w:p>
      <w:pPr>
        <w:jc w:val="both"/>
        <w:ind w:right="40" w:firstLine="656"/>
        <w:spacing w:after="0" w:line="263" w:lineRule="auto"/>
        <w:tabs>
          <w:tab w:leader="none" w:pos="1345"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hereunder to the Company shall be addressed to it at its office at 550 Monica Circle, Suite 201, Corona, California 92880, Attention: Rodney C. Sacks with a copy to Benjamin Polk, Schulte Roth &amp; Zabel LLP, 919 Third Avenue, New York, New York 10022, and any notice hereunder to Holder shall be addressed to him at 2281 Cambridge Avenue, Cardiff by the Sea, California, 92007, subject to the right of either party to designate at any time hereafter in writing some other address.</w:t>
      </w:r>
    </w:p>
    <w:p>
      <w:pPr>
        <w:spacing w:after="0" w:line="190" w:lineRule="exact"/>
        <w:rPr>
          <w:rFonts w:ascii="Arial" w:cs="Arial" w:eastAsia="Arial" w:hAnsi="Arial"/>
          <w:sz w:val="19"/>
          <w:szCs w:val="19"/>
          <w:color w:val="auto"/>
        </w:rPr>
      </w:pPr>
    </w:p>
    <w:p>
      <w:pPr>
        <w:ind w:right="40" w:firstLine="656"/>
        <w:spacing w:after="0" w:line="260" w:lineRule="auto"/>
        <w:tabs>
          <w:tab w:leader="none" w:pos="1373"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No modification, amendment or waiver of any of the provisions of this Agreement shall be effective unless in writing specifically referring hereto, and signed by both parties.</w:t>
      </w:r>
    </w:p>
    <w:p>
      <w:pPr>
        <w:spacing w:after="0" w:line="190" w:lineRule="exact"/>
        <w:rPr>
          <w:rFonts w:ascii="Arial" w:cs="Arial" w:eastAsia="Arial" w:hAnsi="Arial"/>
          <w:sz w:val="20"/>
          <w:szCs w:val="20"/>
          <w:color w:val="auto"/>
        </w:rPr>
      </w:pPr>
    </w:p>
    <w:p>
      <w:pPr>
        <w:ind w:right="40" w:firstLine="656"/>
        <w:spacing w:after="0" w:line="316" w:lineRule="auto"/>
        <w:tabs>
          <w:tab w:leader="none" w:pos="1359"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43" w:lineRule="exact"/>
        <w:rPr>
          <w:rFonts w:ascii="Arial" w:cs="Arial" w:eastAsia="Arial" w:hAnsi="Arial"/>
          <w:sz w:val="18"/>
          <w:szCs w:val="18"/>
          <w:color w:val="auto"/>
        </w:rPr>
      </w:pPr>
    </w:p>
    <w:p>
      <w:pPr>
        <w:ind w:left="1340" w:hanging="684"/>
        <w:spacing w:after="0"/>
        <w:tabs>
          <w:tab w:leader="none" w:pos="134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constitute one and the same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-3165475</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3"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IN WITNESS WHEREOF, Hansen Natural Corporation has caused this Agreement to be executed by a duly authorized officer and Holder has executed this Agreement both as of the day and year first above written.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5940" w:type="dxa"/>
            <w:vAlign w:val="bottom"/>
            <w:gridSpan w:val="2"/>
          </w:tcPr>
          <w:p>
            <w:pPr>
              <w:ind w:left="560"/>
              <w:spacing w:after="0"/>
              <w:rPr>
                <w:sz w:val="20"/>
                <w:szCs w:val="20"/>
                <w:color w:val="auto"/>
              </w:rPr>
            </w:pPr>
            <w:r>
              <w:rPr>
                <w:rFonts w:ascii="Arial" w:cs="Arial" w:eastAsia="Arial" w:hAnsi="Arial"/>
                <w:sz w:val="20"/>
                <w:szCs w:val="20"/>
                <w:color w:val="auto"/>
              </w:rPr>
              <w:t>HANSEN NATURAL CORPORATION</w:t>
            </w:r>
          </w:p>
        </w:tc>
        <w:tc>
          <w:tcPr>
            <w:tcW w:w="40" w:type="dxa"/>
            <w:vAlign w:val="bottom"/>
          </w:tcPr>
          <w:p>
            <w:pPr>
              <w:spacing w:after="0"/>
              <w:rPr>
                <w:sz w:val="21"/>
                <w:szCs w:val="21"/>
                <w:color w:val="auto"/>
              </w:rPr>
            </w:pPr>
          </w:p>
        </w:tc>
      </w:tr>
      <w:tr>
        <w:trPr>
          <w:trHeight w:val="678"/>
        </w:trPr>
        <w:tc>
          <w:tcPr>
            <w:tcW w:w="5480" w:type="dxa"/>
            <w:vAlign w:val="bottom"/>
            <w:gridSpan w:val="2"/>
          </w:tcPr>
          <w:p>
            <w:pPr>
              <w:spacing w:after="0"/>
              <w:rPr>
                <w:sz w:val="20"/>
                <w:szCs w:val="20"/>
                <w:color w:val="auto"/>
              </w:rPr>
            </w:pPr>
            <w:r>
              <w:rPr>
                <w:rFonts w:ascii="Arial" w:cs="Arial" w:eastAsia="Arial" w:hAnsi="Arial"/>
                <w:sz w:val="20"/>
                <w:szCs w:val="20"/>
                <w:color w:val="auto"/>
              </w:rPr>
              <w:t>/s/ Nick Gagliardi</w:t>
            </w:r>
          </w:p>
        </w:tc>
        <w:tc>
          <w:tcPr>
            <w:tcW w:w="5940" w:type="dxa"/>
            <w:vAlign w:val="bottom"/>
            <w:gridSpan w:val="2"/>
          </w:tcPr>
          <w:p>
            <w:pPr>
              <w:ind w:left="560"/>
              <w:spacing w:after="0"/>
              <w:rPr>
                <w:sz w:val="20"/>
                <w:szCs w:val="20"/>
                <w:color w:val="auto"/>
              </w:rPr>
            </w:pPr>
            <w:r>
              <w:rPr>
                <w:rFonts w:ascii="Arial" w:cs="Arial" w:eastAsia="Arial" w:hAnsi="Arial"/>
                <w:sz w:val="20"/>
                <w:szCs w:val="20"/>
                <w:color w:val="auto"/>
              </w:rPr>
              <w:t>By:  /s/ Rodney C. Sacks</w:t>
            </w:r>
          </w:p>
        </w:tc>
        <w:tc>
          <w:tcPr>
            <w:tcW w:w="4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460" w:type="dxa"/>
            <w:vAlign w:val="bottom"/>
            <w:tcBorders>
              <w:top w:val="single" w:sz="8" w:color="auto"/>
            </w:tcBorders>
          </w:tcPr>
          <w:p>
            <w:pPr>
              <w:spacing w:after="0" w:line="213" w:lineRule="exact"/>
              <w:rPr>
                <w:sz w:val="20"/>
                <w:szCs w:val="20"/>
                <w:color w:val="auto"/>
              </w:rPr>
            </w:pPr>
            <w:r>
              <w:rPr>
                <w:rFonts w:ascii="Arial" w:cs="Arial" w:eastAsia="Arial" w:hAnsi="Arial"/>
                <w:sz w:val="20"/>
                <w:szCs w:val="20"/>
                <w:color w:val="auto"/>
              </w:rPr>
              <w:t>Nick Gagliardi</w:t>
            </w:r>
          </w:p>
        </w:tc>
        <w:tc>
          <w:tcPr>
            <w:tcW w:w="980" w:type="dxa"/>
            <w:vAlign w:val="bottom"/>
          </w:tcPr>
          <w:p>
            <w:pPr>
              <w:ind w:left="560"/>
              <w:spacing w:after="0" w:line="213" w:lineRule="exact"/>
              <w:rPr>
                <w:sz w:val="20"/>
                <w:szCs w:val="20"/>
                <w:color w:val="auto"/>
              </w:rPr>
            </w:pPr>
            <w:r>
              <w:rPr>
                <w:rFonts w:ascii="Arial" w:cs="Arial" w:eastAsia="Arial" w:hAnsi="Arial"/>
                <w:sz w:val="19"/>
                <w:szCs w:val="19"/>
                <w:color w:val="auto"/>
                <w:w w:val="71"/>
              </w:rPr>
              <w:t>Name:</w:t>
            </w:r>
          </w:p>
        </w:tc>
        <w:tc>
          <w:tcPr>
            <w:tcW w:w="4960" w:type="dxa"/>
            <w:vAlign w:val="bottom"/>
            <w:tcBorders>
              <w:top w:val="single" w:sz="8" w:color="auto"/>
            </w:tcBorders>
          </w:tcPr>
          <w:p>
            <w:pPr>
              <w:ind w:left="200"/>
              <w:spacing w:after="0" w:line="213"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5940" w:type="dxa"/>
            <w:vAlign w:val="bottom"/>
            <w:gridSpan w:val="2"/>
          </w:tcPr>
          <w:p>
            <w:pPr>
              <w:ind w:left="560"/>
              <w:spacing w:after="0"/>
              <w:rPr>
                <w:sz w:val="20"/>
                <w:szCs w:val="20"/>
                <w:color w:val="auto"/>
              </w:rPr>
            </w:pPr>
            <w:r>
              <w:rPr>
                <w:rFonts w:ascii="Arial" w:cs="Arial" w:eastAsia="Arial" w:hAnsi="Arial"/>
                <w:sz w:val="20"/>
                <w:szCs w:val="20"/>
                <w:color w:val="auto"/>
              </w:rPr>
              <w:t>Title: Chairman and CEO</w:t>
            </w:r>
          </w:p>
        </w:tc>
        <w:tc>
          <w:tcPr>
            <w:tcW w:w="40" w:type="dxa"/>
            <w:vAlign w:val="bottom"/>
          </w:tcPr>
          <w:p>
            <w:pPr>
              <w:spacing w:after="0"/>
              <w:rPr>
                <w:sz w:val="21"/>
                <w:szCs w:val="21"/>
                <w:color w:val="auto"/>
              </w:rPr>
            </w:pPr>
          </w:p>
        </w:tc>
      </w:tr>
      <w:tr>
        <w:trPr>
          <w:trHeight w:val="357"/>
        </w:trPr>
        <w:tc>
          <w:tcPr>
            <w:tcW w:w="20" w:type="dxa"/>
            <w:vAlign w:val="bottom"/>
            <w:tcBorders>
              <w:bottom w:val="single" w:sz="8" w:color="010101"/>
            </w:tcBorders>
          </w:tcPr>
          <w:p>
            <w:pPr>
              <w:spacing w:after="0"/>
              <w:rPr>
                <w:sz w:val="24"/>
                <w:szCs w:val="24"/>
                <w:color w:val="auto"/>
              </w:rPr>
            </w:pPr>
          </w:p>
        </w:tc>
        <w:tc>
          <w:tcPr>
            <w:tcW w:w="546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2" w:right="199" w:bottom="1440" w:gutter="0" w:footer="0" w:header="0"/>
        </w:sectPr>
      </w:pPr>
    </w:p>
    <w:bookmarkStart w:id="100" w:name="page101"/>
    <w:bookmarkEnd w:id="100"/>
    <w:p>
      <w:pPr>
        <w:jc w:val="right"/>
        <w:spacing w:after="0"/>
        <w:rPr>
          <w:sz w:val="20"/>
          <w:szCs w:val="20"/>
          <w:color w:val="auto"/>
        </w:rPr>
      </w:pPr>
      <w:r>
        <w:rPr>
          <w:rFonts w:ascii="Arial" w:cs="Arial" w:eastAsia="Arial" w:hAnsi="Arial"/>
          <w:sz w:val="20"/>
          <w:szCs w:val="20"/>
          <w:b w:val="1"/>
          <w:bCs w:val="1"/>
          <w:color w:val="auto"/>
        </w:rPr>
        <w:t>Exhibit 10.51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Stock Option Agreement (“Agreement”), is made as of December 1, 2009 (the “Grant Date”), by and between Hansen Natural Corporation, a Delaware corporation (the “Company”), and Rodney C. Sacks (“Holder”).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Recitals</w:t>
      </w:r>
    </w:p>
    <w:p>
      <w:pPr>
        <w:spacing w:after="0" w:line="229" w:lineRule="exact"/>
        <w:rPr>
          <w:sz w:val="20"/>
          <w:szCs w:val="20"/>
          <w:color w:val="auto"/>
        </w:rPr>
      </w:pPr>
    </w:p>
    <w:p>
      <w:pPr>
        <w:ind w:left="1240" w:hanging="584"/>
        <w:spacing w:after="0"/>
        <w:tabs>
          <w:tab w:leader="none" w:pos="124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Holder is an employee of a Participating Company.</w:t>
      </w:r>
    </w:p>
    <w:p>
      <w:pPr>
        <w:spacing w:after="0" w:line="229" w:lineRule="exact"/>
        <w:rPr>
          <w:rFonts w:ascii="Arial" w:cs="Arial" w:eastAsia="Arial" w:hAnsi="Arial"/>
          <w:sz w:val="20"/>
          <w:szCs w:val="20"/>
          <w:color w:val="auto"/>
        </w:rPr>
      </w:pPr>
    </w:p>
    <w:p>
      <w:pPr>
        <w:ind w:right="20" w:firstLine="656"/>
        <w:spacing w:after="0" w:line="287" w:lineRule="auto"/>
        <w:tabs>
          <w:tab w:leader="none" w:pos="142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Pursuant to the Hansen Natural Corporation 2001 Stock Option Plan (the “Plan”), the Company desires to grant Holder an incentive stock option to purchase shares of the Company’s common stock, par value $.005 per share (the “Common Stock”).</w:t>
      </w:r>
    </w:p>
    <w:p>
      <w:pPr>
        <w:spacing w:after="0" w:line="166" w:lineRule="exact"/>
        <w:rPr>
          <w:rFonts w:ascii="Arial" w:cs="Arial" w:eastAsia="Arial" w:hAnsi="Arial"/>
          <w:sz w:val="19"/>
          <w:szCs w:val="19"/>
          <w:color w:val="auto"/>
        </w:rPr>
      </w:pPr>
    </w:p>
    <w:p>
      <w:pPr>
        <w:ind w:left="1280" w:hanging="624"/>
        <w:spacing w:after="0"/>
        <w:tabs>
          <w:tab w:leader="none" w:pos="128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Capitalized terms not otherwise defined in this Agreement shall have the meaning given to them in the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Company and Holder agree as follows:</w:t>
      </w:r>
    </w:p>
    <w:p>
      <w:pPr>
        <w:spacing w:after="0" w:line="229" w:lineRule="exact"/>
        <w:rPr>
          <w:sz w:val="20"/>
          <w:szCs w:val="20"/>
          <w:color w:val="auto"/>
        </w:rPr>
      </w:pPr>
    </w:p>
    <w:p>
      <w:pPr>
        <w:jc w:val="both"/>
        <w:ind w:firstLine="656"/>
        <w:spacing w:after="0" w:line="242" w:lineRule="auto"/>
        <w:tabs>
          <w:tab w:leader="none" w:pos="1323" w:val="left"/>
        </w:tabs>
        <w:numPr>
          <w:ilvl w:val="0"/>
          <w:numId w:val="132"/>
        </w:numPr>
        <w:rPr>
          <w:rFonts w:ascii="Arial" w:cs="Arial" w:eastAsia="Arial" w:hAnsi="Arial"/>
          <w:sz w:val="20"/>
          <w:szCs w:val="20"/>
          <w:color w:val="auto"/>
        </w:rPr>
      </w:pPr>
      <w:r>
        <w:rPr>
          <w:rFonts w:ascii="Arial" w:cs="Arial" w:eastAsia="Arial" w:hAnsi="Arial"/>
          <w:sz w:val="20"/>
          <w:szCs w:val="20"/>
          <w:u w:val="single" w:color="auto"/>
          <w:color w:val="auto"/>
        </w:rPr>
        <w:t>Grant of Incentive Stock Option</w:t>
      </w:r>
      <w:r>
        <w:rPr>
          <w:rFonts w:ascii="Arial" w:cs="Arial" w:eastAsia="Arial" w:hAnsi="Arial"/>
          <w:sz w:val="20"/>
          <w:szCs w:val="20"/>
          <w:color w:val="auto"/>
        </w:rPr>
        <w:t>. The Company hereby grants to Holder, subject to the terms and conditions set forth herein and in the Plan, an incentive stock option (“ISO”) to purchase 250,000 shares of Common Stock, at the purchase price of $35.64 per share (the “Option”), such Option to be exercisable and exercised as hereinafter provided. If for any reason the Option or any portion of the Option shall not qualify as an ISO, then, to the extent of such nonqualification, such Option (or portion thereof) shall be regarded as a nonqualified stock option granted under the Plan, provided that such Option (or portion thereof) otherwise complies with the Plan’s requirements relating to nonqualified stock options. In no event shall any member of the Committee or any Participating Company (or their respective employees, officers or directors) have any liability to Holder (or any other person) due to the failure of an Option (or any portion thereof) to qualify for any reason as an ISO.</w:t>
      </w:r>
    </w:p>
    <w:p>
      <w:pPr>
        <w:spacing w:after="0" w:line="211" w:lineRule="exact"/>
        <w:rPr>
          <w:rFonts w:ascii="Arial" w:cs="Arial" w:eastAsia="Arial" w:hAnsi="Arial"/>
          <w:sz w:val="20"/>
          <w:szCs w:val="20"/>
          <w:color w:val="auto"/>
        </w:rPr>
      </w:pPr>
    </w:p>
    <w:p>
      <w:pPr>
        <w:jc w:val="both"/>
        <w:ind w:firstLine="656"/>
        <w:spacing w:after="0" w:line="259" w:lineRule="auto"/>
        <w:tabs>
          <w:tab w:leader="none" w:pos="1445"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Exercise Period</w:t>
      </w:r>
      <w:r>
        <w:rPr>
          <w:rFonts w:ascii="Arial" w:cs="Arial" w:eastAsia="Arial" w:hAnsi="Arial"/>
          <w:sz w:val="19"/>
          <w:szCs w:val="19"/>
          <w:color w:val="auto"/>
        </w:rPr>
        <w:t>. The Option shall expire three months after the termination of the Holder’s employment with a Participating Company unless the employment is terminated by a Participating Company for Cause (as defined below) or unless the employment is terminated by reason of the death or Total Disability of Holder. If the Holder’s employment is terminated by a Participating Company for Cause, the Option shall expire as of the date employment terminates. If the Holder’s employment terminates due to his death or Total Disability, then the Option may be exercised by Holder or the person or persons to which Holder’s rights under this Agreement pass by will, or if no such person has such right, by his executors or administrators, within six months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date of death or Total Disability, but no later than the expiration date specified in Section 3(d) below. “Cause” means the Holder’s act of fraud or dishonesty, knowing and material failure to comply with applicable laws or regulations, or drug or alcohol abuse, in any case as determined by the Committee.</w:t>
      </w:r>
    </w:p>
    <w:p>
      <w:pPr>
        <w:spacing w:after="0" w:line="200" w:lineRule="exact"/>
        <w:rPr>
          <w:sz w:val="20"/>
          <w:szCs w:val="20"/>
          <w:color w:val="auto"/>
        </w:rPr>
      </w:pPr>
    </w:p>
    <w:p>
      <w:pPr>
        <w:ind w:left="1260" w:hanging="604"/>
        <w:spacing w:after="0"/>
        <w:tabs>
          <w:tab w:leader="none" w:pos="1260"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p>
    <w:p>
      <w:pPr>
        <w:spacing w:after="0" w:line="229" w:lineRule="exact"/>
        <w:rPr>
          <w:rFonts w:ascii="Arial" w:cs="Arial" w:eastAsia="Arial" w:hAnsi="Arial"/>
          <w:sz w:val="20"/>
          <w:szCs w:val="20"/>
          <w:color w:val="auto"/>
        </w:rPr>
      </w:pPr>
    </w:p>
    <w:p>
      <w:pPr>
        <w:jc w:val="both"/>
        <w:ind w:firstLine="1305"/>
        <w:spacing w:after="0" w:line="250" w:lineRule="auto"/>
        <w:tabs>
          <w:tab w:leader="none" w:pos="2145" w:val="left"/>
        </w:tabs>
        <w:numPr>
          <w:ilvl w:val="1"/>
          <w:numId w:val="133"/>
        </w:numPr>
        <w:rPr>
          <w:rFonts w:ascii="Arial" w:cs="Arial" w:eastAsia="Arial" w:hAnsi="Arial"/>
          <w:sz w:val="20"/>
          <w:szCs w:val="20"/>
          <w:color w:val="auto"/>
        </w:rPr>
      </w:pPr>
      <w:r>
        <w:rPr>
          <w:rFonts w:ascii="Arial" w:cs="Arial" w:eastAsia="Arial" w:hAnsi="Arial"/>
          <w:sz w:val="20"/>
          <w:szCs w:val="20"/>
          <w:color w:val="auto"/>
        </w:rPr>
        <w:t>Subject to the other terms of this Agreement regarding the exercisability of the Option, provided that Holder is employed by a Participating Company on the relevant Exercise Date set forth below, the Option may be exercised in respect of the number of shares (the “Option Portion”) listed in column A from and after the Exercise Date listed in column B,</w:t>
      </w:r>
    </w:p>
    <w:p>
      <w:pPr>
        <w:spacing w:after="0" w:line="200" w:lineRule="exact"/>
        <w:rPr>
          <w:sz w:val="20"/>
          <w:szCs w:val="20"/>
          <w:color w:val="auto"/>
        </w:rPr>
      </w:pPr>
    </w:p>
    <w:tbl>
      <w:tblPr>
        <w:tblLayout w:type="fixed"/>
        <w:tblInd w:w="1500" w:type="dxa"/>
        <w:tblCellMar>
          <w:top w:w="0" w:type="dxa"/>
          <w:left w:w="0" w:type="dxa"/>
          <w:bottom w:w="0" w:type="dxa"/>
          <w:right w:w="0" w:type="dxa"/>
        </w:tblCellMar>
      </w:tblPr>
      <w:tr>
        <w:trPr>
          <w:trHeight w:val="250"/>
        </w:trPr>
        <w:tc>
          <w:tcPr>
            <w:tcW w:w="1300" w:type="dxa"/>
            <w:vAlign w:val="bottom"/>
          </w:tcPr>
          <w:p>
            <w:pPr>
              <w:spacing w:after="0"/>
              <w:rPr>
                <w:sz w:val="21"/>
                <w:szCs w:val="21"/>
                <w:color w:val="auto"/>
              </w:rPr>
            </w:pPr>
          </w:p>
        </w:tc>
        <w:tc>
          <w:tcPr>
            <w:tcW w:w="2920" w:type="dxa"/>
            <w:vAlign w:val="bottom"/>
            <w:gridSpan w:val="2"/>
          </w:tcPr>
          <w:p>
            <w:pPr>
              <w:jc w:val="center"/>
              <w:ind w:right="1480"/>
              <w:spacing w:after="0"/>
              <w:rPr>
                <w:sz w:val="20"/>
                <w:szCs w:val="20"/>
                <w:color w:val="auto"/>
              </w:rPr>
            </w:pPr>
            <w:r>
              <w:rPr>
                <w:rFonts w:ascii="Arial" w:cs="Arial" w:eastAsia="Arial" w:hAnsi="Arial"/>
                <w:sz w:val="20"/>
                <w:szCs w:val="20"/>
                <w:color w:val="auto"/>
                <w:w w:val="98"/>
              </w:rPr>
              <w:t>Column “A”</w:t>
            </w:r>
          </w:p>
        </w:tc>
        <w:tc>
          <w:tcPr>
            <w:tcW w:w="1680" w:type="dxa"/>
            <w:vAlign w:val="bottom"/>
          </w:tcPr>
          <w:p>
            <w:pPr>
              <w:spacing w:after="0"/>
              <w:rPr>
                <w:sz w:val="21"/>
                <w:szCs w:val="21"/>
                <w:color w:val="auto"/>
              </w:rPr>
            </w:pPr>
          </w:p>
        </w:tc>
        <w:tc>
          <w:tcPr>
            <w:tcW w:w="2280" w:type="dxa"/>
            <w:vAlign w:val="bottom"/>
            <w:gridSpan w:val="2"/>
          </w:tcPr>
          <w:p>
            <w:pPr>
              <w:jc w:val="center"/>
              <w:ind w:right="1180"/>
              <w:spacing w:after="0"/>
              <w:rPr>
                <w:sz w:val="20"/>
                <w:szCs w:val="20"/>
                <w:color w:val="auto"/>
              </w:rPr>
            </w:pPr>
            <w:r>
              <w:rPr>
                <w:rFonts w:ascii="Arial" w:cs="Arial" w:eastAsia="Arial" w:hAnsi="Arial"/>
                <w:sz w:val="20"/>
                <w:szCs w:val="20"/>
                <w:color w:val="auto"/>
                <w:w w:val="96"/>
              </w:rPr>
              <w:t>Column “B”</w:t>
            </w:r>
          </w:p>
        </w:tc>
      </w:tr>
      <w:tr>
        <w:trPr>
          <w:trHeight w:val="415"/>
        </w:trPr>
        <w:tc>
          <w:tcPr>
            <w:tcW w:w="1300" w:type="dxa"/>
            <w:vAlign w:val="bottom"/>
          </w:tcPr>
          <w:p>
            <w:pPr>
              <w:spacing w:after="0"/>
              <w:rPr>
                <w:sz w:val="24"/>
                <w:szCs w:val="24"/>
                <w:color w:val="auto"/>
              </w:rPr>
            </w:pPr>
          </w:p>
        </w:tc>
        <w:tc>
          <w:tcPr>
            <w:tcW w:w="2920" w:type="dxa"/>
            <w:vAlign w:val="bottom"/>
            <w:gridSpan w:val="2"/>
          </w:tcPr>
          <w:p>
            <w:pPr>
              <w:jc w:val="center"/>
              <w:ind w:right="1480"/>
              <w:spacing w:after="0"/>
              <w:rPr>
                <w:sz w:val="20"/>
                <w:szCs w:val="20"/>
                <w:color w:val="auto"/>
              </w:rPr>
            </w:pPr>
            <w:r>
              <w:rPr>
                <w:rFonts w:ascii="Arial" w:cs="Arial" w:eastAsia="Arial" w:hAnsi="Arial"/>
                <w:sz w:val="20"/>
                <w:szCs w:val="20"/>
                <w:color w:val="auto"/>
                <w:w w:val="88"/>
              </w:rPr>
              <w:t>Number of Shares</w:t>
            </w:r>
          </w:p>
        </w:tc>
        <w:tc>
          <w:tcPr>
            <w:tcW w:w="3960" w:type="dxa"/>
            <w:vAlign w:val="bottom"/>
            <w:gridSpan w:val="3"/>
          </w:tcPr>
          <w:p>
            <w:pPr>
              <w:jc w:val="center"/>
              <w:ind w:left="401"/>
              <w:spacing w:after="0"/>
              <w:rPr>
                <w:sz w:val="20"/>
                <w:szCs w:val="20"/>
                <w:color w:val="auto"/>
              </w:rPr>
            </w:pPr>
            <w:r>
              <w:rPr>
                <w:rFonts w:ascii="Arial" w:cs="Arial" w:eastAsia="Arial" w:hAnsi="Arial"/>
                <w:sz w:val="20"/>
                <w:szCs w:val="20"/>
                <w:color w:val="auto"/>
                <w:w w:val="88"/>
              </w:rPr>
              <w:t>Exercise Date</w:t>
            </w:r>
          </w:p>
        </w:tc>
      </w:tr>
      <w:tr>
        <w:trPr>
          <w:trHeight w:val="20"/>
        </w:trPr>
        <w:tc>
          <w:tcPr>
            <w:tcW w:w="1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84"/>
        </w:trPr>
        <w:tc>
          <w:tcPr>
            <w:tcW w:w="4220" w:type="dxa"/>
            <w:vAlign w:val="bottom"/>
            <w:gridSpan w:val="3"/>
          </w:tcPr>
          <w:p>
            <w:pPr>
              <w:spacing w:after="0"/>
              <w:rPr>
                <w:sz w:val="20"/>
                <w:szCs w:val="20"/>
                <w:color w:val="auto"/>
              </w:rPr>
            </w:pPr>
            <w:r>
              <w:rPr>
                <w:rFonts w:ascii="Arial" w:cs="Arial" w:eastAsia="Arial" w:hAnsi="Arial"/>
                <w:sz w:val="20"/>
                <w:szCs w:val="20"/>
                <w:color w:val="auto"/>
                <w:w w:val="94"/>
              </w:rPr>
              <w:t>20% of the number of shares subject to the Option</w:t>
            </w:r>
          </w:p>
        </w:tc>
        <w:tc>
          <w:tcPr>
            <w:tcW w:w="3960" w:type="dxa"/>
            <w:vAlign w:val="bottom"/>
            <w:gridSpan w:val="3"/>
          </w:tcPr>
          <w:p>
            <w:pPr>
              <w:ind w:left="240"/>
              <w:spacing w:after="0"/>
              <w:rPr>
                <w:sz w:val="20"/>
                <w:szCs w:val="20"/>
                <w:color w:val="auto"/>
              </w:rPr>
            </w:pPr>
            <w:r>
              <w:rPr>
                <w:rFonts w:ascii="Arial" w:cs="Arial" w:eastAsia="Arial" w:hAnsi="Arial"/>
                <w:sz w:val="20"/>
                <w:szCs w:val="20"/>
                <w:color w:val="auto"/>
                <w:w w:val="97"/>
              </w:rPr>
              <w:t>After the first anniversary of the Grant Date</w:t>
            </w:r>
          </w:p>
        </w:tc>
      </w:tr>
      <w:tr>
        <w:trPr>
          <w:trHeight w:val="459"/>
        </w:trPr>
        <w:tc>
          <w:tcPr>
            <w:tcW w:w="4220" w:type="dxa"/>
            <w:vAlign w:val="bottom"/>
            <w:gridSpan w:val="3"/>
          </w:tcPr>
          <w:p>
            <w:pPr>
              <w:spacing w:after="0"/>
              <w:rPr>
                <w:sz w:val="20"/>
                <w:szCs w:val="20"/>
                <w:color w:val="auto"/>
              </w:rPr>
            </w:pPr>
            <w:r>
              <w:rPr>
                <w:rFonts w:ascii="Arial" w:cs="Arial" w:eastAsia="Arial" w:hAnsi="Arial"/>
                <w:sz w:val="20"/>
                <w:szCs w:val="20"/>
                <w:color w:val="auto"/>
                <w:w w:val="94"/>
              </w:rPr>
              <w:t>20% of the number of shares subject to the Option</w:t>
            </w:r>
          </w:p>
        </w:tc>
        <w:tc>
          <w:tcPr>
            <w:tcW w:w="3960" w:type="dxa"/>
            <w:vAlign w:val="bottom"/>
            <w:gridSpan w:val="3"/>
          </w:tcPr>
          <w:p>
            <w:pPr>
              <w:ind w:left="240"/>
              <w:spacing w:after="0"/>
              <w:rPr>
                <w:sz w:val="20"/>
                <w:szCs w:val="20"/>
                <w:color w:val="auto"/>
              </w:rPr>
            </w:pPr>
            <w:r>
              <w:rPr>
                <w:rFonts w:ascii="Arial" w:cs="Arial" w:eastAsia="Arial" w:hAnsi="Arial"/>
                <w:sz w:val="20"/>
                <w:szCs w:val="20"/>
                <w:color w:val="auto"/>
                <w:w w:val="89"/>
              </w:rPr>
              <w:t>After the second anniversary of the Grant Date</w:t>
            </w:r>
          </w:p>
        </w:tc>
      </w:tr>
      <w:tr>
        <w:trPr>
          <w:trHeight w:val="459"/>
        </w:trPr>
        <w:tc>
          <w:tcPr>
            <w:tcW w:w="4220" w:type="dxa"/>
            <w:vAlign w:val="bottom"/>
            <w:gridSpan w:val="3"/>
          </w:tcPr>
          <w:p>
            <w:pPr>
              <w:spacing w:after="0"/>
              <w:rPr>
                <w:sz w:val="20"/>
                <w:szCs w:val="20"/>
                <w:color w:val="auto"/>
              </w:rPr>
            </w:pPr>
            <w:r>
              <w:rPr>
                <w:rFonts w:ascii="Arial" w:cs="Arial" w:eastAsia="Arial" w:hAnsi="Arial"/>
                <w:sz w:val="20"/>
                <w:szCs w:val="20"/>
                <w:color w:val="auto"/>
                <w:w w:val="94"/>
              </w:rPr>
              <w:t>20% of the number of shares subject to the Option</w:t>
            </w:r>
          </w:p>
        </w:tc>
        <w:tc>
          <w:tcPr>
            <w:tcW w:w="3960" w:type="dxa"/>
            <w:vAlign w:val="bottom"/>
            <w:gridSpan w:val="3"/>
          </w:tcPr>
          <w:p>
            <w:pPr>
              <w:ind w:left="240"/>
              <w:spacing w:after="0"/>
              <w:rPr>
                <w:sz w:val="20"/>
                <w:szCs w:val="20"/>
                <w:color w:val="auto"/>
              </w:rPr>
            </w:pPr>
            <w:r>
              <w:rPr>
                <w:rFonts w:ascii="Arial" w:cs="Arial" w:eastAsia="Arial" w:hAnsi="Arial"/>
                <w:sz w:val="20"/>
                <w:szCs w:val="20"/>
                <w:color w:val="auto"/>
                <w:w w:val="95"/>
              </w:rPr>
              <w:t>After the third anniversary of the Grant Date</w:t>
            </w:r>
          </w:p>
        </w:tc>
      </w:tr>
      <w:tr>
        <w:trPr>
          <w:trHeight w:val="459"/>
        </w:trPr>
        <w:tc>
          <w:tcPr>
            <w:tcW w:w="4220" w:type="dxa"/>
            <w:vAlign w:val="bottom"/>
            <w:gridSpan w:val="3"/>
          </w:tcPr>
          <w:p>
            <w:pPr>
              <w:spacing w:after="0"/>
              <w:rPr>
                <w:sz w:val="20"/>
                <w:szCs w:val="20"/>
                <w:color w:val="auto"/>
              </w:rPr>
            </w:pPr>
            <w:r>
              <w:rPr>
                <w:rFonts w:ascii="Arial" w:cs="Arial" w:eastAsia="Arial" w:hAnsi="Arial"/>
                <w:sz w:val="20"/>
                <w:szCs w:val="20"/>
                <w:color w:val="auto"/>
                <w:w w:val="94"/>
              </w:rPr>
              <w:t>20% of the number of shares subject to the Option</w:t>
            </w:r>
          </w:p>
        </w:tc>
        <w:tc>
          <w:tcPr>
            <w:tcW w:w="3960" w:type="dxa"/>
            <w:vAlign w:val="bottom"/>
            <w:gridSpan w:val="3"/>
          </w:tcPr>
          <w:p>
            <w:pPr>
              <w:ind w:left="240"/>
              <w:spacing w:after="0"/>
              <w:rPr>
                <w:sz w:val="20"/>
                <w:szCs w:val="20"/>
                <w:color w:val="auto"/>
              </w:rPr>
            </w:pPr>
            <w:r>
              <w:rPr>
                <w:rFonts w:ascii="Arial" w:cs="Arial" w:eastAsia="Arial" w:hAnsi="Arial"/>
                <w:sz w:val="20"/>
                <w:szCs w:val="20"/>
                <w:color w:val="auto"/>
                <w:w w:val="92"/>
              </w:rPr>
              <w:t>After the fourth anniversary of the Grant Date</w:t>
            </w:r>
          </w:p>
        </w:tc>
      </w:tr>
      <w:tr>
        <w:trPr>
          <w:trHeight w:val="459"/>
        </w:trPr>
        <w:tc>
          <w:tcPr>
            <w:tcW w:w="4220" w:type="dxa"/>
            <w:vAlign w:val="bottom"/>
            <w:gridSpan w:val="3"/>
          </w:tcPr>
          <w:p>
            <w:pPr>
              <w:spacing w:after="0"/>
              <w:rPr>
                <w:sz w:val="20"/>
                <w:szCs w:val="20"/>
                <w:color w:val="auto"/>
              </w:rPr>
            </w:pPr>
            <w:r>
              <w:rPr>
                <w:rFonts w:ascii="Arial" w:cs="Arial" w:eastAsia="Arial" w:hAnsi="Arial"/>
                <w:sz w:val="20"/>
                <w:szCs w:val="20"/>
                <w:color w:val="auto"/>
                <w:w w:val="94"/>
              </w:rPr>
              <w:t>20% of the number of shares subject to the Option</w:t>
            </w:r>
          </w:p>
        </w:tc>
        <w:tc>
          <w:tcPr>
            <w:tcW w:w="3960" w:type="dxa"/>
            <w:vAlign w:val="bottom"/>
            <w:gridSpan w:val="3"/>
          </w:tcPr>
          <w:p>
            <w:pPr>
              <w:ind w:left="240"/>
              <w:spacing w:after="0"/>
              <w:rPr>
                <w:sz w:val="20"/>
                <w:szCs w:val="20"/>
                <w:color w:val="auto"/>
              </w:rPr>
            </w:pPr>
            <w:r>
              <w:rPr>
                <w:rFonts w:ascii="Arial" w:cs="Arial" w:eastAsia="Arial" w:hAnsi="Arial"/>
                <w:sz w:val="20"/>
                <w:szCs w:val="20"/>
                <w:color w:val="auto"/>
                <w:w w:val="95"/>
              </w:rPr>
              <w:t>After the fifth anniversary of the Grant Date”</w:t>
            </w:r>
          </w:p>
        </w:tc>
      </w:tr>
    </w:tbl>
    <w:p>
      <w:pPr>
        <w:spacing w:after="0" w:line="209" w:lineRule="exact"/>
        <w:rPr>
          <w:sz w:val="20"/>
          <w:szCs w:val="20"/>
          <w:color w:val="auto"/>
        </w:rPr>
      </w:pPr>
    </w:p>
    <w:p>
      <w:pPr>
        <w:jc w:val="both"/>
        <w:ind w:firstLine="1305"/>
        <w:spacing w:after="0" w:line="246" w:lineRule="auto"/>
        <w:tabs>
          <w:tab w:leader="none" w:pos="1972" w:val="left"/>
        </w:tabs>
        <w:numPr>
          <w:ilvl w:val="0"/>
          <w:numId w:val="134"/>
        </w:numPr>
        <w:rPr>
          <w:rFonts w:ascii="Arial" w:cs="Arial" w:eastAsia="Arial" w:hAnsi="Arial"/>
          <w:sz w:val="20"/>
          <w:szCs w:val="20"/>
          <w:color w:val="auto"/>
        </w:rPr>
      </w:pPr>
      <w:r>
        <w:rPr>
          <w:rFonts w:ascii="Arial" w:cs="Arial" w:eastAsia="Arial" w:hAnsi="Arial"/>
          <w:sz w:val="20"/>
          <w:szCs w:val="20"/>
          <w:color w:val="auto"/>
        </w:rPr>
        <w:t>This Option may be exercised, to the extent exercisable by its terms, from time to time in whole or in part at any time prior to the expiration thereof. Any exercise shall be accompanied by a written notice to the Company specifying the number of shares as to which this Option is being exercised (the “Option Shares”). Notations of any partial exercise or installment exercise, shall be made by the Company on Schedule A hereto.</w:t>
      </w:r>
    </w:p>
    <w:p>
      <w:pPr>
        <w:spacing w:after="0" w:line="205" w:lineRule="exact"/>
        <w:rPr>
          <w:rFonts w:ascii="Arial" w:cs="Arial" w:eastAsia="Arial" w:hAnsi="Arial"/>
          <w:sz w:val="20"/>
          <w:szCs w:val="20"/>
          <w:color w:val="auto"/>
        </w:rPr>
      </w:pPr>
    </w:p>
    <w:p>
      <w:pPr>
        <w:jc w:val="both"/>
        <w:ind w:firstLine="1305"/>
        <w:spacing w:after="0" w:line="250" w:lineRule="auto"/>
        <w:tabs>
          <w:tab w:leader="none" w:pos="2106" w:val="left"/>
        </w:tabs>
        <w:numPr>
          <w:ilvl w:val="0"/>
          <w:numId w:val="134"/>
        </w:numPr>
        <w:rPr>
          <w:rFonts w:ascii="Arial" w:cs="Arial" w:eastAsia="Arial" w:hAnsi="Arial"/>
          <w:sz w:val="20"/>
          <w:szCs w:val="20"/>
          <w:color w:val="auto"/>
        </w:rPr>
      </w:pPr>
      <w:r>
        <w:rPr>
          <w:rFonts w:ascii="Arial" w:cs="Arial" w:eastAsia="Arial" w:hAnsi="Arial"/>
          <w:sz w:val="20"/>
          <w:szCs w:val="20"/>
          <w:color w:val="auto"/>
        </w:rPr>
        <w:t>Notwithstanding Section 3(a) above, this ISO shall be fully exercisable in the event Holder’s employment with a Participating Company is terminated by the Holder for “Good Reason” (as defined below), or a Participating Company terminates the Holder’s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5" w:right="239" w:bottom="239" w:gutter="0" w:footer="0" w:header="0"/>
        </w:sectPr>
      </w:pPr>
    </w:p>
    <w:bookmarkStart w:id="101" w:name="page102"/>
    <w:bookmarkEnd w:id="101"/>
    <w:p>
      <w:pPr>
        <w:jc w:val="both"/>
        <w:spacing w:after="0" w:line="269" w:lineRule="auto"/>
        <w:rPr>
          <w:sz w:val="20"/>
          <w:szCs w:val="20"/>
          <w:color w:val="auto"/>
        </w:rPr>
      </w:pPr>
      <w:r>
        <w:rPr>
          <w:rFonts w:ascii="Arial" w:cs="Arial" w:eastAsia="Arial" w:hAnsi="Arial"/>
          <w:sz w:val="19"/>
          <w:szCs w:val="19"/>
          <w:color w:val="auto"/>
        </w:rPr>
        <w:t>without “Cause” (as defined above). “Good Reason” means the Holder’s termination of employment with a Participating Company on or after a reduction in his compensation or benefits, his removal as the Company’s Chairman of the Board or Chief Executive Officer, or his being assigned duties or responsibilities that are inconsistent with the dignity, importance or scope of his position with the Company.</w:t>
      </w:r>
    </w:p>
    <w:p>
      <w:pPr>
        <w:spacing w:after="0" w:line="184" w:lineRule="exact"/>
        <w:rPr>
          <w:sz w:val="20"/>
          <w:szCs w:val="20"/>
          <w:color w:val="auto"/>
        </w:rPr>
      </w:pPr>
    </w:p>
    <w:p>
      <w:pPr>
        <w:ind w:left="1940" w:hanging="635"/>
        <w:spacing w:after="0"/>
        <w:tabs>
          <w:tab w:leader="none" w:pos="19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Notwithstanding anything else in this Agreement to the contrary, this Option shall expire on the tenth anniversary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Grant Date.</w:t>
      </w:r>
    </w:p>
    <w:p>
      <w:pPr>
        <w:spacing w:after="0" w:line="213" w:lineRule="exact"/>
        <w:rPr>
          <w:sz w:val="20"/>
          <w:szCs w:val="20"/>
          <w:color w:val="auto"/>
        </w:rPr>
      </w:pPr>
    </w:p>
    <w:p>
      <w:pPr>
        <w:jc w:val="both"/>
        <w:ind w:firstLine="1305"/>
        <w:spacing w:after="0" w:line="250" w:lineRule="auto"/>
        <w:tabs>
          <w:tab w:leader="none" w:pos="1931" w:val="left"/>
        </w:tabs>
        <w:numPr>
          <w:ilvl w:val="1"/>
          <w:numId w:val="136"/>
        </w:numPr>
        <w:rPr>
          <w:rFonts w:ascii="Arial" w:cs="Arial" w:eastAsia="Arial" w:hAnsi="Arial"/>
          <w:sz w:val="20"/>
          <w:szCs w:val="20"/>
          <w:color w:val="auto"/>
        </w:rPr>
      </w:pPr>
      <w:r>
        <w:rPr>
          <w:rFonts w:ascii="Arial" w:cs="Arial" w:eastAsia="Arial" w:hAnsi="Arial"/>
          <w:sz w:val="20"/>
          <w:szCs w:val="20"/>
          <w:color w:val="auto"/>
        </w:rPr>
        <w:t>The Holder hereby agrees to notify the Company in writing in the event shares acquired pursuant to the exercise of this Option are transferred, other than by will or by the laws of descent and distribution, within two years after the Grant Date or within one year after the issuance of such shares pursuant to such exercise.</w:t>
      </w:r>
    </w:p>
    <w:p>
      <w:pPr>
        <w:spacing w:after="0" w:line="199" w:lineRule="exact"/>
        <w:rPr>
          <w:rFonts w:ascii="Arial" w:cs="Arial" w:eastAsia="Arial" w:hAnsi="Arial"/>
          <w:sz w:val="20"/>
          <w:szCs w:val="20"/>
          <w:color w:val="auto"/>
        </w:rPr>
      </w:pPr>
    </w:p>
    <w:p>
      <w:pPr>
        <w:ind w:right="20" w:firstLine="656"/>
        <w:spacing w:after="0" w:line="260" w:lineRule="auto"/>
        <w:tabs>
          <w:tab w:leader="none" w:pos="1269"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Payment of Purchase Price Upon Exercise</w:t>
      </w:r>
      <w:r>
        <w:rPr>
          <w:rFonts w:ascii="Arial" w:cs="Arial" w:eastAsia="Arial" w:hAnsi="Arial"/>
          <w:sz w:val="20"/>
          <w:szCs w:val="20"/>
          <w:color w:val="auto"/>
        </w:rPr>
        <w:t>. At the time of any exercise of all or a portion of the Option, the purchase price shall be paid in full to the Company in any of the following ways or in any combination of the following ways:</w:t>
      </w:r>
    </w:p>
    <w:p>
      <w:pPr>
        <w:spacing w:after="0" w:line="190" w:lineRule="exact"/>
        <w:rPr>
          <w:rFonts w:ascii="Arial" w:cs="Arial" w:eastAsia="Arial" w:hAnsi="Arial"/>
          <w:sz w:val="20"/>
          <w:szCs w:val="20"/>
          <w:color w:val="auto"/>
        </w:rPr>
      </w:pPr>
    </w:p>
    <w:p>
      <w:pPr>
        <w:ind w:left="1920" w:hanging="615"/>
        <w:spacing w:after="0"/>
        <w:tabs>
          <w:tab w:leader="none" w:pos="1920" w:val="left"/>
        </w:tabs>
        <w:numPr>
          <w:ilvl w:val="1"/>
          <w:numId w:val="137"/>
        </w:numPr>
        <w:rPr>
          <w:rFonts w:ascii="Arial" w:cs="Arial" w:eastAsia="Arial" w:hAnsi="Arial"/>
          <w:sz w:val="20"/>
          <w:szCs w:val="20"/>
          <w:color w:val="auto"/>
        </w:rPr>
      </w:pPr>
      <w:r>
        <w:rPr>
          <w:rFonts w:ascii="Arial" w:cs="Arial" w:eastAsia="Arial" w:hAnsi="Arial"/>
          <w:sz w:val="20"/>
          <w:szCs w:val="20"/>
          <w:color w:val="auto"/>
        </w:rPr>
        <w:t>By check or other immediately available funds.</w:t>
      </w:r>
    </w:p>
    <w:p>
      <w:pPr>
        <w:spacing w:after="0" w:line="229" w:lineRule="exact"/>
        <w:rPr>
          <w:rFonts w:ascii="Arial" w:cs="Arial" w:eastAsia="Arial" w:hAnsi="Arial"/>
          <w:sz w:val="20"/>
          <w:szCs w:val="20"/>
          <w:color w:val="auto"/>
        </w:rPr>
      </w:pPr>
    </w:p>
    <w:p>
      <w:pPr>
        <w:jc w:val="both"/>
        <w:ind w:firstLine="1305"/>
        <w:spacing w:after="0" w:line="246" w:lineRule="auto"/>
        <w:tabs>
          <w:tab w:leader="none" w:pos="1958" w:val="left"/>
        </w:tabs>
        <w:numPr>
          <w:ilvl w:val="1"/>
          <w:numId w:val="137"/>
        </w:numPr>
        <w:rPr>
          <w:rFonts w:ascii="Arial" w:cs="Arial" w:eastAsia="Arial" w:hAnsi="Arial"/>
          <w:sz w:val="20"/>
          <w:szCs w:val="20"/>
          <w:color w:val="auto"/>
        </w:rPr>
      </w:pPr>
      <w:r>
        <w:rPr>
          <w:rFonts w:ascii="Arial" w:cs="Arial" w:eastAsia="Arial" w:hAnsi="Arial"/>
          <w:sz w:val="20"/>
          <w:szCs w:val="20"/>
          <w:color w:val="auto"/>
        </w:rPr>
        <w:t>With property consisting of shares of Stock. (The shares of Stock to be used as payment shall be valued as of the date of exercise of the Option at the Closing Price as defined below. For example, if Holder exercises the option for 4,000 shares at a total Exercise Price of $8,000, assuming an exercise price of $2.00 per share, and the Closing Price is $5.00, Holder may pay for the 4,000 Option Shares by transferring 1,600 shares of Stock to the Company.)</w:t>
      </w:r>
    </w:p>
    <w:p>
      <w:pPr>
        <w:spacing w:after="0" w:line="205" w:lineRule="exact"/>
        <w:rPr>
          <w:rFonts w:ascii="Arial" w:cs="Arial" w:eastAsia="Arial" w:hAnsi="Arial"/>
          <w:sz w:val="20"/>
          <w:szCs w:val="20"/>
          <w:color w:val="auto"/>
        </w:rPr>
      </w:pPr>
    </w:p>
    <w:p>
      <w:pPr>
        <w:jc w:val="both"/>
        <w:ind w:firstLine="1305"/>
        <w:spacing w:after="0" w:line="250" w:lineRule="auto"/>
        <w:tabs>
          <w:tab w:leader="none" w:pos="1935" w:val="left"/>
        </w:tabs>
        <w:numPr>
          <w:ilvl w:val="1"/>
          <w:numId w:val="137"/>
        </w:numPr>
        <w:rPr>
          <w:rFonts w:ascii="Arial" w:cs="Arial" w:eastAsia="Arial" w:hAnsi="Arial"/>
          <w:sz w:val="20"/>
          <w:szCs w:val="20"/>
          <w:color w:val="auto"/>
        </w:rPr>
      </w:pPr>
      <w:r>
        <w:rPr>
          <w:rFonts w:ascii="Arial" w:cs="Arial" w:eastAsia="Arial" w:hAnsi="Arial"/>
          <w:sz w:val="20"/>
          <w:szCs w:val="20"/>
          <w:color w:val="auto"/>
        </w:rPr>
        <w:t>By delivering a properly executed exercise notice together with irrevocable instructions to a broker to deliver promptly to the Company the amount of sale proceeds necessary to pay the purchase price and applicable withholding taxes, and such other documents as the Committee may determine.</w:t>
      </w:r>
    </w:p>
    <w:p>
      <w:pPr>
        <w:spacing w:after="0" w:line="199" w:lineRule="exact"/>
        <w:rPr>
          <w:rFonts w:ascii="Arial" w:cs="Arial" w:eastAsia="Arial" w:hAnsi="Arial"/>
          <w:sz w:val="20"/>
          <w:szCs w:val="20"/>
          <w:color w:val="auto"/>
        </w:rPr>
      </w:pPr>
    </w:p>
    <w:p>
      <w:pPr>
        <w:jc w:val="both"/>
        <w:ind w:firstLine="1305"/>
        <w:spacing w:after="0" w:line="278" w:lineRule="auto"/>
        <w:tabs>
          <w:tab w:leader="none" w:pos="202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For purposes of this Agreement, the term “Closing Price” means, with respect to the Company’s Stock, the last sale price regular-way or, in case no such sale takes place on such date, the average of the closing bid and asked prices regular-way on the principal national securities exchange on which the Stock is listed or admitted to trading; or, if the Stock is not listed or admitted to trading on any national securities exchange, the last sale price of the Stock on the consolidated transaction reporting system of the National Association of Securities Dealers (“NASD”), if such last sale information is reported on such system or, if not so reported, the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of the closing bid and asked prices of the securities on the National Association of Securities Dealers Automatic Quotation System (“NASDAQ”) or any comparable system or, if the Stock is not listed on NASDAQ or a comparable system, the “Closing Price” shall be the Fair Market Value of the Stock as determined by the Committee in good faith.</w:t>
      </w:r>
    </w:p>
    <w:p>
      <w:pPr>
        <w:spacing w:after="0" w:line="200" w:lineRule="exact"/>
        <w:rPr>
          <w:sz w:val="20"/>
          <w:szCs w:val="20"/>
          <w:color w:val="auto"/>
        </w:rPr>
      </w:pPr>
    </w:p>
    <w:p>
      <w:pPr>
        <w:jc w:val="both"/>
        <w:ind w:firstLine="656"/>
        <w:spacing w:after="0" w:line="256" w:lineRule="auto"/>
        <w:tabs>
          <w:tab w:leader="none" w:pos="1269" w:val="left"/>
        </w:tabs>
        <w:numPr>
          <w:ilvl w:val="1"/>
          <w:numId w:val="138"/>
        </w:numPr>
        <w:rPr>
          <w:rFonts w:ascii="Arial" w:cs="Arial" w:eastAsia="Arial" w:hAnsi="Arial"/>
          <w:sz w:val="19"/>
          <w:szCs w:val="19"/>
          <w:color w:val="auto"/>
        </w:rPr>
      </w:pPr>
      <w:r>
        <w:rPr>
          <w:rFonts w:ascii="Arial" w:cs="Arial" w:eastAsia="Arial" w:hAnsi="Arial"/>
          <w:sz w:val="19"/>
          <w:szCs w:val="19"/>
          <w:u w:val="single" w:color="auto"/>
          <w:color w:val="auto"/>
        </w:rPr>
        <w:t>Purchase for Investment; Resale Restrictions</w:t>
      </w:r>
      <w:r>
        <w:rPr>
          <w:rFonts w:ascii="Arial" w:cs="Arial" w:eastAsia="Arial" w:hAnsi="Arial"/>
          <w:sz w:val="19"/>
          <w:szCs w:val="19"/>
          <w:color w:val="auto"/>
        </w:rPr>
        <w:t>. Unless at the time of exercise of the Option there shall be a valid and effective registration statement under the Securities Act of 1933 (the “‘33 Act”) and appropriate qualification and registration under applicable state securities laws relating to the Option Shares being acquired, Holder shall upon exercise of the Option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194" w:lineRule="exact"/>
        <w:rPr>
          <w:rFonts w:ascii="Arial" w:cs="Arial" w:eastAsia="Arial" w:hAnsi="Arial"/>
          <w:sz w:val="19"/>
          <w:szCs w:val="19"/>
          <w:color w:val="auto"/>
        </w:rPr>
      </w:pPr>
    </w:p>
    <w:p>
      <w:pPr>
        <w:ind w:right="20" w:firstLine="656"/>
        <w:spacing w:after="0" w:line="260" w:lineRule="auto"/>
        <w:tabs>
          <w:tab w:leader="none" w:pos="1310" w:val="left"/>
        </w:tabs>
        <w:numPr>
          <w:ilvl w:val="1"/>
          <w:numId w:val="138"/>
        </w:numPr>
        <w:rPr>
          <w:rFonts w:ascii="Arial" w:cs="Arial" w:eastAsia="Arial" w:hAnsi="Arial"/>
          <w:sz w:val="20"/>
          <w:szCs w:val="20"/>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 This Option shall not be transferable other than by will or by the laws of descent and distribution. During the lifetime of Holder, this Option shall be exercisable only by Holder.</w:t>
      </w:r>
    </w:p>
    <w:p>
      <w:pPr>
        <w:spacing w:after="0" w:line="190" w:lineRule="exact"/>
        <w:rPr>
          <w:rFonts w:ascii="Arial" w:cs="Arial" w:eastAsia="Arial" w:hAnsi="Arial"/>
          <w:sz w:val="20"/>
          <w:szCs w:val="20"/>
          <w:color w:val="auto"/>
        </w:rPr>
      </w:pPr>
    </w:p>
    <w:p>
      <w:pPr>
        <w:ind w:left="1260" w:hanging="604"/>
        <w:spacing w:after="0"/>
        <w:tabs>
          <w:tab w:leader="none" w:pos="1260" w:val="left"/>
        </w:tabs>
        <w:numPr>
          <w:ilvl w:val="1"/>
          <w:numId w:val="138"/>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1305"/>
        <w:spacing w:after="0" w:line="303" w:lineRule="auto"/>
        <w:tabs>
          <w:tab w:leader="none" w:pos="1941" w:val="left"/>
        </w:tabs>
        <w:numPr>
          <w:ilvl w:val="2"/>
          <w:numId w:val="138"/>
        </w:numPr>
        <w:rPr>
          <w:rFonts w:ascii="Arial" w:cs="Arial" w:eastAsia="Arial" w:hAnsi="Arial"/>
          <w:sz w:val="16"/>
          <w:szCs w:val="16"/>
          <w:color w:val="auto"/>
        </w:rPr>
      </w:pPr>
      <w:r>
        <w:rPr>
          <w:rFonts w:ascii="Arial" w:cs="Arial" w:eastAsia="Arial" w:hAnsi="Arial"/>
          <w:sz w:val="16"/>
          <w:szCs w:val="16"/>
          <w:color w:val="auto"/>
        </w:rPr>
        <w:t>Subject to clause 7(b) below, if the outstanding shares of stock of the Company are 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 of the assets or shares of the Company, reorganization, recapitalization, reclassification, stock dividend, stock split, reverse stock split or other distribution with respect to such shares of stock or other securities, then, to the extent permitted by the Board, an appropriate and proportionate adjustment shall be made in</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maximum number and/or kind of shares provided in Paragraph 1 above; (2) the number and/or kind of shares or other securities subject</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the outstanding options and tandum SARs, if any; and (3) the price for each share or other unit of any other securities subject to outstanding options without change in the aggregate purchase price or value as to which the options remain exercisable or subject to restrictions. Any adjustment under this clause 7(a) shall be made by the Board, whose determination as to what adjustments shall be made, if any, and the extent thereof, will be final, binding and conclusive. No fractional interests will be issued under this Agreement resulting from any such adjustment.</w:t>
      </w:r>
    </w:p>
    <w:p>
      <w:pPr>
        <w:sectPr>
          <w:pgSz w:w="11900" w:h="16838" w:orient="portrait"/>
          <w:cols w:equalWidth="0" w:num="1">
            <w:col w:w="11420"/>
          </w:cols>
          <w:pgMar w:left="240" w:top="595" w:right="239" w:bottom="0" w:gutter="0" w:footer="0" w:header="0"/>
        </w:sectPr>
      </w:pPr>
    </w:p>
    <w:bookmarkStart w:id="102" w:name="page103"/>
    <w:bookmarkEnd w:id="102"/>
    <w:p>
      <w:pPr>
        <w:jc w:val="both"/>
        <w:ind w:firstLine="1305"/>
        <w:spacing w:after="0" w:line="274" w:lineRule="auto"/>
        <w:tabs>
          <w:tab w:leader="none" w:pos="1923" w:val="left"/>
        </w:tabs>
        <w:numPr>
          <w:ilvl w:val="1"/>
          <w:numId w:val="140"/>
        </w:numPr>
        <w:rPr>
          <w:rFonts w:ascii="Arial" w:cs="Arial" w:eastAsia="Arial" w:hAnsi="Arial"/>
          <w:sz w:val="18"/>
          <w:szCs w:val="18"/>
          <w:color w:val="auto"/>
        </w:rPr>
      </w:pPr>
      <w:r>
        <w:rPr>
          <w:rFonts w:ascii="Arial" w:cs="Arial" w:eastAsia="Arial" w:hAnsi="Arial"/>
          <w:sz w:val="18"/>
          <w:szCs w:val="18"/>
          <w:color w:val="auto"/>
        </w:rPr>
        <w:t>Notwithstanding anything else in this Agreement to the contrary, unless the Board, in its sole discretion, determines that the Holder did not perform the duties reasonably requested of him in connection with a Change in Control (as defined in (c) below), including, without limitation, agreeing to provide remunerated services to the Company (for a reasonable length of time) following a Change in Control, upon the occurrence of a Change in Control, the Option or any portion thereof not theretofore exercisable, shall immediately become exercisable in its entirety and the Option may be purchased by the Company for cash at a price equal to the Fair Market Value less the purchase price payable by the Holder to exercise the Option as set out in Section 1 above for one (1) share of Common Stock of the Company multiplied by the number of shares of Common Stock which the Holder has the option to purchase pursuant to the terms of Section 1 above.</w:t>
      </w:r>
    </w:p>
    <w:p>
      <w:pPr>
        <w:spacing w:after="0" w:line="182" w:lineRule="exact"/>
        <w:rPr>
          <w:rFonts w:ascii="Arial" w:cs="Arial" w:eastAsia="Arial" w:hAnsi="Arial"/>
          <w:sz w:val="18"/>
          <w:szCs w:val="18"/>
          <w:color w:val="auto"/>
        </w:rPr>
      </w:pPr>
    </w:p>
    <w:p>
      <w:pPr>
        <w:ind w:left="1920" w:hanging="615"/>
        <w:spacing w:after="0"/>
        <w:tabs>
          <w:tab w:leader="none" w:pos="1920" w:val="left"/>
        </w:tabs>
        <w:numPr>
          <w:ilvl w:val="1"/>
          <w:numId w:val="140"/>
        </w:numPr>
        <w:rPr>
          <w:rFonts w:ascii="Arial" w:cs="Arial" w:eastAsia="Arial" w:hAnsi="Arial"/>
          <w:sz w:val="20"/>
          <w:szCs w:val="20"/>
          <w:color w:val="auto"/>
        </w:rPr>
      </w:pPr>
      <w:r>
        <w:rPr>
          <w:rFonts w:ascii="Arial" w:cs="Arial" w:eastAsia="Arial" w:hAnsi="Arial"/>
          <w:sz w:val="20"/>
          <w:szCs w:val="20"/>
          <w:color w:val="auto"/>
        </w:rPr>
        <w:t>For the purposes of this agreement, “Change in Control” means:</w:t>
      </w:r>
    </w:p>
    <w:p>
      <w:pPr>
        <w:spacing w:after="0" w:line="229" w:lineRule="exact"/>
        <w:rPr>
          <w:rFonts w:ascii="Arial" w:cs="Arial" w:eastAsia="Arial" w:hAnsi="Arial"/>
          <w:sz w:val="20"/>
          <w:szCs w:val="20"/>
          <w:color w:val="auto"/>
        </w:rPr>
      </w:pPr>
    </w:p>
    <w:p>
      <w:pPr>
        <w:ind w:left="2680" w:hanging="727"/>
        <w:spacing w:after="0"/>
        <w:tabs>
          <w:tab w:leader="none" w:pos="268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the acquisition (in one or more transactions) of “Beneficial Ownership” by any person (as defined in rule 13</w:t>
      </w:r>
    </w:p>
    <w:p>
      <w:pPr>
        <w:spacing w:after="0" w:line="38" w:lineRule="exact"/>
        <w:rPr>
          <w:rFonts w:ascii="Arial" w:cs="Arial" w:eastAsia="Arial" w:hAnsi="Arial"/>
          <w:sz w:val="18"/>
          <w:szCs w:val="18"/>
          <w:color w:val="auto"/>
        </w:rPr>
      </w:pPr>
    </w:p>
    <w:p>
      <w:pPr>
        <w:ind w:firstLine="8"/>
        <w:spacing w:after="0" w:line="244" w:lineRule="auto"/>
        <w:tabs>
          <w:tab w:leader="none" w:pos="306"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- 3 under the Securities Exchange Act 1934), corporation or other entity other than the Company or a wholly owned subsidiary of the Company of 20% or more of the outstanding Common Stock,</w:t>
      </w:r>
    </w:p>
    <w:p>
      <w:pPr>
        <w:spacing w:after="0" w:line="205" w:lineRule="exact"/>
        <w:rPr>
          <w:rFonts w:ascii="Arial" w:cs="Arial" w:eastAsia="Arial" w:hAnsi="Arial"/>
          <w:sz w:val="20"/>
          <w:szCs w:val="20"/>
          <w:color w:val="auto"/>
        </w:rPr>
      </w:pPr>
    </w:p>
    <w:p>
      <w:pPr>
        <w:ind w:left="2600" w:hanging="647"/>
        <w:spacing w:after="0"/>
        <w:tabs>
          <w:tab w:leader="none" w:pos="2600" w:val="left"/>
        </w:tabs>
        <w:numPr>
          <w:ilvl w:val="2"/>
          <w:numId w:val="141"/>
        </w:numPr>
        <w:rPr>
          <w:rFonts w:ascii="Arial" w:cs="Arial" w:eastAsia="Arial" w:hAnsi="Arial"/>
          <w:sz w:val="20"/>
          <w:szCs w:val="20"/>
          <w:color w:val="auto"/>
        </w:rPr>
      </w:pPr>
      <w:r>
        <w:rPr>
          <w:rFonts w:ascii="Arial" w:cs="Arial" w:eastAsia="Arial" w:hAnsi="Arial"/>
          <w:sz w:val="20"/>
          <w:szCs w:val="20"/>
          <w:color w:val="auto"/>
        </w:rPr>
        <w:t>the sale or disposition of substantially all of the assets of the Company, or</w:t>
      </w:r>
    </w:p>
    <w:p>
      <w:pPr>
        <w:spacing w:after="0" w:line="229" w:lineRule="exact"/>
        <w:rPr>
          <w:sz w:val="20"/>
          <w:szCs w:val="20"/>
          <w:color w:val="auto"/>
        </w:rPr>
      </w:pPr>
    </w:p>
    <w:p>
      <w:pPr>
        <w:ind w:left="2720" w:hanging="767"/>
        <w:spacing w:after="0"/>
        <w:tabs>
          <w:tab w:leader="none" w:pos="27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merger of the Company with another entity in which the Common Stock of the Company is no longer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outstanding after such merger.</w:t>
      </w:r>
    </w:p>
    <w:p>
      <w:pPr>
        <w:spacing w:after="0" w:line="213" w:lineRule="exact"/>
        <w:rPr>
          <w:rFonts w:ascii="Arial" w:cs="Arial" w:eastAsia="Arial" w:hAnsi="Arial"/>
          <w:sz w:val="18"/>
          <w:szCs w:val="18"/>
          <w:color w:val="auto"/>
        </w:rPr>
      </w:pPr>
    </w:p>
    <w:p>
      <w:pPr>
        <w:ind w:firstLine="656"/>
        <w:spacing w:after="0" w:line="260" w:lineRule="auto"/>
        <w:tabs>
          <w:tab w:leader="none" w:pos="1269"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No Rights as Stockholder</w:t>
      </w:r>
      <w:r>
        <w:rPr>
          <w:rFonts w:ascii="Arial" w:cs="Arial" w:eastAsia="Arial" w:hAnsi="Arial"/>
          <w:sz w:val="20"/>
          <w:szCs w:val="20"/>
          <w:color w:val="auto"/>
        </w:rPr>
        <w:t>. Holder shall have no rights as a stockholder with respect to any shares of Stock subject to this Option prior to the date of issuance to him of a certificate or certificates for such shares.</w:t>
      </w:r>
    </w:p>
    <w:p>
      <w:pPr>
        <w:spacing w:after="0" w:line="190" w:lineRule="exact"/>
        <w:rPr>
          <w:rFonts w:ascii="Arial" w:cs="Arial" w:eastAsia="Arial" w:hAnsi="Arial"/>
          <w:sz w:val="20"/>
          <w:szCs w:val="20"/>
          <w:color w:val="auto"/>
        </w:rPr>
      </w:pPr>
    </w:p>
    <w:p>
      <w:pPr>
        <w:ind w:right="20" w:firstLine="656"/>
        <w:spacing w:after="0" w:line="260" w:lineRule="auto"/>
        <w:tabs>
          <w:tab w:leader="none" w:pos="1256"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No Right to Continue Employment</w:t>
      </w:r>
      <w:r>
        <w:rPr>
          <w:rFonts w:ascii="Arial" w:cs="Arial" w:eastAsia="Arial" w:hAnsi="Arial"/>
          <w:sz w:val="20"/>
          <w:szCs w:val="20"/>
          <w:color w:val="auto"/>
        </w:rPr>
        <w:t>. This Agreement shall not confer upon Holder any right with respect to continuance of employment with a Participating Company nor shall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interfere in any way with the right of a Participating Company to terminate the Holder’s employment at any time.</w:t>
      </w:r>
    </w:p>
    <w:p>
      <w:pPr>
        <w:spacing w:after="0" w:line="229" w:lineRule="exact"/>
        <w:rPr>
          <w:sz w:val="20"/>
          <w:szCs w:val="20"/>
          <w:color w:val="auto"/>
        </w:rPr>
      </w:pPr>
    </w:p>
    <w:p>
      <w:pPr>
        <w:jc w:val="both"/>
        <w:ind w:firstLine="656"/>
        <w:spacing w:after="0" w:line="258" w:lineRule="auto"/>
        <w:tabs>
          <w:tab w:leader="none" w:pos="1305"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Compliance With Law and Regulation</w:t>
      </w:r>
      <w:r>
        <w:rPr>
          <w:rFonts w:ascii="Arial" w:cs="Arial" w:eastAsia="Arial" w:hAnsi="Arial"/>
          <w:sz w:val="19"/>
          <w:szCs w:val="19"/>
          <w:color w:val="auto"/>
        </w:rPr>
        <w:t>. This Agreement and the obligation of the Company to sell and deliver shares of Stock hereunder shall be subject to all applicable federal and state laws, rules and regulations and to such approvals by any government or regulatory agency as may be required. If at any time the Board shall determine that (i) the listing, registration or qualification of the shares of Stock subject or related thereto upon any securities exchange or under any state or federal law, or (ii) the consent or approval of any government regulatory body, is necessary or desirable as a condition of or in connection with the issue or purchase of shares of Stock hereunder, this Option may not be exercised in whole or in part unless such listing, registration, qualification, consent, approval or agreement shall have been effected or obtained free of any conditions not acceptable to the Board.</w:t>
      </w:r>
    </w:p>
    <w:p>
      <w:pPr>
        <w:spacing w:after="0" w:line="192" w:lineRule="exact"/>
        <w:rPr>
          <w:rFonts w:ascii="Arial" w:cs="Arial" w:eastAsia="Arial" w:hAnsi="Arial"/>
          <w:sz w:val="19"/>
          <w:szCs w:val="19"/>
          <w:color w:val="auto"/>
        </w:rPr>
      </w:pPr>
    </w:p>
    <w:p>
      <w:pPr>
        <w:ind w:firstLine="656"/>
        <w:spacing w:after="0" w:line="316" w:lineRule="auto"/>
        <w:tabs>
          <w:tab w:leader="none" w:pos="1433"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Tax Withholding Requirements</w:t>
      </w:r>
      <w:r>
        <w:rPr>
          <w:rFonts w:ascii="Arial" w:cs="Arial" w:eastAsia="Arial" w:hAnsi="Arial"/>
          <w:sz w:val="18"/>
          <w:szCs w:val="18"/>
          <w:color w:val="auto"/>
        </w:rPr>
        <w:t>. The Company shall have the right to require Holder to remit to the Company an amount sufficient to satisfy any federal, state or local withholding tax requirements prior to the delivery of any certificate or certificates for Stock.</w:t>
      </w:r>
    </w:p>
    <w:p>
      <w:pPr>
        <w:spacing w:after="0" w:line="143" w:lineRule="exact"/>
        <w:rPr>
          <w:rFonts w:ascii="Arial" w:cs="Arial" w:eastAsia="Arial" w:hAnsi="Arial"/>
          <w:sz w:val="18"/>
          <w:szCs w:val="18"/>
          <w:color w:val="auto"/>
        </w:rPr>
      </w:pPr>
    </w:p>
    <w:p>
      <w:pPr>
        <w:ind w:firstLine="656"/>
        <w:spacing w:after="0" w:line="316" w:lineRule="auto"/>
        <w:tabs>
          <w:tab w:leader="none" w:pos="1373"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other provision of this Agreement, no fractional shares of Stock shall be issued upon the exercise of this Option, and the Company shall not be under any obligation to compensate Holder in any way for such fractional shares.</w:t>
      </w:r>
    </w:p>
    <w:p>
      <w:pPr>
        <w:spacing w:after="0" w:line="143" w:lineRule="exact"/>
        <w:rPr>
          <w:rFonts w:ascii="Arial" w:cs="Arial" w:eastAsia="Arial" w:hAnsi="Arial"/>
          <w:sz w:val="18"/>
          <w:szCs w:val="18"/>
          <w:color w:val="auto"/>
        </w:rPr>
      </w:pPr>
    </w:p>
    <w:p>
      <w:pPr>
        <w:jc w:val="both"/>
        <w:ind w:firstLine="656"/>
        <w:spacing w:after="0" w:line="246" w:lineRule="auto"/>
        <w:tabs>
          <w:tab w:leader="none" w:pos="1373"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hereunder to the Company shall be addressed to it at its office at 550 Monica Circle, Suite 201, Corona, California 92880, Attention: Rodney C. Sacks with a copy to Benjamin Polk, Schulte Roth &amp; Zabel LLP, 919 Third Avenue, New York, New York 10022, and any notice hereunder to Holder shall be addressed to him at 14 Vienne, Irvine, California 92606, subject to the right of either party to designate at any time hereafter in writing some other address.</w:t>
      </w:r>
    </w:p>
    <w:p>
      <w:pPr>
        <w:spacing w:after="0" w:line="205" w:lineRule="exact"/>
        <w:rPr>
          <w:rFonts w:ascii="Arial" w:cs="Arial" w:eastAsia="Arial" w:hAnsi="Arial"/>
          <w:sz w:val="20"/>
          <w:szCs w:val="20"/>
          <w:color w:val="auto"/>
        </w:rPr>
      </w:pPr>
    </w:p>
    <w:p>
      <w:pPr>
        <w:ind w:firstLine="656"/>
        <w:spacing w:after="0" w:line="260" w:lineRule="auto"/>
        <w:tabs>
          <w:tab w:leader="none" w:pos="1332"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No modification, amendment or waiver of any of the provisions of this Agreement shall be effective unless in writing specifically referring hereto, and signed by both parties.</w:t>
      </w:r>
    </w:p>
    <w:p>
      <w:pPr>
        <w:spacing w:after="0" w:line="190" w:lineRule="exact"/>
        <w:rPr>
          <w:rFonts w:ascii="Arial" w:cs="Arial" w:eastAsia="Arial" w:hAnsi="Arial"/>
          <w:sz w:val="20"/>
          <w:szCs w:val="20"/>
          <w:color w:val="auto"/>
        </w:rPr>
      </w:pPr>
    </w:p>
    <w:p>
      <w:pPr>
        <w:ind w:firstLine="656"/>
        <w:spacing w:after="0" w:line="316" w:lineRule="auto"/>
        <w:tabs>
          <w:tab w:leader="none" w:pos="1373"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1320" w:hanging="664"/>
        <w:spacing w:after="0"/>
        <w:tabs>
          <w:tab w:leader="none" w:pos="132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constitute one and the same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-687070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Hansen Natural Corporation has caused this Agreement to be executed by a duly authorized officer and Holder has executed this Agreement both as of the day and year first above written.</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5940" w:type="dxa"/>
            <w:vAlign w:val="bottom"/>
            <w:gridSpan w:val="2"/>
          </w:tcPr>
          <w:p>
            <w:pPr>
              <w:ind w:left="580"/>
              <w:spacing w:after="0"/>
              <w:rPr>
                <w:sz w:val="20"/>
                <w:szCs w:val="20"/>
                <w:color w:val="auto"/>
              </w:rPr>
            </w:pPr>
            <w:r>
              <w:rPr>
                <w:rFonts w:ascii="Arial" w:cs="Arial" w:eastAsia="Arial" w:hAnsi="Arial"/>
                <w:sz w:val="20"/>
                <w:szCs w:val="20"/>
                <w:color w:val="auto"/>
              </w:rPr>
              <w:t>HANSEN NATURAL CORPORATION</w:t>
            </w:r>
          </w:p>
        </w:tc>
        <w:tc>
          <w:tcPr>
            <w:tcW w:w="0" w:type="dxa"/>
            <w:vAlign w:val="bottom"/>
          </w:tcPr>
          <w:p>
            <w:pPr>
              <w:spacing w:after="0"/>
              <w:rPr>
                <w:sz w:val="1"/>
                <w:szCs w:val="1"/>
                <w:color w:val="auto"/>
              </w:rPr>
            </w:pPr>
          </w:p>
        </w:tc>
      </w:tr>
      <w:tr>
        <w:trPr>
          <w:trHeight w:val="685"/>
        </w:trPr>
        <w:tc>
          <w:tcPr>
            <w:tcW w:w="5480" w:type="dxa"/>
            <w:vAlign w:val="bottom"/>
            <w:gridSpan w:val="2"/>
          </w:tcPr>
          <w:p>
            <w:pPr>
              <w:spacing w:after="0"/>
              <w:rPr>
                <w:sz w:val="20"/>
                <w:szCs w:val="20"/>
                <w:color w:val="auto"/>
              </w:rPr>
            </w:pPr>
            <w:r>
              <w:rPr>
                <w:rFonts w:ascii="Arial" w:cs="Arial" w:eastAsia="Arial" w:hAnsi="Arial"/>
                <w:sz w:val="20"/>
                <w:szCs w:val="20"/>
                <w:color w:val="auto"/>
              </w:rPr>
              <w:t>/s/ Rodney C. Sacks</w:t>
            </w:r>
          </w:p>
        </w:tc>
        <w:tc>
          <w:tcPr>
            <w:tcW w:w="5940" w:type="dxa"/>
            <w:vAlign w:val="bottom"/>
            <w:gridSpan w:val="2"/>
          </w:tcPr>
          <w:p>
            <w:pPr>
              <w:ind w:left="580"/>
              <w:spacing w:after="0"/>
              <w:rPr>
                <w:sz w:val="20"/>
                <w:szCs w:val="20"/>
                <w:color w:val="auto"/>
              </w:rPr>
            </w:pPr>
            <w:r>
              <w:rPr>
                <w:rFonts w:ascii="Arial" w:cs="Arial" w:eastAsia="Arial" w:hAnsi="Arial"/>
                <w:sz w:val="20"/>
                <w:szCs w:val="20"/>
                <w:color w:val="auto"/>
              </w:rPr>
              <w:t>By  :/s/Hilton H. Schlosberg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vMerge w:val="continue"/>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20"/>
                <w:szCs w:val="20"/>
                <w:color w:val="auto"/>
              </w:rPr>
              <w:t>Rodney C. Sacks</w:t>
            </w:r>
          </w:p>
        </w:tc>
        <w:tc>
          <w:tcPr>
            <w:tcW w:w="5940" w:type="dxa"/>
            <w:vAlign w:val="bottom"/>
            <w:gridSpan w:val="2"/>
          </w:tcPr>
          <w:p>
            <w:pPr>
              <w:ind w:left="580"/>
              <w:spacing w:after="0"/>
              <w:rPr>
                <w:sz w:val="20"/>
                <w:szCs w:val="20"/>
                <w:color w:val="auto"/>
              </w:rPr>
            </w:pPr>
            <w:r>
              <w:rPr>
                <w:rFonts w:ascii="Arial" w:cs="Arial" w:eastAsia="Arial" w:hAnsi="Arial"/>
                <w:sz w:val="20"/>
                <w:szCs w:val="20"/>
                <w:color w:val="auto"/>
              </w:rPr>
              <w:t>Name: Hilton H. Schlosberg</w:t>
            </w:r>
          </w:p>
        </w:tc>
        <w:tc>
          <w:tcPr>
            <w:tcW w:w="0" w:type="dxa"/>
            <w:vAlign w:val="bottom"/>
          </w:tcPr>
          <w:p>
            <w:pPr>
              <w:spacing w:after="0"/>
              <w:rPr>
                <w:sz w:val="1"/>
                <w:szCs w:val="1"/>
                <w:color w:val="auto"/>
              </w:rPr>
            </w:pPr>
          </w:p>
        </w:tc>
      </w:tr>
    </w:tbl>
    <w:p>
      <w:pPr>
        <w:sectPr>
          <w:pgSz w:w="11900" w:h="16838" w:orient="portrait"/>
          <w:cols w:equalWidth="0" w:num="1">
            <w:col w:w="11420"/>
          </w:cols>
          <w:pgMar w:left="240" w:top="352" w:right="239" w:bottom="0" w:gutter="0" w:footer="0" w:header="0"/>
        </w:sectPr>
      </w:pPr>
    </w:p>
    <w:bookmarkStart w:id="103" w:name="page104"/>
    <w:bookmarkEnd w:id="103"/>
    <w:p>
      <w:pPr>
        <w:ind w:left="4860"/>
        <w:spacing w:after="0"/>
        <w:rPr>
          <w:sz w:val="20"/>
          <w:szCs w:val="20"/>
          <w:color w:val="auto"/>
        </w:rPr>
      </w:pPr>
      <w:r>
        <w:rPr>
          <w:rFonts w:ascii="Arial" w:cs="Arial" w:eastAsia="Arial" w:hAnsi="Arial"/>
          <w:sz w:val="18"/>
          <w:szCs w:val="18"/>
          <w:color w:val="auto"/>
        </w:rPr>
        <w:t>Title: Vice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238125</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b w:val="1"/>
          <w:bCs w:val="1"/>
          <w:color w:val="auto"/>
        </w:rPr>
        <w:t>Exhibit 10.52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Stock Option Agreement (“Agreement”), is made as of December 1, 2009 (the “Grant Date”), by and between Hansen Natural Corporation, a Delaware corporation (the “Company”), and Hilton H. Schlosberg (“Holder”).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Recitals</w:t>
      </w:r>
    </w:p>
    <w:p>
      <w:pPr>
        <w:spacing w:after="0" w:line="229" w:lineRule="exact"/>
        <w:rPr>
          <w:sz w:val="20"/>
          <w:szCs w:val="20"/>
          <w:color w:val="auto"/>
        </w:rPr>
      </w:pPr>
    </w:p>
    <w:p>
      <w:pPr>
        <w:ind w:left="1240" w:hanging="584"/>
        <w:spacing w:after="0"/>
        <w:tabs>
          <w:tab w:leader="none" w:pos="124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Holder is an employee of a Participating Company.</w:t>
      </w:r>
    </w:p>
    <w:p>
      <w:pPr>
        <w:spacing w:after="0" w:line="229" w:lineRule="exact"/>
        <w:rPr>
          <w:rFonts w:ascii="Arial" w:cs="Arial" w:eastAsia="Arial" w:hAnsi="Arial"/>
          <w:sz w:val="20"/>
          <w:szCs w:val="20"/>
          <w:color w:val="auto"/>
        </w:rPr>
      </w:pPr>
    </w:p>
    <w:p>
      <w:pPr>
        <w:ind w:right="20" w:firstLine="656"/>
        <w:spacing w:after="0" w:line="287" w:lineRule="auto"/>
        <w:tabs>
          <w:tab w:leader="none" w:pos="1424" w:val="left"/>
        </w:tabs>
        <w:numPr>
          <w:ilvl w:val="0"/>
          <w:numId w:val="145"/>
        </w:numPr>
        <w:rPr>
          <w:rFonts w:ascii="Arial" w:cs="Arial" w:eastAsia="Arial" w:hAnsi="Arial"/>
          <w:sz w:val="19"/>
          <w:szCs w:val="19"/>
          <w:color w:val="auto"/>
        </w:rPr>
      </w:pPr>
      <w:r>
        <w:rPr>
          <w:rFonts w:ascii="Arial" w:cs="Arial" w:eastAsia="Arial" w:hAnsi="Arial"/>
          <w:sz w:val="19"/>
          <w:szCs w:val="19"/>
          <w:color w:val="auto"/>
        </w:rPr>
        <w:t>Pursuant to the Hansen Natural Corporation 2001 Stock Option Plan (the “Plan”), the Company desires to grant Holder an incentive stock option to purchase shares of the Company’s common stock, par value $.005 per share (the “Common Stock”).</w:t>
      </w:r>
    </w:p>
    <w:p>
      <w:pPr>
        <w:spacing w:after="0" w:line="166" w:lineRule="exact"/>
        <w:rPr>
          <w:rFonts w:ascii="Arial" w:cs="Arial" w:eastAsia="Arial" w:hAnsi="Arial"/>
          <w:sz w:val="19"/>
          <w:szCs w:val="19"/>
          <w:color w:val="auto"/>
        </w:rPr>
      </w:pPr>
    </w:p>
    <w:p>
      <w:pPr>
        <w:ind w:left="1280" w:hanging="624"/>
        <w:spacing w:after="0"/>
        <w:tabs>
          <w:tab w:leader="none" w:pos="128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Capitalized terms not otherwise defined in this Agreement shall have the meaning given to them in the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Company and Holder agree as follows:</w:t>
      </w:r>
    </w:p>
    <w:p>
      <w:pPr>
        <w:spacing w:after="0" w:line="229" w:lineRule="exact"/>
        <w:rPr>
          <w:sz w:val="20"/>
          <w:szCs w:val="20"/>
          <w:color w:val="auto"/>
        </w:rPr>
      </w:pPr>
    </w:p>
    <w:p>
      <w:pPr>
        <w:jc w:val="both"/>
        <w:ind w:firstLine="656"/>
        <w:spacing w:after="0" w:line="242" w:lineRule="auto"/>
        <w:tabs>
          <w:tab w:leader="none" w:pos="1323"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Grant of Incentive Stock Option</w:t>
      </w:r>
      <w:r>
        <w:rPr>
          <w:rFonts w:ascii="Arial" w:cs="Arial" w:eastAsia="Arial" w:hAnsi="Arial"/>
          <w:sz w:val="20"/>
          <w:szCs w:val="20"/>
          <w:color w:val="auto"/>
        </w:rPr>
        <w:t>. The Company hereby grants to Holder, subject to the terms and conditions set forth herein and in the Plan, an incentive stock option (“ISO”) to purchase 250,000 shares of Common Stock, at the purchase price of $35.64 per share (the “Option”), such Option to be exercisable and exercised as hereinafter provided. If for any reason the Option or any portion of the Option shall not qualify as an ISO, then, to the extent of such nonqualification, such Option (or portion thereof) shall be regarded as a nonqualified stock option granted under the Plan, provided that such Option (or portion thereof) otherwise complies with the Plan’s requirements relating to nonqualified stock options. In no event shall any member of the Committee or any Participating Company (or their respective employees, officers or directors) have any liability to Holder (or any other person) due to the failure of an Option (or any portion thereof) to qualify for any reason as an ISO.</w:t>
      </w:r>
    </w:p>
    <w:p>
      <w:pPr>
        <w:spacing w:after="0" w:line="211" w:lineRule="exact"/>
        <w:rPr>
          <w:rFonts w:ascii="Arial" w:cs="Arial" w:eastAsia="Arial" w:hAnsi="Arial"/>
          <w:sz w:val="20"/>
          <w:szCs w:val="20"/>
          <w:color w:val="auto"/>
        </w:rPr>
      </w:pPr>
    </w:p>
    <w:p>
      <w:pPr>
        <w:jc w:val="both"/>
        <w:ind w:firstLine="656"/>
        <w:spacing w:after="0" w:line="259" w:lineRule="auto"/>
        <w:tabs>
          <w:tab w:leader="none" w:pos="1445"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Exercise Period</w:t>
      </w:r>
      <w:r>
        <w:rPr>
          <w:rFonts w:ascii="Arial" w:cs="Arial" w:eastAsia="Arial" w:hAnsi="Arial"/>
          <w:sz w:val="19"/>
          <w:szCs w:val="19"/>
          <w:color w:val="auto"/>
        </w:rPr>
        <w:t>. The Option shall expire three months after the termination of the Holder’s employment with a Participating Company unless the employment is terminated by a Participating Company for Cause (as defined below) or unless the employment is terminated by reason of the death or Total Disability of Holder. If the Holder’s employment is terminated by a Participating Company for Cause, the Option shall expire as of the date employment terminates. If the Holder’s employment terminates due to his death or Total Disability, then the Option may be exercised by Holder or the person or persons to which Holder’s rights under this Agreement pass by will, or if no such person has such right, by his executors or administrators, within six months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date of death or Total Disability, but no later than the expiration date specified in Section 3(d) below. “Cause” means the Holder’s act of fraud or dishonesty, knowing and material failure to comply with applicable laws or regulations, or drug or alcohol abuse, in any case as determined by the Committee.</w:t>
      </w:r>
    </w:p>
    <w:p>
      <w:pPr>
        <w:spacing w:after="0" w:line="200" w:lineRule="exact"/>
        <w:rPr>
          <w:sz w:val="20"/>
          <w:szCs w:val="20"/>
          <w:color w:val="auto"/>
        </w:rPr>
      </w:pPr>
    </w:p>
    <w:p>
      <w:pPr>
        <w:ind w:left="1260" w:hanging="604"/>
        <w:spacing w:after="0"/>
        <w:tabs>
          <w:tab w:leader="none" w:pos="1260"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p>
    <w:p>
      <w:pPr>
        <w:spacing w:after="0" w:line="229" w:lineRule="exact"/>
        <w:rPr>
          <w:rFonts w:ascii="Arial" w:cs="Arial" w:eastAsia="Arial" w:hAnsi="Arial"/>
          <w:sz w:val="20"/>
          <w:szCs w:val="20"/>
          <w:color w:val="auto"/>
        </w:rPr>
      </w:pPr>
    </w:p>
    <w:p>
      <w:pPr>
        <w:jc w:val="both"/>
        <w:ind w:firstLine="1305"/>
        <w:spacing w:after="0" w:line="250" w:lineRule="auto"/>
        <w:tabs>
          <w:tab w:leader="none" w:pos="2145" w:val="left"/>
        </w:tabs>
        <w:numPr>
          <w:ilvl w:val="1"/>
          <w:numId w:val="147"/>
        </w:numPr>
        <w:rPr>
          <w:rFonts w:ascii="Arial" w:cs="Arial" w:eastAsia="Arial" w:hAnsi="Arial"/>
          <w:sz w:val="20"/>
          <w:szCs w:val="20"/>
          <w:color w:val="auto"/>
        </w:rPr>
      </w:pPr>
      <w:r>
        <w:rPr>
          <w:rFonts w:ascii="Arial" w:cs="Arial" w:eastAsia="Arial" w:hAnsi="Arial"/>
          <w:sz w:val="20"/>
          <w:szCs w:val="20"/>
          <w:color w:val="auto"/>
        </w:rPr>
        <w:t>Subject to the other terms of this Agreement regarding the exercisability of the Option, provided that Holder is employed by a Participating Company on the relevant Exercise Date set forth below, the Option may be exercised in respect of the number of shares (the “Option Portion”) listed in column A from and after the Exercise Date listed in column B,</w:t>
      </w:r>
    </w:p>
    <w:p>
      <w:pPr>
        <w:spacing w:after="0" w:line="200" w:lineRule="exact"/>
        <w:rPr>
          <w:sz w:val="20"/>
          <w:szCs w:val="20"/>
          <w:color w:val="auto"/>
        </w:rPr>
      </w:pPr>
    </w:p>
    <w:tbl>
      <w:tblPr>
        <w:tblLayout w:type="fixed"/>
        <w:tblInd w:w="980" w:type="dxa"/>
        <w:tblCellMar>
          <w:top w:w="0" w:type="dxa"/>
          <w:left w:w="0" w:type="dxa"/>
          <w:bottom w:w="0" w:type="dxa"/>
          <w:right w:w="0" w:type="dxa"/>
        </w:tblCellMar>
      </w:tblPr>
      <w:tr>
        <w:trPr>
          <w:trHeight w:val="250"/>
        </w:trPr>
        <w:tc>
          <w:tcPr>
            <w:tcW w:w="1540" w:type="dxa"/>
            <w:vAlign w:val="bottom"/>
          </w:tcPr>
          <w:p>
            <w:pPr>
              <w:spacing w:after="0"/>
              <w:rPr>
                <w:sz w:val="21"/>
                <w:szCs w:val="21"/>
                <w:color w:val="auto"/>
              </w:rPr>
            </w:pPr>
          </w:p>
        </w:tc>
        <w:tc>
          <w:tcPr>
            <w:tcW w:w="2860" w:type="dxa"/>
            <w:vAlign w:val="bottom"/>
            <w:gridSpan w:val="2"/>
          </w:tcPr>
          <w:p>
            <w:pPr>
              <w:jc w:val="center"/>
              <w:ind w:right="1420"/>
              <w:spacing w:after="0"/>
              <w:rPr>
                <w:sz w:val="20"/>
                <w:szCs w:val="20"/>
                <w:color w:val="auto"/>
              </w:rPr>
            </w:pPr>
            <w:r>
              <w:rPr>
                <w:rFonts w:ascii="Arial" w:cs="Arial" w:eastAsia="Arial" w:hAnsi="Arial"/>
                <w:sz w:val="20"/>
                <w:szCs w:val="20"/>
                <w:color w:val="auto"/>
                <w:w w:val="98"/>
              </w:rPr>
              <w:t>Column “A”</w:t>
            </w:r>
          </w:p>
        </w:tc>
        <w:tc>
          <w:tcPr>
            <w:tcW w:w="2020" w:type="dxa"/>
            <w:vAlign w:val="bottom"/>
          </w:tcPr>
          <w:p>
            <w:pPr>
              <w:spacing w:after="0"/>
              <w:rPr>
                <w:sz w:val="21"/>
                <w:szCs w:val="21"/>
                <w:color w:val="auto"/>
              </w:rPr>
            </w:pPr>
          </w:p>
        </w:tc>
        <w:tc>
          <w:tcPr>
            <w:tcW w:w="2100" w:type="dxa"/>
            <w:vAlign w:val="bottom"/>
            <w:gridSpan w:val="2"/>
          </w:tcPr>
          <w:p>
            <w:pPr>
              <w:jc w:val="center"/>
              <w:ind w:right="1000"/>
              <w:spacing w:after="0"/>
              <w:rPr>
                <w:sz w:val="20"/>
                <w:szCs w:val="20"/>
                <w:color w:val="auto"/>
              </w:rPr>
            </w:pPr>
            <w:r>
              <w:rPr>
                <w:rFonts w:ascii="Arial" w:cs="Arial" w:eastAsia="Arial" w:hAnsi="Arial"/>
                <w:sz w:val="20"/>
                <w:szCs w:val="20"/>
                <w:color w:val="auto"/>
                <w:w w:val="96"/>
              </w:rPr>
              <w:t>Column “B”</w:t>
            </w:r>
          </w:p>
        </w:tc>
      </w:tr>
      <w:tr>
        <w:trPr>
          <w:trHeight w:val="415"/>
        </w:trPr>
        <w:tc>
          <w:tcPr>
            <w:tcW w:w="15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20"/>
                <w:szCs w:val="20"/>
                <w:color w:val="auto"/>
                <w:w w:val="88"/>
              </w:rPr>
              <w:t>Number of Shares</w:t>
            </w:r>
          </w:p>
        </w:tc>
        <w:tc>
          <w:tcPr>
            <w:tcW w:w="1420" w:type="dxa"/>
            <w:vAlign w:val="bottom"/>
          </w:tcPr>
          <w:p>
            <w:pPr>
              <w:spacing w:after="0"/>
              <w:rPr>
                <w:sz w:val="24"/>
                <w:szCs w:val="24"/>
                <w:color w:val="auto"/>
              </w:rPr>
            </w:pPr>
          </w:p>
        </w:tc>
        <w:tc>
          <w:tcPr>
            <w:tcW w:w="4120" w:type="dxa"/>
            <w:vAlign w:val="bottom"/>
            <w:gridSpan w:val="3"/>
          </w:tcPr>
          <w:p>
            <w:pPr>
              <w:jc w:val="center"/>
              <w:ind w:left="921"/>
              <w:spacing w:after="0"/>
              <w:rPr>
                <w:sz w:val="20"/>
                <w:szCs w:val="20"/>
                <w:color w:val="auto"/>
              </w:rPr>
            </w:pPr>
            <w:r>
              <w:rPr>
                <w:rFonts w:ascii="Arial" w:cs="Arial" w:eastAsia="Arial" w:hAnsi="Arial"/>
                <w:sz w:val="20"/>
                <w:szCs w:val="20"/>
                <w:color w:val="auto"/>
                <w:w w:val="88"/>
              </w:rPr>
              <w:t>Exercise Date</w:t>
            </w:r>
          </w:p>
        </w:tc>
      </w:tr>
      <w:tr>
        <w:trPr>
          <w:trHeight w:val="20"/>
        </w:trPr>
        <w:tc>
          <w:tcPr>
            <w:tcW w:w="1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84"/>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97"/>
              </w:rPr>
              <w:t>After the first anniversary of the Grant Date</w:t>
            </w:r>
          </w:p>
        </w:tc>
      </w:tr>
      <w:tr>
        <w:trPr>
          <w:trHeight w:val="459"/>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89"/>
              </w:rPr>
              <w:t>After the second anniversary of the Grant Date</w:t>
            </w:r>
          </w:p>
        </w:tc>
      </w:tr>
      <w:tr>
        <w:trPr>
          <w:trHeight w:val="459"/>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95"/>
              </w:rPr>
              <w:t>After the third anniversary of the Grant Date</w:t>
            </w:r>
          </w:p>
        </w:tc>
      </w:tr>
      <w:tr>
        <w:trPr>
          <w:trHeight w:val="459"/>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92"/>
              </w:rPr>
              <w:t>After the fourth anniversary of the Grant Date</w:t>
            </w:r>
          </w:p>
        </w:tc>
      </w:tr>
      <w:tr>
        <w:trPr>
          <w:trHeight w:val="459"/>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95"/>
              </w:rPr>
              <w:t>After the fifth anniversary of the Grant Date”</w:t>
            </w:r>
          </w:p>
        </w:tc>
      </w:tr>
    </w:tbl>
    <w:p>
      <w:pPr>
        <w:spacing w:after="0" w:line="209" w:lineRule="exact"/>
        <w:rPr>
          <w:sz w:val="20"/>
          <w:szCs w:val="20"/>
          <w:color w:val="auto"/>
        </w:rPr>
      </w:pPr>
    </w:p>
    <w:p>
      <w:pPr>
        <w:jc w:val="both"/>
        <w:ind w:firstLine="1359"/>
        <w:spacing w:after="0" w:line="246" w:lineRule="auto"/>
        <w:tabs>
          <w:tab w:leader="none" w:pos="1972" w:val="left"/>
        </w:tabs>
        <w:numPr>
          <w:ilvl w:val="1"/>
          <w:numId w:val="148"/>
        </w:numPr>
        <w:rPr>
          <w:rFonts w:ascii="Arial" w:cs="Arial" w:eastAsia="Arial" w:hAnsi="Arial"/>
          <w:sz w:val="20"/>
          <w:szCs w:val="20"/>
          <w:color w:val="auto"/>
        </w:rPr>
      </w:pPr>
      <w:r>
        <w:rPr>
          <w:rFonts w:ascii="Arial" w:cs="Arial" w:eastAsia="Arial" w:hAnsi="Arial"/>
          <w:sz w:val="20"/>
          <w:szCs w:val="20"/>
          <w:color w:val="auto"/>
        </w:rPr>
        <w:t>This Option may be exercised, to the extent exercisable by its terms, from time to time in whole or in part at any time prior to the expiration thereof. Any exercise shall be accompanied by a written notice to the Company specifying the number of shares as to which this Option is being exercised (the “Option Shares”). Notations of any partial exercise or installment exercise, shall be made by the Company on Schedule A hereto.</w:t>
      </w:r>
    </w:p>
    <w:p>
      <w:pPr>
        <w:spacing w:after="0" w:line="205" w:lineRule="exact"/>
        <w:rPr>
          <w:rFonts w:ascii="Arial" w:cs="Arial" w:eastAsia="Arial" w:hAnsi="Arial"/>
          <w:sz w:val="20"/>
          <w:szCs w:val="20"/>
          <w:color w:val="auto"/>
        </w:rPr>
      </w:pPr>
    </w:p>
    <w:p>
      <w:pPr>
        <w:jc w:val="both"/>
        <w:ind w:firstLine="1305"/>
        <w:spacing w:after="0" w:line="250" w:lineRule="auto"/>
        <w:tabs>
          <w:tab w:leader="none" w:pos="2106" w:val="left"/>
        </w:tabs>
        <w:numPr>
          <w:ilvl w:val="0"/>
          <w:numId w:val="149"/>
        </w:numPr>
        <w:rPr>
          <w:rFonts w:ascii="Arial" w:cs="Arial" w:eastAsia="Arial" w:hAnsi="Arial"/>
          <w:sz w:val="20"/>
          <w:szCs w:val="20"/>
          <w:color w:val="auto"/>
        </w:rPr>
      </w:pPr>
      <w:r>
        <w:rPr>
          <w:rFonts w:ascii="Arial" w:cs="Arial" w:eastAsia="Arial" w:hAnsi="Arial"/>
          <w:sz w:val="20"/>
          <w:szCs w:val="20"/>
          <w:color w:val="auto"/>
        </w:rPr>
        <w:t>Notwithstanding Section 3(a) above, this ISO shall be fully exercisable in the event Holder’s employment with a Participating Company is terminated by the Holder for “Good Reason” (as defined below), or a Participating Company terminates the Holder’s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5" w:right="239" w:bottom="239" w:gutter="0" w:footer="0" w:header="0"/>
        </w:sectPr>
      </w:pPr>
    </w:p>
    <w:bookmarkStart w:id="105" w:name="page106"/>
    <w:bookmarkEnd w:id="105"/>
    <w:p>
      <w:pPr>
        <w:jc w:val="both"/>
        <w:spacing w:after="0" w:line="269" w:lineRule="auto"/>
        <w:rPr>
          <w:sz w:val="20"/>
          <w:szCs w:val="20"/>
          <w:color w:val="auto"/>
        </w:rPr>
      </w:pPr>
      <w:r>
        <w:rPr>
          <w:rFonts w:ascii="Arial" w:cs="Arial" w:eastAsia="Arial" w:hAnsi="Arial"/>
          <w:sz w:val="19"/>
          <w:szCs w:val="19"/>
          <w:color w:val="auto"/>
        </w:rPr>
        <w:t>without “Cause” (as defined above). “Good Reason” means the Holder’s termination of employment with a Participating Company on or after a reduction in his compensation or benefits, his removal as the Company’s Vice Chairman of the Board or President, or his being assigned duties or responsibilities that are inconsistent with the dignity, importance or scope of his position with the Company.</w:t>
      </w:r>
    </w:p>
    <w:p>
      <w:pPr>
        <w:spacing w:after="0" w:line="184" w:lineRule="exact"/>
        <w:rPr>
          <w:sz w:val="20"/>
          <w:szCs w:val="20"/>
          <w:color w:val="auto"/>
        </w:rPr>
      </w:pPr>
    </w:p>
    <w:p>
      <w:pPr>
        <w:ind w:left="1940" w:hanging="635"/>
        <w:spacing w:after="0"/>
        <w:tabs>
          <w:tab w:leader="none" w:pos="19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Notwithstanding anything else in this Agreement to the contrary, this Option shall expire on the tenth anniversary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Grant Date.</w:t>
      </w:r>
    </w:p>
    <w:p>
      <w:pPr>
        <w:spacing w:after="0" w:line="213" w:lineRule="exact"/>
        <w:rPr>
          <w:sz w:val="20"/>
          <w:szCs w:val="20"/>
          <w:color w:val="auto"/>
        </w:rPr>
      </w:pPr>
    </w:p>
    <w:p>
      <w:pPr>
        <w:jc w:val="both"/>
        <w:ind w:firstLine="1305"/>
        <w:spacing w:after="0" w:line="250" w:lineRule="auto"/>
        <w:tabs>
          <w:tab w:leader="none" w:pos="1931" w:val="left"/>
        </w:tabs>
        <w:numPr>
          <w:ilvl w:val="1"/>
          <w:numId w:val="151"/>
        </w:numPr>
        <w:rPr>
          <w:rFonts w:ascii="Arial" w:cs="Arial" w:eastAsia="Arial" w:hAnsi="Arial"/>
          <w:sz w:val="20"/>
          <w:szCs w:val="20"/>
          <w:color w:val="auto"/>
        </w:rPr>
      </w:pPr>
      <w:r>
        <w:rPr>
          <w:rFonts w:ascii="Arial" w:cs="Arial" w:eastAsia="Arial" w:hAnsi="Arial"/>
          <w:sz w:val="20"/>
          <w:szCs w:val="20"/>
          <w:color w:val="auto"/>
        </w:rPr>
        <w:t>The Holder hereby agrees to notify the Company in writing in the event shares acquired pursuant to the exercise of this Option are transferred, other than by will or by the laws of descent and distribution, within two years after the Grant Date or within one year after the issuance of such shares pursuant to such exercise.</w:t>
      </w:r>
    </w:p>
    <w:p>
      <w:pPr>
        <w:spacing w:after="0" w:line="199" w:lineRule="exact"/>
        <w:rPr>
          <w:rFonts w:ascii="Arial" w:cs="Arial" w:eastAsia="Arial" w:hAnsi="Arial"/>
          <w:sz w:val="20"/>
          <w:szCs w:val="20"/>
          <w:color w:val="auto"/>
        </w:rPr>
      </w:pPr>
    </w:p>
    <w:p>
      <w:pPr>
        <w:ind w:right="20" w:firstLine="656"/>
        <w:spacing w:after="0" w:line="260" w:lineRule="auto"/>
        <w:tabs>
          <w:tab w:leader="none" w:pos="1269"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Payment of Purchase Price Upon Exercise</w:t>
      </w:r>
      <w:r>
        <w:rPr>
          <w:rFonts w:ascii="Arial" w:cs="Arial" w:eastAsia="Arial" w:hAnsi="Arial"/>
          <w:sz w:val="20"/>
          <w:szCs w:val="20"/>
          <w:color w:val="auto"/>
        </w:rPr>
        <w:t>. At the time of any exercise of all or a portion of the Option, the purchase price shall be paid in full to the Company in any of the following ways or in any combination of the following ways:</w:t>
      </w:r>
    </w:p>
    <w:p>
      <w:pPr>
        <w:spacing w:after="0" w:line="190" w:lineRule="exact"/>
        <w:rPr>
          <w:rFonts w:ascii="Arial" w:cs="Arial" w:eastAsia="Arial" w:hAnsi="Arial"/>
          <w:sz w:val="20"/>
          <w:szCs w:val="20"/>
          <w:color w:val="auto"/>
        </w:rPr>
      </w:pPr>
    </w:p>
    <w:p>
      <w:pPr>
        <w:ind w:left="1920" w:hanging="615"/>
        <w:spacing w:after="0"/>
        <w:tabs>
          <w:tab w:leader="none" w:pos="1920" w:val="left"/>
        </w:tabs>
        <w:numPr>
          <w:ilvl w:val="1"/>
          <w:numId w:val="152"/>
        </w:numPr>
        <w:rPr>
          <w:rFonts w:ascii="Arial" w:cs="Arial" w:eastAsia="Arial" w:hAnsi="Arial"/>
          <w:sz w:val="20"/>
          <w:szCs w:val="20"/>
          <w:color w:val="auto"/>
        </w:rPr>
      </w:pPr>
      <w:r>
        <w:rPr>
          <w:rFonts w:ascii="Arial" w:cs="Arial" w:eastAsia="Arial" w:hAnsi="Arial"/>
          <w:sz w:val="20"/>
          <w:szCs w:val="20"/>
          <w:color w:val="auto"/>
        </w:rPr>
        <w:t>By check or other immediately available funds.</w:t>
      </w:r>
    </w:p>
    <w:p>
      <w:pPr>
        <w:spacing w:after="0" w:line="229" w:lineRule="exact"/>
        <w:rPr>
          <w:rFonts w:ascii="Arial" w:cs="Arial" w:eastAsia="Arial" w:hAnsi="Arial"/>
          <w:sz w:val="20"/>
          <w:szCs w:val="20"/>
          <w:color w:val="auto"/>
        </w:rPr>
      </w:pPr>
    </w:p>
    <w:p>
      <w:pPr>
        <w:jc w:val="both"/>
        <w:ind w:firstLine="1305"/>
        <w:spacing w:after="0" w:line="246" w:lineRule="auto"/>
        <w:tabs>
          <w:tab w:leader="none" w:pos="1958" w:val="left"/>
        </w:tabs>
        <w:numPr>
          <w:ilvl w:val="1"/>
          <w:numId w:val="152"/>
        </w:numPr>
        <w:rPr>
          <w:rFonts w:ascii="Arial" w:cs="Arial" w:eastAsia="Arial" w:hAnsi="Arial"/>
          <w:sz w:val="20"/>
          <w:szCs w:val="20"/>
          <w:color w:val="auto"/>
        </w:rPr>
      </w:pPr>
      <w:r>
        <w:rPr>
          <w:rFonts w:ascii="Arial" w:cs="Arial" w:eastAsia="Arial" w:hAnsi="Arial"/>
          <w:sz w:val="20"/>
          <w:szCs w:val="20"/>
          <w:color w:val="auto"/>
        </w:rPr>
        <w:t>With property consisting of shares of Stock. (The shares of Stock to be used as payment shall be valued as of the date of exercise of the Option at the Closing Price as defined below. For example, if Holder exercises the option for 4,000 shares at a total Exercise Price of $8,000, assuming an exercise price of $2.00 per share, and the Closing Price is $5.00, Holder may pay for the 4,000 Option Shares by transferring 1,600 shares of Stock to the Company.)</w:t>
      </w:r>
    </w:p>
    <w:p>
      <w:pPr>
        <w:spacing w:after="0" w:line="205" w:lineRule="exact"/>
        <w:rPr>
          <w:rFonts w:ascii="Arial" w:cs="Arial" w:eastAsia="Arial" w:hAnsi="Arial"/>
          <w:sz w:val="20"/>
          <w:szCs w:val="20"/>
          <w:color w:val="auto"/>
        </w:rPr>
      </w:pPr>
    </w:p>
    <w:p>
      <w:pPr>
        <w:jc w:val="both"/>
        <w:ind w:firstLine="1305"/>
        <w:spacing w:after="0" w:line="250" w:lineRule="auto"/>
        <w:tabs>
          <w:tab w:leader="none" w:pos="1935" w:val="left"/>
        </w:tabs>
        <w:numPr>
          <w:ilvl w:val="1"/>
          <w:numId w:val="152"/>
        </w:numPr>
        <w:rPr>
          <w:rFonts w:ascii="Arial" w:cs="Arial" w:eastAsia="Arial" w:hAnsi="Arial"/>
          <w:sz w:val="20"/>
          <w:szCs w:val="20"/>
          <w:color w:val="auto"/>
        </w:rPr>
      </w:pPr>
      <w:r>
        <w:rPr>
          <w:rFonts w:ascii="Arial" w:cs="Arial" w:eastAsia="Arial" w:hAnsi="Arial"/>
          <w:sz w:val="20"/>
          <w:szCs w:val="20"/>
          <w:color w:val="auto"/>
        </w:rPr>
        <w:t>By delivering a properly executed exercise notice together with irrevocable instructions to a broker to deliver promptly to the Company the amount of sale proceeds necessary to pay the purchase price and applicable withholding taxes, and such other documents as the Committee may determine.</w:t>
      </w:r>
    </w:p>
    <w:p>
      <w:pPr>
        <w:spacing w:after="0" w:line="199" w:lineRule="exact"/>
        <w:rPr>
          <w:rFonts w:ascii="Arial" w:cs="Arial" w:eastAsia="Arial" w:hAnsi="Arial"/>
          <w:sz w:val="20"/>
          <w:szCs w:val="20"/>
          <w:color w:val="auto"/>
        </w:rPr>
      </w:pPr>
    </w:p>
    <w:p>
      <w:pPr>
        <w:jc w:val="both"/>
        <w:ind w:firstLine="1305"/>
        <w:spacing w:after="0" w:line="278" w:lineRule="auto"/>
        <w:tabs>
          <w:tab w:leader="none" w:pos="202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For purposes of this Agreement, the term “Closing Price” means, with respect to the Company’s Stock, the last sale price regular-way or, in case no such sale takes place on such date, the average of the closing bid and asked prices regular-way on the principal national securities exchange on which the Stock is listed or admitted to trading; or, if the Stock is not listed or admitted to trading on any national securities exchange, the last sale price of the Stock on the consolidated transaction reporting system of the National Association of Securities Dealers (“NASD”), if such last sale information is reported on such system or, if not so reported, the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of the closing bid and asked prices of the securities on the National Association of Securities Dealers Automatic Quotation System (“NASDAQ”) or any comparable system or, if the Stock is not listed on NASDAQ or a comparable system, the “Closing Price” shall be the Fair Market Value of the Stock as determined by the Committee in good faith.</w:t>
      </w:r>
    </w:p>
    <w:p>
      <w:pPr>
        <w:spacing w:after="0" w:line="200" w:lineRule="exact"/>
        <w:rPr>
          <w:sz w:val="20"/>
          <w:szCs w:val="20"/>
          <w:color w:val="auto"/>
        </w:rPr>
      </w:pPr>
    </w:p>
    <w:p>
      <w:pPr>
        <w:jc w:val="both"/>
        <w:ind w:firstLine="656"/>
        <w:spacing w:after="0" w:line="256" w:lineRule="auto"/>
        <w:tabs>
          <w:tab w:leader="none" w:pos="1269" w:val="left"/>
        </w:tabs>
        <w:numPr>
          <w:ilvl w:val="1"/>
          <w:numId w:val="153"/>
        </w:numPr>
        <w:rPr>
          <w:rFonts w:ascii="Arial" w:cs="Arial" w:eastAsia="Arial" w:hAnsi="Arial"/>
          <w:sz w:val="19"/>
          <w:szCs w:val="19"/>
          <w:color w:val="auto"/>
        </w:rPr>
      </w:pPr>
      <w:r>
        <w:rPr>
          <w:rFonts w:ascii="Arial" w:cs="Arial" w:eastAsia="Arial" w:hAnsi="Arial"/>
          <w:sz w:val="19"/>
          <w:szCs w:val="19"/>
          <w:u w:val="single" w:color="auto"/>
          <w:color w:val="auto"/>
        </w:rPr>
        <w:t>Purchase for Investment; Resale Restrictions</w:t>
      </w:r>
      <w:r>
        <w:rPr>
          <w:rFonts w:ascii="Arial" w:cs="Arial" w:eastAsia="Arial" w:hAnsi="Arial"/>
          <w:sz w:val="19"/>
          <w:szCs w:val="19"/>
          <w:color w:val="auto"/>
        </w:rPr>
        <w:t>. Unless at the time of exercise of the Option there shall be a valid and effective registration statement under the Securities Act of 1933 (the “‘33 Act”) and appropriate qualification and registration under applicable state securities laws relating to the Option Shares being acquired, Holder shall upon exercise of the Option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194" w:lineRule="exact"/>
        <w:rPr>
          <w:rFonts w:ascii="Arial" w:cs="Arial" w:eastAsia="Arial" w:hAnsi="Arial"/>
          <w:sz w:val="19"/>
          <w:szCs w:val="19"/>
          <w:color w:val="auto"/>
        </w:rPr>
      </w:pPr>
    </w:p>
    <w:p>
      <w:pPr>
        <w:ind w:right="20" w:firstLine="656"/>
        <w:spacing w:after="0" w:line="260" w:lineRule="auto"/>
        <w:tabs>
          <w:tab w:leader="none" w:pos="1310" w:val="left"/>
        </w:tabs>
        <w:numPr>
          <w:ilvl w:val="1"/>
          <w:numId w:val="153"/>
        </w:numPr>
        <w:rPr>
          <w:rFonts w:ascii="Arial" w:cs="Arial" w:eastAsia="Arial" w:hAnsi="Arial"/>
          <w:sz w:val="20"/>
          <w:szCs w:val="20"/>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 This Option shall not be transferable other than by will or by the laws of descent and distribution. During the lifetime of Holder, this Option shall be exercisable only by Holder.</w:t>
      </w:r>
    </w:p>
    <w:p>
      <w:pPr>
        <w:spacing w:after="0" w:line="190" w:lineRule="exact"/>
        <w:rPr>
          <w:rFonts w:ascii="Arial" w:cs="Arial" w:eastAsia="Arial" w:hAnsi="Arial"/>
          <w:sz w:val="20"/>
          <w:szCs w:val="20"/>
          <w:color w:val="auto"/>
        </w:rPr>
      </w:pPr>
    </w:p>
    <w:p>
      <w:pPr>
        <w:ind w:left="1260" w:hanging="604"/>
        <w:spacing w:after="0"/>
        <w:tabs>
          <w:tab w:leader="none" w:pos="1260" w:val="left"/>
        </w:tabs>
        <w:numPr>
          <w:ilvl w:val="1"/>
          <w:numId w:val="153"/>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1305"/>
        <w:spacing w:after="0" w:line="303" w:lineRule="auto"/>
        <w:tabs>
          <w:tab w:leader="none" w:pos="1941" w:val="left"/>
        </w:tabs>
        <w:numPr>
          <w:ilvl w:val="2"/>
          <w:numId w:val="153"/>
        </w:numPr>
        <w:rPr>
          <w:rFonts w:ascii="Arial" w:cs="Arial" w:eastAsia="Arial" w:hAnsi="Arial"/>
          <w:sz w:val="16"/>
          <w:szCs w:val="16"/>
          <w:color w:val="auto"/>
        </w:rPr>
      </w:pPr>
      <w:r>
        <w:rPr>
          <w:rFonts w:ascii="Arial" w:cs="Arial" w:eastAsia="Arial" w:hAnsi="Arial"/>
          <w:sz w:val="16"/>
          <w:szCs w:val="16"/>
          <w:color w:val="auto"/>
        </w:rPr>
        <w:t>Subject to clause 7(b) below, if the outstanding shares of stock of the Company are 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 of the assets or shares of the Company, reorganization, recapitalization, reclassification, stock dividend, stock split, reverse stock split or other distribution with respect to such shares of stock or other securities, then, to the extent permitted by the Board, an appropriate and proportionate adjustment shall be made in</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maximum number and/or kind of shares provided in Paragraph 1 above; (2) the number and/or kind of shares or other securities subject</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the outstanding options and tandum SARs, if any; and (3) the price for each share or other unit of any other securities subject to outstanding options without change in the aggregate purchase price or value as to which the options remain exercisable or subject to restrictions. Any adjustment under this clause 7(a) shall be made by the Board, whose determination as to what adjustments shall be made, if any, and the extent thereof, will be final, binding and conclusive. No fractional interests will be issued under this Agreement resulting from any such adjustment.</w:t>
      </w:r>
    </w:p>
    <w:p>
      <w:pPr>
        <w:sectPr>
          <w:pgSz w:w="11900" w:h="16838" w:orient="portrait"/>
          <w:cols w:equalWidth="0" w:num="1">
            <w:col w:w="11420"/>
          </w:cols>
          <w:pgMar w:left="240" w:top="595" w:right="239" w:bottom="0" w:gutter="0" w:footer="0" w:header="0"/>
        </w:sectPr>
      </w:pPr>
    </w:p>
    <w:bookmarkStart w:id="106" w:name="page107"/>
    <w:bookmarkEnd w:id="106"/>
    <w:p>
      <w:pPr>
        <w:jc w:val="both"/>
        <w:ind w:firstLine="1305"/>
        <w:spacing w:after="0" w:line="274" w:lineRule="auto"/>
        <w:tabs>
          <w:tab w:leader="none" w:pos="192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Notwithstanding anything else in this Agreement to the contrary, unless the Board, in its sole discretion, determines that the Holder did not perform the duties reasonably requested of him in connection with a Change in Control (as defined in (c) below), including, without limitation, agreeing to provide remunerated services to the Company (for a reasonable length of time) following a Change in Control, upon the occurrence of a Change in Control, the Option or any portion thereof not theretofore exercisable, shall immediately become exercisable in its entirety and the Option may be purchased by the Company for cash at a price equal to the Fair Market Value less the purchase price payable by the Holder to exercise the Option as set out in Section 1 above for one (1) share of Common Stock of the Company multiplied by the number of shares of Common Stock which the Holder has the option to purchase pursuant to the terms of Section 1 above.</w:t>
      </w:r>
    </w:p>
    <w:p>
      <w:pPr>
        <w:spacing w:after="0" w:line="182" w:lineRule="exact"/>
        <w:rPr>
          <w:rFonts w:ascii="Arial" w:cs="Arial" w:eastAsia="Arial" w:hAnsi="Arial"/>
          <w:sz w:val="18"/>
          <w:szCs w:val="18"/>
          <w:color w:val="auto"/>
        </w:rPr>
      </w:pPr>
    </w:p>
    <w:p>
      <w:pPr>
        <w:ind w:left="1920" w:hanging="615"/>
        <w:spacing w:after="0"/>
        <w:tabs>
          <w:tab w:leader="none" w:pos="1920" w:val="left"/>
        </w:tabs>
        <w:numPr>
          <w:ilvl w:val="1"/>
          <w:numId w:val="155"/>
        </w:numPr>
        <w:rPr>
          <w:rFonts w:ascii="Arial" w:cs="Arial" w:eastAsia="Arial" w:hAnsi="Arial"/>
          <w:sz w:val="20"/>
          <w:szCs w:val="20"/>
          <w:color w:val="auto"/>
        </w:rPr>
      </w:pPr>
      <w:r>
        <w:rPr>
          <w:rFonts w:ascii="Arial" w:cs="Arial" w:eastAsia="Arial" w:hAnsi="Arial"/>
          <w:sz w:val="20"/>
          <w:szCs w:val="20"/>
          <w:color w:val="auto"/>
        </w:rPr>
        <w:t>For the purposes of this agreement, “Change in Control” means:</w:t>
      </w:r>
    </w:p>
    <w:p>
      <w:pPr>
        <w:spacing w:after="0" w:line="229" w:lineRule="exact"/>
        <w:rPr>
          <w:rFonts w:ascii="Arial" w:cs="Arial" w:eastAsia="Arial" w:hAnsi="Arial"/>
          <w:sz w:val="20"/>
          <w:szCs w:val="20"/>
          <w:color w:val="auto"/>
        </w:rPr>
      </w:pPr>
    </w:p>
    <w:p>
      <w:pPr>
        <w:ind w:left="2680" w:hanging="727"/>
        <w:spacing w:after="0"/>
        <w:tabs>
          <w:tab w:leader="none" w:pos="268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the acquisition (in one or more transactions) of “Beneficial Ownership” by any person (as defined in rule 13</w:t>
      </w:r>
    </w:p>
    <w:p>
      <w:pPr>
        <w:spacing w:after="0" w:line="38" w:lineRule="exact"/>
        <w:rPr>
          <w:rFonts w:ascii="Arial" w:cs="Arial" w:eastAsia="Arial" w:hAnsi="Arial"/>
          <w:sz w:val="18"/>
          <w:szCs w:val="18"/>
          <w:color w:val="auto"/>
        </w:rPr>
      </w:pPr>
    </w:p>
    <w:p>
      <w:pPr>
        <w:ind w:firstLine="8"/>
        <w:spacing w:after="0" w:line="244" w:lineRule="auto"/>
        <w:tabs>
          <w:tab w:leader="none" w:pos="306" w:val="left"/>
        </w:tabs>
        <w:numPr>
          <w:ilvl w:val="0"/>
          <w:numId w:val="156"/>
        </w:numPr>
        <w:rPr>
          <w:rFonts w:ascii="Arial" w:cs="Arial" w:eastAsia="Arial" w:hAnsi="Arial"/>
          <w:sz w:val="20"/>
          <w:szCs w:val="20"/>
          <w:color w:val="auto"/>
        </w:rPr>
      </w:pPr>
      <w:r>
        <w:rPr>
          <w:rFonts w:ascii="Arial" w:cs="Arial" w:eastAsia="Arial" w:hAnsi="Arial"/>
          <w:sz w:val="20"/>
          <w:szCs w:val="20"/>
          <w:color w:val="auto"/>
        </w:rPr>
        <w:t>- 3 under the Securities Exchange Act 1934), corporation or other entity other than the Company or a wholly owned subsidiary of the Company of 20% or more of the outstanding Common Stock,</w:t>
      </w:r>
    </w:p>
    <w:p>
      <w:pPr>
        <w:spacing w:after="0" w:line="205" w:lineRule="exact"/>
        <w:rPr>
          <w:rFonts w:ascii="Arial" w:cs="Arial" w:eastAsia="Arial" w:hAnsi="Arial"/>
          <w:sz w:val="20"/>
          <w:szCs w:val="20"/>
          <w:color w:val="auto"/>
        </w:rPr>
      </w:pPr>
    </w:p>
    <w:p>
      <w:pPr>
        <w:ind w:left="2600" w:hanging="647"/>
        <w:spacing w:after="0"/>
        <w:tabs>
          <w:tab w:leader="none" w:pos="2600" w:val="left"/>
        </w:tabs>
        <w:numPr>
          <w:ilvl w:val="2"/>
          <w:numId w:val="156"/>
        </w:numPr>
        <w:rPr>
          <w:rFonts w:ascii="Arial" w:cs="Arial" w:eastAsia="Arial" w:hAnsi="Arial"/>
          <w:sz w:val="20"/>
          <w:szCs w:val="20"/>
          <w:color w:val="auto"/>
        </w:rPr>
      </w:pPr>
      <w:r>
        <w:rPr>
          <w:rFonts w:ascii="Arial" w:cs="Arial" w:eastAsia="Arial" w:hAnsi="Arial"/>
          <w:sz w:val="20"/>
          <w:szCs w:val="20"/>
          <w:color w:val="auto"/>
        </w:rPr>
        <w:t>the sale or disposition of substantially all of the assets of the Company, or</w:t>
      </w:r>
    </w:p>
    <w:p>
      <w:pPr>
        <w:spacing w:after="0" w:line="229" w:lineRule="exact"/>
        <w:rPr>
          <w:sz w:val="20"/>
          <w:szCs w:val="20"/>
          <w:color w:val="auto"/>
        </w:rPr>
      </w:pPr>
    </w:p>
    <w:p>
      <w:pPr>
        <w:ind w:left="2720" w:hanging="767"/>
        <w:spacing w:after="0"/>
        <w:tabs>
          <w:tab w:leader="none" w:pos="27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merger of the Company with another entity in which the Common Stock of the Company is no longer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outstanding after such merger.</w:t>
      </w:r>
    </w:p>
    <w:p>
      <w:pPr>
        <w:spacing w:after="0" w:line="213" w:lineRule="exact"/>
        <w:rPr>
          <w:rFonts w:ascii="Arial" w:cs="Arial" w:eastAsia="Arial" w:hAnsi="Arial"/>
          <w:sz w:val="18"/>
          <w:szCs w:val="18"/>
          <w:color w:val="auto"/>
        </w:rPr>
      </w:pPr>
    </w:p>
    <w:p>
      <w:pPr>
        <w:ind w:firstLine="656"/>
        <w:spacing w:after="0" w:line="260" w:lineRule="auto"/>
        <w:tabs>
          <w:tab w:leader="none" w:pos="1269"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No Rights as Stockholder</w:t>
      </w:r>
      <w:r>
        <w:rPr>
          <w:rFonts w:ascii="Arial" w:cs="Arial" w:eastAsia="Arial" w:hAnsi="Arial"/>
          <w:sz w:val="20"/>
          <w:szCs w:val="20"/>
          <w:color w:val="auto"/>
        </w:rPr>
        <w:t>. Holder shall have no rights as a stockholder with respect to any shares of Stock subject to this Option prior to the date of issuance to him of a certificate or certificates for such shares.</w:t>
      </w:r>
    </w:p>
    <w:p>
      <w:pPr>
        <w:spacing w:after="0" w:line="190" w:lineRule="exact"/>
        <w:rPr>
          <w:rFonts w:ascii="Arial" w:cs="Arial" w:eastAsia="Arial" w:hAnsi="Arial"/>
          <w:sz w:val="20"/>
          <w:szCs w:val="20"/>
          <w:color w:val="auto"/>
        </w:rPr>
      </w:pPr>
    </w:p>
    <w:p>
      <w:pPr>
        <w:ind w:right="20" w:firstLine="656"/>
        <w:spacing w:after="0" w:line="260" w:lineRule="auto"/>
        <w:tabs>
          <w:tab w:leader="none" w:pos="1256"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No Right to Continue Employment</w:t>
      </w:r>
      <w:r>
        <w:rPr>
          <w:rFonts w:ascii="Arial" w:cs="Arial" w:eastAsia="Arial" w:hAnsi="Arial"/>
          <w:sz w:val="20"/>
          <w:szCs w:val="20"/>
          <w:color w:val="auto"/>
        </w:rPr>
        <w:t>. This Agreement shall not confer upon Holder any right with respect to continuance of employment with a Participating Company nor shall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interfere in any way with the right of a Participating Company to terminate the Holder’s employment at any time.</w:t>
      </w:r>
    </w:p>
    <w:p>
      <w:pPr>
        <w:spacing w:after="0" w:line="229" w:lineRule="exact"/>
        <w:rPr>
          <w:sz w:val="20"/>
          <w:szCs w:val="20"/>
          <w:color w:val="auto"/>
        </w:rPr>
      </w:pPr>
    </w:p>
    <w:p>
      <w:pPr>
        <w:jc w:val="both"/>
        <w:ind w:firstLine="656"/>
        <w:spacing w:after="0" w:line="258" w:lineRule="auto"/>
        <w:tabs>
          <w:tab w:leader="none" w:pos="1305"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Compliance With Law and Regulation</w:t>
      </w:r>
      <w:r>
        <w:rPr>
          <w:rFonts w:ascii="Arial" w:cs="Arial" w:eastAsia="Arial" w:hAnsi="Arial"/>
          <w:sz w:val="19"/>
          <w:szCs w:val="19"/>
          <w:color w:val="auto"/>
        </w:rPr>
        <w:t>. This Agreement and the obligation of the Company to sell and deliver shares of Stock hereunder shall be subject to all applicable federal and state laws, rules and regulations and to such approvals by any government or regulatory agency as may be required. If at any time the Board shall determine that (i) the listing, registration or qualification of the shares of Stock subject or related thereto upon any securities exchange or under any state or federal law, or (ii) the consent or approval of any government regulatory body, is necessary or desirable as a condition of or in connection with the issue or purchase of shares of Stock hereunder, this Option may not be exercised in whole or in part unless such listing, registration, qualification, consent, approval or agreement shall have been effected or obtained free of any conditions not acceptable to the Board.</w:t>
      </w:r>
    </w:p>
    <w:p>
      <w:pPr>
        <w:spacing w:after="0" w:line="192" w:lineRule="exact"/>
        <w:rPr>
          <w:rFonts w:ascii="Arial" w:cs="Arial" w:eastAsia="Arial" w:hAnsi="Arial"/>
          <w:sz w:val="19"/>
          <w:szCs w:val="19"/>
          <w:color w:val="auto"/>
        </w:rPr>
      </w:pPr>
    </w:p>
    <w:p>
      <w:pPr>
        <w:ind w:firstLine="656"/>
        <w:spacing w:after="0" w:line="316" w:lineRule="auto"/>
        <w:tabs>
          <w:tab w:leader="none" w:pos="1433"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Tax Withholding Requirements</w:t>
      </w:r>
      <w:r>
        <w:rPr>
          <w:rFonts w:ascii="Arial" w:cs="Arial" w:eastAsia="Arial" w:hAnsi="Arial"/>
          <w:sz w:val="18"/>
          <w:szCs w:val="18"/>
          <w:color w:val="auto"/>
        </w:rPr>
        <w:t>. The Company shall have the right to require Holder to remit to the Company an amount sufficient to satisfy any federal, state or local withholding tax requirements prior to the delivery of any certificate or certificates for Stock.</w:t>
      </w:r>
    </w:p>
    <w:p>
      <w:pPr>
        <w:spacing w:after="0" w:line="143" w:lineRule="exact"/>
        <w:rPr>
          <w:rFonts w:ascii="Arial" w:cs="Arial" w:eastAsia="Arial" w:hAnsi="Arial"/>
          <w:sz w:val="18"/>
          <w:szCs w:val="18"/>
          <w:color w:val="auto"/>
        </w:rPr>
      </w:pPr>
    </w:p>
    <w:p>
      <w:pPr>
        <w:ind w:firstLine="656"/>
        <w:spacing w:after="0" w:line="316" w:lineRule="auto"/>
        <w:tabs>
          <w:tab w:leader="none" w:pos="1373"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other provision of this Agreement, no fractional shares of Stock shall be issued upon the exercise of this Option, and the Company shall not be under any obligation to compensate Holder in any way for such fractional shares.</w:t>
      </w:r>
    </w:p>
    <w:p>
      <w:pPr>
        <w:spacing w:after="0" w:line="143" w:lineRule="exact"/>
        <w:rPr>
          <w:rFonts w:ascii="Arial" w:cs="Arial" w:eastAsia="Arial" w:hAnsi="Arial"/>
          <w:sz w:val="18"/>
          <w:szCs w:val="18"/>
          <w:color w:val="auto"/>
        </w:rPr>
      </w:pPr>
    </w:p>
    <w:p>
      <w:pPr>
        <w:jc w:val="both"/>
        <w:ind w:firstLine="656"/>
        <w:spacing w:after="0" w:line="246" w:lineRule="auto"/>
        <w:tabs>
          <w:tab w:leader="none" w:pos="1373"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hereunder to the Company shall be addressed to it at its office at 550 Monica Circle, Suite 201, Corona, California 92880, Attention: Rodney C. Sacks with a copy to Benjamin Polk, Schulte Roth &amp; Zabel LLP, 919 Third Avenue, New York, New York 10022, and any notice hereunder to Holder shall be addressed to him at 2 Nidden, Irvine, California 92603, subject to the right of either party to designate at any time hereafter in writing some other address.</w:t>
      </w:r>
    </w:p>
    <w:p>
      <w:pPr>
        <w:spacing w:after="0" w:line="205" w:lineRule="exact"/>
        <w:rPr>
          <w:rFonts w:ascii="Arial" w:cs="Arial" w:eastAsia="Arial" w:hAnsi="Arial"/>
          <w:sz w:val="20"/>
          <w:szCs w:val="20"/>
          <w:color w:val="auto"/>
        </w:rPr>
      </w:pPr>
    </w:p>
    <w:p>
      <w:pPr>
        <w:ind w:firstLine="656"/>
        <w:spacing w:after="0" w:line="260" w:lineRule="auto"/>
        <w:tabs>
          <w:tab w:leader="none" w:pos="1332"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No modification, amendment or waiver of any of the provisions of this Agreement shall be effective unless in writing specifically referring hereto, and signed by both parties.</w:t>
      </w:r>
    </w:p>
    <w:p>
      <w:pPr>
        <w:spacing w:after="0" w:line="190" w:lineRule="exact"/>
        <w:rPr>
          <w:rFonts w:ascii="Arial" w:cs="Arial" w:eastAsia="Arial" w:hAnsi="Arial"/>
          <w:sz w:val="20"/>
          <w:szCs w:val="20"/>
          <w:color w:val="auto"/>
        </w:rPr>
      </w:pPr>
    </w:p>
    <w:p>
      <w:pPr>
        <w:ind w:firstLine="656"/>
        <w:spacing w:after="0" w:line="316" w:lineRule="auto"/>
        <w:tabs>
          <w:tab w:leader="none" w:pos="1373"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1320" w:hanging="664"/>
        <w:spacing w:after="0"/>
        <w:tabs>
          <w:tab w:leader="none" w:pos="132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constitute one and the same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-687070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Hansen Natural Corporation has caused this Agreement to be executed by a duly authorized officer and Holder has executed this Agreement both as of the day and year first above written.</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5480" w:type="dxa"/>
            <w:vAlign w:val="bottom"/>
            <w:gridSpan w:val="3"/>
          </w:tcPr>
          <w:p>
            <w:pPr>
              <w:ind w:left="2260"/>
              <w:spacing w:after="0"/>
              <w:rPr>
                <w:sz w:val="20"/>
                <w:szCs w:val="20"/>
                <w:color w:val="auto"/>
              </w:rPr>
            </w:pPr>
            <w:r>
              <w:rPr>
                <w:rFonts w:ascii="Arial" w:cs="Arial" w:eastAsia="Arial" w:hAnsi="Arial"/>
                <w:sz w:val="20"/>
                <w:szCs w:val="20"/>
                <w:color w:val="auto"/>
                <w:w w:val="95"/>
              </w:rPr>
              <w:t>HANSEN NATURAL CORPORATION</w:t>
            </w:r>
          </w:p>
        </w:tc>
      </w:tr>
      <w:tr>
        <w:trPr>
          <w:trHeight w:val="449"/>
        </w:trPr>
        <w:tc>
          <w:tcPr>
            <w:tcW w:w="3840" w:type="dxa"/>
            <w:vAlign w:val="bottom"/>
            <w:gridSpan w:val="2"/>
          </w:tcPr>
          <w:p>
            <w:pPr>
              <w:spacing w:after="0"/>
              <w:rPr>
                <w:sz w:val="20"/>
                <w:szCs w:val="20"/>
                <w:color w:val="auto"/>
              </w:rPr>
            </w:pPr>
            <w:r>
              <w:rPr>
                <w:rFonts w:ascii="Arial" w:cs="Arial" w:eastAsia="Arial" w:hAnsi="Arial"/>
                <w:sz w:val="20"/>
                <w:szCs w:val="20"/>
                <w:color w:val="auto"/>
              </w:rPr>
              <w:t>/s/ Hilton H. Schlosberg</w:t>
            </w:r>
          </w:p>
        </w:tc>
        <w:tc>
          <w:tcPr>
            <w:tcW w:w="5480" w:type="dxa"/>
            <w:vAlign w:val="bottom"/>
            <w:gridSpan w:val="3"/>
          </w:tcPr>
          <w:p>
            <w:pPr>
              <w:ind w:left="2260"/>
              <w:spacing w:after="0"/>
              <w:rPr>
                <w:sz w:val="20"/>
                <w:szCs w:val="20"/>
                <w:color w:val="auto"/>
              </w:rPr>
            </w:pPr>
            <w:r>
              <w:rPr>
                <w:rFonts w:ascii="Arial" w:cs="Arial" w:eastAsia="Arial" w:hAnsi="Arial"/>
                <w:sz w:val="20"/>
                <w:szCs w:val="20"/>
                <w:color w:val="auto"/>
              </w:rPr>
              <w:t>By:  /s/ Rodney C. Sacks</w:t>
            </w:r>
          </w:p>
        </w:tc>
      </w:tr>
      <w:tr>
        <w:trPr>
          <w:trHeight w:val="213"/>
        </w:trPr>
        <w:tc>
          <w:tcPr>
            <w:tcW w:w="20" w:type="dxa"/>
            <w:vAlign w:val="bottom"/>
          </w:tcPr>
          <w:p>
            <w:pPr>
              <w:spacing w:after="0"/>
              <w:rPr>
                <w:sz w:val="18"/>
                <w:szCs w:val="18"/>
                <w:color w:val="auto"/>
              </w:rPr>
            </w:pPr>
          </w:p>
        </w:tc>
        <w:tc>
          <w:tcPr>
            <w:tcW w:w="3820" w:type="dxa"/>
            <w:vAlign w:val="bottom"/>
            <w:tcBorders>
              <w:top w:val="single" w:sz="8" w:color="auto"/>
            </w:tcBorders>
          </w:tcPr>
          <w:p>
            <w:pPr>
              <w:spacing w:after="0" w:line="213" w:lineRule="exact"/>
              <w:rPr>
                <w:sz w:val="20"/>
                <w:szCs w:val="20"/>
                <w:color w:val="auto"/>
              </w:rPr>
            </w:pPr>
            <w:r>
              <w:rPr>
                <w:rFonts w:ascii="Arial" w:cs="Arial" w:eastAsia="Arial" w:hAnsi="Arial"/>
                <w:sz w:val="20"/>
                <w:szCs w:val="20"/>
                <w:color w:val="auto"/>
              </w:rPr>
              <w:t>Hilton H. Schlosberg</w:t>
            </w:r>
          </w:p>
        </w:tc>
        <w:tc>
          <w:tcPr>
            <w:tcW w:w="2740" w:type="dxa"/>
            <w:vAlign w:val="bottom"/>
          </w:tcPr>
          <w:p>
            <w:pPr>
              <w:ind w:left="2260"/>
              <w:spacing w:after="0" w:line="213" w:lineRule="exact"/>
              <w:rPr>
                <w:sz w:val="20"/>
                <w:szCs w:val="20"/>
                <w:color w:val="auto"/>
              </w:rPr>
            </w:pPr>
            <w:r>
              <w:rPr>
                <w:rFonts w:ascii="Arial" w:cs="Arial" w:eastAsia="Arial" w:hAnsi="Arial"/>
                <w:sz w:val="20"/>
                <w:szCs w:val="20"/>
                <w:color w:val="auto"/>
                <w:w w:val="78"/>
              </w:rPr>
              <w:t>Name:</w:t>
            </w:r>
          </w:p>
        </w:tc>
        <w:tc>
          <w:tcPr>
            <w:tcW w:w="2660" w:type="dxa"/>
            <w:vAlign w:val="bottom"/>
            <w:tcBorders>
              <w:top w:val="single" w:sz="8" w:color="auto"/>
            </w:tcBorders>
          </w:tcPr>
          <w:p>
            <w:pPr>
              <w:ind w:left="100"/>
              <w:spacing w:after="0" w:line="213" w:lineRule="exact"/>
              <w:rPr>
                <w:sz w:val="20"/>
                <w:szCs w:val="20"/>
                <w:color w:val="auto"/>
              </w:rPr>
            </w:pPr>
            <w:r>
              <w:rPr>
                <w:rFonts w:ascii="Arial" w:cs="Arial" w:eastAsia="Arial" w:hAnsi="Arial"/>
                <w:sz w:val="20"/>
                <w:szCs w:val="20"/>
                <w:color w:val="auto"/>
              </w:rPr>
              <w:t>Rodney C. Sacks</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5480" w:type="dxa"/>
            <w:vAlign w:val="bottom"/>
            <w:gridSpan w:val="3"/>
          </w:tcPr>
          <w:p>
            <w:pPr>
              <w:ind w:left="2260"/>
              <w:spacing w:after="0"/>
              <w:rPr>
                <w:sz w:val="20"/>
                <w:szCs w:val="20"/>
                <w:color w:val="auto"/>
              </w:rPr>
            </w:pPr>
            <w:r>
              <w:rPr>
                <w:rFonts w:ascii="Arial" w:cs="Arial" w:eastAsia="Arial" w:hAnsi="Arial"/>
                <w:sz w:val="20"/>
                <w:szCs w:val="20"/>
                <w:color w:val="auto"/>
              </w:rPr>
              <w:t>Title: Chairman and CEO</w:t>
            </w:r>
          </w:p>
        </w:tc>
      </w:tr>
    </w:tbl>
    <w:p>
      <w:pPr>
        <w:sectPr>
          <w:pgSz w:w="11900" w:h="16838" w:orient="portrait"/>
          <w:cols w:equalWidth="0" w:num="1">
            <w:col w:w="11420"/>
          </w:cols>
          <w:pgMar w:left="240" w:top="352" w:right="239" w:bottom="0"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438785</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color w:val="auto"/>
        </w:rPr>
        <w:t>Exhibit 10.53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Stock Option Agreement (“Agreement”), is made as of December 1, 2009 (the “Grant Date”), by and between Hansen Natural Corporation, a Delaware corporation (the “Company”), and Mark J. Hall (“Holder”).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Recitals</w:t>
      </w:r>
    </w:p>
    <w:p>
      <w:pPr>
        <w:spacing w:after="0" w:line="229" w:lineRule="exact"/>
        <w:rPr>
          <w:sz w:val="20"/>
          <w:szCs w:val="20"/>
          <w:color w:val="auto"/>
        </w:rPr>
      </w:pPr>
    </w:p>
    <w:p>
      <w:pPr>
        <w:ind w:left="1240" w:hanging="584"/>
        <w:spacing w:after="0"/>
        <w:tabs>
          <w:tab w:leader="none" w:pos="124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Holder is an employee of a Participating Company.</w:t>
      </w:r>
    </w:p>
    <w:p>
      <w:pPr>
        <w:spacing w:after="0" w:line="229" w:lineRule="exact"/>
        <w:rPr>
          <w:rFonts w:ascii="Arial" w:cs="Arial" w:eastAsia="Arial" w:hAnsi="Arial"/>
          <w:sz w:val="20"/>
          <w:szCs w:val="20"/>
          <w:color w:val="auto"/>
        </w:rPr>
      </w:pPr>
    </w:p>
    <w:p>
      <w:pPr>
        <w:ind w:right="20" w:firstLine="656"/>
        <w:spacing w:after="0" w:line="287" w:lineRule="auto"/>
        <w:tabs>
          <w:tab w:leader="none" w:pos="1424" w:val="left"/>
        </w:tabs>
        <w:numPr>
          <w:ilvl w:val="0"/>
          <w:numId w:val="160"/>
        </w:numPr>
        <w:rPr>
          <w:rFonts w:ascii="Arial" w:cs="Arial" w:eastAsia="Arial" w:hAnsi="Arial"/>
          <w:sz w:val="19"/>
          <w:szCs w:val="19"/>
          <w:color w:val="auto"/>
        </w:rPr>
      </w:pPr>
      <w:r>
        <w:rPr>
          <w:rFonts w:ascii="Arial" w:cs="Arial" w:eastAsia="Arial" w:hAnsi="Arial"/>
          <w:sz w:val="19"/>
          <w:szCs w:val="19"/>
          <w:color w:val="auto"/>
        </w:rPr>
        <w:t>Pursuant to the Hansen Natural Corporation 2001 Stock Option Plan (the “Plan”), the Company desires to grant Holder an incentive stock option to purchase shares of the Company’s common stock, par value $.005 per share (the “Common Stock”).</w:t>
      </w:r>
    </w:p>
    <w:p>
      <w:pPr>
        <w:spacing w:after="0" w:line="166" w:lineRule="exact"/>
        <w:rPr>
          <w:rFonts w:ascii="Arial" w:cs="Arial" w:eastAsia="Arial" w:hAnsi="Arial"/>
          <w:sz w:val="19"/>
          <w:szCs w:val="19"/>
          <w:color w:val="auto"/>
        </w:rPr>
      </w:pPr>
    </w:p>
    <w:p>
      <w:pPr>
        <w:ind w:left="1280" w:hanging="624"/>
        <w:spacing w:after="0"/>
        <w:tabs>
          <w:tab w:leader="none" w:pos="128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Capitalized terms not otherwise defined in this Agreement shall have the meaning given to them in the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Company and Holder agree as follows:</w:t>
      </w:r>
    </w:p>
    <w:p>
      <w:pPr>
        <w:spacing w:after="0" w:line="229" w:lineRule="exact"/>
        <w:rPr>
          <w:sz w:val="20"/>
          <w:szCs w:val="20"/>
          <w:color w:val="auto"/>
        </w:rPr>
      </w:pPr>
    </w:p>
    <w:p>
      <w:pPr>
        <w:jc w:val="both"/>
        <w:ind w:firstLine="656"/>
        <w:spacing w:after="0" w:line="242" w:lineRule="auto"/>
        <w:tabs>
          <w:tab w:leader="none" w:pos="1323"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Grant of Incentive Stock Option</w:t>
      </w:r>
      <w:r>
        <w:rPr>
          <w:rFonts w:ascii="Arial" w:cs="Arial" w:eastAsia="Arial" w:hAnsi="Arial"/>
          <w:sz w:val="20"/>
          <w:szCs w:val="20"/>
          <w:color w:val="auto"/>
        </w:rPr>
        <w:t>. The Company hereby grants to Holder, subject to the terms and conditions set forth herein and in the Plan, an incentive stock option (“ISO”) to purchase 200,000 shares of Common Stock, at the purchase price of $35.64 per share (the “Option”), such Option to be exercisable and exercised as hereinafter provided. If for any reason the Option or any portion of the Option shall not qualify as an ISO, then, to the extent of such nonqualification, such Option (or portion thereof) shall be regarded as a nonqualified stock option granted under the Plan, provided that such Option (or portion thereof) otherwise complies with the Plan’s requirements relating to nonqualified stock options. In no event shall any member of the Committee or any Participating Company (or their respective employees, officers or directors) have any liability to Holder (or any other person) due to the failure of an Option (or any portion thereof) to qualify for any reason as an ISO.</w:t>
      </w:r>
    </w:p>
    <w:p>
      <w:pPr>
        <w:spacing w:after="0" w:line="211" w:lineRule="exact"/>
        <w:rPr>
          <w:rFonts w:ascii="Arial" w:cs="Arial" w:eastAsia="Arial" w:hAnsi="Arial"/>
          <w:sz w:val="20"/>
          <w:szCs w:val="20"/>
          <w:color w:val="auto"/>
        </w:rPr>
      </w:pPr>
    </w:p>
    <w:p>
      <w:pPr>
        <w:ind w:right="180" w:firstLine="656"/>
        <w:spacing w:after="0" w:line="276" w:lineRule="auto"/>
        <w:tabs>
          <w:tab w:leader="none" w:pos="1242"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 The Option shall expire three months after the termination of the Holder’s employment with a Participating Company unless the employment is terminated by a Participating Company for Cause (as defined below) or unless the employment is terminated by reason of the death or Total Disability of Holder. If the Holder’s employment is terminated by a Participating Company for Cause, the Option shall expire as of the date employment terminates. If the Holder’s employment terminates due to his death or Total Disability, then the Option may be exercised by Holder or the person or persons to which Holder’s rights under this Agreement pass by will, or if no such person has such right, by his executors or administrators, within six months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the date of death or Total Disability, but no later than the expiration date specified in Section 3(c) below. “Cause” means, as determined by the Committee, the Holder’s (i) act(s) of fraud or dishonesty, (ii) knowing and material failure to comply with applicable laws or regulations or satisfactorily perform his duties of employment, (iii) insubordination or (iv) drug or alcohol abuse.</w:t>
      </w:r>
    </w:p>
    <w:p>
      <w:pPr>
        <w:spacing w:after="0" w:line="184" w:lineRule="exact"/>
        <w:rPr>
          <w:sz w:val="20"/>
          <w:szCs w:val="20"/>
          <w:color w:val="auto"/>
        </w:rPr>
      </w:pPr>
    </w:p>
    <w:p>
      <w:pPr>
        <w:ind w:left="1260" w:hanging="604"/>
        <w:spacing w:after="0"/>
        <w:tabs>
          <w:tab w:leader="none" w:pos="1260"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p>
    <w:p>
      <w:pPr>
        <w:spacing w:after="0" w:line="229" w:lineRule="exact"/>
        <w:rPr>
          <w:rFonts w:ascii="Arial" w:cs="Arial" w:eastAsia="Arial" w:hAnsi="Arial"/>
          <w:sz w:val="20"/>
          <w:szCs w:val="20"/>
          <w:color w:val="auto"/>
        </w:rPr>
      </w:pPr>
    </w:p>
    <w:p>
      <w:pPr>
        <w:jc w:val="both"/>
        <w:ind w:firstLine="1305"/>
        <w:spacing w:after="0" w:line="250" w:lineRule="auto"/>
        <w:tabs>
          <w:tab w:leader="none" w:pos="2145" w:val="left"/>
        </w:tabs>
        <w:numPr>
          <w:ilvl w:val="1"/>
          <w:numId w:val="162"/>
        </w:numPr>
        <w:rPr>
          <w:rFonts w:ascii="Arial" w:cs="Arial" w:eastAsia="Arial" w:hAnsi="Arial"/>
          <w:sz w:val="20"/>
          <w:szCs w:val="20"/>
          <w:color w:val="auto"/>
        </w:rPr>
      </w:pPr>
      <w:r>
        <w:rPr>
          <w:rFonts w:ascii="Arial" w:cs="Arial" w:eastAsia="Arial" w:hAnsi="Arial"/>
          <w:sz w:val="20"/>
          <w:szCs w:val="20"/>
          <w:color w:val="auto"/>
        </w:rPr>
        <w:t>Subject to the other terms of this Agreement regarding the exercisability of the Option, provided that Holder is employed by a Participating Company on the relevant Exercise Date set forth below, the Option may be exercised in respect of the number of shares (the “Option Portion”) listed in column A from and after the Exercise Date listed in column B,</w:t>
      </w:r>
    </w:p>
    <w:p>
      <w:pPr>
        <w:spacing w:after="0" w:line="200" w:lineRule="exact"/>
        <w:rPr>
          <w:sz w:val="20"/>
          <w:szCs w:val="20"/>
          <w:color w:val="auto"/>
        </w:rPr>
      </w:pPr>
    </w:p>
    <w:tbl>
      <w:tblPr>
        <w:tblLayout w:type="fixed"/>
        <w:tblInd w:w="980" w:type="dxa"/>
        <w:tblCellMar>
          <w:top w:w="0" w:type="dxa"/>
          <w:left w:w="0" w:type="dxa"/>
          <w:bottom w:w="0" w:type="dxa"/>
          <w:right w:w="0" w:type="dxa"/>
        </w:tblCellMar>
      </w:tblPr>
      <w:tr>
        <w:trPr>
          <w:trHeight w:val="250"/>
        </w:trPr>
        <w:tc>
          <w:tcPr>
            <w:tcW w:w="1540" w:type="dxa"/>
            <w:vAlign w:val="bottom"/>
          </w:tcPr>
          <w:p>
            <w:pPr>
              <w:spacing w:after="0"/>
              <w:rPr>
                <w:sz w:val="21"/>
                <w:szCs w:val="21"/>
                <w:color w:val="auto"/>
              </w:rPr>
            </w:pPr>
          </w:p>
        </w:tc>
        <w:tc>
          <w:tcPr>
            <w:tcW w:w="2860" w:type="dxa"/>
            <w:vAlign w:val="bottom"/>
            <w:gridSpan w:val="2"/>
          </w:tcPr>
          <w:p>
            <w:pPr>
              <w:jc w:val="center"/>
              <w:ind w:right="1420"/>
              <w:spacing w:after="0"/>
              <w:rPr>
                <w:sz w:val="20"/>
                <w:szCs w:val="20"/>
                <w:color w:val="auto"/>
              </w:rPr>
            </w:pPr>
            <w:r>
              <w:rPr>
                <w:rFonts w:ascii="Arial" w:cs="Arial" w:eastAsia="Arial" w:hAnsi="Arial"/>
                <w:sz w:val="20"/>
                <w:szCs w:val="20"/>
                <w:color w:val="auto"/>
                <w:w w:val="98"/>
              </w:rPr>
              <w:t>Column “A”</w:t>
            </w:r>
          </w:p>
        </w:tc>
        <w:tc>
          <w:tcPr>
            <w:tcW w:w="2020" w:type="dxa"/>
            <w:vAlign w:val="bottom"/>
          </w:tcPr>
          <w:p>
            <w:pPr>
              <w:spacing w:after="0"/>
              <w:rPr>
                <w:sz w:val="21"/>
                <w:szCs w:val="21"/>
                <w:color w:val="auto"/>
              </w:rPr>
            </w:pPr>
          </w:p>
        </w:tc>
        <w:tc>
          <w:tcPr>
            <w:tcW w:w="2100" w:type="dxa"/>
            <w:vAlign w:val="bottom"/>
            <w:gridSpan w:val="2"/>
          </w:tcPr>
          <w:p>
            <w:pPr>
              <w:jc w:val="center"/>
              <w:ind w:right="1000"/>
              <w:spacing w:after="0"/>
              <w:rPr>
                <w:sz w:val="20"/>
                <w:szCs w:val="20"/>
                <w:color w:val="auto"/>
              </w:rPr>
            </w:pPr>
            <w:r>
              <w:rPr>
                <w:rFonts w:ascii="Arial" w:cs="Arial" w:eastAsia="Arial" w:hAnsi="Arial"/>
                <w:sz w:val="20"/>
                <w:szCs w:val="20"/>
                <w:color w:val="auto"/>
                <w:w w:val="96"/>
              </w:rPr>
              <w:t>Column “B”</w:t>
            </w:r>
          </w:p>
        </w:tc>
      </w:tr>
      <w:tr>
        <w:trPr>
          <w:trHeight w:val="415"/>
        </w:trPr>
        <w:tc>
          <w:tcPr>
            <w:tcW w:w="15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20"/>
                <w:szCs w:val="20"/>
                <w:color w:val="auto"/>
                <w:w w:val="88"/>
              </w:rPr>
              <w:t>Number of Shares</w:t>
            </w:r>
          </w:p>
        </w:tc>
        <w:tc>
          <w:tcPr>
            <w:tcW w:w="1420" w:type="dxa"/>
            <w:vAlign w:val="bottom"/>
          </w:tcPr>
          <w:p>
            <w:pPr>
              <w:spacing w:after="0"/>
              <w:rPr>
                <w:sz w:val="24"/>
                <w:szCs w:val="24"/>
                <w:color w:val="auto"/>
              </w:rPr>
            </w:pPr>
          </w:p>
        </w:tc>
        <w:tc>
          <w:tcPr>
            <w:tcW w:w="4120" w:type="dxa"/>
            <w:vAlign w:val="bottom"/>
            <w:gridSpan w:val="3"/>
          </w:tcPr>
          <w:p>
            <w:pPr>
              <w:jc w:val="center"/>
              <w:ind w:left="921"/>
              <w:spacing w:after="0"/>
              <w:rPr>
                <w:sz w:val="20"/>
                <w:szCs w:val="20"/>
                <w:color w:val="auto"/>
              </w:rPr>
            </w:pPr>
            <w:r>
              <w:rPr>
                <w:rFonts w:ascii="Arial" w:cs="Arial" w:eastAsia="Arial" w:hAnsi="Arial"/>
                <w:sz w:val="20"/>
                <w:szCs w:val="20"/>
                <w:color w:val="auto"/>
                <w:w w:val="88"/>
              </w:rPr>
              <w:t>Exercise Date</w:t>
            </w:r>
          </w:p>
        </w:tc>
      </w:tr>
      <w:tr>
        <w:trPr>
          <w:trHeight w:val="20"/>
        </w:trPr>
        <w:tc>
          <w:tcPr>
            <w:tcW w:w="1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84"/>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97"/>
              </w:rPr>
              <w:t>After the first anniversary of the Grant Date</w:t>
            </w:r>
          </w:p>
        </w:tc>
      </w:tr>
      <w:tr>
        <w:trPr>
          <w:trHeight w:val="459"/>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89"/>
              </w:rPr>
              <w:t>After the second anniversary of the Grant Date</w:t>
            </w:r>
          </w:p>
        </w:tc>
      </w:tr>
      <w:tr>
        <w:trPr>
          <w:trHeight w:val="459"/>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95"/>
              </w:rPr>
              <w:t>After the third anniversary of the Grant Date</w:t>
            </w:r>
          </w:p>
        </w:tc>
      </w:tr>
      <w:tr>
        <w:trPr>
          <w:trHeight w:val="459"/>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92"/>
              </w:rPr>
              <w:t>After the fourth anniversary of the Grant Date</w:t>
            </w:r>
          </w:p>
        </w:tc>
      </w:tr>
      <w:tr>
        <w:trPr>
          <w:trHeight w:val="459"/>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97"/>
              </w:rPr>
              <w:t>After the fifth anniversary of the Grant Date</w:t>
            </w:r>
          </w:p>
        </w:tc>
      </w:tr>
    </w:tbl>
    <w:p>
      <w:pPr>
        <w:spacing w:after="0" w:line="209" w:lineRule="exact"/>
        <w:rPr>
          <w:sz w:val="20"/>
          <w:szCs w:val="20"/>
          <w:color w:val="auto"/>
        </w:rPr>
      </w:pPr>
    </w:p>
    <w:p>
      <w:pPr>
        <w:ind w:right="200" w:firstLine="1305"/>
        <w:spacing w:after="0" w:line="246" w:lineRule="auto"/>
        <w:tabs>
          <w:tab w:leader="none" w:pos="1923"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This Option may be exercised, to the extent exercisable by its terms, from time to time in whole or in part at any time prior to the expiration thereof. Any exercise shall be accompanied by a written notice to the Company specifying the number of shares as to which this Option is being exercised (the “Option Shares”). Notations of any partial exercise or installment exercise, shall be made by the Company on Schedule A hereto.</w:t>
      </w:r>
    </w:p>
    <w:p>
      <w:pPr>
        <w:spacing w:after="0" w:line="205" w:lineRule="exact"/>
        <w:rPr>
          <w:rFonts w:ascii="Arial" w:cs="Arial" w:eastAsia="Arial" w:hAnsi="Arial"/>
          <w:sz w:val="20"/>
          <w:szCs w:val="20"/>
          <w:color w:val="auto"/>
        </w:rPr>
      </w:pPr>
    </w:p>
    <w:p>
      <w:pPr>
        <w:ind w:left="2060" w:hanging="755"/>
        <w:spacing w:after="0"/>
        <w:tabs>
          <w:tab w:leader="none" w:pos="20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Notwithstanding anything else herein to the contrary, this Option shall expire on the tenth anniversary of the Grant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Date.</w:t>
      </w:r>
    </w:p>
    <w:p>
      <w:pPr>
        <w:spacing w:after="0" w:line="213" w:lineRule="exact"/>
        <w:rPr>
          <w:rFonts w:ascii="Arial" w:cs="Arial" w:eastAsia="Arial" w:hAnsi="Arial"/>
          <w:sz w:val="18"/>
          <w:szCs w:val="18"/>
          <w:color w:val="auto"/>
        </w:rPr>
      </w:pPr>
    </w:p>
    <w:p>
      <w:pPr>
        <w:ind w:firstLine="1305"/>
        <w:spacing w:after="0" w:line="260" w:lineRule="auto"/>
        <w:tabs>
          <w:tab w:leader="none" w:pos="1939"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Holder hereby agrees to notify the Company in writing in the event shares acquired pursuant to the exercise of this Option are transferred, other than by will or by the</w:t>
      </w:r>
    </w:p>
    <w:p>
      <w:pPr>
        <w:sectPr>
          <w:pgSz w:w="11900" w:h="16838" w:orient="portrait"/>
          <w:cols w:equalWidth="0" w:num="1">
            <w:col w:w="11420"/>
          </w:cols>
          <w:pgMar w:left="240" w:top="115" w:right="239" w:bottom="0" w:gutter="0" w:footer="0" w:header="0"/>
        </w:sectPr>
      </w:pPr>
    </w:p>
    <w:bookmarkStart w:id="109" w:name="page110"/>
    <w:bookmarkEnd w:id="109"/>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60" w:lineRule="auto"/>
        <w:rPr>
          <w:sz w:val="20"/>
          <w:szCs w:val="20"/>
          <w:color w:val="auto"/>
        </w:rPr>
      </w:pPr>
      <w:r>
        <w:rPr>
          <w:rFonts w:ascii="Arial" w:cs="Arial" w:eastAsia="Arial" w:hAnsi="Arial"/>
          <w:sz w:val="20"/>
          <w:szCs w:val="20"/>
          <w:color w:val="auto"/>
        </w:rPr>
        <w:t>laws of descent and distribution, within two years after the Grant Date or within one year after the issuance of such shares pursuant to such exercise.</w:t>
      </w:r>
    </w:p>
    <w:p>
      <w:pPr>
        <w:spacing w:after="0" w:line="190" w:lineRule="exact"/>
        <w:rPr>
          <w:sz w:val="20"/>
          <w:szCs w:val="20"/>
          <w:color w:val="auto"/>
        </w:rPr>
      </w:pPr>
    </w:p>
    <w:p>
      <w:pPr>
        <w:ind w:right="20" w:firstLine="656"/>
        <w:spacing w:after="0" w:line="260" w:lineRule="auto"/>
        <w:tabs>
          <w:tab w:leader="none" w:pos="1269"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Payment of Purchase Price Upon Exercise</w:t>
      </w:r>
      <w:r>
        <w:rPr>
          <w:rFonts w:ascii="Arial" w:cs="Arial" w:eastAsia="Arial" w:hAnsi="Arial"/>
          <w:sz w:val="20"/>
          <w:szCs w:val="20"/>
          <w:color w:val="auto"/>
        </w:rPr>
        <w:t>. At the time of any exercise of all or a portion of the Option, the purchase price shall be paid in full to the Company in any of the following ways or in any combination of the following ways:</w:t>
      </w:r>
    </w:p>
    <w:p>
      <w:pPr>
        <w:spacing w:after="0" w:line="190" w:lineRule="exact"/>
        <w:rPr>
          <w:rFonts w:ascii="Arial" w:cs="Arial" w:eastAsia="Arial" w:hAnsi="Arial"/>
          <w:sz w:val="20"/>
          <w:szCs w:val="20"/>
          <w:color w:val="auto"/>
        </w:rPr>
      </w:pPr>
    </w:p>
    <w:p>
      <w:pPr>
        <w:ind w:left="1920" w:hanging="615"/>
        <w:spacing w:after="0"/>
        <w:tabs>
          <w:tab w:leader="none" w:pos="1920" w:val="left"/>
        </w:tabs>
        <w:numPr>
          <w:ilvl w:val="1"/>
          <w:numId w:val="164"/>
        </w:numPr>
        <w:rPr>
          <w:rFonts w:ascii="Arial" w:cs="Arial" w:eastAsia="Arial" w:hAnsi="Arial"/>
          <w:sz w:val="20"/>
          <w:szCs w:val="20"/>
          <w:color w:val="auto"/>
        </w:rPr>
      </w:pPr>
      <w:r>
        <w:rPr>
          <w:rFonts w:ascii="Arial" w:cs="Arial" w:eastAsia="Arial" w:hAnsi="Arial"/>
          <w:sz w:val="20"/>
          <w:szCs w:val="20"/>
          <w:color w:val="auto"/>
        </w:rPr>
        <w:t>By check or other immediately available funds.</w:t>
      </w:r>
    </w:p>
    <w:p>
      <w:pPr>
        <w:spacing w:after="0" w:line="229" w:lineRule="exact"/>
        <w:rPr>
          <w:rFonts w:ascii="Arial" w:cs="Arial" w:eastAsia="Arial" w:hAnsi="Arial"/>
          <w:sz w:val="20"/>
          <w:szCs w:val="20"/>
          <w:color w:val="auto"/>
        </w:rPr>
      </w:pPr>
    </w:p>
    <w:p>
      <w:pPr>
        <w:jc w:val="both"/>
        <w:ind w:firstLine="1305"/>
        <w:spacing w:after="0" w:line="246" w:lineRule="auto"/>
        <w:tabs>
          <w:tab w:leader="none" w:pos="1958" w:val="left"/>
        </w:tabs>
        <w:numPr>
          <w:ilvl w:val="1"/>
          <w:numId w:val="164"/>
        </w:numPr>
        <w:rPr>
          <w:rFonts w:ascii="Arial" w:cs="Arial" w:eastAsia="Arial" w:hAnsi="Arial"/>
          <w:sz w:val="20"/>
          <w:szCs w:val="20"/>
          <w:color w:val="auto"/>
        </w:rPr>
      </w:pPr>
      <w:r>
        <w:rPr>
          <w:rFonts w:ascii="Arial" w:cs="Arial" w:eastAsia="Arial" w:hAnsi="Arial"/>
          <w:sz w:val="20"/>
          <w:szCs w:val="20"/>
          <w:color w:val="auto"/>
        </w:rPr>
        <w:t>With property consisting of shares of Stock. (The shares of Stock to be used as payment shall be valued as of the date of exercise of the Option at the Closing Price as defined below. For example, if Holder exercises the option for 4,000 shares at a total Exercise Price of $8,000, assuming an exercise price of $2.00 per share, and the Closing Price is $5.00, Holder may pay for the 4,000 Option Shares by transferring 1,600 shares of Stock to the Company.)</w:t>
      </w:r>
    </w:p>
    <w:p>
      <w:pPr>
        <w:spacing w:after="0" w:line="205" w:lineRule="exact"/>
        <w:rPr>
          <w:rFonts w:ascii="Arial" w:cs="Arial" w:eastAsia="Arial" w:hAnsi="Arial"/>
          <w:sz w:val="20"/>
          <w:szCs w:val="20"/>
          <w:color w:val="auto"/>
        </w:rPr>
      </w:pPr>
    </w:p>
    <w:p>
      <w:pPr>
        <w:jc w:val="both"/>
        <w:ind w:firstLine="1305"/>
        <w:spacing w:after="0" w:line="250" w:lineRule="auto"/>
        <w:tabs>
          <w:tab w:leader="none" w:pos="1935" w:val="left"/>
        </w:tabs>
        <w:numPr>
          <w:ilvl w:val="1"/>
          <w:numId w:val="164"/>
        </w:numPr>
        <w:rPr>
          <w:rFonts w:ascii="Arial" w:cs="Arial" w:eastAsia="Arial" w:hAnsi="Arial"/>
          <w:sz w:val="20"/>
          <w:szCs w:val="20"/>
          <w:color w:val="auto"/>
        </w:rPr>
      </w:pPr>
      <w:r>
        <w:rPr>
          <w:rFonts w:ascii="Arial" w:cs="Arial" w:eastAsia="Arial" w:hAnsi="Arial"/>
          <w:sz w:val="20"/>
          <w:szCs w:val="20"/>
          <w:color w:val="auto"/>
        </w:rPr>
        <w:t>By delivering a properly executed exercise notice together with irrevocable instructions to a broker to deliver promptly to the Company the amount of sale proceeds necessary to pay the purchase price and applicable withholding taxes, and such other documents as the Committee may determine.</w:t>
      </w:r>
    </w:p>
    <w:p>
      <w:pPr>
        <w:spacing w:after="0" w:line="199" w:lineRule="exact"/>
        <w:rPr>
          <w:rFonts w:ascii="Arial" w:cs="Arial" w:eastAsia="Arial" w:hAnsi="Arial"/>
          <w:sz w:val="20"/>
          <w:szCs w:val="20"/>
          <w:color w:val="auto"/>
        </w:rPr>
      </w:pPr>
    </w:p>
    <w:p>
      <w:pPr>
        <w:jc w:val="both"/>
        <w:ind w:firstLine="1305"/>
        <w:spacing w:after="0" w:line="257" w:lineRule="auto"/>
        <w:tabs>
          <w:tab w:leader="none" w:pos="2027" w:val="left"/>
        </w:tabs>
        <w:numPr>
          <w:ilvl w:val="1"/>
          <w:numId w:val="164"/>
        </w:numPr>
        <w:rPr>
          <w:rFonts w:ascii="Arial" w:cs="Arial" w:eastAsia="Arial" w:hAnsi="Arial"/>
          <w:sz w:val="19"/>
          <w:szCs w:val="19"/>
          <w:color w:val="auto"/>
        </w:rPr>
      </w:pPr>
      <w:r>
        <w:rPr>
          <w:rFonts w:ascii="Arial" w:cs="Arial" w:eastAsia="Arial" w:hAnsi="Arial"/>
          <w:sz w:val="19"/>
          <w:szCs w:val="19"/>
          <w:color w:val="auto"/>
        </w:rPr>
        <w:t>For purposes of this Agreement, the term “Closing Price” means, with respect to the Company’s Stock, the last sale price regular-way or, in case no such sale takes place on such date, the average of the closing bid and asked prices regular-way on the principal national securities exchange on which the Stock is listed or admitted to trading; or, if the Stock is not listed or admitted to trading on any national securities exchange, the last sale price of the Stock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Stock is not listed on NASDAQ or a comparable system, the “Closing Price” shall be the Fair Market Value of the Stock as determined by the Committee in good faith.</w:t>
      </w:r>
    </w:p>
    <w:p>
      <w:pPr>
        <w:spacing w:after="0" w:line="194" w:lineRule="exact"/>
        <w:rPr>
          <w:rFonts w:ascii="Arial" w:cs="Arial" w:eastAsia="Arial" w:hAnsi="Arial"/>
          <w:sz w:val="19"/>
          <w:szCs w:val="19"/>
          <w:color w:val="auto"/>
        </w:rPr>
      </w:pPr>
    </w:p>
    <w:p>
      <w:pPr>
        <w:jc w:val="both"/>
        <w:ind w:firstLine="656"/>
        <w:spacing w:after="0" w:line="244" w:lineRule="auto"/>
        <w:tabs>
          <w:tab w:leader="none" w:pos="1269"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Purchase for Investment; Resale Restrictions</w:t>
      </w:r>
      <w:r>
        <w:rPr>
          <w:rFonts w:ascii="Arial" w:cs="Arial" w:eastAsia="Arial" w:hAnsi="Arial"/>
          <w:sz w:val="20"/>
          <w:szCs w:val="20"/>
          <w:color w:val="auto"/>
        </w:rPr>
        <w:t>. Unless at the time of exercise of the Option there shall be a valid and effective registration statement under the Securities Act of 1933 (the “‘33 Act”) and appropriate qualification and registration under applicable state securities laws relating to the Option Shares being acquired, Holder shall upon exercise of the Option give a representation that he is acquiring such shares for his own account for investment and not with a view to, or for sale in connection with, the resale or distribution of any such shares. In the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179" w:lineRule="exact"/>
        <w:rPr>
          <w:sz w:val="20"/>
          <w:szCs w:val="20"/>
          <w:color w:val="auto"/>
        </w:rPr>
      </w:pPr>
    </w:p>
    <w:p>
      <w:pPr>
        <w:ind w:right="20" w:firstLine="656"/>
        <w:spacing w:after="0" w:line="260" w:lineRule="auto"/>
        <w:tabs>
          <w:tab w:leader="none" w:pos="1310" w:val="left"/>
        </w:tabs>
        <w:numPr>
          <w:ilvl w:val="1"/>
          <w:numId w:val="165"/>
        </w:numPr>
        <w:rPr>
          <w:rFonts w:ascii="Arial" w:cs="Arial" w:eastAsia="Arial" w:hAnsi="Arial"/>
          <w:sz w:val="20"/>
          <w:szCs w:val="20"/>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 This Option shall not be transferable other than by will or by the laws of descent and distribution. During the lifetime of Holder, this Option shall be exercisable only by Holder.</w:t>
      </w:r>
    </w:p>
    <w:p>
      <w:pPr>
        <w:spacing w:after="0" w:line="190" w:lineRule="exact"/>
        <w:rPr>
          <w:rFonts w:ascii="Arial" w:cs="Arial" w:eastAsia="Arial" w:hAnsi="Arial"/>
          <w:sz w:val="20"/>
          <w:szCs w:val="20"/>
          <w:color w:val="auto"/>
        </w:rPr>
      </w:pPr>
    </w:p>
    <w:p>
      <w:pPr>
        <w:ind w:left="1260" w:hanging="604"/>
        <w:spacing w:after="0"/>
        <w:tabs>
          <w:tab w:leader="none" w:pos="1260" w:val="left"/>
        </w:tabs>
        <w:numPr>
          <w:ilvl w:val="1"/>
          <w:numId w:val="165"/>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1305"/>
        <w:spacing w:after="0" w:line="303" w:lineRule="auto"/>
        <w:tabs>
          <w:tab w:leader="none" w:pos="1941" w:val="left"/>
        </w:tabs>
        <w:numPr>
          <w:ilvl w:val="2"/>
          <w:numId w:val="165"/>
        </w:numPr>
        <w:rPr>
          <w:rFonts w:ascii="Arial" w:cs="Arial" w:eastAsia="Arial" w:hAnsi="Arial"/>
          <w:sz w:val="16"/>
          <w:szCs w:val="16"/>
          <w:color w:val="auto"/>
        </w:rPr>
      </w:pPr>
      <w:r>
        <w:rPr>
          <w:rFonts w:ascii="Arial" w:cs="Arial" w:eastAsia="Arial" w:hAnsi="Arial"/>
          <w:sz w:val="16"/>
          <w:szCs w:val="16"/>
          <w:color w:val="auto"/>
        </w:rPr>
        <w:t>Subject to clause 7(b) below, if the outstanding shares of stock of the Company are 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 of the assets or shares of the Company, reorganization, recapitalization, reclassification, stock dividend, stock split, reverse stock split or other distribution with respect to such shares of stock or other securities, then, to the extent permitted by the Board, an appropriate and proportionate adjustment shall be made in</w:t>
      </w:r>
    </w:p>
    <w:p>
      <w:pPr>
        <w:spacing w:after="0" w:line="2" w:lineRule="exact"/>
        <w:rPr>
          <w:rFonts w:ascii="Arial" w:cs="Arial" w:eastAsia="Arial" w:hAnsi="Arial"/>
          <w:sz w:val="16"/>
          <w:szCs w:val="16"/>
          <w:color w:val="auto"/>
        </w:rPr>
      </w:pPr>
    </w:p>
    <w:p>
      <w:pPr>
        <w:jc w:val="both"/>
        <w:ind w:firstLine="8"/>
        <w:spacing w:after="0" w:line="315" w:lineRule="auto"/>
        <w:tabs>
          <w:tab w:leader="none" w:pos="28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maximum number and/or kind of shares provided in Paragraph 1 above; (2) the number and/or kind of shares or other securities subject to the outstanding options and tandum SARs, if any; and (3) the price for each share or other unit of any other securities subject to outstanding options without change in the aggregate purchase price or value as to which the options remain exercisable or subject to restrictions. Any adjustment under this clause 7(a) shall be made by the Board, whose determination as to what adjustments shall be made, if any, and the extent thereof, will be final, binding and conclusive. No fractional interests will be issued under this Agreement resulting from any such adjustment.</w:t>
      </w:r>
    </w:p>
    <w:p>
      <w:pPr>
        <w:spacing w:after="0" w:line="154" w:lineRule="exact"/>
        <w:rPr>
          <w:rFonts w:ascii="Arial" w:cs="Arial" w:eastAsia="Arial" w:hAnsi="Arial"/>
          <w:sz w:val="16"/>
          <w:szCs w:val="16"/>
          <w:color w:val="auto"/>
        </w:rPr>
      </w:pPr>
    </w:p>
    <w:p>
      <w:pPr>
        <w:jc w:val="both"/>
        <w:ind w:firstLine="1305"/>
        <w:spacing w:after="0" w:line="246" w:lineRule="auto"/>
        <w:tabs>
          <w:tab w:leader="none" w:pos="1923" w:val="left"/>
        </w:tabs>
        <w:numPr>
          <w:ilvl w:val="2"/>
          <w:numId w:val="166"/>
        </w:numPr>
        <w:rPr>
          <w:rFonts w:ascii="Arial" w:cs="Arial" w:eastAsia="Arial" w:hAnsi="Arial"/>
          <w:sz w:val="20"/>
          <w:szCs w:val="20"/>
          <w:color w:val="auto"/>
        </w:rPr>
      </w:pPr>
      <w:r>
        <w:rPr>
          <w:rFonts w:ascii="Arial" w:cs="Arial" w:eastAsia="Arial" w:hAnsi="Arial"/>
          <w:sz w:val="20"/>
          <w:szCs w:val="20"/>
          <w:color w:val="auto"/>
        </w:rPr>
        <w:t>Notwithstanding anything else in this Agreement to the contrary, unless the Board, in its sole discretion, determines that the Holder did not perform the duties reasonably requested of him in connection with such Change in Control (as defined in (c) below), including, without limitation, agreeing to provide remunerated services to the Company (for a reasonable length of time) following a Change in Control, upon the occurrence of a Change in Control,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Option or any portion thereof not theretofore exercisable, shall immediately become exercisable in its entirety and the Option may be purchased by the Company for cash at a price equal to the Fair Market Value less the purchase price payable by the Holder to exercise the Option as set out in Section 1 above for one (1) share of Common Stock of the Company multiplied by the number of shares of Common Stock which the Holder has the option to purchase pursuant to the terms of Section 1 above.</w:t>
      </w:r>
    </w:p>
    <w:p>
      <w:pPr>
        <w:sectPr>
          <w:pgSz w:w="11900" w:h="16892" w:orient="portrait"/>
          <w:cols w:equalWidth="0" w:num="1">
            <w:col w:w="11420"/>
          </w:cols>
          <w:pgMar w:left="240" w:top="744" w:right="239" w:bottom="0" w:gutter="0" w:footer="0" w:header="0"/>
        </w:sectPr>
      </w:pPr>
    </w:p>
    <w:bookmarkStart w:id="110" w:name="page111"/>
    <w:bookmarkEnd w:id="110"/>
    <w:p>
      <w:pPr>
        <w:ind w:left="1920" w:hanging="615"/>
        <w:spacing w:after="0"/>
        <w:tabs>
          <w:tab w:leader="none" w:pos="1920" w:val="left"/>
        </w:tabs>
        <w:numPr>
          <w:ilvl w:val="1"/>
          <w:numId w:val="167"/>
        </w:numPr>
        <w:rPr>
          <w:rFonts w:ascii="Arial" w:cs="Arial" w:eastAsia="Arial" w:hAnsi="Arial"/>
          <w:sz w:val="20"/>
          <w:szCs w:val="20"/>
          <w:color w:val="auto"/>
        </w:rPr>
      </w:pPr>
      <w:r>
        <w:rPr>
          <w:rFonts w:ascii="Arial" w:cs="Arial" w:eastAsia="Arial" w:hAnsi="Arial"/>
          <w:sz w:val="20"/>
          <w:szCs w:val="20"/>
          <w:color w:val="auto"/>
        </w:rPr>
        <w:t>For the purposes of this agreement, “Change in Control” means:</w:t>
      </w:r>
    </w:p>
    <w:p>
      <w:pPr>
        <w:spacing w:after="0" w:line="229" w:lineRule="exact"/>
        <w:rPr>
          <w:rFonts w:ascii="Arial" w:cs="Arial" w:eastAsia="Arial" w:hAnsi="Arial"/>
          <w:sz w:val="20"/>
          <w:szCs w:val="20"/>
          <w:color w:val="auto"/>
        </w:rPr>
      </w:pPr>
    </w:p>
    <w:p>
      <w:pPr>
        <w:ind w:left="2680" w:hanging="727"/>
        <w:spacing w:after="0"/>
        <w:tabs>
          <w:tab w:leader="none" w:pos="268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the acquisition (in one or more transactions) of “Beneficial Ownership” by any person (as defined in rule 13</w:t>
      </w:r>
    </w:p>
    <w:p>
      <w:pPr>
        <w:spacing w:after="0" w:line="38" w:lineRule="exact"/>
        <w:rPr>
          <w:rFonts w:ascii="Arial" w:cs="Arial" w:eastAsia="Arial" w:hAnsi="Arial"/>
          <w:sz w:val="18"/>
          <w:szCs w:val="18"/>
          <w:color w:val="auto"/>
        </w:rPr>
      </w:pPr>
    </w:p>
    <w:p>
      <w:pPr>
        <w:ind w:right="40" w:firstLine="8"/>
        <w:spacing w:after="0" w:line="244" w:lineRule="auto"/>
        <w:tabs>
          <w:tab w:leader="none" w:pos="306"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- 3 under the Securities Exchange Act 1934), corporation or other entity other than the Company or a wholly owned subsidiary of the Company of 50% or more of the outstanding Common Stock,</w:t>
      </w:r>
    </w:p>
    <w:p>
      <w:pPr>
        <w:spacing w:after="0" w:line="205" w:lineRule="exact"/>
        <w:rPr>
          <w:rFonts w:ascii="Arial" w:cs="Arial" w:eastAsia="Arial" w:hAnsi="Arial"/>
          <w:sz w:val="20"/>
          <w:szCs w:val="20"/>
          <w:color w:val="auto"/>
        </w:rPr>
      </w:pPr>
    </w:p>
    <w:p>
      <w:pPr>
        <w:ind w:left="2600" w:hanging="647"/>
        <w:spacing w:after="0"/>
        <w:tabs>
          <w:tab w:leader="none" w:pos="2600" w:val="left"/>
        </w:tabs>
        <w:numPr>
          <w:ilvl w:val="2"/>
          <w:numId w:val="168"/>
        </w:numPr>
        <w:rPr>
          <w:rFonts w:ascii="Arial" w:cs="Arial" w:eastAsia="Arial" w:hAnsi="Arial"/>
          <w:sz w:val="20"/>
          <w:szCs w:val="20"/>
          <w:color w:val="auto"/>
        </w:rPr>
      </w:pPr>
      <w:r>
        <w:rPr>
          <w:rFonts w:ascii="Arial" w:cs="Arial" w:eastAsia="Arial" w:hAnsi="Arial"/>
          <w:sz w:val="20"/>
          <w:szCs w:val="20"/>
          <w:color w:val="auto"/>
        </w:rPr>
        <w:t>the sale or disposition of substantially all of the assets of the Company, or</w:t>
      </w:r>
    </w:p>
    <w:p>
      <w:pPr>
        <w:spacing w:after="0" w:line="229" w:lineRule="exact"/>
        <w:rPr>
          <w:sz w:val="20"/>
          <w:szCs w:val="20"/>
          <w:color w:val="auto"/>
        </w:rPr>
      </w:pPr>
    </w:p>
    <w:p>
      <w:pPr>
        <w:ind w:left="2720" w:hanging="767"/>
        <w:spacing w:after="0"/>
        <w:tabs>
          <w:tab w:leader="none" w:pos="27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merger of the Company with another entity in which the Common Stock of the Company is no longer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outstanding after such merger.</w:t>
      </w:r>
    </w:p>
    <w:p>
      <w:pPr>
        <w:spacing w:after="0" w:line="213" w:lineRule="exact"/>
        <w:rPr>
          <w:rFonts w:ascii="Arial" w:cs="Arial" w:eastAsia="Arial" w:hAnsi="Arial"/>
          <w:sz w:val="18"/>
          <w:szCs w:val="18"/>
          <w:color w:val="auto"/>
        </w:rPr>
      </w:pPr>
    </w:p>
    <w:p>
      <w:pPr>
        <w:ind w:right="40" w:firstLine="656"/>
        <w:spacing w:after="0" w:line="260" w:lineRule="auto"/>
        <w:tabs>
          <w:tab w:leader="none" w:pos="1269"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No Rights as Stockholder</w:t>
      </w:r>
      <w:r>
        <w:rPr>
          <w:rFonts w:ascii="Arial" w:cs="Arial" w:eastAsia="Arial" w:hAnsi="Arial"/>
          <w:sz w:val="20"/>
          <w:szCs w:val="20"/>
          <w:color w:val="auto"/>
        </w:rPr>
        <w:t>. Holder shall have no rights as a stockholder with respect to any shares of Stock subject to this Option prior to the date of issuance to him of a certificate or certificates for such shares.</w:t>
      </w:r>
    </w:p>
    <w:p>
      <w:pPr>
        <w:spacing w:after="0" w:line="190" w:lineRule="exact"/>
        <w:rPr>
          <w:rFonts w:ascii="Arial" w:cs="Arial" w:eastAsia="Arial" w:hAnsi="Arial"/>
          <w:sz w:val="20"/>
          <w:szCs w:val="20"/>
          <w:color w:val="auto"/>
        </w:rPr>
      </w:pPr>
    </w:p>
    <w:p>
      <w:pPr>
        <w:jc w:val="both"/>
        <w:ind w:right="60" w:firstLine="656"/>
        <w:spacing w:after="0" w:line="250" w:lineRule="auto"/>
        <w:tabs>
          <w:tab w:leader="none" w:pos="1256"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No Right to Continue Employment</w:t>
      </w:r>
      <w:r>
        <w:rPr>
          <w:rFonts w:ascii="Arial" w:cs="Arial" w:eastAsia="Arial" w:hAnsi="Arial"/>
          <w:sz w:val="20"/>
          <w:szCs w:val="20"/>
          <w:color w:val="auto"/>
        </w:rPr>
        <w:t>. This Agreement shall not confer upon Holder any right with respect to continuance of employment with a Participating Company nor shall it interfere in any way with the right of a Participating Company to terminate the Holder’s employment at any time.</w:t>
      </w:r>
    </w:p>
    <w:p>
      <w:pPr>
        <w:spacing w:after="0" w:line="199" w:lineRule="exact"/>
        <w:rPr>
          <w:rFonts w:ascii="Arial" w:cs="Arial" w:eastAsia="Arial" w:hAnsi="Arial"/>
          <w:sz w:val="20"/>
          <w:szCs w:val="20"/>
          <w:color w:val="auto"/>
        </w:rPr>
      </w:pPr>
    </w:p>
    <w:p>
      <w:pPr>
        <w:jc w:val="both"/>
        <w:ind w:right="40" w:firstLine="656"/>
        <w:spacing w:after="0" w:line="258" w:lineRule="auto"/>
        <w:tabs>
          <w:tab w:leader="none" w:pos="1305"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Compliance With Law and Regulation</w:t>
      </w:r>
      <w:r>
        <w:rPr>
          <w:rFonts w:ascii="Arial" w:cs="Arial" w:eastAsia="Arial" w:hAnsi="Arial"/>
          <w:sz w:val="19"/>
          <w:szCs w:val="19"/>
          <w:color w:val="auto"/>
        </w:rPr>
        <w:t>. This Agreement and the obligation of the Company to sell and deliver shares of Stock hereunder shall be subject to all applicable federal and state laws, rules and regulations and to such approvals by any government or regulatory agency as may be required. If at any time the Board shall determine that (i) the listing, registration or qualification of the shares of Stock subject or related thereto upon any securities exchange or under any state or federal law, or (ii) the consent or approval of any government regulatory body, is necessary or desirable as a condition of or in connection with the issue or purchase of shares of Stock hereunder, this Option may not be exercised in whole or in part unless such listing, registration, qualification, consent, approval or agreement shall have been effected or obtained free of any conditions not acceptable to the Board.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21" w:lineRule="exact"/>
        <w:rPr>
          <w:rFonts w:ascii="Arial" w:cs="Arial" w:eastAsia="Arial" w:hAnsi="Arial"/>
          <w:sz w:val="19"/>
          <w:szCs w:val="19"/>
          <w:color w:val="auto"/>
        </w:rPr>
      </w:pPr>
    </w:p>
    <w:p>
      <w:pPr>
        <w:ind w:right="40" w:firstLine="656"/>
        <w:spacing w:after="0" w:line="316" w:lineRule="auto"/>
        <w:tabs>
          <w:tab w:leader="none" w:pos="1433"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Tax Withholding Requirements</w:t>
      </w:r>
      <w:r>
        <w:rPr>
          <w:rFonts w:ascii="Arial" w:cs="Arial" w:eastAsia="Arial" w:hAnsi="Arial"/>
          <w:sz w:val="18"/>
          <w:szCs w:val="18"/>
          <w:color w:val="auto"/>
        </w:rPr>
        <w:t>. The Company shall have the right to require Holder to remit to the Company an amount sufficient to satisfy any federal, state or local withholding tax requirements prior to the delivery of any certificate or certificates for Stock.</w:t>
      </w:r>
    </w:p>
    <w:p>
      <w:pPr>
        <w:spacing w:after="0" w:line="143" w:lineRule="exact"/>
        <w:rPr>
          <w:rFonts w:ascii="Arial" w:cs="Arial" w:eastAsia="Arial" w:hAnsi="Arial"/>
          <w:sz w:val="18"/>
          <w:szCs w:val="18"/>
          <w:color w:val="auto"/>
        </w:rPr>
      </w:pPr>
    </w:p>
    <w:p>
      <w:pPr>
        <w:ind w:right="40" w:firstLine="656"/>
        <w:spacing w:after="0" w:line="316" w:lineRule="auto"/>
        <w:tabs>
          <w:tab w:leader="none" w:pos="1373"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other provision of this Agreement, no fractional shares of Stock shall be issued upon the exercise of this Option, and the Company shall not be under any obligation to compensate Holder in any way for such fractional shares.</w:t>
      </w:r>
    </w:p>
    <w:p>
      <w:pPr>
        <w:spacing w:after="0" w:line="143" w:lineRule="exact"/>
        <w:rPr>
          <w:rFonts w:ascii="Arial" w:cs="Arial" w:eastAsia="Arial" w:hAnsi="Arial"/>
          <w:sz w:val="18"/>
          <w:szCs w:val="18"/>
          <w:color w:val="auto"/>
        </w:rPr>
      </w:pPr>
    </w:p>
    <w:p>
      <w:pPr>
        <w:jc w:val="both"/>
        <w:ind w:right="40" w:firstLine="656"/>
        <w:spacing w:after="0" w:line="246" w:lineRule="auto"/>
        <w:tabs>
          <w:tab w:leader="none" w:pos="1373"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hereunder to the Company shall be addressed to it at its office at 550 Monica Circle, Suite 201, Corona, California 92880, Attention: Rodney C. Sacks with a copy to Benjamin Polk, Schulte Roth &amp; Zabel LLP, 919 Third Avenue, New York, New York 10022, and any notice hereunder to Holder shall be addressed to him at 40651 Avenida La Cresta, Murrieta, California 92562, subject to the right of either party to designate at any time hereafter in writing some other address.</w:t>
      </w:r>
    </w:p>
    <w:p>
      <w:pPr>
        <w:spacing w:after="0" w:line="205" w:lineRule="exact"/>
        <w:rPr>
          <w:rFonts w:ascii="Arial" w:cs="Arial" w:eastAsia="Arial" w:hAnsi="Arial"/>
          <w:sz w:val="20"/>
          <w:szCs w:val="20"/>
          <w:color w:val="auto"/>
        </w:rPr>
      </w:pPr>
    </w:p>
    <w:p>
      <w:pPr>
        <w:ind w:right="40" w:firstLine="656"/>
        <w:spacing w:after="0" w:line="260" w:lineRule="auto"/>
        <w:tabs>
          <w:tab w:leader="none" w:pos="1332"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No modification, amendment or waiver of any of the provisions of this Agreement shall be effective unless in writing specifically referring hereto, and signed by both parties.</w:t>
      </w:r>
    </w:p>
    <w:p>
      <w:pPr>
        <w:spacing w:after="0" w:line="190" w:lineRule="exact"/>
        <w:rPr>
          <w:rFonts w:ascii="Arial" w:cs="Arial" w:eastAsia="Arial" w:hAnsi="Arial"/>
          <w:sz w:val="20"/>
          <w:szCs w:val="20"/>
          <w:color w:val="auto"/>
        </w:rPr>
      </w:pPr>
    </w:p>
    <w:p>
      <w:pPr>
        <w:ind w:right="40" w:firstLine="656"/>
        <w:spacing w:after="0" w:line="316" w:lineRule="auto"/>
        <w:tabs>
          <w:tab w:leader="none" w:pos="1373"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43" w:lineRule="exact"/>
        <w:rPr>
          <w:rFonts w:ascii="Arial" w:cs="Arial" w:eastAsia="Arial" w:hAnsi="Arial"/>
          <w:sz w:val="18"/>
          <w:szCs w:val="18"/>
          <w:color w:val="auto"/>
        </w:rPr>
      </w:pPr>
    </w:p>
    <w:p>
      <w:pPr>
        <w:ind w:left="1320" w:hanging="664"/>
        <w:spacing w:after="0"/>
        <w:tabs>
          <w:tab w:leader="none" w:pos="132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constitute one and the same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-3165475</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3"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IN WITNESS WHEREOF, Hansen Natural Corporation has caused this Agreement to be executed by a duly authorized officer and Holder has executed this Agreement both as of the day and year first above written.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5680" w:type="dxa"/>
            <w:vAlign w:val="bottom"/>
            <w:gridSpan w:val="2"/>
          </w:tcPr>
          <w:p>
            <w:pPr>
              <w:ind w:left="1560"/>
              <w:spacing w:after="0"/>
              <w:rPr>
                <w:sz w:val="20"/>
                <w:szCs w:val="20"/>
                <w:color w:val="auto"/>
              </w:rPr>
            </w:pPr>
            <w:r>
              <w:rPr>
                <w:rFonts w:ascii="Arial" w:cs="Arial" w:eastAsia="Arial" w:hAnsi="Arial"/>
                <w:sz w:val="20"/>
                <w:szCs w:val="20"/>
                <w:color w:val="auto"/>
              </w:rPr>
              <w:t>HANSEN NATURAL CORPORATION</w:t>
            </w:r>
          </w:p>
        </w:tc>
        <w:tc>
          <w:tcPr>
            <w:tcW w:w="1620" w:type="dxa"/>
            <w:vAlign w:val="bottom"/>
          </w:tcPr>
          <w:p>
            <w:pPr>
              <w:spacing w:after="0"/>
              <w:rPr>
                <w:sz w:val="21"/>
                <w:szCs w:val="21"/>
                <w:color w:val="auto"/>
              </w:rPr>
            </w:pPr>
          </w:p>
        </w:tc>
      </w:tr>
      <w:tr>
        <w:trPr>
          <w:trHeight w:val="678"/>
        </w:trPr>
        <w:tc>
          <w:tcPr>
            <w:tcW w:w="4160" w:type="dxa"/>
            <w:vAlign w:val="bottom"/>
            <w:gridSpan w:val="2"/>
          </w:tcPr>
          <w:p>
            <w:pPr>
              <w:spacing w:after="0"/>
              <w:rPr>
                <w:sz w:val="20"/>
                <w:szCs w:val="20"/>
                <w:color w:val="auto"/>
              </w:rPr>
            </w:pPr>
            <w:r>
              <w:rPr>
                <w:rFonts w:ascii="Arial" w:cs="Arial" w:eastAsia="Arial" w:hAnsi="Arial"/>
                <w:sz w:val="20"/>
                <w:szCs w:val="20"/>
                <w:color w:val="auto"/>
              </w:rPr>
              <w:t>/s/ Mark J. Hall</w:t>
            </w:r>
          </w:p>
        </w:tc>
        <w:tc>
          <w:tcPr>
            <w:tcW w:w="5680" w:type="dxa"/>
            <w:vAlign w:val="bottom"/>
            <w:gridSpan w:val="2"/>
          </w:tcPr>
          <w:p>
            <w:pPr>
              <w:ind w:left="1560"/>
              <w:spacing w:after="0"/>
              <w:rPr>
                <w:sz w:val="20"/>
                <w:szCs w:val="20"/>
                <w:color w:val="auto"/>
              </w:rPr>
            </w:pPr>
            <w:r>
              <w:rPr>
                <w:rFonts w:ascii="Arial" w:cs="Arial" w:eastAsia="Arial" w:hAnsi="Arial"/>
                <w:sz w:val="20"/>
                <w:szCs w:val="20"/>
                <w:color w:val="auto"/>
              </w:rPr>
              <w:t>By:  /s/Rodney C. Sacks</w:t>
            </w:r>
          </w:p>
        </w:tc>
        <w:tc>
          <w:tcPr>
            <w:tcW w:w="16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4140" w:type="dxa"/>
            <w:vAlign w:val="bottom"/>
            <w:tcBorders>
              <w:top w:val="single" w:sz="8" w:color="auto"/>
            </w:tcBorders>
          </w:tcPr>
          <w:p>
            <w:pPr>
              <w:spacing w:after="0" w:line="213" w:lineRule="exact"/>
              <w:rPr>
                <w:sz w:val="20"/>
                <w:szCs w:val="20"/>
                <w:color w:val="auto"/>
              </w:rPr>
            </w:pPr>
            <w:r>
              <w:rPr>
                <w:rFonts w:ascii="Arial" w:cs="Arial" w:eastAsia="Arial" w:hAnsi="Arial"/>
                <w:sz w:val="20"/>
                <w:szCs w:val="20"/>
                <w:color w:val="auto"/>
              </w:rPr>
              <w:t>Mark J. Hall</w:t>
            </w:r>
          </w:p>
        </w:tc>
        <w:tc>
          <w:tcPr>
            <w:tcW w:w="2000" w:type="dxa"/>
            <w:vAlign w:val="bottom"/>
          </w:tcPr>
          <w:p>
            <w:pPr>
              <w:ind w:left="1560"/>
              <w:spacing w:after="0" w:line="213" w:lineRule="exact"/>
              <w:rPr>
                <w:sz w:val="20"/>
                <w:szCs w:val="20"/>
                <w:color w:val="auto"/>
              </w:rPr>
            </w:pPr>
            <w:r>
              <w:rPr>
                <w:rFonts w:ascii="Arial" w:cs="Arial" w:eastAsia="Arial" w:hAnsi="Arial"/>
                <w:sz w:val="20"/>
                <w:szCs w:val="20"/>
                <w:color w:val="auto"/>
                <w:w w:val="71"/>
              </w:rPr>
              <w:t>Name:</w:t>
            </w:r>
          </w:p>
        </w:tc>
        <w:tc>
          <w:tcPr>
            <w:tcW w:w="3680" w:type="dxa"/>
            <w:vAlign w:val="bottom"/>
            <w:tcBorders>
              <w:top w:val="single" w:sz="8" w:color="auto"/>
            </w:tcBorders>
          </w:tcPr>
          <w:p>
            <w:pPr>
              <w:ind w:left="140"/>
              <w:spacing w:after="0" w:line="213" w:lineRule="exact"/>
              <w:rPr>
                <w:sz w:val="20"/>
                <w:szCs w:val="20"/>
                <w:color w:val="auto"/>
              </w:rPr>
            </w:pPr>
            <w:r>
              <w:rPr>
                <w:rFonts w:ascii="Arial" w:cs="Arial" w:eastAsia="Arial" w:hAnsi="Arial"/>
                <w:sz w:val="20"/>
                <w:szCs w:val="20"/>
                <w:color w:val="auto"/>
              </w:rPr>
              <w:t>Rodney C. Sacks</w:t>
            </w:r>
          </w:p>
        </w:tc>
        <w:tc>
          <w:tcPr>
            <w:tcW w:w="16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5680" w:type="dxa"/>
            <w:vAlign w:val="bottom"/>
            <w:gridSpan w:val="2"/>
          </w:tcPr>
          <w:p>
            <w:pPr>
              <w:ind w:left="1560"/>
              <w:spacing w:after="0"/>
              <w:rPr>
                <w:sz w:val="20"/>
                <w:szCs w:val="20"/>
                <w:color w:val="auto"/>
              </w:rPr>
            </w:pPr>
            <w:r>
              <w:rPr>
                <w:rFonts w:ascii="Arial" w:cs="Arial" w:eastAsia="Arial" w:hAnsi="Arial"/>
                <w:sz w:val="20"/>
                <w:szCs w:val="20"/>
                <w:color w:val="auto"/>
              </w:rPr>
              <w:t>Title: Chairman and CEO</w:t>
            </w:r>
          </w:p>
        </w:tc>
        <w:tc>
          <w:tcPr>
            <w:tcW w:w="1620" w:type="dxa"/>
            <w:vAlign w:val="bottom"/>
          </w:tcPr>
          <w:p>
            <w:pPr>
              <w:spacing w:after="0"/>
              <w:rPr>
                <w:sz w:val="21"/>
                <w:szCs w:val="21"/>
                <w:color w:val="auto"/>
              </w:rPr>
            </w:pPr>
          </w:p>
        </w:tc>
      </w:tr>
      <w:tr>
        <w:trPr>
          <w:trHeight w:val="344"/>
        </w:trPr>
        <w:tc>
          <w:tcPr>
            <w:tcW w:w="20" w:type="dxa"/>
            <w:vAlign w:val="bottom"/>
            <w:tcBorders>
              <w:bottom w:val="single" w:sz="8" w:color="010101"/>
            </w:tcBorders>
          </w:tcPr>
          <w:p>
            <w:pPr>
              <w:spacing w:after="0"/>
              <w:rPr>
                <w:sz w:val="24"/>
                <w:szCs w:val="24"/>
                <w:color w:val="auto"/>
              </w:rPr>
            </w:pPr>
          </w:p>
        </w:tc>
        <w:tc>
          <w:tcPr>
            <w:tcW w:w="4140" w:type="dxa"/>
            <w:vAlign w:val="bottom"/>
            <w:tcBorders>
              <w:bottom w:val="single" w:sz="8" w:color="010101"/>
            </w:tcBorders>
          </w:tcPr>
          <w:p>
            <w:pPr>
              <w:spacing w:after="0"/>
              <w:rPr>
                <w:sz w:val="24"/>
                <w:szCs w:val="24"/>
                <w:color w:val="auto"/>
              </w:rPr>
            </w:pPr>
          </w:p>
        </w:tc>
        <w:tc>
          <w:tcPr>
            <w:tcW w:w="2000" w:type="dxa"/>
            <w:vAlign w:val="bottom"/>
            <w:tcBorders>
              <w:bottom w:val="single" w:sz="8" w:color="010101"/>
            </w:tcBorders>
          </w:tcPr>
          <w:p>
            <w:pPr>
              <w:spacing w:after="0"/>
              <w:rPr>
                <w:sz w:val="24"/>
                <w:szCs w:val="24"/>
                <w:color w:val="auto"/>
              </w:rPr>
            </w:pPr>
          </w:p>
        </w:tc>
        <w:tc>
          <w:tcPr>
            <w:tcW w:w="3680" w:type="dxa"/>
            <w:vAlign w:val="bottom"/>
            <w:tcBorders>
              <w:bottom w:val="single" w:sz="8" w:color="010101"/>
            </w:tcBorders>
          </w:tcPr>
          <w:p>
            <w:pPr>
              <w:spacing w:after="0"/>
              <w:rPr>
                <w:sz w:val="24"/>
                <w:szCs w:val="24"/>
                <w:color w:val="auto"/>
              </w:rPr>
            </w:pPr>
          </w:p>
        </w:tc>
        <w:tc>
          <w:tcPr>
            <w:tcW w:w="16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2" w:right="19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b w:val="1"/>
          <w:bCs w:val="1"/>
          <w:color w:val="auto"/>
        </w:rPr>
        <w:t>Exhibit 10.54</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Stock Option Agreement (“Agreement”), is made as of December 1, 2009 (the “Grant Date”), by and between Hansen Natural Corporation, a Delaware corporation (the “Company”), and Nick Gagliardi (“Holder”).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Recitals</w:t>
      </w:r>
    </w:p>
    <w:p>
      <w:pPr>
        <w:spacing w:after="0" w:line="229" w:lineRule="exact"/>
        <w:rPr>
          <w:sz w:val="20"/>
          <w:szCs w:val="20"/>
          <w:color w:val="auto"/>
        </w:rPr>
      </w:pPr>
    </w:p>
    <w:p>
      <w:pPr>
        <w:ind w:left="1240" w:hanging="584"/>
        <w:spacing w:after="0"/>
        <w:tabs>
          <w:tab w:leader="none" w:pos="124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Holder is an employee of a Participating Company.</w:t>
      </w:r>
    </w:p>
    <w:p>
      <w:pPr>
        <w:spacing w:after="0" w:line="229" w:lineRule="exact"/>
        <w:rPr>
          <w:rFonts w:ascii="Arial" w:cs="Arial" w:eastAsia="Arial" w:hAnsi="Arial"/>
          <w:sz w:val="20"/>
          <w:szCs w:val="20"/>
          <w:color w:val="auto"/>
        </w:rPr>
      </w:pPr>
    </w:p>
    <w:p>
      <w:pPr>
        <w:ind w:right="20" w:firstLine="656"/>
        <w:spacing w:after="0" w:line="287" w:lineRule="auto"/>
        <w:tabs>
          <w:tab w:leader="none" w:pos="1424" w:val="left"/>
        </w:tabs>
        <w:numPr>
          <w:ilvl w:val="0"/>
          <w:numId w:val="171"/>
        </w:numPr>
        <w:rPr>
          <w:rFonts w:ascii="Arial" w:cs="Arial" w:eastAsia="Arial" w:hAnsi="Arial"/>
          <w:sz w:val="19"/>
          <w:szCs w:val="19"/>
          <w:color w:val="auto"/>
        </w:rPr>
      </w:pPr>
      <w:r>
        <w:rPr>
          <w:rFonts w:ascii="Arial" w:cs="Arial" w:eastAsia="Arial" w:hAnsi="Arial"/>
          <w:sz w:val="19"/>
          <w:szCs w:val="19"/>
          <w:color w:val="auto"/>
        </w:rPr>
        <w:t>Pursuant to the Hansen Natural Corporation 2001 Stock Option Plan (the “Plan”), the Company desires to grant Holder an incentive stock option to purchase shares of the Company’s common stock, par value $0.005 per share (the “Common Stock”).</w:t>
      </w:r>
    </w:p>
    <w:p>
      <w:pPr>
        <w:spacing w:after="0" w:line="166" w:lineRule="exact"/>
        <w:rPr>
          <w:rFonts w:ascii="Arial" w:cs="Arial" w:eastAsia="Arial" w:hAnsi="Arial"/>
          <w:sz w:val="19"/>
          <w:szCs w:val="19"/>
          <w:color w:val="auto"/>
        </w:rPr>
      </w:pPr>
    </w:p>
    <w:p>
      <w:pPr>
        <w:ind w:left="1280" w:hanging="624"/>
        <w:spacing w:after="0"/>
        <w:tabs>
          <w:tab w:leader="none" w:pos="128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Capitalized terms not otherwise defined in this Agreement shall have the meaning given to them in the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Company and Holder agree as follows:</w:t>
      </w:r>
    </w:p>
    <w:p>
      <w:pPr>
        <w:spacing w:after="0" w:line="229" w:lineRule="exact"/>
        <w:rPr>
          <w:sz w:val="20"/>
          <w:szCs w:val="20"/>
          <w:color w:val="auto"/>
        </w:rPr>
      </w:pPr>
    </w:p>
    <w:p>
      <w:pPr>
        <w:jc w:val="both"/>
        <w:ind w:firstLine="656"/>
        <w:spacing w:after="0" w:line="242" w:lineRule="auto"/>
        <w:tabs>
          <w:tab w:leader="none" w:pos="1337"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Grant of Incentive Stock Option</w:t>
      </w:r>
      <w:r>
        <w:rPr>
          <w:rFonts w:ascii="Arial" w:cs="Arial" w:eastAsia="Arial" w:hAnsi="Arial"/>
          <w:sz w:val="20"/>
          <w:szCs w:val="20"/>
          <w:color w:val="auto"/>
        </w:rPr>
        <w:t>. The Company hereby grants to Holder, subject to the terms and conditions set forth herein and in the Plan, an incentive stock option (“ISO”) to purchase 25,000 shares of Common Stock, at the purchase price of $35.64 per share (the “Option”), such Option to be exercisable and exercised as hereinafter provided. If for any reason the Option or any portion of the Option shall not qualify as an ISO, then, to the extent of such nonqualification, such Option (or portion thereof) shall be regarded as a nonqualified stock option granted under the Plan, provided that such Option (or portion thereof) otherwise complies with the Plan’s requirements relating to nonqualified stock options. In no event shall any member of the Committee or any Participating Company (or their respective employees, officers or directors) have any liability to Holder (or any other person) due to the failure of an Option (or any portion thereof) to qualify for any reason as an ISO.</w:t>
      </w:r>
    </w:p>
    <w:p>
      <w:pPr>
        <w:spacing w:after="0" w:line="211" w:lineRule="exact"/>
        <w:rPr>
          <w:rFonts w:ascii="Arial" w:cs="Arial" w:eastAsia="Arial" w:hAnsi="Arial"/>
          <w:sz w:val="20"/>
          <w:szCs w:val="20"/>
          <w:color w:val="auto"/>
        </w:rPr>
      </w:pPr>
    </w:p>
    <w:p>
      <w:pPr>
        <w:jc w:val="both"/>
        <w:ind w:firstLine="656"/>
        <w:spacing w:after="0" w:line="278" w:lineRule="auto"/>
        <w:tabs>
          <w:tab w:leader="none" w:pos="1323"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 The Option shall expire three months after the termination of the Holder’s employment with a Participating Company unless the employment is terminated by a Participating Company for Cause (as defined below) or unless the employment is terminated by reason of the death or Total Disability of Holder. If the Holder’s employment is terminated by a Participating Company for Cause, the Option shall expire as of the date employment terminates. If the Holder’s employment terminates due to his death or Total Disability, then the Option may be exercised by Holder or the person or persons to which Holder’s rights under this Agreement pass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will, or if no such person has such right, by his executors or administrators, within six months after the date of death or Total Disability, but no later than the expiration date specified in Section 3(c) below. “Cause” means, as determined by the Committee, the Holder’s (i) act(s) of fraud or dishonesty, (ii) knowing and material failure to comply with applicable laws or regulations or satisfactorily perform his duties of employment, (iii) insubordination or (iv) drug or alcohol abuse.</w:t>
      </w:r>
    </w:p>
    <w:p>
      <w:pPr>
        <w:spacing w:after="0" w:line="205" w:lineRule="exact"/>
        <w:rPr>
          <w:sz w:val="20"/>
          <w:szCs w:val="20"/>
          <w:color w:val="auto"/>
        </w:rPr>
      </w:pPr>
    </w:p>
    <w:p>
      <w:pPr>
        <w:ind w:left="1260" w:hanging="604"/>
        <w:spacing w:after="0"/>
        <w:tabs>
          <w:tab w:leader="none" w:pos="1260"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p>
    <w:p>
      <w:pPr>
        <w:spacing w:after="0" w:line="229" w:lineRule="exact"/>
        <w:rPr>
          <w:rFonts w:ascii="Arial" w:cs="Arial" w:eastAsia="Arial" w:hAnsi="Arial"/>
          <w:sz w:val="20"/>
          <w:szCs w:val="20"/>
          <w:color w:val="auto"/>
        </w:rPr>
      </w:pPr>
    </w:p>
    <w:p>
      <w:pPr>
        <w:jc w:val="both"/>
        <w:ind w:firstLine="1305"/>
        <w:spacing w:after="0" w:line="250" w:lineRule="auto"/>
        <w:tabs>
          <w:tab w:leader="none" w:pos="2145" w:val="left"/>
        </w:tabs>
        <w:numPr>
          <w:ilvl w:val="1"/>
          <w:numId w:val="173"/>
        </w:numPr>
        <w:rPr>
          <w:rFonts w:ascii="Arial" w:cs="Arial" w:eastAsia="Arial" w:hAnsi="Arial"/>
          <w:sz w:val="20"/>
          <w:szCs w:val="20"/>
          <w:color w:val="auto"/>
        </w:rPr>
      </w:pPr>
      <w:r>
        <w:rPr>
          <w:rFonts w:ascii="Arial" w:cs="Arial" w:eastAsia="Arial" w:hAnsi="Arial"/>
          <w:sz w:val="20"/>
          <w:szCs w:val="20"/>
          <w:color w:val="auto"/>
        </w:rPr>
        <w:t>Subject to the other terms of this Agreement regarding the exercisability of the Option, provided that Holder is employed by a Participating Company on the relevant Exercise Date set forth below, the Option may be exercised in respect of the number of shares (the “Option Portion”) listed in column A from and after the Exercise Date listed in column B,</w:t>
      </w:r>
    </w:p>
    <w:p>
      <w:pPr>
        <w:spacing w:after="0" w:line="200" w:lineRule="exact"/>
        <w:rPr>
          <w:sz w:val="20"/>
          <w:szCs w:val="20"/>
          <w:color w:val="auto"/>
        </w:rPr>
      </w:pPr>
    </w:p>
    <w:tbl>
      <w:tblPr>
        <w:tblLayout w:type="fixed"/>
        <w:tblInd w:w="980" w:type="dxa"/>
        <w:tblCellMar>
          <w:top w:w="0" w:type="dxa"/>
          <w:left w:w="0" w:type="dxa"/>
          <w:bottom w:w="0" w:type="dxa"/>
          <w:right w:w="0" w:type="dxa"/>
        </w:tblCellMar>
      </w:tblPr>
      <w:tr>
        <w:trPr>
          <w:trHeight w:val="250"/>
        </w:trPr>
        <w:tc>
          <w:tcPr>
            <w:tcW w:w="1540" w:type="dxa"/>
            <w:vAlign w:val="bottom"/>
          </w:tcPr>
          <w:p>
            <w:pPr>
              <w:spacing w:after="0"/>
              <w:rPr>
                <w:sz w:val="21"/>
                <w:szCs w:val="21"/>
                <w:color w:val="auto"/>
              </w:rPr>
            </w:pPr>
          </w:p>
        </w:tc>
        <w:tc>
          <w:tcPr>
            <w:tcW w:w="2860" w:type="dxa"/>
            <w:vAlign w:val="bottom"/>
            <w:gridSpan w:val="2"/>
          </w:tcPr>
          <w:p>
            <w:pPr>
              <w:jc w:val="center"/>
              <w:ind w:right="1420"/>
              <w:spacing w:after="0"/>
              <w:rPr>
                <w:sz w:val="20"/>
                <w:szCs w:val="20"/>
                <w:color w:val="auto"/>
              </w:rPr>
            </w:pPr>
            <w:r>
              <w:rPr>
                <w:rFonts w:ascii="Arial" w:cs="Arial" w:eastAsia="Arial" w:hAnsi="Arial"/>
                <w:sz w:val="20"/>
                <w:szCs w:val="20"/>
                <w:color w:val="auto"/>
                <w:w w:val="98"/>
              </w:rPr>
              <w:t>Column “A”</w:t>
            </w:r>
          </w:p>
        </w:tc>
        <w:tc>
          <w:tcPr>
            <w:tcW w:w="2020" w:type="dxa"/>
            <w:vAlign w:val="bottom"/>
          </w:tcPr>
          <w:p>
            <w:pPr>
              <w:spacing w:after="0"/>
              <w:rPr>
                <w:sz w:val="21"/>
                <w:szCs w:val="21"/>
                <w:color w:val="auto"/>
              </w:rPr>
            </w:pPr>
          </w:p>
        </w:tc>
        <w:tc>
          <w:tcPr>
            <w:tcW w:w="2100" w:type="dxa"/>
            <w:vAlign w:val="bottom"/>
            <w:gridSpan w:val="2"/>
          </w:tcPr>
          <w:p>
            <w:pPr>
              <w:jc w:val="center"/>
              <w:ind w:right="1000"/>
              <w:spacing w:after="0"/>
              <w:rPr>
                <w:sz w:val="20"/>
                <w:szCs w:val="20"/>
                <w:color w:val="auto"/>
              </w:rPr>
            </w:pPr>
            <w:r>
              <w:rPr>
                <w:rFonts w:ascii="Arial" w:cs="Arial" w:eastAsia="Arial" w:hAnsi="Arial"/>
                <w:sz w:val="20"/>
                <w:szCs w:val="20"/>
                <w:color w:val="auto"/>
                <w:w w:val="96"/>
              </w:rPr>
              <w:t>Column “B”</w:t>
            </w:r>
          </w:p>
        </w:tc>
      </w:tr>
      <w:tr>
        <w:trPr>
          <w:trHeight w:val="415"/>
        </w:trPr>
        <w:tc>
          <w:tcPr>
            <w:tcW w:w="15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20"/>
                <w:szCs w:val="20"/>
                <w:color w:val="auto"/>
                <w:w w:val="88"/>
              </w:rPr>
              <w:t>Number of Shares</w:t>
            </w:r>
          </w:p>
        </w:tc>
        <w:tc>
          <w:tcPr>
            <w:tcW w:w="1420" w:type="dxa"/>
            <w:vAlign w:val="bottom"/>
          </w:tcPr>
          <w:p>
            <w:pPr>
              <w:spacing w:after="0"/>
              <w:rPr>
                <w:sz w:val="24"/>
                <w:szCs w:val="24"/>
                <w:color w:val="auto"/>
              </w:rPr>
            </w:pPr>
          </w:p>
        </w:tc>
        <w:tc>
          <w:tcPr>
            <w:tcW w:w="4120" w:type="dxa"/>
            <w:vAlign w:val="bottom"/>
            <w:gridSpan w:val="3"/>
          </w:tcPr>
          <w:p>
            <w:pPr>
              <w:jc w:val="center"/>
              <w:ind w:left="921"/>
              <w:spacing w:after="0"/>
              <w:rPr>
                <w:sz w:val="20"/>
                <w:szCs w:val="20"/>
                <w:color w:val="auto"/>
              </w:rPr>
            </w:pPr>
            <w:r>
              <w:rPr>
                <w:rFonts w:ascii="Arial" w:cs="Arial" w:eastAsia="Arial" w:hAnsi="Arial"/>
                <w:sz w:val="20"/>
                <w:szCs w:val="20"/>
                <w:color w:val="auto"/>
                <w:w w:val="88"/>
              </w:rPr>
              <w:t>Exercise Date</w:t>
            </w:r>
          </w:p>
        </w:tc>
      </w:tr>
      <w:tr>
        <w:trPr>
          <w:trHeight w:val="20"/>
        </w:trPr>
        <w:tc>
          <w:tcPr>
            <w:tcW w:w="1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84"/>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97"/>
              </w:rPr>
              <w:t>After the first anniversary of the Grant Date</w:t>
            </w:r>
          </w:p>
        </w:tc>
      </w:tr>
      <w:tr>
        <w:trPr>
          <w:trHeight w:val="459"/>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89"/>
              </w:rPr>
              <w:t>After the second anniversary of the Grant Date</w:t>
            </w:r>
          </w:p>
        </w:tc>
      </w:tr>
      <w:tr>
        <w:trPr>
          <w:trHeight w:val="459"/>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95"/>
              </w:rPr>
              <w:t>After the third anniversary of the Grant Date</w:t>
            </w:r>
          </w:p>
        </w:tc>
      </w:tr>
      <w:tr>
        <w:trPr>
          <w:trHeight w:val="459"/>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92"/>
              </w:rPr>
              <w:t>After the fourth anniversary of the Grant Date</w:t>
            </w:r>
          </w:p>
        </w:tc>
      </w:tr>
      <w:tr>
        <w:trPr>
          <w:trHeight w:val="459"/>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97"/>
              </w:rPr>
              <w:t>After the fifth anniversary of the Grant Date</w:t>
            </w:r>
          </w:p>
        </w:tc>
      </w:tr>
    </w:tbl>
    <w:p>
      <w:pPr>
        <w:spacing w:after="0" w:line="209" w:lineRule="exact"/>
        <w:rPr>
          <w:sz w:val="20"/>
          <w:szCs w:val="20"/>
          <w:color w:val="auto"/>
        </w:rPr>
      </w:pPr>
    </w:p>
    <w:p>
      <w:pPr>
        <w:jc w:val="both"/>
        <w:ind w:firstLine="1305"/>
        <w:spacing w:after="0" w:line="246" w:lineRule="auto"/>
        <w:tabs>
          <w:tab w:leader="none" w:pos="1972"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This Option may be exercised, to the extent exercisable by its terms, from time to time in whole or in part at any time prior to the expiration thereof. Any exercise shall be accompanied by a written notice to the Company specifying the number of shares as to which this Option is being exercised (the “Option Shares”). Notations of any partial exercise or installment exercise, shall be made by the Company on Schedule A hereto.</w:t>
      </w:r>
    </w:p>
    <w:p>
      <w:pPr>
        <w:spacing w:after="0" w:line="205" w:lineRule="exact"/>
        <w:rPr>
          <w:rFonts w:ascii="Arial" w:cs="Arial" w:eastAsia="Arial" w:hAnsi="Arial"/>
          <w:sz w:val="20"/>
          <w:szCs w:val="20"/>
          <w:color w:val="auto"/>
        </w:rPr>
      </w:pPr>
    </w:p>
    <w:p>
      <w:pPr>
        <w:ind w:left="2060" w:hanging="755"/>
        <w:spacing w:after="0"/>
        <w:tabs>
          <w:tab w:leader="none" w:pos="20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Notwithstanding anything else herein to the contrary, this Option shall expire on the tenth anniversary of the Grant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6" w:right="239" w:bottom="482" w:gutter="0" w:footer="0" w:header="0"/>
        </w:sectPr>
      </w:pPr>
    </w:p>
    <w:bookmarkStart w:id="112" w:name="page113"/>
    <w:bookmarkEnd w:id="112"/>
    <w:p>
      <w:pPr>
        <w:jc w:val="both"/>
        <w:ind w:firstLine="1305"/>
        <w:spacing w:after="0" w:line="250" w:lineRule="auto"/>
        <w:tabs>
          <w:tab w:leader="none" w:pos="1939" w:val="left"/>
        </w:tabs>
        <w:numPr>
          <w:ilvl w:val="1"/>
          <w:numId w:val="175"/>
        </w:numPr>
        <w:rPr>
          <w:rFonts w:ascii="Arial" w:cs="Arial" w:eastAsia="Arial" w:hAnsi="Arial"/>
          <w:sz w:val="20"/>
          <w:szCs w:val="20"/>
          <w:color w:val="auto"/>
        </w:rPr>
      </w:pPr>
      <w:r>
        <w:rPr>
          <w:rFonts w:ascii="Arial" w:cs="Arial" w:eastAsia="Arial" w:hAnsi="Arial"/>
          <w:sz w:val="20"/>
          <w:szCs w:val="20"/>
          <w:color w:val="auto"/>
        </w:rPr>
        <w:t>The Holder hereby agrees to notify the Company in writing in the event shares acquired pursuant to the exercise of this Option are transferred, other than by will or by the laws of descent and distribution, within two years after the Grant Date or within one year after the issuance of such shares pursuant to such exercise.</w:t>
      </w:r>
    </w:p>
    <w:p>
      <w:pPr>
        <w:spacing w:after="0" w:line="199" w:lineRule="exact"/>
        <w:rPr>
          <w:rFonts w:ascii="Arial" w:cs="Arial" w:eastAsia="Arial" w:hAnsi="Arial"/>
          <w:sz w:val="20"/>
          <w:szCs w:val="20"/>
          <w:color w:val="auto"/>
        </w:rPr>
      </w:pPr>
    </w:p>
    <w:p>
      <w:pPr>
        <w:ind w:firstLine="656"/>
        <w:spacing w:after="0" w:line="260" w:lineRule="auto"/>
        <w:tabs>
          <w:tab w:leader="none" w:pos="1242"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Payment of Purchase Price Upon Exercise</w:t>
      </w:r>
      <w:r>
        <w:rPr>
          <w:rFonts w:ascii="Arial" w:cs="Arial" w:eastAsia="Arial" w:hAnsi="Arial"/>
          <w:sz w:val="20"/>
          <w:szCs w:val="20"/>
          <w:color w:val="auto"/>
        </w:rPr>
        <w:t>. At the time of any exercise of all or a portion of the Option, the purchase price shall be paid in full to the Company in any of the following ways or in any combination of the following ways:</w:t>
      </w:r>
    </w:p>
    <w:p>
      <w:pPr>
        <w:spacing w:after="0" w:line="190" w:lineRule="exact"/>
        <w:rPr>
          <w:rFonts w:ascii="Arial" w:cs="Arial" w:eastAsia="Arial" w:hAnsi="Arial"/>
          <w:sz w:val="20"/>
          <w:szCs w:val="20"/>
          <w:color w:val="auto"/>
        </w:rPr>
      </w:pPr>
    </w:p>
    <w:p>
      <w:pPr>
        <w:ind w:left="1920" w:hanging="615"/>
        <w:spacing w:after="0"/>
        <w:tabs>
          <w:tab w:leader="none" w:pos="1920" w:val="left"/>
        </w:tabs>
        <w:numPr>
          <w:ilvl w:val="1"/>
          <w:numId w:val="176"/>
        </w:numPr>
        <w:rPr>
          <w:rFonts w:ascii="Arial" w:cs="Arial" w:eastAsia="Arial" w:hAnsi="Arial"/>
          <w:sz w:val="20"/>
          <w:szCs w:val="20"/>
          <w:color w:val="auto"/>
        </w:rPr>
      </w:pPr>
      <w:r>
        <w:rPr>
          <w:rFonts w:ascii="Arial" w:cs="Arial" w:eastAsia="Arial" w:hAnsi="Arial"/>
          <w:sz w:val="20"/>
          <w:szCs w:val="20"/>
          <w:color w:val="auto"/>
        </w:rPr>
        <w:t>By check or other immediately available funds.</w:t>
      </w:r>
    </w:p>
    <w:p>
      <w:pPr>
        <w:spacing w:after="0" w:line="229" w:lineRule="exact"/>
        <w:rPr>
          <w:rFonts w:ascii="Arial" w:cs="Arial" w:eastAsia="Arial" w:hAnsi="Arial"/>
          <w:sz w:val="20"/>
          <w:szCs w:val="20"/>
          <w:color w:val="auto"/>
        </w:rPr>
      </w:pPr>
    </w:p>
    <w:p>
      <w:pPr>
        <w:jc w:val="both"/>
        <w:ind w:firstLine="1305"/>
        <w:spacing w:after="0" w:line="246" w:lineRule="auto"/>
        <w:tabs>
          <w:tab w:leader="none" w:pos="1958" w:val="left"/>
        </w:tabs>
        <w:numPr>
          <w:ilvl w:val="1"/>
          <w:numId w:val="176"/>
        </w:numPr>
        <w:rPr>
          <w:rFonts w:ascii="Arial" w:cs="Arial" w:eastAsia="Arial" w:hAnsi="Arial"/>
          <w:sz w:val="20"/>
          <w:szCs w:val="20"/>
          <w:color w:val="auto"/>
        </w:rPr>
      </w:pPr>
      <w:r>
        <w:rPr>
          <w:rFonts w:ascii="Arial" w:cs="Arial" w:eastAsia="Arial" w:hAnsi="Arial"/>
          <w:sz w:val="20"/>
          <w:szCs w:val="20"/>
          <w:color w:val="auto"/>
        </w:rPr>
        <w:t>With property consisting of shares of Stock. (The shares of Stock to be used as payment shall be valued as of the date of exercise of the Option at the Closing Price as defined below. For example, if Holder exercises the option for 4,000 shares at a total Exercise Price of $8,000, assuming an exercise price of $2.00 per share, and the Closing Price is $5.00, Holder may pay for the 4,000 Option Shares by transferring 1,600 shares of Stock to the Company.)</w:t>
      </w:r>
    </w:p>
    <w:p>
      <w:pPr>
        <w:spacing w:after="0" w:line="205" w:lineRule="exact"/>
        <w:rPr>
          <w:rFonts w:ascii="Arial" w:cs="Arial" w:eastAsia="Arial" w:hAnsi="Arial"/>
          <w:sz w:val="20"/>
          <w:szCs w:val="20"/>
          <w:color w:val="auto"/>
        </w:rPr>
      </w:pPr>
    </w:p>
    <w:p>
      <w:pPr>
        <w:jc w:val="both"/>
        <w:ind w:firstLine="1305"/>
        <w:spacing w:after="0" w:line="250" w:lineRule="auto"/>
        <w:tabs>
          <w:tab w:leader="none" w:pos="1935" w:val="left"/>
        </w:tabs>
        <w:numPr>
          <w:ilvl w:val="1"/>
          <w:numId w:val="176"/>
        </w:numPr>
        <w:rPr>
          <w:rFonts w:ascii="Arial" w:cs="Arial" w:eastAsia="Arial" w:hAnsi="Arial"/>
          <w:sz w:val="20"/>
          <w:szCs w:val="20"/>
          <w:color w:val="auto"/>
        </w:rPr>
      </w:pPr>
      <w:r>
        <w:rPr>
          <w:rFonts w:ascii="Arial" w:cs="Arial" w:eastAsia="Arial" w:hAnsi="Arial"/>
          <w:sz w:val="20"/>
          <w:szCs w:val="20"/>
          <w:color w:val="auto"/>
        </w:rPr>
        <w:t>By delivering a properly executed exercise notice together with irrevocable instructions to a broker to deliver promptly to the Company the amount of sale proceeds necessary to pay the purchase price and applicable withholding taxes, and such other documents as the Committee may determine.</w:t>
      </w:r>
    </w:p>
    <w:p>
      <w:pPr>
        <w:spacing w:after="0" w:line="199" w:lineRule="exact"/>
        <w:rPr>
          <w:rFonts w:ascii="Arial" w:cs="Arial" w:eastAsia="Arial" w:hAnsi="Arial"/>
          <w:sz w:val="20"/>
          <w:szCs w:val="20"/>
          <w:color w:val="auto"/>
        </w:rPr>
      </w:pPr>
    </w:p>
    <w:p>
      <w:pPr>
        <w:jc w:val="both"/>
        <w:ind w:firstLine="1305"/>
        <w:spacing w:after="0" w:line="257" w:lineRule="auto"/>
        <w:tabs>
          <w:tab w:leader="none" w:pos="2027" w:val="left"/>
        </w:tabs>
        <w:numPr>
          <w:ilvl w:val="1"/>
          <w:numId w:val="176"/>
        </w:numPr>
        <w:rPr>
          <w:rFonts w:ascii="Arial" w:cs="Arial" w:eastAsia="Arial" w:hAnsi="Arial"/>
          <w:sz w:val="19"/>
          <w:szCs w:val="19"/>
          <w:color w:val="auto"/>
        </w:rPr>
      </w:pPr>
      <w:r>
        <w:rPr>
          <w:rFonts w:ascii="Arial" w:cs="Arial" w:eastAsia="Arial" w:hAnsi="Arial"/>
          <w:sz w:val="19"/>
          <w:szCs w:val="19"/>
          <w:color w:val="auto"/>
        </w:rPr>
        <w:t>For purposes of this Agreement, the term “Closing Price” means, with respect to the Company’s Stock, the last sale price regular-way or, in case no such sale takes place on such date, the average of the closing bid and asked prices regular-way on the principal national securities exchange on which the Stock is listed or admitted to trading; or, if the Stock is not listed or admitted to trading on any national securities exchange, the last sale price of the Stock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Stock is not listed on NASDAQ or a comparable system, the “Closing Price” shall be the fair market value of the Stock as determined by the Committee in good faith.</w:t>
      </w:r>
    </w:p>
    <w:p>
      <w:pPr>
        <w:spacing w:after="0" w:line="194" w:lineRule="exact"/>
        <w:rPr>
          <w:rFonts w:ascii="Arial" w:cs="Arial" w:eastAsia="Arial" w:hAnsi="Arial"/>
          <w:sz w:val="19"/>
          <w:szCs w:val="19"/>
          <w:color w:val="auto"/>
        </w:rPr>
      </w:pPr>
    </w:p>
    <w:p>
      <w:pPr>
        <w:ind w:right="20" w:firstLine="656"/>
        <w:spacing w:after="0" w:line="260" w:lineRule="auto"/>
        <w:tabs>
          <w:tab w:leader="none" w:pos="1310"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Purchase for Investment; Resale Restrictions</w:t>
      </w:r>
      <w:r>
        <w:rPr>
          <w:rFonts w:ascii="Arial" w:cs="Arial" w:eastAsia="Arial" w:hAnsi="Arial"/>
          <w:sz w:val="20"/>
          <w:szCs w:val="20"/>
          <w:color w:val="auto"/>
        </w:rPr>
        <w:t>. Unless at the time of exercise of the Option there shall be a valid and effective 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“‘33 Act”) and appropriate qualification and registration under applicable state securities laws relating to the Option Shares being acquired, Holder shall upon exercise of the Option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183" w:lineRule="exact"/>
        <w:rPr>
          <w:sz w:val="20"/>
          <w:szCs w:val="20"/>
          <w:color w:val="auto"/>
        </w:rPr>
      </w:pPr>
    </w:p>
    <w:p>
      <w:pPr>
        <w:ind w:firstLine="656"/>
        <w:spacing w:after="0" w:line="260" w:lineRule="auto"/>
        <w:tabs>
          <w:tab w:leader="none" w:pos="1296" w:val="left"/>
        </w:tabs>
        <w:numPr>
          <w:ilvl w:val="1"/>
          <w:numId w:val="177"/>
        </w:numPr>
        <w:rPr>
          <w:rFonts w:ascii="Arial" w:cs="Arial" w:eastAsia="Arial" w:hAnsi="Arial"/>
          <w:sz w:val="20"/>
          <w:szCs w:val="20"/>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 This Option shall not be transferable other than by will or by the laws of descent and distribution. During the lifetime of Holder, this Option shall be exercisable only by Holder.</w:t>
      </w:r>
    </w:p>
    <w:p>
      <w:pPr>
        <w:spacing w:after="0" w:line="190" w:lineRule="exact"/>
        <w:rPr>
          <w:rFonts w:ascii="Arial" w:cs="Arial" w:eastAsia="Arial" w:hAnsi="Arial"/>
          <w:sz w:val="20"/>
          <w:szCs w:val="20"/>
          <w:color w:val="auto"/>
        </w:rPr>
      </w:pPr>
    </w:p>
    <w:p>
      <w:pPr>
        <w:ind w:left="1260" w:hanging="604"/>
        <w:spacing w:after="0"/>
        <w:tabs>
          <w:tab w:leader="none" w:pos="1260" w:val="left"/>
        </w:tabs>
        <w:numPr>
          <w:ilvl w:val="1"/>
          <w:numId w:val="177"/>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1305"/>
        <w:spacing w:after="0" w:line="303" w:lineRule="auto"/>
        <w:tabs>
          <w:tab w:leader="none" w:pos="1941" w:val="left"/>
        </w:tabs>
        <w:numPr>
          <w:ilvl w:val="2"/>
          <w:numId w:val="177"/>
        </w:numPr>
        <w:rPr>
          <w:rFonts w:ascii="Arial" w:cs="Arial" w:eastAsia="Arial" w:hAnsi="Arial"/>
          <w:sz w:val="16"/>
          <w:szCs w:val="16"/>
          <w:color w:val="auto"/>
        </w:rPr>
      </w:pPr>
      <w:r>
        <w:rPr>
          <w:rFonts w:ascii="Arial" w:cs="Arial" w:eastAsia="Arial" w:hAnsi="Arial"/>
          <w:sz w:val="16"/>
          <w:szCs w:val="16"/>
          <w:color w:val="auto"/>
        </w:rPr>
        <w:t>Subject to clause 7(b) below, if the outstanding shares of stock of the Company are 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 of the assets or shares of the Company, reorganization, recapitalization, reclassification, stock dividend, stock split, reverse stock split or other distribution with respect to such shares of stock or other securities, then, to the extent permitted by the Board, an appropriate and proportionate adjustment shall be made in</w:t>
      </w:r>
    </w:p>
    <w:p>
      <w:pPr>
        <w:spacing w:after="0" w:line="2" w:lineRule="exact"/>
        <w:rPr>
          <w:rFonts w:ascii="Arial" w:cs="Arial" w:eastAsia="Arial" w:hAnsi="Arial"/>
          <w:sz w:val="16"/>
          <w:szCs w:val="16"/>
          <w:color w:val="auto"/>
        </w:rPr>
      </w:pPr>
    </w:p>
    <w:p>
      <w:pPr>
        <w:jc w:val="both"/>
        <w:ind w:firstLine="8"/>
        <w:spacing w:after="0"/>
        <w:tabs>
          <w:tab w:leader="none" w:pos="285"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maximum number and/or kind of shares provided in Paragraph 1 above; (2) the number and/or kind of shares or other securities subject to the outstanding options and tandum SARs, if any; and (3) the price for each share or other unit of any other securities subject to outstanding options without change in the aggregate purchase price or value as to which the options remain exercisable or subject to restrictions. Any adjustment under this clause 7(a) shall be made by the Board, whose determination as to what adjustments shall be made, if any, and the extent thereof, will be final, binding and conclusive. No fractional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will be issued under this Agreement resulting from any such adjustment.</w:t>
      </w:r>
    </w:p>
    <w:p>
      <w:pPr>
        <w:spacing w:after="0" w:line="229" w:lineRule="exact"/>
        <w:rPr>
          <w:sz w:val="20"/>
          <w:szCs w:val="20"/>
          <w:color w:val="auto"/>
        </w:rPr>
      </w:pPr>
    </w:p>
    <w:p>
      <w:pPr>
        <w:jc w:val="both"/>
        <w:ind w:firstLine="1305"/>
        <w:spacing w:after="0" w:line="246" w:lineRule="auto"/>
        <w:tabs>
          <w:tab w:leader="none" w:pos="2035" w:val="left"/>
        </w:tabs>
        <w:numPr>
          <w:ilvl w:val="1"/>
          <w:numId w:val="179"/>
        </w:numPr>
        <w:rPr>
          <w:rFonts w:ascii="Arial" w:cs="Arial" w:eastAsia="Arial" w:hAnsi="Arial"/>
          <w:sz w:val="20"/>
          <w:szCs w:val="20"/>
          <w:color w:val="auto"/>
        </w:rPr>
      </w:pPr>
      <w:r>
        <w:rPr>
          <w:rFonts w:ascii="Arial" w:cs="Arial" w:eastAsia="Arial" w:hAnsi="Arial"/>
          <w:sz w:val="20"/>
          <w:szCs w:val="20"/>
          <w:color w:val="auto"/>
        </w:rPr>
        <w:t>Notwithstanding anything else herein to the contrary, the Board may, at any time, in its sole discretion, provide that upon the occurrence of a change in control of the Company (as determined by the Board), all or a specified portion of any outstanding options not theretofore exercisable shall immediately become exercisable and that any option not exercised prior to such change in control shall be canceled.</w:t>
      </w:r>
    </w:p>
    <w:p>
      <w:pPr>
        <w:spacing w:after="0" w:line="205" w:lineRule="exact"/>
        <w:rPr>
          <w:rFonts w:ascii="Arial" w:cs="Arial" w:eastAsia="Arial" w:hAnsi="Arial"/>
          <w:sz w:val="20"/>
          <w:szCs w:val="20"/>
          <w:color w:val="auto"/>
        </w:rPr>
      </w:pPr>
    </w:p>
    <w:p>
      <w:pPr>
        <w:ind w:right="20" w:firstLine="656"/>
        <w:spacing w:after="0" w:line="260" w:lineRule="auto"/>
        <w:tabs>
          <w:tab w:leader="none" w:pos="1404"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No Rights as Stockholder</w:t>
      </w:r>
      <w:r>
        <w:rPr>
          <w:rFonts w:ascii="Arial" w:cs="Arial" w:eastAsia="Arial" w:hAnsi="Arial"/>
          <w:sz w:val="20"/>
          <w:szCs w:val="20"/>
          <w:color w:val="auto"/>
        </w:rPr>
        <w:t>. Holder shall have no rights as a stockholder with respect to any shares of Stock subject to this Option prior to the date of issuance to him of a certificate or certificates for such shares.</w:t>
      </w:r>
    </w:p>
    <w:p>
      <w:pPr>
        <w:sectPr>
          <w:pgSz w:w="11900" w:h="16838" w:orient="portrait"/>
          <w:cols w:equalWidth="0" w:num="1">
            <w:col w:w="11420"/>
          </w:cols>
          <w:pgMar w:left="240" w:top="352" w:right="239" w:bottom="0" w:gutter="0" w:footer="0" w:header="0"/>
        </w:sectPr>
      </w:pPr>
    </w:p>
    <w:bookmarkStart w:id="113" w:name="page114"/>
    <w:bookmarkEnd w:id="113"/>
    <w:p>
      <w:pPr>
        <w:jc w:val="both"/>
        <w:ind w:right="40" w:firstLine="656"/>
        <w:spacing w:after="0" w:line="250" w:lineRule="auto"/>
        <w:tabs>
          <w:tab w:leader="none" w:pos="1377"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No Right to Continue Employment</w:t>
      </w:r>
      <w:r>
        <w:rPr>
          <w:rFonts w:ascii="Arial" w:cs="Arial" w:eastAsia="Arial" w:hAnsi="Arial"/>
          <w:sz w:val="20"/>
          <w:szCs w:val="20"/>
          <w:color w:val="auto"/>
        </w:rPr>
        <w:t>. This Agreement shall not confer upon Holder any right with respect to continuance of employment with a Participating Company nor shall it interfere in any way with the right of a Participating Company to terminate the Holder’s employment at any time.</w:t>
      </w:r>
    </w:p>
    <w:p>
      <w:pPr>
        <w:spacing w:after="0" w:line="199" w:lineRule="exact"/>
        <w:rPr>
          <w:rFonts w:ascii="Arial" w:cs="Arial" w:eastAsia="Arial" w:hAnsi="Arial"/>
          <w:sz w:val="20"/>
          <w:szCs w:val="20"/>
          <w:color w:val="auto"/>
        </w:rPr>
      </w:pPr>
    </w:p>
    <w:p>
      <w:pPr>
        <w:jc w:val="both"/>
        <w:ind w:right="40" w:firstLine="656"/>
        <w:spacing w:after="0" w:line="258" w:lineRule="auto"/>
        <w:tabs>
          <w:tab w:leader="none" w:pos="1318"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Compliance With Law and Regulation</w:t>
      </w:r>
      <w:r>
        <w:rPr>
          <w:rFonts w:ascii="Arial" w:cs="Arial" w:eastAsia="Arial" w:hAnsi="Arial"/>
          <w:sz w:val="19"/>
          <w:szCs w:val="19"/>
          <w:color w:val="auto"/>
        </w:rPr>
        <w:t>. This Agreement and the obligation of the Company to sell and deliver shares of Stock hereunder shall be subject to all applicable federal and state laws, rules and regulations and to such approvals by any government or regulatory agency as may be required. If at any time the Board shall determine that (i) the listing, registration or qualification of the shares of Stock subject or related thereto upon any securities exchange or under any state or federal law, or (ii) the consent or approval of any government regulatory body, is necessary or desirable as a condition of or in connection with the issue or purchase of shares of Stock hereunder, this Option may not be exercised in whole or in part unless such listing, registration, qualification, consent, approval or agreement shall have been effected or obtained free of any conditions not acceptable to the Board.</w:t>
      </w:r>
    </w:p>
    <w:p>
      <w:pPr>
        <w:spacing w:after="0" w:line="192" w:lineRule="exact"/>
        <w:rPr>
          <w:rFonts w:ascii="Arial" w:cs="Arial" w:eastAsia="Arial" w:hAnsi="Arial"/>
          <w:sz w:val="19"/>
          <w:szCs w:val="19"/>
          <w:color w:val="auto"/>
        </w:rPr>
      </w:pPr>
    </w:p>
    <w:p>
      <w:pPr>
        <w:ind w:right="40" w:firstLine="656"/>
        <w:spacing w:after="0" w:line="316" w:lineRule="auto"/>
        <w:tabs>
          <w:tab w:leader="none" w:pos="1433"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Tax Withholding Requirements</w:t>
      </w:r>
      <w:r>
        <w:rPr>
          <w:rFonts w:ascii="Arial" w:cs="Arial" w:eastAsia="Arial" w:hAnsi="Arial"/>
          <w:sz w:val="18"/>
          <w:szCs w:val="18"/>
          <w:color w:val="auto"/>
        </w:rPr>
        <w:t>. The Company shall have the right to require Holder to remit to the Company an amount sufficient to satisfy any federal, state or local withholding tax requirements prior to the delivery of any certificate or certificates for Stock.</w:t>
      </w:r>
    </w:p>
    <w:p>
      <w:pPr>
        <w:spacing w:after="0" w:line="143" w:lineRule="exact"/>
        <w:rPr>
          <w:rFonts w:ascii="Arial" w:cs="Arial" w:eastAsia="Arial" w:hAnsi="Arial"/>
          <w:sz w:val="18"/>
          <w:szCs w:val="18"/>
          <w:color w:val="auto"/>
        </w:rPr>
      </w:pPr>
    </w:p>
    <w:p>
      <w:pPr>
        <w:ind w:right="40" w:firstLine="656"/>
        <w:spacing w:after="0" w:line="316" w:lineRule="auto"/>
        <w:tabs>
          <w:tab w:leader="none" w:pos="1345"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other provision of this Agreement, no fractional shares of Stock shall be issued upon the exercise of this Option, and the Company shall not be under any obligation to compensate Holder in any way for such fractional shares.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hereunder to the Company shall be addressed to it at its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at 550 Monica Circle, Suite 201, Corona, California 92880, Attention: Rodney C. Sacks with a copy to Benjamin Polk, Schulte Roth &amp; Zabel LLP, 919 Third Avenue, New York, New York 10022, and any notice hereunder to Holder shall be addressed to him at 2281 Cambridge Avenue, Cardiff by the Sea, California 92007, subject to the right of either party to designate at any time hereafter in writing some other address.</w:t>
      </w:r>
    </w:p>
    <w:p>
      <w:pPr>
        <w:spacing w:after="0" w:line="205" w:lineRule="exact"/>
        <w:rPr>
          <w:sz w:val="20"/>
          <w:szCs w:val="20"/>
          <w:color w:val="auto"/>
        </w:rPr>
      </w:pPr>
    </w:p>
    <w:p>
      <w:pPr>
        <w:ind w:right="40" w:firstLine="656"/>
        <w:spacing w:after="0" w:line="260" w:lineRule="auto"/>
        <w:tabs>
          <w:tab w:leader="none" w:pos="1373" w:val="left"/>
        </w:tabs>
        <w:numPr>
          <w:ilvl w:val="0"/>
          <w:numId w:val="182"/>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No modification, amendment or waiver of any of the provisions of this Agreement shall be effective unless in writing specifically referring hereto, and signed by both parties.</w:t>
      </w:r>
    </w:p>
    <w:p>
      <w:pPr>
        <w:spacing w:after="0" w:line="190" w:lineRule="exact"/>
        <w:rPr>
          <w:rFonts w:ascii="Arial" w:cs="Arial" w:eastAsia="Arial" w:hAnsi="Arial"/>
          <w:sz w:val="20"/>
          <w:szCs w:val="20"/>
          <w:color w:val="auto"/>
        </w:rPr>
      </w:pPr>
    </w:p>
    <w:p>
      <w:pPr>
        <w:ind w:right="40" w:firstLine="656"/>
        <w:spacing w:after="0" w:line="316" w:lineRule="auto"/>
        <w:tabs>
          <w:tab w:leader="none" w:pos="1359"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43" w:lineRule="exact"/>
        <w:rPr>
          <w:rFonts w:ascii="Arial" w:cs="Arial" w:eastAsia="Arial" w:hAnsi="Arial"/>
          <w:sz w:val="18"/>
          <w:szCs w:val="18"/>
          <w:color w:val="auto"/>
        </w:rPr>
      </w:pPr>
    </w:p>
    <w:p>
      <w:pPr>
        <w:ind w:left="1340" w:hanging="684"/>
        <w:spacing w:after="0"/>
        <w:tabs>
          <w:tab w:leader="none" w:pos="134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constitute one and the same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instrument.</w:t>
      </w:r>
    </w:p>
    <w:p>
      <w:pPr>
        <w:spacing w:after="0" w:line="213"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IN WITNESS WHEREOF, Hansen Natural Corporation has caused this Agreement to be executed by a duly authorized officer and Holder has executed this Agreement both as of the day and year first above written.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7840" w:type="dxa"/>
            <w:vAlign w:val="bottom"/>
            <w:gridSpan w:val="3"/>
          </w:tcPr>
          <w:p>
            <w:pPr>
              <w:ind w:left="2160"/>
              <w:spacing w:after="0"/>
              <w:rPr>
                <w:sz w:val="20"/>
                <w:szCs w:val="20"/>
                <w:color w:val="auto"/>
              </w:rPr>
            </w:pPr>
            <w:r>
              <w:rPr>
                <w:rFonts w:ascii="Arial" w:cs="Arial" w:eastAsia="Arial" w:hAnsi="Arial"/>
                <w:sz w:val="20"/>
                <w:szCs w:val="20"/>
                <w:color w:val="auto"/>
              </w:rPr>
              <w:t>HANSEN NATURAL CORPORATION</w:t>
            </w:r>
          </w:p>
        </w:tc>
        <w:tc>
          <w:tcPr>
            <w:tcW w:w="40" w:type="dxa"/>
            <w:vAlign w:val="bottom"/>
          </w:tcPr>
          <w:p>
            <w:pPr>
              <w:spacing w:after="0"/>
              <w:rPr>
                <w:sz w:val="21"/>
                <w:szCs w:val="21"/>
                <w:color w:val="auto"/>
              </w:rPr>
            </w:pPr>
          </w:p>
        </w:tc>
      </w:tr>
      <w:tr>
        <w:trPr>
          <w:trHeight w:val="678"/>
        </w:trPr>
        <w:tc>
          <w:tcPr>
            <w:tcW w:w="3580" w:type="dxa"/>
            <w:vAlign w:val="bottom"/>
            <w:gridSpan w:val="2"/>
          </w:tcPr>
          <w:p>
            <w:pPr>
              <w:spacing w:after="0"/>
              <w:rPr>
                <w:sz w:val="20"/>
                <w:szCs w:val="20"/>
                <w:color w:val="auto"/>
              </w:rPr>
            </w:pPr>
            <w:r>
              <w:rPr>
                <w:rFonts w:ascii="Arial" w:cs="Arial" w:eastAsia="Arial" w:hAnsi="Arial"/>
                <w:sz w:val="20"/>
                <w:szCs w:val="20"/>
                <w:color w:val="auto"/>
              </w:rPr>
              <w:t>/s/ Nick Gagliardi</w:t>
            </w:r>
          </w:p>
        </w:tc>
        <w:tc>
          <w:tcPr>
            <w:tcW w:w="7840" w:type="dxa"/>
            <w:vAlign w:val="bottom"/>
            <w:gridSpan w:val="3"/>
          </w:tcPr>
          <w:p>
            <w:pPr>
              <w:ind w:left="2160"/>
              <w:spacing w:after="0"/>
              <w:rPr>
                <w:sz w:val="20"/>
                <w:szCs w:val="20"/>
                <w:color w:val="auto"/>
              </w:rPr>
            </w:pPr>
            <w:r>
              <w:rPr>
                <w:rFonts w:ascii="Arial" w:cs="Arial" w:eastAsia="Arial" w:hAnsi="Arial"/>
                <w:sz w:val="20"/>
                <w:szCs w:val="20"/>
                <w:color w:val="auto"/>
              </w:rPr>
              <w:t>By:  /s/ Rodney C. Sacks</w:t>
            </w:r>
          </w:p>
        </w:tc>
        <w:tc>
          <w:tcPr>
            <w:tcW w:w="4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3560" w:type="dxa"/>
            <w:vAlign w:val="bottom"/>
            <w:tcBorders>
              <w:top w:val="single" w:sz="8" w:color="auto"/>
            </w:tcBorders>
          </w:tcPr>
          <w:p>
            <w:pPr>
              <w:spacing w:after="0" w:line="213" w:lineRule="exact"/>
              <w:rPr>
                <w:sz w:val="20"/>
                <w:szCs w:val="20"/>
                <w:color w:val="auto"/>
              </w:rPr>
            </w:pPr>
            <w:r>
              <w:rPr>
                <w:rFonts w:ascii="Arial" w:cs="Arial" w:eastAsia="Arial" w:hAnsi="Arial"/>
                <w:sz w:val="20"/>
                <w:szCs w:val="20"/>
                <w:color w:val="auto"/>
              </w:rPr>
              <w:t>Nick Gagliardi</w:t>
            </w:r>
          </w:p>
        </w:tc>
        <w:tc>
          <w:tcPr>
            <w:tcW w:w="2160" w:type="dxa"/>
            <w:vAlign w:val="bottom"/>
            <w:tcBorders>
              <w:top w:val="single" w:sz="8" w:color="auto"/>
            </w:tcBorders>
          </w:tcPr>
          <w:p>
            <w:pPr>
              <w:spacing w:after="0"/>
              <w:rPr>
                <w:sz w:val="18"/>
                <w:szCs w:val="18"/>
                <w:color w:val="auto"/>
              </w:rPr>
            </w:pPr>
          </w:p>
        </w:tc>
        <w:tc>
          <w:tcPr>
            <w:tcW w:w="420" w:type="dxa"/>
            <w:vAlign w:val="bottom"/>
          </w:tcPr>
          <w:p>
            <w:pPr>
              <w:spacing w:after="0" w:line="213" w:lineRule="exact"/>
              <w:rPr>
                <w:sz w:val="20"/>
                <w:szCs w:val="20"/>
                <w:color w:val="auto"/>
              </w:rPr>
            </w:pPr>
            <w:r>
              <w:rPr>
                <w:rFonts w:ascii="Arial" w:cs="Arial" w:eastAsia="Arial" w:hAnsi="Arial"/>
                <w:sz w:val="19"/>
                <w:szCs w:val="19"/>
                <w:color w:val="auto"/>
                <w:w w:val="71"/>
              </w:rPr>
              <w:t>Name:</w:t>
            </w:r>
          </w:p>
        </w:tc>
        <w:tc>
          <w:tcPr>
            <w:tcW w:w="5260" w:type="dxa"/>
            <w:vAlign w:val="bottom"/>
            <w:tcBorders>
              <w:top w:val="single" w:sz="8" w:color="auto"/>
            </w:tcBorders>
          </w:tcPr>
          <w:p>
            <w:pPr>
              <w:ind w:left="160"/>
              <w:spacing w:after="0" w:line="213"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7840" w:type="dxa"/>
            <w:vAlign w:val="bottom"/>
            <w:gridSpan w:val="3"/>
          </w:tcPr>
          <w:p>
            <w:pPr>
              <w:ind w:left="2160"/>
              <w:spacing w:after="0"/>
              <w:rPr>
                <w:sz w:val="20"/>
                <w:szCs w:val="20"/>
                <w:color w:val="auto"/>
              </w:rPr>
            </w:pPr>
            <w:r>
              <w:rPr>
                <w:rFonts w:ascii="Arial" w:cs="Arial" w:eastAsia="Arial" w:hAnsi="Arial"/>
                <w:sz w:val="20"/>
                <w:szCs w:val="20"/>
                <w:color w:val="auto"/>
              </w:rPr>
              <w:t>Title: Chairman and CEO</w:t>
            </w:r>
          </w:p>
        </w:tc>
        <w:tc>
          <w:tcPr>
            <w:tcW w:w="40" w:type="dxa"/>
            <w:vAlign w:val="bottom"/>
          </w:tcPr>
          <w:p>
            <w:pPr>
              <w:spacing w:after="0"/>
              <w:rPr>
                <w:sz w:val="21"/>
                <w:szCs w:val="21"/>
                <w:color w:val="auto"/>
              </w:rPr>
            </w:pPr>
          </w:p>
        </w:tc>
      </w:tr>
      <w:tr>
        <w:trPr>
          <w:trHeight w:val="357"/>
        </w:trPr>
        <w:tc>
          <w:tcPr>
            <w:tcW w:w="20" w:type="dxa"/>
            <w:vAlign w:val="bottom"/>
            <w:tcBorders>
              <w:bottom w:val="single" w:sz="8" w:color="010101"/>
            </w:tcBorders>
          </w:tcPr>
          <w:p>
            <w:pPr>
              <w:spacing w:after="0"/>
              <w:rPr>
                <w:sz w:val="24"/>
                <w:szCs w:val="24"/>
                <w:color w:val="auto"/>
              </w:rPr>
            </w:pPr>
          </w:p>
        </w:tc>
        <w:tc>
          <w:tcPr>
            <w:tcW w:w="3560" w:type="dxa"/>
            <w:vAlign w:val="bottom"/>
            <w:tcBorders>
              <w:bottom w:val="single" w:sz="8" w:color="010101"/>
            </w:tcBorders>
          </w:tcPr>
          <w:p>
            <w:pPr>
              <w:spacing w:after="0"/>
              <w:rPr>
                <w:sz w:val="24"/>
                <w:szCs w:val="24"/>
                <w:color w:val="auto"/>
              </w:rPr>
            </w:pPr>
          </w:p>
        </w:tc>
        <w:tc>
          <w:tcPr>
            <w:tcW w:w="216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5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2" w:right="199" w:bottom="1440" w:gutter="0" w:footer="0" w:header="0"/>
        </w:sectPr>
      </w:pPr>
    </w:p>
    <w:bookmarkStart w:id="114" w:name="page115"/>
    <w:bookmarkEnd w:id="114"/>
    <w:p>
      <w:pPr>
        <w:jc w:val="right"/>
        <w:spacing w:after="0"/>
        <w:rPr>
          <w:sz w:val="20"/>
          <w:szCs w:val="20"/>
          <w:color w:val="auto"/>
        </w:rPr>
      </w:pPr>
      <w:r>
        <w:rPr>
          <w:rFonts w:ascii="Arial" w:cs="Arial" w:eastAsia="Arial" w:hAnsi="Arial"/>
          <w:sz w:val="20"/>
          <w:szCs w:val="20"/>
          <w:b w:val="1"/>
          <w:bCs w:val="1"/>
          <w:color w:val="auto"/>
        </w:rPr>
        <w:t>Exhibit 10.55</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Stock Option Agreement (“Agreement”), is made as of December 1, 2009 (the “Grant Date”), by and between Hansen Natural Corporation, a Delaware corporation (the “Company”), and Thomas Kelly (“Holder”).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Recitals</w:t>
      </w:r>
    </w:p>
    <w:p>
      <w:pPr>
        <w:spacing w:after="0" w:line="229" w:lineRule="exact"/>
        <w:rPr>
          <w:sz w:val="20"/>
          <w:szCs w:val="20"/>
          <w:color w:val="auto"/>
        </w:rPr>
      </w:pPr>
    </w:p>
    <w:p>
      <w:pPr>
        <w:ind w:left="1240" w:hanging="584"/>
        <w:spacing w:after="0"/>
        <w:tabs>
          <w:tab w:leader="none" w:pos="12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Holder is an employee of a Participating Company.</w:t>
      </w:r>
    </w:p>
    <w:p>
      <w:pPr>
        <w:spacing w:after="0" w:line="229" w:lineRule="exact"/>
        <w:rPr>
          <w:rFonts w:ascii="Arial" w:cs="Arial" w:eastAsia="Arial" w:hAnsi="Arial"/>
          <w:sz w:val="20"/>
          <w:szCs w:val="20"/>
          <w:color w:val="auto"/>
        </w:rPr>
      </w:pPr>
    </w:p>
    <w:p>
      <w:pPr>
        <w:ind w:right="20" w:firstLine="656"/>
        <w:spacing w:after="0" w:line="287" w:lineRule="auto"/>
        <w:tabs>
          <w:tab w:leader="none" w:pos="1424" w:val="left"/>
        </w:tabs>
        <w:numPr>
          <w:ilvl w:val="0"/>
          <w:numId w:val="183"/>
        </w:numPr>
        <w:rPr>
          <w:rFonts w:ascii="Arial" w:cs="Arial" w:eastAsia="Arial" w:hAnsi="Arial"/>
          <w:sz w:val="19"/>
          <w:szCs w:val="19"/>
          <w:color w:val="auto"/>
        </w:rPr>
      </w:pPr>
      <w:r>
        <w:rPr>
          <w:rFonts w:ascii="Arial" w:cs="Arial" w:eastAsia="Arial" w:hAnsi="Arial"/>
          <w:sz w:val="19"/>
          <w:szCs w:val="19"/>
          <w:color w:val="auto"/>
        </w:rPr>
        <w:t>Pursuant to the Hansen Natural Corporation 2001 Stock Option Plan (the “Plan”), the Company desires to grant Holder an incentive stock option to purchase shares of the Company’s common stock, par value $0.005 per share (the “Common Stock”).</w:t>
      </w:r>
    </w:p>
    <w:p>
      <w:pPr>
        <w:spacing w:after="0" w:line="166" w:lineRule="exact"/>
        <w:rPr>
          <w:rFonts w:ascii="Arial" w:cs="Arial" w:eastAsia="Arial" w:hAnsi="Arial"/>
          <w:sz w:val="19"/>
          <w:szCs w:val="19"/>
          <w:color w:val="auto"/>
        </w:rPr>
      </w:pPr>
    </w:p>
    <w:p>
      <w:pPr>
        <w:ind w:left="1280" w:hanging="624"/>
        <w:spacing w:after="0"/>
        <w:tabs>
          <w:tab w:leader="none" w:pos="128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Capitalized terms not otherwise defined in this Agreement shall have the meaning given to them in the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Company and Holder agree as follows:</w:t>
      </w:r>
    </w:p>
    <w:p>
      <w:pPr>
        <w:spacing w:after="0" w:line="229" w:lineRule="exact"/>
        <w:rPr>
          <w:sz w:val="20"/>
          <w:szCs w:val="20"/>
          <w:color w:val="auto"/>
        </w:rPr>
      </w:pPr>
    </w:p>
    <w:p>
      <w:pPr>
        <w:jc w:val="both"/>
        <w:ind w:firstLine="656"/>
        <w:spacing w:after="0" w:line="242" w:lineRule="auto"/>
        <w:tabs>
          <w:tab w:leader="none" w:pos="1337"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Grant of Incentive Stock Option</w:t>
      </w:r>
      <w:r>
        <w:rPr>
          <w:rFonts w:ascii="Arial" w:cs="Arial" w:eastAsia="Arial" w:hAnsi="Arial"/>
          <w:sz w:val="20"/>
          <w:szCs w:val="20"/>
          <w:color w:val="auto"/>
        </w:rPr>
        <w:t>. The Company hereby grants to Holder, subject to the terms and conditions set forth herein and in the Plan, an incentive stock option (“ISO”) to purchase 10,000 shares of Common Stock, at the purchase price of $35.64 per share (the “Option”), such Option to be exercisable and exercised as hereinafter provided. If for any reason the Option or any portion of the Option shall not qualify as an ISO, then, to the extent of such nonqualification, such Option (or portion thereof) shall be regarded as a nonqualified stock option granted under the Plan, provided that such Option (or portion thereof) otherwise complies with the Plan’s requirements relating to nonqualified stock options. In no event shall any member of the Committee or any Participating Company (or their respective employees, officers or directors) have any liability to Holder (or any other person) due to the failure of an Option (or any portion thereof) to qualify for any reason as an ISO.</w:t>
      </w:r>
    </w:p>
    <w:p>
      <w:pPr>
        <w:spacing w:after="0" w:line="211" w:lineRule="exact"/>
        <w:rPr>
          <w:rFonts w:ascii="Arial" w:cs="Arial" w:eastAsia="Arial" w:hAnsi="Arial"/>
          <w:sz w:val="20"/>
          <w:szCs w:val="20"/>
          <w:color w:val="auto"/>
        </w:rPr>
      </w:pPr>
    </w:p>
    <w:p>
      <w:pPr>
        <w:jc w:val="both"/>
        <w:ind w:firstLine="656"/>
        <w:spacing w:after="0" w:line="278" w:lineRule="auto"/>
        <w:tabs>
          <w:tab w:leader="none" w:pos="1323"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 The Option shall expire three months after the termination of the Holder’s employment with a Participating Company unless the employment is terminated by a Participating Company for Cause (as defined below) or unless the employment is terminated by reason of the death or Total Disability of Holder. If the Holder’s employment is terminated by a Participating Company for Cause, the Option shall expire as of the date employment terminates. If the Holder’s employment terminates due to his death or Total Disability, then the Option may be exercised by Holder or the person or persons to which Holder’s rights under this Agreement pass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will, or if no such person has such right, by his executors or administrators, within six months after the date of death or Total Disability, but no later than the expiration date specified in Section 3(c) below. “Cause” means, as determined by the Committee, the Holder’s (i) act(s) of fraud or dishonesty, (ii) knowing and material failure to comply with applicable laws or regulations or satisfactorily perform his duties of employment, (iii) insubordination or (iv) drug or alcohol abuse.</w:t>
      </w:r>
    </w:p>
    <w:p>
      <w:pPr>
        <w:spacing w:after="0" w:line="205" w:lineRule="exact"/>
        <w:rPr>
          <w:sz w:val="20"/>
          <w:szCs w:val="20"/>
          <w:color w:val="auto"/>
        </w:rPr>
      </w:pPr>
    </w:p>
    <w:p>
      <w:pPr>
        <w:ind w:left="1260" w:hanging="604"/>
        <w:spacing w:after="0"/>
        <w:tabs>
          <w:tab w:leader="none" w:pos="1260"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p>
    <w:p>
      <w:pPr>
        <w:spacing w:after="0" w:line="229" w:lineRule="exact"/>
        <w:rPr>
          <w:rFonts w:ascii="Arial" w:cs="Arial" w:eastAsia="Arial" w:hAnsi="Arial"/>
          <w:sz w:val="20"/>
          <w:szCs w:val="20"/>
          <w:color w:val="auto"/>
        </w:rPr>
      </w:pPr>
    </w:p>
    <w:p>
      <w:pPr>
        <w:jc w:val="both"/>
        <w:ind w:firstLine="1305"/>
        <w:spacing w:after="0" w:line="250" w:lineRule="auto"/>
        <w:tabs>
          <w:tab w:leader="none" w:pos="2145" w:val="left"/>
        </w:tabs>
        <w:numPr>
          <w:ilvl w:val="1"/>
          <w:numId w:val="185"/>
        </w:numPr>
        <w:rPr>
          <w:rFonts w:ascii="Arial" w:cs="Arial" w:eastAsia="Arial" w:hAnsi="Arial"/>
          <w:sz w:val="20"/>
          <w:szCs w:val="20"/>
          <w:color w:val="auto"/>
        </w:rPr>
      </w:pPr>
      <w:r>
        <w:rPr>
          <w:rFonts w:ascii="Arial" w:cs="Arial" w:eastAsia="Arial" w:hAnsi="Arial"/>
          <w:sz w:val="20"/>
          <w:szCs w:val="20"/>
          <w:color w:val="auto"/>
        </w:rPr>
        <w:t>Subject to the other terms of this Agreement regarding the exercisability of the Option, provided that Holder is employed by a Participating Company on the relevant Exercise Date set forth below, the Option may be exercised in respect of the number of shares (the “Option Portion”) listed in column A from and after the Exercise Date listed in column B,</w:t>
      </w:r>
    </w:p>
    <w:p>
      <w:pPr>
        <w:spacing w:after="0" w:line="200" w:lineRule="exact"/>
        <w:rPr>
          <w:sz w:val="20"/>
          <w:szCs w:val="20"/>
          <w:color w:val="auto"/>
        </w:rPr>
      </w:pPr>
    </w:p>
    <w:tbl>
      <w:tblPr>
        <w:tblLayout w:type="fixed"/>
        <w:tblInd w:w="980" w:type="dxa"/>
        <w:tblCellMar>
          <w:top w:w="0" w:type="dxa"/>
          <w:left w:w="0" w:type="dxa"/>
          <w:bottom w:w="0" w:type="dxa"/>
          <w:right w:w="0" w:type="dxa"/>
        </w:tblCellMar>
      </w:tblPr>
      <w:tr>
        <w:trPr>
          <w:trHeight w:val="250"/>
        </w:trPr>
        <w:tc>
          <w:tcPr>
            <w:tcW w:w="1540" w:type="dxa"/>
            <w:vAlign w:val="bottom"/>
          </w:tcPr>
          <w:p>
            <w:pPr>
              <w:spacing w:after="0"/>
              <w:rPr>
                <w:sz w:val="21"/>
                <w:szCs w:val="21"/>
                <w:color w:val="auto"/>
              </w:rPr>
            </w:pPr>
          </w:p>
        </w:tc>
        <w:tc>
          <w:tcPr>
            <w:tcW w:w="2860" w:type="dxa"/>
            <w:vAlign w:val="bottom"/>
            <w:gridSpan w:val="2"/>
          </w:tcPr>
          <w:p>
            <w:pPr>
              <w:jc w:val="center"/>
              <w:ind w:right="1420"/>
              <w:spacing w:after="0"/>
              <w:rPr>
                <w:sz w:val="20"/>
                <w:szCs w:val="20"/>
                <w:color w:val="auto"/>
              </w:rPr>
            </w:pPr>
            <w:r>
              <w:rPr>
                <w:rFonts w:ascii="Arial" w:cs="Arial" w:eastAsia="Arial" w:hAnsi="Arial"/>
                <w:sz w:val="20"/>
                <w:szCs w:val="20"/>
                <w:color w:val="auto"/>
                <w:w w:val="98"/>
              </w:rPr>
              <w:t>Column “A”</w:t>
            </w:r>
          </w:p>
        </w:tc>
        <w:tc>
          <w:tcPr>
            <w:tcW w:w="2020" w:type="dxa"/>
            <w:vAlign w:val="bottom"/>
          </w:tcPr>
          <w:p>
            <w:pPr>
              <w:spacing w:after="0"/>
              <w:rPr>
                <w:sz w:val="21"/>
                <w:szCs w:val="21"/>
                <w:color w:val="auto"/>
              </w:rPr>
            </w:pPr>
          </w:p>
        </w:tc>
        <w:tc>
          <w:tcPr>
            <w:tcW w:w="2100" w:type="dxa"/>
            <w:vAlign w:val="bottom"/>
            <w:gridSpan w:val="2"/>
          </w:tcPr>
          <w:p>
            <w:pPr>
              <w:jc w:val="center"/>
              <w:ind w:right="1000"/>
              <w:spacing w:after="0"/>
              <w:rPr>
                <w:sz w:val="20"/>
                <w:szCs w:val="20"/>
                <w:color w:val="auto"/>
              </w:rPr>
            </w:pPr>
            <w:r>
              <w:rPr>
                <w:rFonts w:ascii="Arial" w:cs="Arial" w:eastAsia="Arial" w:hAnsi="Arial"/>
                <w:sz w:val="20"/>
                <w:szCs w:val="20"/>
                <w:color w:val="auto"/>
                <w:w w:val="96"/>
              </w:rPr>
              <w:t>Column “B”</w:t>
            </w:r>
          </w:p>
        </w:tc>
      </w:tr>
      <w:tr>
        <w:trPr>
          <w:trHeight w:val="415"/>
        </w:trPr>
        <w:tc>
          <w:tcPr>
            <w:tcW w:w="15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20"/>
                <w:szCs w:val="20"/>
                <w:color w:val="auto"/>
                <w:w w:val="88"/>
              </w:rPr>
              <w:t>Number of Shares</w:t>
            </w:r>
          </w:p>
        </w:tc>
        <w:tc>
          <w:tcPr>
            <w:tcW w:w="1420" w:type="dxa"/>
            <w:vAlign w:val="bottom"/>
          </w:tcPr>
          <w:p>
            <w:pPr>
              <w:spacing w:after="0"/>
              <w:rPr>
                <w:sz w:val="24"/>
                <w:szCs w:val="24"/>
                <w:color w:val="auto"/>
              </w:rPr>
            </w:pPr>
          </w:p>
        </w:tc>
        <w:tc>
          <w:tcPr>
            <w:tcW w:w="4120" w:type="dxa"/>
            <w:vAlign w:val="bottom"/>
            <w:gridSpan w:val="3"/>
          </w:tcPr>
          <w:p>
            <w:pPr>
              <w:jc w:val="center"/>
              <w:ind w:left="921"/>
              <w:spacing w:after="0"/>
              <w:rPr>
                <w:sz w:val="20"/>
                <w:szCs w:val="20"/>
                <w:color w:val="auto"/>
              </w:rPr>
            </w:pPr>
            <w:r>
              <w:rPr>
                <w:rFonts w:ascii="Arial" w:cs="Arial" w:eastAsia="Arial" w:hAnsi="Arial"/>
                <w:sz w:val="20"/>
                <w:szCs w:val="20"/>
                <w:color w:val="auto"/>
                <w:w w:val="88"/>
              </w:rPr>
              <w:t>Exercise Date</w:t>
            </w:r>
          </w:p>
        </w:tc>
      </w:tr>
      <w:tr>
        <w:trPr>
          <w:trHeight w:val="20"/>
        </w:trPr>
        <w:tc>
          <w:tcPr>
            <w:tcW w:w="1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84"/>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97"/>
              </w:rPr>
              <w:t>After the first anniversary of the Grant Date</w:t>
            </w:r>
          </w:p>
        </w:tc>
      </w:tr>
      <w:tr>
        <w:trPr>
          <w:trHeight w:val="459"/>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89"/>
              </w:rPr>
              <w:t>After the second anniversary of the Grant Date</w:t>
            </w:r>
          </w:p>
        </w:tc>
      </w:tr>
      <w:tr>
        <w:trPr>
          <w:trHeight w:val="459"/>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95"/>
              </w:rPr>
              <w:t>After the third anniversary of the Grant Date</w:t>
            </w:r>
          </w:p>
        </w:tc>
      </w:tr>
      <w:tr>
        <w:trPr>
          <w:trHeight w:val="459"/>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92"/>
              </w:rPr>
              <w:t>After the fourth anniversary of the Grant Date</w:t>
            </w:r>
          </w:p>
        </w:tc>
      </w:tr>
      <w:tr>
        <w:trPr>
          <w:trHeight w:val="459"/>
        </w:trPr>
        <w:tc>
          <w:tcPr>
            <w:tcW w:w="4400" w:type="dxa"/>
            <w:vAlign w:val="bottom"/>
            <w:gridSpan w:val="3"/>
          </w:tcPr>
          <w:p>
            <w:pPr>
              <w:spacing w:after="0"/>
              <w:rPr>
                <w:sz w:val="20"/>
                <w:szCs w:val="20"/>
                <w:color w:val="auto"/>
              </w:rPr>
            </w:pPr>
            <w:r>
              <w:rPr>
                <w:rFonts w:ascii="Arial" w:cs="Arial" w:eastAsia="Arial" w:hAnsi="Arial"/>
                <w:sz w:val="20"/>
                <w:szCs w:val="20"/>
                <w:color w:val="auto"/>
                <w:w w:val="98"/>
              </w:rPr>
              <w:t>20% of the number of shares subject to the Option</w:t>
            </w:r>
          </w:p>
        </w:tc>
        <w:tc>
          <w:tcPr>
            <w:tcW w:w="4120" w:type="dxa"/>
            <w:vAlign w:val="bottom"/>
            <w:gridSpan w:val="3"/>
          </w:tcPr>
          <w:p>
            <w:pPr>
              <w:ind w:left="400"/>
              <w:spacing w:after="0"/>
              <w:rPr>
                <w:sz w:val="20"/>
                <w:szCs w:val="20"/>
                <w:color w:val="auto"/>
              </w:rPr>
            </w:pPr>
            <w:r>
              <w:rPr>
                <w:rFonts w:ascii="Arial" w:cs="Arial" w:eastAsia="Arial" w:hAnsi="Arial"/>
                <w:sz w:val="20"/>
                <w:szCs w:val="20"/>
                <w:color w:val="auto"/>
                <w:w w:val="97"/>
              </w:rPr>
              <w:t>After the fifth anniversary of the Grant Date</w:t>
            </w:r>
          </w:p>
        </w:tc>
      </w:tr>
    </w:tbl>
    <w:p>
      <w:pPr>
        <w:spacing w:after="0" w:line="209" w:lineRule="exact"/>
        <w:rPr>
          <w:sz w:val="20"/>
          <w:szCs w:val="20"/>
          <w:color w:val="auto"/>
        </w:rPr>
      </w:pPr>
    </w:p>
    <w:p>
      <w:pPr>
        <w:jc w:val="both"/>
        <w:ind w:firstLine="1305"/>
        <w:spacing w:after="0" w:line="246" w:lineRule="auto"/>
        <w:tabs>
          <w:tab w:leader="none" w:pos="1972"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This Option may be exercised, to the extent exercisable by its terms, from time to time in whole or in part at any time prior to the expiration thereof. Any exercise shall be accompanied by a written notice to the Company specifying the number of shares as to which this Option is being exercised (the “Option Shares”). Notations of any partial exercise or installment exercise, shall be made by the Company on Schedule A hereto.</w:t>
      </w:r>
    </w:p>
    <w:p>
      <w:pPr>
        <w:spacing w:after="0" w:line="205" w:lineRule="exact"/>
        <w:rPr>
          <w:rFonts w:ascii="Arial" w:cs="Arial" w:eastAsia="Arial" w:hAnsi="Arial"/>
          <w:sz w:val="20"/>
          <w:szCs w:val="20"/>
          <w:color w:val="auto"/>
        </w:rPr>
      </w:pPr>
    </w:p>
    <w:p>
      <w:pPr>
        <w:ind w:left="2060" w:hanging="755"/>
        <w:spacing w:after="0"/>
        <w:tabs>
          <w:tab w:leader="none" w:pos="20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Notwithstanding anything else herein to the contrary, this Option shall expire on the tenth anniversary of the Grant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Date.</w:t>
      </w:r>
    </w:p>
    <w:p>
      <w:pPr>
        <w:spacing w:after="0" w:line="213" w:lineRule="exact"/>
        <w:rPr>
          <w:rFonts w:ascii="Arial" w:cs="Arial" w:eastAsia="Arial" w:hAnsi="Arial"/>
          <w:sz w:val="18"/>
          <w:szCs w:val="18"/>
          <w:color w:val="auto"/>
        </w:rPr>
      </w:pPr>
    </w:p>
    <w:p>
      <w:pPr>
        <w:ind w:left="1940" w:hanging="635"/>
        <w:spacing w:after="0"/>
        <w:tabs>
          <w:tab w:leader="none" w:pos="19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Holder hereby agrees to notify the Company in writing in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6" w:right="239" w:bottom="39" w:gutter="0" w:footer="0" w:header="0"/>
        </w:sectPr>
      </w:pPr>
    </w:p>
    <w:bookmarkStart w:id="115" w:name="page116"/>
    <w:bookmarkEnd w:id="115"/>
    <w:p>
      <w:pPr>
        <w:spacing w:after="0" w:line="260" w:lineRule="auto"/>
        <w:rPr>
          <w:sz w:val="20"/>
          <w:szCs w:val="20"/>
          <w:color w:val="auto"/>
        </w:rPr>
      </w:pPr>
      <w:r>
        <w:rPr>
          <w:rFonts w:ascii="Arial" w:cs="Arial" w:eastAsia="Arial" w:hAnsi="Arial"/>
          <w:sz w:val="20"/>
          <w:szCs w:val="20"/>
          <w:color w:val="auto"/>
        </w:rPr>
        <w:t>shares acquired pursuant to the exercise of this Option are transferred, other than by will or by the laws of descent and distribution, within two years after the Grant Date or within one year after the issuance of such shares pursuant to such exercise.</w:t>
      </w:r>
    </w:p>
    <w:p>
      <w:pPr>
        <w:spacing w:after="0" w:line="190" w:lineRule="exact"/>
        <w:rPr>
          <w:sz w:val="20"/>
          <w:szCs w:val="20"/>
          <w:color w:val="auto"/>
        </w:rPr>
      </w:pPr>
    </w:p>
    <w:p>
      <w:pPr>
        <w:ind w:firstLine="656"/>
        <w:spacing w:after="0" w:line="260" w:lineRule="auto"/>
        <w:tabs>
          <w:tab w:leader="none" w:pos="1242"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Payment of Purchase Price Upon Exercise</w:t>
      </w:r>
      <w:r>
        <w:rPr>
          <w:rFonts w:ascii="Arial" w:cs="Arial" w:eastAsia="Arial" w:hAnsi="Arial"/>
          <w:sz w:val="20"/>
          <w:szCs w:val="20"/>
          <w:color w:val="auto"/>
        </w:rPr>
        <w:t>. At the time of any exercise of all or a portion of the Option, the purchase price shall be paid in full to the Company in any of the following ways or in any combination of the following ways:</w:t>
      </w:r>
    </w:p>
    <w:p>
      <w:pPr>
        <w:spacing w:after="0" w:line="190" w:lineRule="exact"/>
        <w:rPr>
          <w:rFonts w:ascii="Arial" w:cs="Arial" w:eastAsia="Arial" w:hAnsi="Arial"/>
          <w:sz w:val="20"/>
          <w:szCs w:val="20"/>
          <w:color w:val="auto"/>
        </w:rPr>
      </w:pPr>
    </w:p>
    <w:p>
      <w:pPr>
        <w:ind w:left="1920" w:hanging="615"/>
        <w:spacing w:after="0"/>
        <w:tabs>
          <w:tab w:leader="none" w:pos="1920" w:val="left"/>
        </w:tabs>
        <w:numPr>
          <w:ilvl w:val="1"/>
          <w:numId w:val="187"/>
        </w:numPr>
        <w:rPr>
          <w:rFonts w:ascii="Arial" w:cs="Arial" w:eastAsia="Arial" w:hAnsi="Arial"/>
          <w:sz w:val="20"/>
          <w:szCs w:val="20"/>
          <w:color w:val="auto"/>
        </w:rPr>
      </w:pPr>
      <w:r>
        <w:rPr>
          <w:rFonts w:ascii="Arial" w:cs="Arial" w:eastAsia="Arial" w:hAnsi="Arial"/>
          <w:sz w:val="20"/>
          <w:szCs w:val="20"/>
          <w:color w:val="auto"/>
        </w:rPr>
        <w:t>By check or other immediately available funds.</w:t>
      </w:r>
    </w:p>
    <w:p>
      <w:pPr>
        <w:spacing w:after="0" w:line="229" w:lineRule="exact"/>
        <w:rPr>
          <w:rFonts w:ascii="Arial" w:cs="Arial" w:eastAsia="Arial" w:hAnsi="Arial"/>
          <w:sz w:val="20"/>
          <w:szCs w:val="20"/>
          <w:color w:val="auto"/>
        </w:rPr>
      </w:pPr>
    </w:p>
    <w:p>
      <w:pPr>
        <w:jc w:val="both"/>
        <w:ind w:firstLine="1305"/>
        <w:spacing w:after="0" w:line="246" w:lineRule="auto"/>
        <w:tabs>
          <w:tab w:leader="none" w:pos="1958" w:val="left"/>
        </w:tabs>
        <w:numPr>
          <w:ilvl w:val="1"/>
          <w:numId w:val="187"/>
        </w:numPr>
        <w:rPr>
          <w:rFonts w:ascii="Arial" w:cs="Arial" w:eastAsia="Arial" w:hAnsi="Arial"/>
          <w:sz w:val="20"/>
          <w:szCs w:val="20"/>
          <w:color w:val="auto"/>
        </w:rPr>
      </w:pPr>
      <w:r>
        <w:rPr>
          <w:rFonts w:ascii="Arial" w:cs="Arial" w:eastAsia="Arial" w:hAnsi="Arial"/>
          <w:sz w:val="20"/>
          <w:szCs w:val="20"/>
          <w:color w:val="auto"/>
        </w:rPr>
        <w:t>With property consisting of shares of Stock. (The shares of Stock to be used as payment shall be valued as of the date of exercise of the Option at the Closing Price as defined below. For example, if Holder exercises the option for 4,000 shares at a total Exercise Price of $8,000, assuming an exercise price of $2.00 per share, and the Closing Price is $5.00, Holder may pay for the 4,000 Option Shares by transferring 1,600 shares of Stock to the Company.)</w:t>
      </w:r>
    </w:p>
    <w:p>
      <w:pPr>
        <w:spacing w:after="0" w:line="205" w:lineRule="exact"/>
        <w:rPr>
          <w:rFonts w:ascii="Arial" w:cs="Arial" w:eastAsia="Arial" w:hAnsi="Arial"/>
          <w:sz w:val="20"/>
          <w:szCs w:val="20"/>
          <w:color w:val="auto"/>
        </w:rPr>
      </w:pPr>
    </w:p>
    <w:p>
      <w:pPr>
        <w:jc w:val="both"/>
        <w:ind w:firstLine="1305"/>
        <w:spacing w:after="0" w:line="250" w:lineRule="auto"/>
        <w:tabs>
          <w:tab w:leader="none" w:pos="1935" w:val="left"/>
        </w:tabs>
        <w:numPr>
          <w:ilvl w:val="1"/>
          <w:numId w:val="187"/>
        </w:numPr>
        <w:rPr>
          <w:rFonts w:ascii="Arial" w:cs="Arial" w:eastAsia="Arial" w:hAnsi="Arial"/>
          <w:sz w:val="20"/>
          <w:szCs w:val="20"/>
          <w:color w:val="auto"/>
        </w:rPr>
      </w:pPr>
      <w:r>
        <w:rPr>
          <w:rFonts w:ascii="Arial" w:cs="Arial" w:eastAsia="Arial" w:hAnsi="Arial"/>
          <w:sz w:val="20"/>
          <w:szCs w:val="20"/>
          <w:color w:val="auto"/>
        </w:rPr>
        <w:t>By delivering a properly executed exercise notice together with irrevocable instructions to a broker to deliver promptly to the Company the amount of sale proceeds necessary to pay the purchase price and applicable withholding taxes, and such other documents as the Committee may determine.</w:t>
      </w:r>
    </w:p>
    <w:p>
      <w:pPr>
        <w:spacing w:after="0" w:line="199" w:lineRule="exact"/>
        <w:rPr>
          <w:rFonts w:ascii="Arial" w:cs="Arial" w:eastAsia="Arial" w:hAnsi="Arial"/>
          <w:sz w:val="20"/>
          <w:szCs w:val="20"/>
          <w:color w:val="auto"/>
        </w:rPr>
      </w:pPr>
    </w:p>
    <w:p>
      <w:pPr>
        <w:jc w:val="both"/>
        <w:ind w:firstLine="1305"/>
        <w:spacing w:after="0" w:line="257" w:lineRule="auto"/>
        <w:tabs>
          <w:tab w:leader="none" w:pos="2027" w:val="left"/>
        </w:tabs>
        <w:numPr>
          <w:ilvl w:val="1"/>
          <w:numId w:val="187"/>
        </w:numPr>
        <w:rPr>
          <w:rFonts w:ascii="Arial" w:cs="Arial" w:eastAsia="Arial" w:hAnsi="Arial"/>
          <w:sz w:val="19"/>
          <w:szCs w:val="19"/>
          <w:color w:val="auto"/>
        </w:rPr>
      </w:pPr>
      <w:r>
        <w:rPr>
          <w:rFonts w:ascii="Arial" w:cs="Arial" w:eastAsia="Arial" w:hAnsi="Arial"/>
          <w:sz w:val="19"/>
          <w:szCs w:val="19"/>
          <w:color w:val="auto"/>
        </w:rPr>
        <w:t>For purposes of this Agreement, the term “Closing Price” means, with respect to the Company’s Stock, the last sale price regular-way or, in case no such sale takes place on such date, the average of the closing bid and asked prices regular-way on the principal national securities exchange on which the Stock is listed or admitted to trading; or, if the Stock is not listed or admitted to trading on any national securities exchange, the last sale price of the Stock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Stock is not listed on NASDAQ or a comparable system, the “Closing Price” shall be the fair market value of the Stock as determined by the Committee in good faith.</w:t>
      </w:r>
    </w:p>
    <w:p>
      <w:pPr>
        <w:spacing w:after="0" w:line="194" w:lineRule="exact"/>
        <w:rPr>
          <w:rFonts w:ascii="Arial" w:cs="Arial" w:eastAsia="Arial" w:hAnsi="Arial"/>
          <w:sz w:val="19"/>
          <w:szCs w:val="19"/>
          <w:color w:val="auto"/>
        </w:rPr>
      </w:pPr>
    </w:p>
    <w:p>
      <w:pPr>
        <w:jc w:val="both"/>
        <w:ind w:firstLine="656"/>
        <w:spacing w:after="0" w:line="250" w:lineRule="auto"/>
        <w:tabs>
          <w:tab w:leader="none" w:pos="1310"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Purchase for Investment; Resale Restrictions</w:t>
      </w:r>
      <w:r>
        <w:rPr>
          <w:rFonts w:ascii="Arial" w:cs="Arial" w:eastAsia="Arial" w:hAnsi="Arial"/>
          <w:sz w:val="20"/>
          <w:szCs w:val="20"/>
          <w:color w:val="auto"/>
        </w:rPr>
        <w:t>. Unless at the time of exercise of the Option there shall be a valid and effective registration statement under the Securities Act of 1933 (the “‘33 Act”) and appropriate qualification and registration under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relating to the Option Shares being acquired, Holder shall upon exercise of the Option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183" w:lineRule="exact"/>
        <w:rPr>
          <w:sz w:val="20"/>
          <w:szCs w:val="20"/>
          <w:color w:val="auto"/>
        </w:rPr>
      </w:pPr>
    </w:p>
    <w:p>
      <w:pPr>
        <w:ind w:firstLine="656"/>
        <w:spacing w:after="0" w:line="260" w:lineRule="auto"/>
        <w:tabs>
          <w:tab w:leader="none" w:pos="1296" w:val="left"/>
        </w:tabs>
        <w:numPr>
          <w:ilvl w:val="1"/>
          <w:numId w:val="188"/>
        </w:numPr>
        <w:rPr>
          <w:rFonts w:ascii="Arial" w:cs="Arial" w:eastAsia="Arial" w:hAnsi="Arial"/>
          <w:sz w:val="20"/>
          <w:szCs w:val="20"/>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 This Option shall not be transferable other than by will or by the laws of descent and distribution. During the lifetime of Holder, this Option shall be exercisable only by Holder.</w:t>
      </w:r>
    </w:p>
    <w:p>
      <w:pPr>
        <w:spacing w:after="0" w:line="190" w:lineRule="exact"/>
        <w:rPr>
          <w:rFonts w:ascii="Arial" w:cs="Arial" w:eastAsia="Arial" w:hAnsi="Arial"/>
          <w:sz w:val="20"/>
          <w:szCs w:val="20"/>
          <w:color w:val="auto"/>
        </w:rPr>
      </w:pPr>
    </w:p>
    <w:p>
      <w:pPr>
        <w:ind w:left="1260" w:hanging="604"/>
        <w:spacing w:after="0"/>
        <w:tabs>
          <w:tab w:leader="none" w:pos="1260" w:val="left"/>
        </w:tabs>
        <w:numPr>
          <w:ilvl w:val="1"/>
          <w:numId w:val="188"/>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1305"/>
        <w:spacing w:after="0" w:line="303" w:lineRule="auto"/>
        <w:tabs>
          <w:tab w:leader="none" w:pos="1941" w:val="left"/>
        </w:tabs>
        <w:numPr>
          <w:ilvl w:val="2"/>
          <w:numId w:val="188"/>
        </w:numPr>
        <w:rPr>
          <w:rFonts w:ascii="Arial" w:cs="Arial" w:eastAsia="Arial" w:hAnsi="Arial"/>
          <w:sz w:val="16"/>
          <w:szCs w:val="16"/>
          <w:color w:val="auto"/>
        </w:rPr>
      </w:pPr>
      <w:r>
        <w:rPr>
          <w:rFonts w:ascii="Arial" w:cs="Arial" w:eastAsia="Arial" w:hAnsi="Arial"/>
          <w:sz w:val="16"/>
          <w:szCs w:val="16"/>
          <w:color w:val="auto"/>
        </w:rPr>
        <w:t>Subject to clause 7(b) below, if the outstanding shares of stock of the Company are 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 of the assets or shares of the Company, reorganization, recapitalization, reclassification, stock dividend, stock split, reverse stock split or other distribution with respect to such shares of stock or other securities, then, to the extent permitted by the Board, an appropriate and proportionate adjustment shall be made in</w:t>
      </w:r>
    </w:p>
    <w:p>
      <w:pPr>
        <w:spacing w:after="0" w:line="2" w:lineRule="exact"/>
        <w:rPr>
          <w:rFonts w:ascii="Arial" w:cs="Arial" w:eastAsia="Arial" w:hAnsi="Arial"/>
          <w:sz w:val="16"/>
          <w:szCs w:val="16"/>
          <w:color w:val="auto"/>
        </w:rPr>
      </w:pPr>
    </w:p>
    <w:p>
      <w:pPr>
        <w:jc w:val="both"/>
        <w:ind w:firstLine="8"/>
        <w:spacing w:after="0" w:line="315" w:lineRule="auto"/>
        <w:tabs>
          <w:tab w:leader="none" w:pos="28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maximum number and/or kind of shares provided in Paragraph 1 above; (2) the number and/or kind of shares or other securities subject to the outstanding options and tandum SARs, if any; and (3) the price for each share or other unit of any other securities subject to outstanding options without change in the aggregate purchase price or value as to which the options remain exercisable or subject to restrictions. Any adjustment under this clause 7(a) shall be made by the Board, whose determination as to what adjustments shall be made, if any, and the extent thereof, will be final, binding and conclusive. No fractional interests will be issued under this Agreement resulting from any such adjustment.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3" w:lineRule="exact"/>
        <w:rPr>
          <w:rFonts w:ascii="Arial" w:cs="Arial" w:eastAsia="Arial" w:hAnsi="Arial"/>
          <w:sz w:val="16"/>
          <w:szCs w:val="16"/>
          <w:color w:val="auto"/>
        </w:rPr>
      </w:pPr>
    </w:p>
    <w:p>
      <w:pPr>
        <w:jc w:val="both"/>
        <w:ind w:firstLine="1305"/>
        <w:spacing w:after="0" w:line="246" w:lineRule="auto"/>
        <w:tabs>
          <w:tab w:leader="none" w:pos="2035" w:val="left"/>
        </w:tabs>
        <w:numPr>
          <w:ilvl w:val="2"/>
          <w:numId w:val="189"/>
        </w:numPr>
        <w:rPr>
          <w:rFonts w:ascii="Arial" w:cs="Arial" w:eastAsia="Arial" w:hAnsi="Arial"/>
          <w:sz w:val="20"/>
          <w:szCs w:val="20"/>
          <w:color w:val="auto"/>
        </w:rPr>
      </w:pPr>
      <w:r>
        <w:rPr>
          <w:rFonts w:ascii="Arial" w:cs="Arial" w:eastAsia="Arial" w:hAnsi="Arial"/>
          <w:sz w:val="20"/>
          <w:szCs w:val="20"/>
          <w:color w:val="auto"/>
        </w:rPr>
        <w:t>Notwithstanding anything else herein to the contrary, the Board may, at any time, in its sole discretion, provide that upon the occurrence of a change in control of the Company (as determined by the Board), all or a specified portion of any outstanding options not theretofore exercisable shall immediately become exercisable and that any option not exercised prior to such change in control shall be canceled.</w:t>
      </w:r>
    </w:p>
    <w:p>
      <w:pPr>
        <w:spacing w:after="0" w:line="205" w:lineRule="exact"/>
        <w:rPr>
          <w:rFonts w:ascii="Arial" w:cs="Arial" w:eastAsia="Arial" w:hAnsi="Arial"/>
          <w:sz w:val="20"/>
          <w:szCs w:val="20"/>
          <w:color w:val="auto"/>
        </w:rPr>
      </w:pPr>
    </w:p>
    <w:p>
      <w:pPr>
        <w:ind w:right="20" w:firstLine="656"/>
        <w:spacing w:after="0" w:line="260" w:lineRule="auto"/>
        <w:tabs>
          <w:tab w:leader="none" w:pos="1404" w:val="left"/>
        </w:tabs>
        <w:numPr>
          <w:ilvl w:val="1"/>
          <w:numId w:val="189"/>
        </w:numPr>
        <w:rPr>
          <w:rFonts w:ascii="Arial" w:cs="Arial" w:eastAsia="Arial" w:hAnsi="Arial"/>
          <w:sz w:val="20"/>
          <w:szCs w:val="20"/>
          <w:color w:val="auto"/>
        </w:rPr>
      </w:pPr>
      <w:r>
        <w:rPr>
          <w:rFonts w:ascii="Arial" w:cs="Arial" w:eastAsia="Arial" w:hAnsi="Arial"/>
          <w:sz w:val="20"/>
          <w:szCs w:val="20"/>
          <w:u w:val="single" w:color="auto"/>
          <w:color w:val="auto"/>
        </w:rPr>
        <w:t>No Rights as Stockholder</w:t>
      </w:r>
      <w:r>
        <w:rPr>
          <w:rFonts w:ascii="Arial" w:cs="Arial" w:eastAsia="Arial" w:hAnsi="Arial"/>
          <w:sz w:val="20"/>
          <w:szCs w:val="20"/>
          <w:color w:val="auto"/>
        </w:rPr>
        <w:t>. Holder shall have no rights as a stockholder with respect to any shares of Stock subject to this Option prior to the date of issuance to him of a certificate or certificates for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-1430655</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95" w:right="239" w:bottom="175" w:gutter="0" w:footer="0" w:header="0"/>
        </w:sectPr>
      </w:pPr>
    </w:p>
    <w:bookmarkStart w:id="116" w:name="page117"/>
    <w:bookmarkEnd w:id="116"/>
    <w:p>
      <w:pPr>
        <w:jc w:val="both"/>
        <w:ind w:right="40" w:firstLine="656"/>
        <w:spacing w:after="0" w:line="250" w:lineRule="auto"/>
        <w:tabs>
          <w:tab w:leader="none" w:pos="1377"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No Right to Continue Employment</w:t>
      </w:r>
      <w:r>
        <w:rPr>
          <w:rFonts w:ascii="Arial" w:cs="Arial" w:eastAsia="Arial" w:hAnsi="Arial"/>
          <w:sz w:val="20"/>
          <w:szCs w:val="20"/>
          <w:color w:val="auto"/>
        </w:rPr>
        <w:t>. This Agreement shall not confer upon Holder any right with respect to continuance of employment with a Participating Company nor shall it interfere in any way with the right of a Participating Company to terminate the Holder’s employment at any time.</w:t>
      </w:r>
    </w:p>
    <w:p>
      <w:pPr>
        <w:spacing w:after="0" w:line="200" w:lineRule="exact"/>
        <w:rPr>
          <w:rFonts w:ascii="Arial" w:cs="Arial" w:eastAsia="Arial" w:hAnsi="Arial"/>
          <w:sz w:val="20"/>
          <w:szCs w:val="20"/>
          <w:color w:val="auto"/>
        </w:rPr>
      </w:pPr>
    </w:p>
    <w:p>
      <w:pPr>
        <w:jc w:val="both"/>
        <w:ind w:right="40" w:firstLine="656"/>
        <w:spacing w:after="0" w:line="258" w:lineRule="auto"/>
        <w:tabs>
          <w:tab w:leader="none" w:pos="1318"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Compliance With Law and Regulation</w:t>
      </w:r>
      <w:r>
        <w:rPr>
          <w:rFonts w:ascii="Arial" w:cs="Arial" w:eastAsia="Arial" w:hAnsi="Arial"/>
          <w:sz w:val="19"/>
          <w:szCs w:val="19"/>
          <w:color w:val="auto"/>
        </w:rPr>
        <w:t>. This Agreement and the obligation of the Company to sell and deliver shares of Stock hereunder shall be subject to all applicable federal and state laws, rules and regulations and to such approvals by any government or regulatory agency as may be required. If at any time the Board shall determine that (i) the listing, registration or qualification of the shares of Stock subject or related thereto upon any securities exchange or under any state or federal law, or (ii) the consent or approval of any government regulatory body, is necessary or desirable as a condition of or in connection with the issue or purchase of shares of Stock hereunder, this Option may not be exercised in whole or in part unless such listing, registration, qualification, consent, approval or agreement shall have been effected or obtained free of any conditions not acceptable to the Board.</w:t>
      </w:r>
    </w:p>
    <w:p>
      <w:pPr>
        <w:spacing w:after="0" w:line="192" w:lineRule="exact"/>
        <w:rPr>
          <w:rFonts w:ascii="Arial" w:cs="Arial" w:eastAsia="Arial" w:hAnsi="Arial"/>
          <w:sz w:val="19"/>
          <w:szCs w:val="19"/>
          <w:color w:val="auto"/>
        </w:rPr>
      </w:pPr>
    </w:p>
    <w:p>
      <w:pPr>
        <w:ind w:right="40" w:firstLine="656"/>
        <w:spacing w:after="0" w:line="316" w:lineRule="auto"/>
        <w:tabs>
          <w:tab w:leader="none" w:pos="1433"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Tax Withholding Requirements</w:t>
      </w:r>
      <w:r>
        <w:rPr>
          <w:rFonts w:ascii="Arial" w:cs="Arial" w:eastAsia="Arial" w:hAnsi="Arial"/>
          <w:sz w:val="18"/>
          <w:szCs w:val="18"/>
          <w:color w:val="auto"/>
        </w:rPr>
        <w:t>. The Company shall have the right to require Holder to remit to the Company an amount sufficient to satisfy any federal, state or local withholding tax requirements prior to the delivery of any certificate or certificates for Stock.</w:t>
      </w:r>
    </w:p>
    <w:p>
      <w:pPr>
        <w:spacing w:after="0" w:line="143" w:lineRule="exact"/>
        <w:rPr>
          <w:rFonts w:ascii="Arial" w:cs="Arial" w:eastAsia="Arial" w:hAnsi="Arial"/>
          <w:sz w:val="18"/>
          <w:szCs w:val="18"/>
          <w:color w:val="auto"/>
        </w:rPr>
      </w:pPr>
    </w:p>
    <w:p>
      <w:pPr>
        <w:ind w:right="40" w:firstLine="656"/>
        <w:spacing w:after="0" w:line="316" w:lineRule="auto"/>
        <w:tabs>
          <w:tab w:leader="none" w:pos="1345"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other provision of this Agreement, no fractional shares of Stock shall be issued upon the exercise of this Option, and the Company shall not be under any obligation to compensate Holder in any way for such fractional shares.</w:t>
      </w:r>
    </w:p>
    <w:p>
      <w:pPr>
        <w:spacing w:after="0" w:line="143" w:lineRule="exact"/>
        <w:rPr>
          <w:rFonts w:ascii="Arial" w:cs="Arial" w:eastAsia="Arial" w:hAnsi="Arial"/>
          <w:sz w:val="18"/>
          <w:szCs w:val="18"/>
          <w:color w:val="auto"/>
        </w:rPr>
      </w:pPr>
    </w:p>
    <w:p>
      <w:pPr>
        <w:ind w:right="60" w:firstLine="656"/>
        <w:spacing w:after="0" w:line="260" w:lineRule="auto"/>
        <w:tabs>
          <w:tab w:leader="none" w:pos="1345"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hereunder to the Company shall be addressed to it at its office at 550 Monica Circle, Suite 201, Corona, California 92880, Attention: Rodney C. Sacks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copy to Benjamin Polk, Schulte Roth &amp; Zabel LLP, 919 Third Avenue, New York, New York 10022, and any notice hereunder to Holder shall be addressed to him at 4472 Torrey Pines Drive, Chino Hills, California 91709, subject to the right of either party to designate at any time hereafter in writing some other address.</w:t>
      </w:r>
    </w:p>
    <w:p>
      <w:pPr>
        <w:spacing w:after="0" w:line="200" w:lineRule="exact"/>
        <w:rPr>
          <w:sz w:val="20"/>
          <w:szCs w:val="20"/>
          <w:color w:val="auto"/>
        </w:rPr>
      </w:pPr>
    </w:p>
    <w:p>
      <w:pPr>
        <w:ind w:right="40" w:firstLine="656"/>
        <w:spacing w:after="0" w:line="260" w:lineRule="auto"/>
        <w:tabs>
          <w:tab w:leader="none" w:pos="1373"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No modification, amendment or waiver of any of the provisions of this Agreement shall be effective unless in writing specifically referring hereto, and signed by both parties.</w:t>
      </w:r>
    </w:p>
    <w:p>
      <w:pPr>
        <w:spacing w:after="0" w:line="190" w:lineRule="exact"/>
        <w:rPr>
          <w:rFonts w:ascii="Arial" w:cs="Arial" w:eastAsia="Arial" w:hAnsi="Arial"/>
          <w:sz w:val="20"/>
          <w:szCs w:val="20"/>
          <w:color w:val="auto"/>
        </w:rPr>
      </w:pPr>
    </w:p>
    <w:p>
      <w:pPr>
        <w:ind w:right="40" w:firstLine="656"/>
        <w:spacing w:after="0" w:line="316" w:lineRule="auto"/>
        <w:tabs>
          <w:tab w:leader="none" w:pos="1359"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43" w:lineRule="exact"/>
        <w:rPr>
          <w:rFonts w:ascii="Arial" w:cs="Arial" w:eastAsia="Arial" w:hAnsi="Arial"/>
          <w:sz w:val="18"/>
          <w:szCs w:val="18"/>
          <w:color w:val="auto"/>
        </w:rPr>
      </w:pPr>
    </w:p>
    <w:p>
      <w:pPr>
        <w:ind w:left="1340" w:hanging="684"/>
        <w:spacing w:after="0"/>
        <w:tabs>
          <w:tab w:leader="none" w:pos="134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constitute one and the same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instrument.</w:t>
      </w:r>
    </w:p>
    <w:p>
      <w:pPr>
        <w:spacing w:after="0" w:line="213"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IN WITNESS WHEREOF, Hansen Natural Corporation has caused this Agreement to be executed by a duly authorized officer and Holder has executed this Agreement both as of the day and year first above written.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20"/>
                <w:szCs w:val="20"/>
                <w:color w:val="auto"/>
              </w:rPr>
              <w:t>HANSEN NATURAL CORPORATION</w:t>
            </w:r>
          </w:p>
        </w:tc>
        <w:tc>
          <w:tcPr>
            <w:tcW w:w="40" w:type="dxa"/>
            <w:vAlign w:val="bottom"/>
          </w:tcPr>
          <w:p>
            <w:pPr>
              <w:spacing w:after="0"/>
              <w:rPr>
                <w:sz w:val="21"/>
                <w:szCs w:val="21"/>
                <w:color w:val="auto"/>
              </w:rPr>
            </w:pPr>
          </w:p>
        </w:tc>
      </w:tr>
      <w:tr>
        <w:trPr>
          <w:trHeight w:val="678"/>
        </w:trPr>
        <w:tc>
          <w:tcPr>
            <w:tcW w:w="5720" w:type="dxa"/>
            <w:vAlign w:val="bottom"/>
            <w:gridSpan w:val="2"/>
          </w:tcPr>
          <w:p>
            <w:pPr>
              <w:spacing w:after="0"/>
              <w:rPr>
                <w:sz w:val="20"/>
                <w:szCs w:val="20"/>
                <w:color w:val="auto"/>
              </w:rPr>
            </w:pPr>
            <w:r>
              <w:rPr>
                <w:rFonts w:ascii="Arial" w:cs="Arial" w:eastAsia="Arial" w:hAnsi="Arial"/>
                <w:sz w:val="20"/>
                <w:szCs w:val="20"/>
                <w:color w:val="auto"/>
              </w:rPr>
              <w:t>/s/ Thomas Kelly</w:t>
            </w:r>
          </w:p>
        </w:tc>
        <w:tc>
          <w:tcPr>
            <w:tcW w:w="5700" w:type="dxa"/>
            <w:vAlign w:val="bottom"/>
            <w:gridSpan w:val="2"/>
          </w:tcPr>
          <w:p>
            <w:pPr>
              <w:spacing w:after="0"/>
              <w:rPr>
                <w:sz w:val="20"/>
                <w:szCs w:val="20"/>
                <w:color w:val="auto"/>
              </w:rPr>
            </w:pPr>
            <w:r>
              <w:rPr>
                <w:rFonts w:ascii="Arial" w:cs="Arial" w:eastAsia="Arial" w:hAnsi="Arial"/>
                <w:sz w:val="20"/>
                <w:szCs w:val="20"/>
                <w:color w:val="auto"/>
              </w:rPr>
              <w:t>By:  /s/ Rodney C. Sacks</w:t>
            </w:r>
          </w:p>
        </w:tc>
        <w:tc>
          <w:tcPr>
            <w:tcW w:w="4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700" w:type="dxa"/>
            <w:vAlign w:val="bottom"/>
            <w:tcBorders>
              <w:top w:val="single" w:sz="8" w:color="auto"/>
            </w:tcBorders>
          </w:tcPr>
          <w:p>
            <w:pPr>
              <w:spacing w:after="0" w:line="213" w:lineRule="exact"/>
              <w:rPr>
                <w:sz w:val="20"/>
                <w:szCs w:val="20"/>
                <w:color w:val="auto"/>
              </w:rPr>
            </w:pPr>
            <w:r>
              <w:rPr>
                <w:rFonts w:ascii="Arial" w:cs="Arial" w:eastAsia="Arial" w:hAnsi="Arial"/>
                <w:sz w:val="20"/>
                <w:szCs w:val="20"/>
                <w:color w:val="auto"/>
              </w:rPr>
              <w:t>Thomas Kelly</w:t>
            </w:r>
          </w:p>
        </w:tc>
        <w:tc>
          <w:tcPr>
            <w:tcW w:w="440" w:type="dxa"/>
            <w:vAlign w:val="bottom"/>
          </w:tcPr>
          <w:p>
            <w:pPr>
              <w:spacing w:after="0" w:line="213" w:lineRule="exact"/>
              <w:rPr>
                <w:sz w:val="20"/>
                <w:szCs w:val="20"/>
                <w:color w:val="auto"/>
              </w:rPr>
            </w:pPr>
            <w:r>
              <w:rPr>
                <w:rFonts w:ascii="Arial" w:cs="Arial" w:eastAsia="Arial" w:hAnsi="Arial"/>
                <w:sz w:val="20"/>
                <w:szCs w:val="20"/>
                <w:color w:val="auto"/>
                <w:w w:val="71"/>
              </w:rPr>
              <w:t>Name:</w:t>
            </w:r>
          </w:p>
        </w:tc>
        <w:tc>
          <w:tcPr>
            <w:tcW w:w="5260" w:type="dxa"/>
            <w:vAlign w:val="bottom"/>
            <w:tcBorders>
              <w:top w:val="single" w:sz="8" w:color="auto"/>
            </w:tcBorders>
          </w:tcPr>
          <w:p>
            <w:pPr>
              <w:ind w:left="140"/>
              <w:spacing w:after="0" w:line="213"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20"/>
                <w:szCs w:val="20"/>
                <w:color w:val="auto"/>
              </w:rPr>
              <w:t>Title: Chairman and CEO</w:t>
            </w:r>
          </w:p>
        </w:tc>
        <w:tc>
          <w:tcPr>
            <w:tcW w:w="40" w:type="dxa"/>
            <w:vAlign w:val="bottom"/>
          </w:tcPr>
          <w:p>
            <w:pPr>
              <w:spacing w:after="0"/>
              <w:rPr>
                <w:sz w:val="21"/>
                <w:szCs w:val="21"/>
                <w:color w:val="auto"/>
              </w:rPr>
            </w:pPr>
          </w:p>
        </w:tc>
      </w:tr>
      <w:tr>
        <w:trPr>
          <w:trHeight w:val="357"/>
        </w:trPr>
        <w:tc>
          <w:tcPr>
            <w:tcW w:w="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5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EXHIBIT 21</w:t>
      </w:r>
    </w:p>
    <w:p>
      <w:pPr>
        <w:spacing w:after="0" w:line="230"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SUBSIDIARIES</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OF</w:t>
      </w:r>
    </w:p>
    <w:p>
      <w:pPr>
        <w:jc w:val="center"/>
        <w:ind w:right="1180"/>
        <w:spacing w:after="0"/>
        <w:rPr>
          <w:sz w:val="20"/>
          <w:szCs w:val="20"/>
          <w:color w:val="auto"/>
        </w:rPr>
      </w:pPr>
      <w:r>
        <w:rPr>
          <w:rFonts w:ascii="Arial" w:cs="Arial" w:eastAsia="Arial" w:hAnsi="Arial"/>
          <w:sz w:val="20"/>
          <w:szCs w:val="20"/>
          <w:b w:val="1"/>
          <w:bCs w:val="1"/>
          <w:color w:val="auto"/>
        </w:rPr>
        <w:t>HANSEN NATURAL CORPORATION</w:t>
      </w:r>
    </w:p>
    <w:p>
      <w:pPr>
        <w:spacing w:after="0" w:line="200" w:lineRule="exact"/>
        <w:rPr>
          <w:sz w:val="20"/>
          <w:szCs w:val="20"/>
          <w:color w:val="auto"/>
        </w:rPr>
      </w:pPr>
    </w:p>
    <w:p>
      <w:pPr>
        <w:spacing w:after="0" w:line="243"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Hansen Beverage Company</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Monster LDA Company</w:t>
      </w:r>
    </w:p>
    <w:p>
      <w:pPr>
        <w:jc w:val="center"/>
        <w:ind w:right="1180"/>
        <w:spacing w:after="0"/>
        <w:rPr>
          <w:sz w:val="20"/>
          <w:szCs w:val="20"/>
          <w:color w:val="auto"/>
        </w:rPr>
      </w:pPr>
      <w:r>
        <w:rPr>
          <w:rFonts w:ascii="Arial" w:cs="Arial" w:eastAsia="Arial" w:hAnsi="Arial"/>
          <w:sz w:val="20"/>
          <w:szCs w:val="20"/>
          <w:color w:val="auto"/>
        </w:rPr>
        <w:t>Hansen Junior Juice Company</w:t>
      </w:r>
    </w:p>
    <w:p>
      <w:pPr>
        <w:jc w:val="center"/>
        <w:ind w:right="1180"/>
        <w:spacing w:after="0"/>
        <w:rPr>
          <w:sz w:val="20"/>
          <w:szCs w:val="20"/>
          <w:color w:val="auto"/>
        </w:rPr>
      </w:pPr>
      <w:r>
        <w:rPr>
          <w:rFonts w:ascii="Arial" w:cs="Arial" w:eastAsia="Arial" w:hAnsi="Arial"/>
          <w:sz w:val="20"/>
          <w:szCs w:val="20"/>
          <w:color w:val="auto"/>
        </w:rPr>
        <w:t>Blue Sky Natural Beverage Co.</w:t>
      </w:r>
    </w:p>
    <w:p>
      <w:pPr>
        <w:jc w:val="center"/>
        <w:ind w:right="1180"/>
        <w:spacing w:after="0"/>
        <w:rPr>
          <w:sz w:val="20"/>
          <w:szCs w:val="20"/>
          <w:color w:val="auto"/>
        </w:rPr>
      </w:pPr>
      <w:r>
        <w:rPr>
          <w:rFonts w:ascii="Arial" w:cs="Arial" w:eastAsia="Arial" w:hAnsi="Arial"/>
          <w:sz w:val="20"/>
          <w:szCs w:val="20"/>
          <w:color w:val="auto"/>
        </w:rPr>
        <w:t>Monster Energy Europe Limited</w:t>
      </w:r>
    </w:p>
    <w:p>
      <w:pPr>
        <w:jc w:val="center"/>
        <w:ind w:right="1180"/>
        <w:spacing w:after="0"/>
        <w:rPr>
          <w:sz w:val="20"/>
          <w:szCs w:val="20"/>
          <w:color w:val="auto"/>
        </w:rPr>
      </w:pPr>
      <w:r>
        <w:rPr>
          <w:rFonts w:ascii="Arial" w:cs="Arial" w:eastAsia="Arial" w:hAnsi="Arial"/>
          <w:sz w:val="20"/>
          <w:szCs w:val="20"/>
          <w:color w:val="auto"/>
        </w:rPr>
        <w:t>Monster Energy Limited</w:t>
      </w:r>
    </w:p>
    <w:p>
      <w:pPr>
        <w:jc w:val="center"/>
        <w:ind w:right="1180"/>
        <w:spacing w:after="0"/>
        <w:rPr>
          <w:sz w:val="20"/>
          <w:szCs w:val="20"/>
          <w:color w:val="auto"/>
        </w:rPr>
      </w:pPr>
      <w:r>
        <w:rPr>
          <w:rFonts w:ascii="Arial" w:cs="Arial" w:eastAsia="Arial" w:hAnsi="Arial"/>
          <w:sz w:val="20"/>
          <w:szCs w:val="20"/>
          <w:color w:val="auto"/>
        </w:rPr>
        <w:t>Monster Energy Au Pty Limited</w:t>
      </w:r>
    </w:p>
    <w:p>
      <w:pPr>
        <w:jc w:val="center"/>
        <w:ind w:right="1180"/>
        <w:spacing w:after="0"/>
        <w:rPr>
          <w:sz w:val="20"/>
          <w:szCs w:val="20"/>
          <w:color w:val="auto"/>
        </w:rPr>
      </w:pPr>
      <w:r>
        <w:rPr>
          <w:rFonts w:ascii="Arial" w:cs="Arial" w:eastAsia="Arial" w:hAnsi="Arial"/>
          <w:sz w:val="20"/>
          <w:szCs w:val="20"/>
          <w:color w:val="auto"/>
        </w:rPr>
        <w:t>Epicenter Music Festival, LLC</w:t>
      </w:r>
    </w:p>
    <w:p>
      <w:pPr>
        <w:jc w:val="center"/>
        <w:ind w:right="1180"/>
        <w:spacing w:after="0"/>
        <w:rPr>
          <w:sz w:val="20"/>
          <w:szCs w:val="20"/>
          <w:color w:val="auto"/>
        </w:rPr>
      </w:pPr>
      <w:r>
        <w:rPr>
          <w:rFonts w:ascii="Arial" w:cs="Arial" w:eastAsia="Arial" w:hAnsi="Arial"/>
          <w:sz w:val="20"/>
          <w:szCs w:val="20"/>
          <w:color w:val="auto"/>
        </w:rPr>
        <w:t>Monster Energy Canada Ltd.</w:t>
      </w:r>
    </w:p>
    <w:p>
      <w:pPr>
        <w:jc w:val="center"/>
        <w:ind w:right="1180"/>
        <w:spacing w:after="0"/>
        <w:rPr>
          <w:sz w:val="20"/>
          <w:szCs w:val="20"/>
          <w:color w:val="auto"/>
        </w:rPr>
      </w:pPr>
      <w:r>
        <w:rPr>
          <w:rFonts w:ascii="Arial" w:cs="Arial" w:eastAsia="Arial" w:hAnsi="Arial"/>
          <w:sz w:val="20"/>
          <w:szCs w:val="20"/>
          <w:color w:val="auto"/>
        </w:rPr>
        <w:t>Monster Racing, Inc.</w:t>
      </w:r>
    </w:p>
    <w:p>
      <w:pPr>
        <w:jc w:val="center"/>
        <w:ind w:right="1180"/>
        <w:spacing w:after="0"/>
        <w:rPr>
          <w:sz w:val="20"/>
          <w:szCs w:val="20"/>
          <w:color w:val="auto"/>
        </w:rPr>
      </w:pPr>
      <w:r>
        <w:rPr>
          <w:rFonts w:ascii="Arial" w:cs="Arial" w:eastAsia="Arial" w:hAnsi="Arial"/>
          <w:sz w:val="18"/>
          <w:szCs w:val="18"/>
          <w:color w:val="auto"/>
        </w:rPr>
        <w:t>Monster Energy Brasil Comércio de Bebidas Ltda</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Monster Energy Mexico, S. de R.L. de C.V</w:t>
      </w:r>
    </w:p>
    <w:p>
      <w:pPr>
        <w:jc w:val="center"/>
        <w:ind w:right="1180"/>
        <w:spacing w:after="0"/>
        <w:rPr>
          <w:sz w:val="20"/>
          <w:szCs w:val="20"/>
          <w:color w:val="auto"/>
        </w:rPr>
      </w:pPr>
      <w:r>
        <w:rPr>
          <w:rFonts w:ascii="Arial" w:cs="Arial" w:eastAsia="Arial" w:hAnsi="Arial"/>
          <w:sz w:val="19"/>
          <w:szCs w:val="19"/>
          <w:color w:val="auto"/>
        </w:rPr>
        <w:t>ME Management Services, S. de R.L. de C. V.</w:t>
      </w:r>
    </w:p>
    <w:p>
      <w:pPr>
        <w:spacing w:after="0" w:line="11"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Monster Energy France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212725</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1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0"/>
          <w:szCs w:val="20"/>
          <w:color w:val="auto"/>
        </w:rPr>
        <w:t>EXHIBIT 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consent to the incorporation by reference in Registration Statements No. 33-92526, No. 333-41333, No. 333-89123, No. 333-112482, and No. 333-131467 on Form S-8 of our reports dated March 1, 2010, relating to the consolidated financial statements and financial statement schedule of Hansen Natural Corporation and subsidiaries (the “Company”) and the effectiveness of the Company’s internal control over financial reporting, appearing in this Annual Report on Form 10-K of Hansen Natural Corporation and Subsidiaries for the year ended December 31, 2009.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Costa Mesa</w:t>
      </w:r>
      <w:r>
        <w:rPr>
          <w:rFonts w:ascii="Arial" w:cs="Arial" w:eastAsia="Arial" w:hAnsi="Arial"/>
          <w:sz w:val="22"/>
          <w:szCs w:val="22"/>
          <w:i w:val="1"/>
          <w:iCs w:val="1"/>
          <w:color w:val="auto"/>
        </w:rPr>
        <w:t>,</w:t>
      </w:r>
      <w:r>
        <w:rPr>
          <w:rFonts w:ascii="Arial" w:cs="Arial" w:eastAsia="Arial" w:hAnsi="Arial"/>
          <w:sz w:val="22"/>
          <w:szCs w:val="22"/>
          <w:color w:val="auto"/>
        </w:rPr>
        <w:t xml:space="preserve"> California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1, 2010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jc w:val="right"/>
        <w:ind w:right="40"/>
        <w:spacing w:after="0"/>
        <w:rPr>
          <w:sz w:val="20"/>
          <w:szCs w:val="20"/>
          <w:color w:val="auto"/>
        </w:rPr>
      </w:pPr>
      <w:r>
        <w:rPr>
          <w:rFonts w:ascii="Arial" w:cs="Arial" w:eastAsia="Arial" w:hAnsi="Arial"/>
          <w:sz w:val="20"/>
          <w:szCs w:val="20"/>
          <w:b w:val="1"/>
          <w:bCs w:val="1"/>
          <w:color w:val="auto"/>
        </w:rPr>
        <w:t>EXHIBIT 31.1</w:t>
      </w:r>
    </w:p>
    <w:p>
      <w:pPr>
        <w:spacing w:after="0" w:line="234"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40" w:hanging="332"/>
        <w:spacing w:after="0"/>
        <w:tabs>
          <w:tab w:leader="none" w:pos="34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Hansen Natural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48" w:val="left"/>
        </w:tabs>
        <w:numPr>
          <w:ilvl w:val="0"/>
          <w:numId w:val="19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4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15"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9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19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2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56"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19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9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Date:</w:t>
            </w:r>
          </w:p>
        </w:tc>
        <w:tc>
          <w:tcPr>
            <w:tcW w:w="4800" w:type="dxa"/>
            <w:vAlign w:val="bottom"/>
          </w:tcPr>
          <w:p>
            <w:pPr>
              <w:ind w:left="560"/>
              <w:spacing w:after="0"/>
              <w:rPr>
                <w:sz w:val="20"/>
                <w:szCs w:val="20"/>
                <w:color w:val="auto"/>
              </w:rPr>
            </w:pPr>
            <w:r>
              <w:rPr>
                <w:rFonts w:ascii="Arial" w:cs="Arial" w:eastAsia="Arial" w:hAnsi="Arial"/>
                <w:sz w:val="20"/>
                <w:szCs w:val="20"/>
                <w:color w:val="auto"/>
              </w:rPr>
              <w:t>March 1, 2010</w:t>
            </w:r>
          </w:p>
        </w:tc>
        <w:tc>
          <w:tcPr>
            <w:tcW w:w="56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98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564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9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9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980" w:type="dxa"/>
            <w:vAlign w:val="bottom"/>
            <w:tcBorders>
              <w:bottom w:val="single" w:sz="8" w:color="010101"/>
            </w:tcBorders>
          </w:tcPr>
          <w:p>
            <w:pPr>
              <w:spacing w:after="0"/>
              <w:rPr>
                <w:sz w:val="24"/>
                <w:szCs w:val="24"/>
                <w:color w:val="auto"/>
              </w:rPr>
            </w:pPr>
          </w:p>
        </w:tc>
        <w:tc>
          <w:tcPr>
            <w:tcW w:w="480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120" w:name="page121"/>
    <w:bookmarkEnd w:id="120"/>
    <w:p>
      <w:pPr>
        <w:jc w:val="right"/>
        <w:ind w:right="40"/>
        <w:spacing w:after="0"/>
        <w:rPr>
          <w:sz w:val="20"/>
          <w:szCs w:val="20"/>
          <w:color w:val="auto"/>
        </w:rPr>
      </w:pPr>
      <w:r>
        <w:rPr>
          <w:rFonts w:ascii="Arial" w:cs="Arial" w:eastAsia="Arial" w:hAnsi="Arial"/>
          <w:sz w:val="20"/>
          <w:szCs w:val="20"/>
          <w:b w:val="1"/>
          <w:bCs w:val="1"/>
          <w:color w:val="auto"/>
        </w:rPr>
        <w:t>EXHIBIT 31.2</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40" w:hanging="332"/>
        <w:spacing w:after="0"/>
        <w:tabs>
          <w:tab w:leader="none" w:pos="34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Hansen Natural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48" w:val="left"/>
        </w:tabs>
        <w:numPr>
          <w:ilvl w:val="0"/>
          <w:numId w:val="19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4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15"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1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9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19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2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56"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19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90" w:val="left"/>
        </w:tabs>
        <w:numPr>
          <w:ilvl w:val="1"/>
          <w:numId w:val="19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Date:</w:t>
            </w:r>
          </w:p>
        </w:tc>
        <w:tc>
          <w:tcPr>
            <w:tcW w:w="4800" w:type="dxa"/>
            <w:vAlign w:val="bottom"/>
          </w:tcPr>
          <w:p>
            <w:pPr>
              <w:ind w:left="560"/>
              <w:spacing w:after="0"/>
              <w:rPr>
                <w:sz w:val="20"/>
                <w:szCs w:val="20"/>
                <w:color w:val="auto"/>
              </w:rPr>
            </w:pPr>
            <w:r>
              <w:rPr>
                <w:rFonts w:ascii="Arial" w:cs="Arial" w:eastAsia="Arial" w:hAnsi="Arial"/>
                <w:sz w:val="20"/>
                <w:szCs w:val="20"/>
                <w:color w:val="auto"/>
              </w:rPr>
              <w:t>March 1, 2010</w:t>
            </w:r>
          </w:p>
        </w:tc>
        <w:tc>
          <w:tcPr>
            <w:tcW w:w="56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98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5640" w:type="dxa"/>
            <w:vAlign w:val="bottom"/>
          </w:tcPr>
          <w:p>
            <w:pPr>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9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9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9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980" w:type="dxa"/>
            <w:vAlign w:val="bottom"/>
            <w:tcBorders>
              <w:bottom w:val="single" w:sz="8" w:color="010101"/>
            </w:tcBorders>
          </w:tcPr>
          <w:p>
            <w:pPr>
              <w:spacing w:after="0"/>
              <w:rPr>
                <w:sz w:val="24"/>
                <w:szCs w:val="24"/>
                <w:color w:val="auto"/>
              </w:rPr>
            </w:pPr>
          </w:p>
        </w:tc>
        <w:tc>
          <w:tcPr>
            <w:tcW w:w="480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121" w:name="page122"/>
    <w:bookmarkEnd w:id="121"/>
    <w:p>
      <w:pPr>
        <w:ind w:left="10180"/>
        <w:spacing w:after="0"/>
        <w:rPr>
          <w:sz w:val="20"/>
          <w:szCs w:val="20"/>
          <w:color w:val="auto"/>
        </w:rPr>
      </w:pPr>
      <w:r>
        <w:rPr>
          <w:rFonts w:ascii="Arial" w:cs="Arial" w:eastAsia="Arial" w:hAnsi="Arial"/>
          <w:sz w:val="20"/>
          <w:szCs w:val="20"/>
          <w:b w:val="1"/>
          <w:bCs w:val="1"/>
          <w:color w:val="auto"/>
        </w:rPr>
        <w:t>EXHIBIT 32.1</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annual report of Hansen Natural Corporation (the “Company”) on Form 10-K for the year ended December 31, 2009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80" w:hanging="324"/>
        <w:spacing w:after="0"/>
        <w:tabs>
          <w:tab w:leader="none" w:pos="98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40" w:hanging="324"/>
        <w:spacing w:after="0" w:line="260" w:lineRule="auto"/>
        <w:tabs>
          <w:tab w:leader="none" w:pos="98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40" w:type="dxa"/>
            <w:vAlign w:val="bottom"/>
          </w:tcPr>
          <w:p>
            <w:pPr>
              <w:spacing w:after="0"/>
              <w:rPr>
                <w:sz w:val="20"/>
                <w:szCs w:val="20"/>
                <w:color w:val="auto"/>
              </w:rPr>
            </w:pPr>
            <w:r>
              <w:rPr>
                <w:rFonts w:ascii="Arial" w:cs="Arial" w:eastAsia="Arial" w:hAnsi="Arial"/>
                <w:sz w:val="20"/>
                <w:szCs w:val="20"/>
                <w:color w:val="auto"/>
              </w:rPr>
              <w:t>Date:</w:t>
            </w:r>
          </w:p>
        </w:tc>
        <w:tc>
          <w:tcPr>
            <w:tcW w:w="4780" w:type="dxa"/>
            <w:vAlign w:val="bottom"/>
          </w:tcPr>
          <w:p>
            <w:pPr>
              <w:ind w:left="500"/>
              <w:spacing w:after="0"/>
              <w:rPr>
                <w:sz w:val="20"/>
                <w:szCs w:val="20"/>
                <w:color w:val="auto"/>
              </w:rPr>
            </w:pPr>
            <w:r>
              <w:rPr>
                <w:rFonts w:ascii="Arial" w:cs="Arial" w:eastAsia="Arial" w:hAnsi="Arial"/>
                <w:sz w:val="20"/>
                <w:szCs w:val="20"/>
                <w:color w:val="auto"/>
              </w:rPr>
              <w:t>March 1, 2010</w:t>
            </w:r>
          </w:p>
        </w:tc>
        <w:tc>
          <w:tcPr>
            <w:tcW w:w="57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94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570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9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94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940" w:type="dxa"/>
            <w:vAlign w:val="bottom"/>
            <w:tcBorders>
              <w:bottom w:val="single" w:sz="8" w:color="010101"/>
            </w:tcBorders>
          </w:tcPr>
          <w:p>
            <w:pPr>
              <w:spacing w:after="0"/>
              <w:rPr>
                <w:sz w:val="24"/>
                <w:szCs w:val="24"/>
                <w:color w:val="auto"/>
              </w:rPr>
            </w:pPr>
          </w:p>
        </w:tc>
        <w:tc>
          <w:tcPr>
            <w:tcW w:w="478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6" w:right="199" w:bottom="1440" w:gutter="0" w:footer="0" w:header="0"/>
        </w:sectPr>
      </w:pPr>
    </w:p>
    <w:bookmarkStart w:id="122" w:name="page123"/>
    <w:bookmarkEnd w:id="122"/>
    <w:p>
      <w:pPr>
        <w:ind w:left="10180"/>
        <w:spacing w:after="0"/>
        <w:rPr>
          <w:sz w:val="20"/>
          <w:szCs w:val="20"/>
          <w:color w:val="auto"/>
        </w:rPr>
      </w:pPr>
      <w:r>
        <w:rPr>
          <w:rFonts w:ascii="Arial" w:cs="Arial" w:eastAsia="Arial" w:hAnsi="Arial"/>
          <w:sz w:val="20"/>
          <w:szCs w:val="20"/>
          <w:b w:val="1"/>
          <w:bCs w:val="1"/>
          <w:color w:val="auto"/>
        </w:rPr>
        <w:t>EXHIBIT 32.2</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Hansen Natural Corporation (the “Company”) on Form 10-K for the year ended December 31, 2009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80" w:hanging="324"/>
        <w:spacing w:after="0"/>
        <w:tabs>
          <w:tab w:leader="none" w:pos="98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40" w:hanging="324"/>
        <w:spacing w:after="0" w:line="260" w:lineRule="auto"/>
        <w:tabs>
          <w:tab w:leader="none" w:pos="98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40" w:type="dxa"/>
            <w:vAlign w:val="bottom"/>
          </w:tcPr>
          <w:p>
            <w:pPr>
              <w:spacing w:after="0"/>
              <w:rPr>
                <w:sz w:val="20"/>
                <w:szCs w:val="20"/>
                <w:color w:val="auto"/>
              </w:rPr>
            </w:pPr>
            <w:r>
              <w:rPr>
                <w:rFonts w:ascii="Arial" w:cs="Arial" w:eastAsia="Arial" w:hAnsi="Arial"/>
                <w:sz w:val="20"/>
                <w:szCs w:val="20"/>
                <w:color w:val="auto"/>
              </w:rPr>
              <w:t>Date:</w:t>
            </w:r>
          </w:p>
        </w:tc>
        <w:tc>
          <w:tcPr>
            <w:tcW w:w="4780" w:type="dxa"/>
            <w:vAlign w:val="bottom"/>
          </w:tcPr>
          <w:p>
            <w:pPr>
              <w:ind w:left="500"/>
              <w:spacing w:after="0"/>
              <w:rPr>
                <w:sz w:val="20"/>
                <w:szCs w:val="20"/>
                <w:color w:val="auto"/>
              </w:rPr>
            </w:pPr>
            <w:r>
              <w:rPr>
                <w:rFonts w:ascii="Arial" w:cs="Arial" w:eastAsia="Arial" w:hAnsi="Arial"/>
                <w:sz w:val="20"/>
                <w:szCs w:val="20"/>
                <w:color w:val="auto"/>
              </w:rPr>
              <w:t>March 1, 2010</w:t>
            </w:r>
          </w:p>
        </w:tc>
        <w:tc>
          <w:tcPr>
            <w:tcW w:w="57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94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5700" w:type="dxa"/>
            <w:vAlign w:val="bottom"/>
          </w:tcPr>
          <w:p>
            <w:pPr>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9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9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94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940" w:type="dxa"/>
            <w:vAlign w:val="bottom"/>
            <w:tcBorders>
              <w:bottom w:val="single" w:sz="8" w:color="010101"/>
            </w:tcBorders>
          </w:tcPr>
          <w:p>
            <w:pPr>
              <w:spacing w:after="0"/>
              <w:rPr>
                <w:sz w:val="24"/>
                <w:szCs w:val="24"/>
                <w:color w:val="auto"/>
              </w:rPr>
            </w:pPr>
          </w:p>
        </w:tc>
        <w:tc>
          <w:tcPr>
            <w:tcW w:w="478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1."/>
      <w:numFmt w:val="decimal"/>
      <w:start w:val="5"/>
    </w:lvl>
  </w:abstractNum>
  <w:abstractNum w:abstractNumId="3">
    <w:nsid w:val="6FC75AF8"/>
    <w:multiLevelType w:val="hybridMultilevel"/>
    <w:lvl w:ilvl="0">
      <w:lvlJc w:val="left"/>
      <w:lvlText w:val="·"/>
      <w:numFmt w:val="bullet"/>
      <w:start w:val="1"/>
    </w:lvl>
  </w:abstractNum>
  <w:abstractNum w:abstractNumId="4">
    <w:nsid w:val="6A5F7029"/>
    <w:multiLevelType w:val="hybridMultilevel"/>
    <w:lvl w:ilvl="0">
      <w:lvlJc w:val="left"/>
      <w:lvlText w:val="·"/>
      <w:numFmt w:val="bullet"/>
      <w:start w:val="1"/>
    </w:lvl>
  </w:abstractNum>
  <w:abstractNum w:abstractNumId="5">
    <w:nsid w:val="7D5E18F8"/>
    <w:multiLevelType w:val="hybridMultilevel"/>
    <w:lvl w:ilvl="0">
      <w:lvlJc w:val="left"/>
      <w:lvlText w:val="(%1)"/>
      <w:numFmt w:val="lowerLetter"/>
      <w:start w:val="1"/>
    </w:lvl>
  </w:abstractNum>
  <w:abstractNum w:abstractNumId="6">
    <w:nsid w:val="5F3534A4"/>
    <w:multiLevelType w:val="hybridMultilevel"/>
    <w:lvl w:ilvl="0">
      <w:lvlJc w:val="left"/>
      <w:lvlText w:val="(%1)"/>
      <w:numFmt w:val="lowerLetter"/>
      <w:start w:val="5"/>
    </w:lvl>
  </w:abstractNum>
  <w:abstractNum w:abstractNumId="7">
    <w:nsid w:val="73A1821B"/>
    <w:multiLevelType w:val="hybridMultilevel"/>
    <w:lvl w:ilvl="0">
      <w:lvlJc w:val="left"/>
      <w:lvlText w:val="(%1)"/>
      <w:numFmt w:val="lowerLetter"/>
      <w:start w:val="1"/>
    </w:lvl>
  </w:abstractNum>
  <w:abstractNum w:abstractNumId="8">
    <w:nsid w:val="7DE67713"/>
    <w:multiLevelType w:val="hybridMultilevel"/>
    <w:lvl w:ilvl="0">
      <w:lvlJc w:val="left"/>
      <w:lvlText w:val="(%1)"/>
      <w:numFmt w:val="lowerLetter"/>
      <w:start w:val="5"/>
    </w:lvl>
  </w:abstractNum>
  <w:abstractNum w:abstractNumId="9">
    <w:nsid w:val="555C55B5"/>
    <w:multiLevelType w:val="hybridMultilevel"/>
    <w:lvl w:ilvl="0">
      <w:lvlJc w:val="left"/>
      <w:lvlText w:val="(%1)"/>
      <w:numFmt w:val="lowerRoman"/>
      <w:start w:val="1"/>
    </w:lvl>
  </w:abstractNum>
  <w:abstractNum w:abstractNumId="10">
    <w:nsid w:val="3FA62ACA"/>
    <w:multiLevelType w:val="hybridMultilevel"/>
    <w:lvl w:ilvl="0">
      <w:lvlJc w:val="left"/>
      <w:lvlText w:val="%1"/>
      <w:numFmt w:val="decimal"/>
      <w:start w:val="1"/>
    </w:lvl>
    <w:lvl w:ilvl="1">
      <w:lvlJc w:val="left"/>
      <w:lvlText w:val="(%2)"/>
      <w:numFmt w:val="decimal"/>
      <w:start w:val="951"/>
    </w:lvl>
  </w:abstractNum>
  <w:abstractNum w:abstractNumId="11">
    <w:nsid w:val="14FCE74E"/>
    <w:multiLevelType w:val="hybridMultilevel"/>
    <w:lvl w:ilvl="0">
      <w:lvlJc w:val="left"/>
      <w:lvlText w:val="(%1)"/>
      <w:numFmt w:val="decimal"/>
      <w:start w:val="800"/>
    </w:lvl>
    <w:lvl w:ilvl="1">
      <w:lvlJc w:val="left"/>
      <w:lvlText w:val="(%2)"/>
      <w:numFmt w:val="decimal"/>
      <w:start w:val="800"/>
    </w:lvl>
  </w:abstractNum>
  <w:abstractNum w:abstractNumId="12">
    <w:nsid w:val="6A3DD3E8"/>
    <w:multiLevelType w:val="hybridMultilevel"/>
    <w:lvl w:ilvl="0">
      <w:lvlJc w:val="left"/>
      <w:lvlText w:val="1"/>
      <w:numFmt w:val="bullet"/>
      <w:start w:val="1"/>
    </w:lvl>
  </w:abstractNum>
  <w:abstractNum w:abstractNumId="13">
    <w:nsid w:val="71C91298"/>
    <w:multiLevelType w:val="hybridMultilevel"/>
    <w:lvl w:ilvl="0">
      <w:lvlJc w:val="left"/>
      <w:lvlText w:val="·"/>
      <w:numFmt w:val="bullet"/>
      <w:start w:val="1"/>
    </w:lvl>
  </w:abstractNum>
  <w:abstractNum w:abstractNumId="14">
    <w:nsid w:val="9DAF632"/>
    <w:multiLevelType w:val="hybridMultilevel"/>
    <w:lvl w:ilvl="0">
      <w:lvlJc w:val="left"/>
      <w:lvlText w:val="·"/>
      <w:numFmt w:val="bullet"/>
      <w:start w:val="1"/>
    </w:lvl>
  </w:abstractNum>
  <w:abstractNum w:abstractNumId="15">
    <w:nsid w:val="53299938"/>
    <w:multiLevelType w:val="hybridMultilevel"/>
    <w:lvl w:ilvl="0">
      <w:lvlJc w:val="left"/>
      <w:lvlText w:val="·"/>
      <w:numFmt w:val="bullet"/>
      <w:start w:val="1"/>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
      <w:numFmt w:val="bullet"/>
      <w:start w:val="1"/>
    </w:lvl>
  </w:abstractNum>
  <w:abstractNum w:abstractNumId="18">
    <w:nsid w:val="1D545C4D"/>
    <w:multiLevelType w:val="hybridMultilevel"/>
    <w:lvl w:ilvl="0">
      <w:lvlJc w:val="left"/>
      <w:lvlText w:val="·"/>
      <w:numFmt w:val="bullet"/>
      <w:start w:val="1"/>
    </w:lvl>
  </w:abstractNum>
  <w:abstractNum w:abstractNumId="19">
    <w:nsid w:val="59ADEA3D"/>
    <w:multiLevelType w:val="hybridMultilevel"/>
    <w:lvl w:ilvl="0">
      <w:lvlJc w:val="left"/>
      <w:lvlText w:val="·"/>
      <w:numFmt w:val="bullet"/>
      <w:start w:val="1"/>
    </w:lvl>
  </w:abstractNum>
  <w:abstractNum w:abstractNumId="20">
    <w:nsid w:val="288F1A34"/>
    <w:multiLevelType w:val="hybridMultilevel"/>
    <w:lvl w:ilvl="0">
      <w:lvlJc w:val="left"/>
      <w:lvlText w:val="·"/>
      <w:numFmt w:val="bullet"/>
      <w:start w:val="1"/>
    </w:lvl>
  </w:abstractNum>
  <w:abstractNum w:abstractNumId="21">
    <w:nsid w:val="2A155DBC"/>
    <w:multiLevelType w:val="hybridMultilevel"/>
    <w:lvl w:ilvl="0">
      <w:lvlJc w:val="left"/>
      <w:lvlText w:val="*"/>
      <w:numFmt w:val="bullet"/>
      <w:start w:val="1"/>
    </w:lvl>
  </w:abstractNum>
  <w:abstractNum w:abstractNumId="22">
    <w:nsid w:val="1D9F6E5F"/>
    <w:multiLevelType w:val="hybridMultilevel"/>
    <w:lvl w:ilvl="0">
      <w:lvlJc w:val="left"/>
      <w:lvlText w:val="**"/>
      <w:numFmt w:val="bullet"/>
      <w:start w:val="1"/>
    </w:lvl>
  </w:abstractNum>
  <w:abstractNum w:abstractNumId="23">
    <w:nsid w:val="97E1B4E"/>
    <w:multiLevelType w:val="hybridMultilevel"/>
    <w:lvl w:ilvl="0">
      <w:lvlJc w:val="left"/>
      <w:lvlText w:val="·"/>
      <w:numFmt w:val="bullet"/>
      <w:start w:val="1"/>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
      <w:numFmt w:val="bullet"/>
      <w:start w:val="1"/>
    </w:lvl>
  </w:abstractNum>
  <w:abstractNum w:abstractNumId="26">
    <w:nsid w:val="53584BCB"/>
    <w:multiLevelType w:val="hybridMultilevel"/>
    <w:lvl w:ilvl="0">
      <w:lvlJc w:val="left"/>
      <w:lvlText w:val="%1"/>
      <w:numFmt w:val="decimal"/>
      <w:start w:val="1"/>
    </w:lvl>
    <w:lvl w:ilvl="1">
      <w:lvlJc w:val="left"/>
      <w:lvlText w:val="(%2)"/>
      <w:numFmt w:val="decimal"/>
      <w:start w:val="951"/>
    </w:lvl>
  </w:abstractNum>
  <w:abstractNum w:abstractNumId="27">
    <w:nsid w:val="415E286C"/>
    <w:multiLevelType w:val="hybridMultilevel"/>
    <w:lvl w:ilvl="0">
      <w:lvlJc w:val="left"/>
      <w:lvlText w:val="(%1)"/>
      <w:numFmt w:val="decimal"/>
      <w:start w:val="800"/>
    </w:lvl>
    <w:lvl w:ilvl="1">
      <w:lvlJc w:val="left"/>
      <w:lvlText w:val="(%2)"/>
      <w:numFmt w:val="decimal"/>
      <w:start w:val="800"/>
    </w:lvl>
  </w:abstractNum>
  <w:abstractNum w:abstractNumId="28">
    <w:nsid w:val="7C58FD05"/>
    <w:multiLevelType w:val="hybridMultilevel"/>
    <w:lvl w:ilvl="0">
      <w:lvlJc w:val="left"/>
      <w:lvlText w:val="*"/>
      <w:numFmt w:val="bullet"/>
      <w:start w:val="1"/>
    </w:lvl>
  </w:abstractNum>
  <w:abstractNum w:abstractNumId="29">
    <w:nsid w:val="23D86AAC"/>
    <w:multiLevelType w:val="hybridMultilevel"/>
    <w:lvl w:ilvl="0">
      <w:lvlJc w:val="left"/>
      <w:lvlText w:val="+"/>
      <w:numFmt w:val="bullet"/>
      <w:start w:val="1"/>
    </w:lvl>
  </w:abstractNum>
  <w:abstractNum w:abstractNumId="30">
    <w:nsid w:val="45E6D486"/>
    <w:multiLevelType w:val="hybridMultilevel"/>
    <w:lvl w:ilvl="0">
      <w:lvlJc w:val="left"/>
      <w:lvlText w:val="%1."/>
      <w:numFmt w:val="decimal"/>
      <w:start w:val="1"/>
    </w:lvl>
  </w:abstractNum>
  <w:abstractNum w:abstractNumId="31">
    <w:nsid w:val="5C10FE21"/>
    <w:multiLevelType w:val="hybridMultilevel"/>
    <w:lvl w:ilvl="0">
      <w:lvlJc w:val="left"/>
      <w:lvlText w:val="%1."/>
      <w:numFmt w:val="decimal"/>
      <w:start w:val="2"/>
    </w:lvl>
  </w:abstractNum>
  <w:abstractNum w:abstractNumId="32">
    <w:nsid w:val="E7FFA2B"/>
    <w:multiLevelType w:val="hybridMultilevel"/>
    <w:lvl w:ilvl="0">
      <w:lvlJc w:val="left"/>
      <w:lvlText w:val="·"/>
      <w:numFmt w:val="bullet"/>
      <w:start w:val="1"/>
    </w:lvl>
  </w:abstractNum>
  <w:abstractNum w:abstractNumId="33">
    <w:nsid w:val="3C5991AA"/>
    <w:multiLevelType w:val="hybridMultilevel"/>
    <w:lvl w:ilvl="0">
      <w:lvlJc w:val="left"/>
      <w:lvlText w:val="%1."/>
      <w:numFmt w:val="decimal"/>
      <w:start w:val="3"/>
    </w:lvl>
  </w:abstractNum>
  <w:abstractNum w:abstractNumId="34">
    <w:nsid w:val="4BD8591A"/>
    <w:multiLevelType w:val="hybridMultilevel"/>
    <w:lvl w:ilvl="0">
      <w:lvlJc w:val="left"/>
      <w:lvlText w:val="%1."/>
      <w:numFmt w:val="decimal"/>
      <w:start w:val="4"/>
    </w:lvl>
  </w:abstractNum>
  <w:abstractNum w:abstractNumId="35">
    <w:nsid w:val="78DF6A55"/>
    <w:multiLevelType w:val="hybridMultilevel"/>
    <w:lvl w:ilvl="0">
      <w:lvlJc w:val="left"/>
      <w:lvlText w:val="%1."/>
      <w:numFmt w:val="decimal"/>
      <w:start w:val="5"/>
    </w:lvl>
  </w:abstractNum>
  <w:abstractNum w:abstractNumId="36">
    <w:nsid w:val="39B7AAA2"/>
    <w:multiLevelType w:val="hybridMultilevel"/>
    <w:lvl w:ilvl="0">
      <w:lvlJc w:val="left"/>
      <w:lvlText w:val="%1."/>
      <w:numFmt w:val="decimal"/>
      <w:start w:val="6"/>
    </w:lvl>
  </w:abstractNum>
  <w:abstractNum w:abstractNumId="37">
    <w:nsid w:val="2B0D8DBE"/>
    <w:multiLevelType w:val="hybridMultilevel"/>
    <w:lvl w:ilvl="0">
      <w:lvlJc w:val="left"/>
      <w:lvlText w:val="%1."/>
      <w:numFmt w:val="decimal"/>
      <w:start w:val="7"/>
    </w:lvl>
  </w:abstractNum>
  <w:abstractNum w:abstractNumId="38">
    <w:nsid w:val="6C80EC70"/>
    <w:multiLevelType w:val="hybridMultilevel"/>
    <w:lvl w:ilvl="0">
      <w:lvlJc w:val="left"/>
      <w:lvlText w:val="%1."/>
      <w:numFmt w:val="decimal"/>
      <w:start w:val="8"/>
    </w:lvl>
  </w:abstractNum>
  <w:abstractNum w:abstractNumId="39">
    <w:nsid w:val="379E21B5"/>
    <w:multiLevelType w:val="hybridMultilevel"/>
    <w:lvl w:ilvl="0">
      <w:lvlJc w:val="left"/>
      <w:lvlText w:val="%1."/>
      <w:numFmt w:val="decimal"/>
      <w:start w:val="9"/>
    </w:lvl>
  </w:abstractNum>
  <w:abstractNum w:abstractNumId="40">
    <w:nsid w:val="69E373"/>
    <w:multiLevelType w:val="hybridMultilevel"/>
    <w:lvl w:ilvl="0">
      <w:lvlJc w:val="left"/>
      <w:lvlText w:val="%1."/>
      <w:numFmt w:val="decimal"/>
      <w:start w:val="10"/>
    </w:lvl>
  </w:abstractNum>
  <w:abstractNum w:abstractNumId="41">
    <w:nsid w:val="2C27173B"/>
    <w:multiLevelType w:val="hybridMultilevel"/>
    <w:lvl w:ilvl="0">
      <w:lvlJc w:val="left"/>
      <w:lvlText w:val="%1."/>
      <w:numFmt w:val="decimal"/>
      <w:start w:val="11"/>
    </w:lvl>
  </w:abstractNum>
  <w:abstractNum w:abstractNumId="42">
    <w:nsid w:val="4C9B0904"/>
    <w:multiLevelType w:val="hybridMultilevel"/>
    <w:lvl w:ilvl="0">
      <w:lvlJc w:val="left"/>
      <w:lvlText w:val="%1."/>
      <w:numFmt w:val="decimal"/>
      <w:start w:val="12"/>
    </w:lvl>
  </w:abstractNum>
  <w:abstractNum w:abstractNumId="43">
    <w:nsid w:val="6AA7B75C"/>
    <w:multiLevelType w:val="hybridMultilevel"/>
    <w:lvl w:ilvl="0">
      <w:lvlJc w:val="left"/>
      <w:lvlText w:val="%1."/>
      <w:numFmt w:val="decimal"/>
      <w:start w:val="14"/>
    </w:lvl>
  </w:abstractNum>
  <w:abstractNum w:abstractNumId="44">
    <w:nsid w:val="1DF029D3"/>
    <w:multiLevelType w:val="hybridMultilevel"/>
    <w:lvl w:ilvl="0">
      <w:lvlJc w:val="left"/>
      <w:lvlText w:val="%1."/>
      <w:numFmt w:val="decimal"/>
      <w:start w:val="15"/>
    </w:lvl>
  </w:abstractNum>
  <w:abstractNum w:abstractNumId="45">
    <w:nsid w:val="5675FF36"/>
    <w:multiLevelType w:val="hybridMultilevel"/>
    <w:lvl w:ilvl="0">
      <w:lvlJc w:val="left"/>
      <w:lvlText w:val="%1."/>
      <w:numFmt w:val="decimal"/>
      <w:start w:val="16"/>
    </w:lvl>
  </w:abstractNum>
  <w:abstractNum w:abstractNumId="46">
    <w:nsid w:val="3DD15094"/>
    <w:multiLevelType w:val="hybridMultilevel"/>
    <w:lvl w:ilvl="0">
      <w:lvlJc w:val="left"/>
      <w:lvlText w:val="%1."/>
      <w:numFmt w:val="decimal"/>
      <w:start w:val="18"/>
    </w:lvl>
  </w:abstractNum>
  <w:abstractNum w:abstractNumId="47">
    <w:nsid w:val="3DB012B3"/>
    <w:multiLevelType w:val="hybridMultilevel"/>
    <w:lvl w:ilvl="0">
      <w:lvlJc w:val="left"/>
      <w:lvlText w:val="(%1)"/>
      <w:numFmt w:val="decimal"/>
      <w:start w:val="1"/>
    </w:lvl>
  </w:abstractNum>
  <w:abstractNum w:abstractNumId="48">
    <w:nsid w:val="2708C9AF"/>
    <w:multiLevelType w:val="hybridMultilevel"/>
    <w:lvl w:ilvl="0">
      <w:lvlJc w:val="left"/>
      <w:lvlText w:val="(%1)"/>
      <w:numFmt w:val="decimal"/>
      <w:start w:val="1"/>
    </w:lvl>
  </w:abstractNum>
  <w:abstractNum w:abstractNumId="49">
    <w:nsid w:val="5B25ACE2"/>
    <w:multiLevelType w:val="hybridMultilevel"/>
    <w:lvl w:ilvl="0">
      <w:lvlJc w:val="left"/>
      <w:lvlText w:val="%1."/>
      <w:numFmt w:val="decimal"/>
      <w:start w:val="1"/>
    </w:lvl>
  </w:abstractNum>
  <w:abstractNum w:abstractNumId="50">
    <w:nsid w:val="175DFCF0"/>
    <w:multiLevelType w:val="hybridMultilevel"/>
    <w:lvl w:ilvl="0">
      <w:lvlJc w:val="left"/>
      <w:lvlText w:val="%1."/>
      <w:numFmt w:val="decimal"/>
      <w:start w:val="3"/>
    </w:lvl>
  </w:abstractNum>
  <w:abstractNum w:abstractNumId="51">
    <w:nsid w:val="4F97E3E4"/>
    <w:multiLevelType w:val="hybridMultilevel"/>
    <w:lvl w:ilvl="0">
      <w:lvlJc w:val="left"/>
      <w:lvlText w:val="%1."/>
      <w:numFmt w:val="decimal"/>
      <w:start w:val="4"/>
    </w:lvl>
  </w:abstractNum>
  <w:abstractNum w:abstractNumId="52">
    <w:nsid w:val="53B0A9E"/>
    <w:multiLevelType w:val="hybridMultilevel"/>
    <w:lvl w:ilvl="0">
      <w:lvlJc w:val="left"/>
      <w:lvlText w:val="%1."/>
      <w:numFmt w:val="decimal"/>
      <w:start w:val="5"/>
    </w:lvl>
  </w:abstractNum>
  <w:abstractNum w:abstractNumId="53">
    <w:nsid w:val="34FD6B4F"/>
    <w:multiLevelType w:val="hybridMultilevel"/>
    <w:lvl w:ilvl="0">
      <w:lvlJc w:val="left"/>
      <w:lvlText w:val="%1."/>
      <w:numFmt w:val="upperLetter"/>
      <w:start w:val="1"/>
    </w:lvl>
  </w:abstractNum>
  <w:abstractNum w:abstractNumId="54">
    <w:nsid w:val="5915FF32"/>
    <w:multiLevelType w:val="hybridMultilevel"/>
    <w:lvl w:ilvl="0">
      <w:lvlJc w:val="left"/>
      <w:lvlText w:val="%1."/>
      <w:numFmt w:val="decimal"/>
      <w:start w:val="1"/>
    </w:lvl>
  </w:abstractNum>
  <w:abstractNum w:abstractNumId="55">
    <w:nsid w:val="56438D15"/>
    <w:multiLevelType w:val="hybridMultilevel"/>
    <w:lvl w:ilvl="0">
      <w:lvlJc w:val="left"/>
      <w:lvlText w:val="%1."/>
      <w:numFmt w:val="decimal"/>
      <w:start w:val="3"/>
    </w:lvl>
    <w:lvl w:ilvl="1">
      <w:lvlJc w:val="left"/>
      <w:lvlText w:val="(%2)"/>
      <w:numFmt w:val="lowerLetter"/>
      <w:start w:val="1"/>
    </w:lvl>
  </w:abstractNum>
  <w:abstractNum w:abstractNumId="56">
    <w:nsid w:val="519E3149"/>
    <w:multiLevelType w:val="hybridMultilevel"/>
    <w:lvl w:ilvl="0">
      <w:lvlJc w:val="left"/>
      <w:lvlText w:val="(%1)"/>
      <w:numFmt w:val="lowerLetter"/>
      <w:start w:val="2"/>
    </w:lvl>
  </w:abstractNum>
  <w:abstractNum w:abstractNumId="57">
    <w:nsid w:val="2C6E4AFD"/>
    <w:multiLevelType w:val="hybridMultilevel"/>
    <w:lvl w:ilvl="0">
      <w:lvlJc w:val="left"/>
      <w:lvlText w:val="(%1)"/>
      <w:numFmt w:val="lowerLetter"/>
      <w:start w:val="4"/>
    </w:lvl>
  </w:abstractNum>
  <w:abstractNum w:abstractNumId="58">
    <w:nsid w:val="17A1B582"/>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59">
    <w:nsid w:val="4DF72E4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0">
    <w:nsid w:val="5046B5A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1">
    <w:nsid w:val="5D888A08"/>
    <w:multiLevelType w:val="hybridMultilevel"/>
    <w:lvl w:ilvl="0">
      <w:lvlJc w:val="left"/>
      <w:lvlText w:val="(%1)"/>
      <w:numFmt w:val="lowerLetter"/>
      <w:start w:val="2"/>
    </w:lvl>
  </w:abstractNum>
  <w:abstractNum w:abstractNumId="62">
    <w:nsid w:val="2A082C70"/>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9"/>
    </w:lvl>
  </w:abstractNum>
  <w:abstractNum w:abstractNumId="63">
    <w:nsid w:val="5EC6AFD4"/>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35"/>
    </w:lvl>
  </w:abstractNum>
  <w:abstractNum w:abstractNumId="64">
    <w:nsid w:val="19E21BB2"/>
    <w:multiLevelType w:val="hybridMultilevel"/>
    <w:lvl w:ilvl="0">
      <w:lvlJc w:val="left"/>
      <w:lvlText w:val="%1"/>
      <w:numFmt w:val="decimal"/>
      <w:start w:val="1"/>
    </w:lvl>
    <w:lvl w:ilvl="1">
      <w:lvlJc w:val="left"/>
      <w:lvlText w:val="(%2)"/>
      <w:numFmt w:val="lowerRoman"/>
      <w:start w:val="3"/>
    </w:lvl>
  </w:abstractNum>
  <w:abstractNum w:abstractNumId="65">
    <w:nsid w:val="75E0858A"/>
    <w:multiLevelType w:val="hybridMultilevel"/>
    <w:lvl w:ilvl="0">
      <w:lvlJc w:val="left"/>
      <w:lvlText w:val="%1."/>
      <w:numFmt w:val="decimal"/>
      <w:start w:val="8"/>
    </w:lvl>
    <w:lvl w:ilvl="1">
      <w:lvlJc w:val="left"/>
      <w:lvlText w:val="%2"/>
      <w:numFmt w:val="lowerRoman"/>
      <w:start w:val="1"/>
    </w:lvl>
  </w:abstractNum>
  <w:abstractNum w:abstractNumId="66">
    <w:nsid w:val="57A61A29"/>
    <w:multiLevelType w:val="hybridMultilevel"/>
    <w:lvl w:ilvl="0">
      <w:lvlJc w:val="left"/>
      <w:lvlText w:val="%1."/>
      <w:numFmt w:val="decimal"/>
      <w:start w:val="11"/>
    </w:lvl>
  </w:abstractNum>
  <w:abstractNum w:abstractNumId="67">
    <w:nsid w:val="5399C654"/>
    <w:multiLevelType w:val="hybridMultilevel"/>
    <w:lvl w:ilvl="0">
      <w:lvlJc w:val="left"/>
      <w:lvlText w:val="%1."/>
      <w:numFmt w:val="decimal"/>
      <w:start w:val="16"/>
    </w:lvl>
  </w:abstractNum>
  <w:abstractNum w:abstractNumId="68">
    <w:nsid w:val="20EE1348"/>
    <w:multiLevelType w:val="hybridMultilevel"/>
    <w:lvl w:ilvl="0">
      <w:lvlJc w:val="left"/>
      <w:lvlText w:val="%1."/>
      <w:numFmt w:val="decimal"/>
      <w:start w:val="1"/>
    </w:lvl>
    <w:lvl w:ilvl="1">
      <w:lvlJc w:val="left"/>
      <w:lvlText w:val="(%2)"/>
      <w:numFmt w:val="lowerLetter"/>
      <w:start w:val="1"/>
    </w:lvl>
  </w:abstractNum>
  <w:abstractNum w:abstractNumId="69">
    <w:nsid w:val="4427069A"/>
    <w:multiLevelType w:val="hybridMultilevel"/>
    <w:lvl w:ilvl="0">
      <w:lvlJc w:val="left"/>
      <w:lvlText w:val="%1."/>
      <w:numFmt w:val="decimal"/>
      <w:start w:val="2"/>
    </w:lvl>
    <w:lvl w:ilvl="1">
      <w:lvlJc w:val="left"/>
      <w:lvlText w:val="%2."/>
      <w:numFmt w:val="upperLetter"/>
      <w:start w:val="1"/>
    </w:lvl>
  </w:abstractNum>
  <w:abstractNum w:abstractNumId="70">
    <w:nsid w:val="B37E80A"/>
    <w:multiLevelType w:val="hybridMultilevel"/>
    <w:lvl w:ilvl="0">
      <w:lvlJc w:val="left"/>
      <w:lvlText w:val="%1."/>
      <w:numFmt w:val="upperLetter"/>
      <w:start w:val="1"/>
    </w:lvl>
  </w:abstractNum>
  <w:abstractNum w:abstractNumId="71">
    <w:nsid w:val="2157F6BC"/>
    <w:multiLevelType w:val="hybridMultilevel"/>
    <w:lvl w:ilvl="0">
      <w:lvlJc w:val="left"/>
      <w:lvlText w:val="%1."/>
      <w:numFmt w:val="decimal"/>
      <w:start w:val="1"/>
    </w:lvl>
  </w:abstractNum>
  <w:abstractNum w:abstractNumId="72">
    <w:nsid w:val="704E1DD5"/>
    <w:multiLevelType w:val="hybridMultilevel"/>
    <w:lvl w:ilvl="0">
      <w:lvlJc w:val="left"/>
      <w:lvlText w:val="%1."/>
      <w:numFmt w:val="decimal"/>
      <w:start w:val="3"/>
    </w:lvl>
    <w:lvl w:ilvl="1">
      <w:lvlJc w:val="left"/>
      <w:lvlText w:val="(%2)"/>
      <w:numFmt w:val="lowerLetter"/>
      <w:start w:val="1"/>
    </w:lvl>
  </w:abstractNum>
  <w:abstractNum w:abstractNumId="73">
    <w:nsid w:val="57D2F10E"/>
    <w:multiLevelType w:val="hybridMultilevel"/>
    <w:lvl w:ilvl="0">
      <w:lvlJc w:val="left"/>
      <w:lvlText w:val="(%1)"/>
      <w:numFmt w:val="lowerLetter"/>
      <w:start w:val="2"/>
    </w:lvl>
  </w:abstractNum>
  <w:abstractNum w:abstractNumId="74">
    <w:nsid w:val="BFFAE18"/>
    <w:multiLevelType w:val="hybridMultilevel"/>
    <w:lvl w:ilvl="0">
      <w:lvlJc w:val="left"/>
      <w:lvlText w:val="(%1)"/>
      <w:numFmt w:val="lowerLetter"/>
      <w:start w:val="4"/>
    </w:lvl>
  </w:abstractNum>
  <w:abstractNum w:abstractNumId="75">
    <w:nsid w:val="E3E47A8"/>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76">
    <w:nsid w:val="2E48F04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77">
    <w:nsid w:val="49D0FEA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8">
    <w:nsid w:val="4BEE5A5B"/>
    <w:multiLevelType w:val="hybridMultilevel"/>
    <w:lvl w:ilvl="0">
      <w:lvlJc w:val="left"/>
      <w:lvlText w:val="(%1)"/>
      <w:numFmt w:val="lowerLetter"/>
      <w:start w:val="2"/>
    </w:lvl>
  </w:abstractNum>
  <w:abstractNum w:abstractNumId="79">
    <w:nsid w:val="5551B9F3"/>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9"/>
    </w:lvl>
  </w:abstractNum>
  <w:abstractNum w:abstractNumId="80">
    <w:nsid w:val="24F6AB8E"/>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35"/>
    </w:lvl>
  </w:abstractNum>
  <w:abstractNum w:abstractNumId="81">
    <w:nsid w:val="634C574C"/>
    <w:multiLevelType w:val="hybridMultilevel"/>
    <w:lvl w:ilvl="0">
      <w:lvlJc w:val="left"/>
      <w:lvlText w:val="%1"/>
      <w:numFmt w:val="decimal"/>
      <w:start w:val="1"/>
    </w:lvl>
    <w:lvl w:ilvl="1">
      <w:lvlJc w:val="left"/>
      <w:lvlText w:val="(%2)"/>
      <w:numFmt w:val="lowerRoman"/>
      <w:start w:val="3"/>
    </w:lvl>
  </w:abstractNum>
  <w:abstractNum w:abstractNumId="82">
    <w:nsid w:val="24E99DD7"/>
    <w:multiLevelType w:val="hybridMultilevel"/>
    <w:lvl w:ilvl="0">
      <w:lvlJc w:val="left"/>
      <w:lvlText w:val="%1."/>
      <w:numFmt w:val="decimal"/>
      <w:start w:val="8"/>
    </w:lvl>
    <w:lvl w:ilvl="1">
      <w:lvlJc w:val="left"/>
      <w:lvlText w:val="%2"/>
      <w:numFmt w:val="lowerRoman"/>
      <w:start w:val="1"/>
    </w:lvl>
  </w:abstractNum>
  <w:abstractNum w:abstractNumId="83">
    <w:nsid w:val="2A31B62D"/>
    <w:multiLevelType w:val="hybridMultilevel"/>
    <w:lvl w:ilvl="0">
      <w:lvlJc w:val="left"/>
      <w:lvlText w:val="%1."/>
      <w:numFmt w:val="decimal"/>
      <w:start w:val="11"/>
    </w:lvl>
  </w:abstractNum>
  <w:abstractNum w:abstractNumId="84">
    <w:nsid w:val="1849C29B"/>
    <w:multiLevelType w:val="hybridMultilevel"/>
    <w:lvl w:ilvl="0">
      <w:lvlJc w:val="left"/>
      <w:lvlText w:val="%1."/>
      <w:numFmt w:val="decimal"/>
      <w:start w:val="16"/>
    </w:lvl>
  </w:abstractNum>
  <w:abstractNum w:abstractNumId="85">
    <w:nsid w:val="7DFF9D09"/>
    <w:multiLevelType w:val="hybridMultilevel"/>
    <w:lvl w:ilvl="0">
      <w:lvlJc w:val="left"/>
      <w:lvlText w:val="%1."/>
      <w:numFmt w:val="decimal"/>
      <w:start w:val="1"/>
    </w:lvl>
  </w:abstractNum>
  <w:abstractNum w:abstractNumId="86">
    <w:nsid w:val="754342"/>
    <w:multiLevelType w:val="hybridMultilevel"/>
    <w:lvl w:ilvl="0">
      <w:lvlJc w:val="left"/>
      <w:lvlText w:val="(%1)"/>
      <w:numFmt w:val="lowerLetter"/>
      <w:start w:val="1"/>
    </w:lvl>
  </w:abstractNum>
  <w:abstractNum w:abstractNumId="87">
    <w:nsid w:val="69E7F3E5"/>
    <w:multiLevelType w:val="hybridMultilevel"/>
    <w:lvl w:ilvl="0">
      <w:lvlJc w:val="left"/>
      <w:lvlText w:val="%1."/>
      <w:numFmt w:val="decimal"/>
      <w:start w:val="2"/>
    </w:lvl>
    <w:lvl w:ilvl="1">
      <w:lvlJc w:val="left"/>
      <w:lvlText w:val="%2."/>
      <w:numFmt w:val="upperLetter"/>
      <w:start w:val="1"/>
    </w:lvl>
  </w:abstractNum>
  <w:abstractNum w:abstractNumId="88">
    <w:nsid w:val="2A6DE806"/>
    <w:multiLevelType w:val="hybridMultilevel"/>
    <w:lvl w:ilvl="0">
      <w:lvlJc w:val="left"/>
      <w:lvlText w:val="%1."/>
      <w:numFmt w:val="upperLetter"/>
      <w:start w:val="1"/>
    </w:lvl>
  </w:abstractNum>
  <w:abstractNum w:abstractNumId="89">
    <w:nsid w:val="1816F8C4"/>
    <w:multiLevelType w:val="hybridMultilevel"/>
    <w:lvl w:ilvl="0">
      <w:lvlJc w:val="left"/>
      <w:lvlText w:val="%1."/>
      <w:numFmt w:val="decimal"/>
      <w:start w:val="1"/>
    </w:lvl>
  </w:abstractNum>
  <w:abstractNum w:abstractNumId="90">
    <w:nsid w:val="37DF2233"/>
    <w:multiLevelType w:val="hybridMultilevel"/>
    <w:lvl w:ilvl="0">
      <w:lvlJc w:val="left"/>
      <w:lvlText w:val="%1."/>
      <w:numFmt w:val="decimal"/>
      <w:start w:val="3"/>
    </w:lvl>
    <w:lvl w:ilvl="1">
      <w:lvlJc w:val="left"/>
      <w:lvlText w:val="(%2)"/>
      <w:numFmt w:val="lowerLetter"/>
      <w:start w:val="1"/>
    </w:lvl>
  </w:abstractNum>
  <w:abstractNum w:abstractNumId="91">
    <w:nsid w:val="7AB49DAF"/>
    <w:multiLevelType w:val="hybridMultilevel"/>
    <w:lvl w:ilvl="0">
      <w:lvlJc w:val="left"/>
      <w:lvlText w:val="(%1)"/>
      <w:numFmt w:val="lowerLetter"/>
      <w:start w:val="2"/>
    </w:lvl>
  </w:abstractNum>
  <w:abstractNum w:abstractNumId="92">
    <w:nsid w:val="759F82CD"/>
    <w:multiLevelType w:val="hybridMultilevel"/>
    <w:lvl w:ilvl="0">
      <w:lvlJc w:val="left"/>
      <w:lvlText w:val="%1."/>
      <w:numFmt w:val="decimal"/>
      <w:start w:val="4"/>
    </w:lvl>
    <w:lvl w:ilvl="1">
      <w:lvlJc w:val="left"/>
      <w:lvlText w:val="(%2)"/>
      <w:numFmt w:val="lowerLetter"/>
      <w:start w:val="1"/>
    </w:lvl>
  </w:abstractNum>
  <w:abstractNum w:abstractNumId="93">
    <w:nsid w:val="61E74EA3"/>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94">
    <w:nsid w:val="597B4D84"/>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95">
    <w:nsid w:val="F819E7F"/>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9"/>
    </w:lvl>
  </w:abstractNum>
  <w:abstractNum w:abstractNumId="96">
    <w:nsid w:val="57C7D42D"/>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35"/>
    </w:lvl>
  </w:abstractNum>
  <w:abstractNum w:abstractNumId="97">
    <w:nsid w:val="312167AD"/>
    <w:multiLevelType w:val="hybridMultilevel"/>
    <w:lvl w:ilvl="0">
      <w:lvlJc w:val="left"/>
      <w:lvlText w:val="%1"/>
      <w:numFmt w:val="decimal"/>
      <w:start w:val="1"/>
    </w:lvl>
    <w:lvl w:ilvl="1">
      <w:lvlJc w:val="left"/>
      <w:lvlText w:val="(%2)"/>
      <w:numFmt w:val="lowerRoman"/>
      <w:start w:val="3"/>
    </w:lvl>
  </w:abstractNum>
  <w:abstractNum w:abstractNumId="98">
    <w:nsid w:val="631B64D4"/>
    <w:multiLevelType w:val="hybridMultilevel"/>
    <w:lvl w:ilvl="0">
      <w:lvlJc w:val="left"/>
      <w:lvlText w:val="%1."/>
      <w:numFmt w:val="decimal"/>
      <w:start w:val="8"/>
    </w:lvl>
    <w:lvl w:ilvl="1">
      <w:lvlJc w:val="left"/>
      <w:lvlText w:val="%2"/>
      <w:numFmt w:val="lowerRoman"/>
      <w:start w:val="1"/>
    </w:lvl>
  </w:abstractNum>
  <w:abstractNum w:abstractNumId="99">
    <w:nsid w:val="78B5E776"/>
    <w:multiLevelType w:val="hybridMultilevel"/>
    <w:lvl w:ilvl="0">
      <w:lvlJc w:val="left"/>
      <w:lvlText w:val="%1."/>
      <w:numFmt w:val="upperLetter"/>
      <w:start w:val="1"/>
    </w:lvl>
  </w:abstractNum>
  <w:abstractNum w:abstractNumId="100">
    <w:nsid w:val="75486E47"/>
    <w:multiLevelType w:val="hybridMultilevel"/>
    <w:lvl w:ilvl="0">
      <w:lvlJc w:val="left"/>
      <w:lvlText w:val="%1."/>
      <w:numFmt w:val="decimal"/>
      <w:start w:val="1"/>
    </w:lvl>
  </w:abstractNum>
  <w:abstractNum w:abstractNumId="101">
    <w:nsid w:val="6E534CDE"/>
    <w:multiLevelType w:val="hybridMultilevel"/>
    <w:lvl w:ilvl="0">
      <w:lvlJc w:val="left"/>
      <w:lvlText w:val="%1."/>
      <w:numFmt w:val="decimal"/>
      <w:start w:val="3"/>
    </w:lvl>
    <w:lvl w:ilvl="1">
      <w:lvlJc w:val="left"/>
      <w:lvlText w:val="(%2)"/>
      <w:numFmt w:val="lowerLetter"/>
      <w:start w:val="1"/>
    </w:lvl>
  </w:abstractNum>
  <w:abstractNum w:abstractNumId="102">
    <w:nsid w:val="1A0DDE32"/>
    <w:multiLevelType w:val="hybridMultilevel"/>
    <w:lvl w:ilvl="0">
      <w:lvlJc w:val="left"/>
      <w:lvlText w:val="(%1)"/>
      <w:numFmt w:val="lowerLetter"/>
      <w:start w:val="2"/>
    </w:lvl>
  </w:abstractNum>
  <w:abstractNum w:abstractNumId="103">
    <w:nsid w:val="65968C1C"/>
    <w:multiLevelType w:val="hybridMultilevel"/>
    <w:lvl w:ilvl="0">
      <w:lvlJc w:val="left"/>
      <w:lvlText w:val="%1."/>
      <w:numFmt w:val="decimal"/>
      <w:start w:val="4"/>
    </w:lvl>
    <w:lvl w:ilvl="1">
      <w:lvlJc w:val="left"/>
      <w:lvlText w:val="(%2)"/>
      <w:numFmt w:val="lowerLetter"/>
      <w:start w:val="1"/>
    </w:lvl>
  </w:abstractNum>
  <w:abstractNum w:abstractNumId="104">
    <w:nsid w:val="46263DEC"/>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05">
    <w:nsid w:val="260D8C4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6">
    <w:nsid w:val="73D4D3C4"/>
    <w:multiLevelType w:val="hybridMultilevel"/>
    <w:lvl w:ilvl="0">
      <w:lvlJc w:val="left"/>
      <w:lvlText w:val="%1"/>
      <w:numFmt w:val="decimal"/>
      <w:start w:val="1"/>
    </w:lvl>
    <w:lvl w:ilvl="1">
      <w:lvlJc w:val="left"/>
      <w:lvlText w:val="(%2)"/>
      <w:numFmt w:val="lowerLetter"/>
      <w:start w:val="2"/>
    </w:lvl>
  </w:abstractNum>
  <w:abstractNum w:abstractNumId="107">
    <w:nsid w:val="746F2E30"/>
    <w:multiLevelType w:val="hybridMultilevel"/>
    <w:lvl w:ilvl="0">
      <w:lvlJc w:val="left"/>
      <w:lvlText w:val="%1."/>
      <w:numFmt w:val="decimal"/>
      <w:start w:val="8"/>
    </w:lvl>
    <w:lvl w:ilvl="1">
      <w:lvlJc w:val="left"/>
      <w:lvlText w:val="%2"/>
      <w:numFmt w:val="lowerLetter"/>
      <w:start w:val="1"/>
    </w:lvl>
  </w:abstractNum>
  <w:abstractNum w:abstractNumId="108">
    <w:nsid w:val="6FDE8AF6"/>
    <w:multiLevelType w:val="hybridMultilevel"/>
    <w:lvl w:ilvl="0">
      <w:lvlJc w:val="left"/>
      <w:lvlText w:val="%1."/>
      <w:numFmt w:val="decimal"/>
      <w:start w:val="9"/>
    </w:lvl>
  </w:abstractNum>
  <w:abstractNum w:abstractNumId="109">
    <w:nsid w:val="3FC32E20"/>
    <w:multiLevelType w:val="hybridMultilevel"/>
    <w:lvl w:ilvl="0">
      <w:lvlJc w:val="left"/>
      <w:lvlText w:val="%1."/>
      <w:numFmt w:val="decimal"/>
      <w:start w:val="14"/>
    </w:lvl>
  </w:abstractNum>
  <w:abstractNum w:abstractNumId="110">
    <w:nsid w:val="49C0E823"/>
    <w:multiLevelType w:val="hybridMultilevel"/>
    <w:lvl w:ilvl="0">
      <w:lvlJc w:val="left"/>
      <w:lvlText w:val="%1."/>
      <w:numFmt w:val="upperLetter"/>
      <w:start w:val="1"/>
    </w:lvl>
  </w:abstractNum>
  <w:abstractNum w:abstractNumId="111">
    <w:nsid w:val="14D53685"/>
    <w:multiLevelType w:val="hybridMultilevel"/>
    <w:lvl w:ilvl="0">
      <w:lvlJc w:val="left"/>
      <w:lvlText w:val="%1."/>
      <w:numFmt w:val="decimal"/>
      <w:start w:val="1"/>
    </w:lvl>
  </w:abstractNum>
  <w:abstractNum w:abstractNumId="112">
    <w:nsid w:val="230F856C"/>
    <w:multiLevelType w:val="hybridMultilevel"/>
    <w:lvl w:ilvl="0">
      <w:lvlJc w:val="left"/>
      <w:lvlText w:val="%1."/>
      <w:numFmt w:val="decimal"/>
      <w:start w:val="3"/>
    </w:lvl>
    <w:lvl w:ilvl="1">
      <w:lvlJc w:val="left"/>
      <w:lvlText w:val="(%2)"/>
      <w:numFmt w:val="lowerLetter"/>
      <w:start w:val="1"/>
    </w:lvl>
  </w:abstractNum>
  <w:abstractNum w:abstractNumId="113">
    <w:nsid w:val="6EAA85FB"/>
    <w:multiLevelType w:val="hybridMultilevel"/>
    <w:lvl w:ilvl="0">
      <w:lvlJc w:val="left"/>
      <w:lvlText w:val="(%1)"/>
      <w:numFmt w:val="lowerLetter"/>
      <w:start w:val="2"/>
    </w:lvl>
  </w:abstractNum>
  <w:abstractNum w:abstractNumId="114">
    <w:nsid w:val="3F06ECB2"/>
    <w:multiLevelType w:val="hybridMultilevel"/>
    <w:lvl w:ilvl="0">
      <w:lvlJc w:val="left"/>
      <w:lvlText w:val="%1."/>
      <w:numFmt w:val="decimal"/>
      <w:start w:val="4"/>
    </w:lvl>
    <w:lvl w:ilvl="1">
      <w:lvlJc w:val="left"/>
      <w:lvlText w:val="(%2)"/>
      <w:numFmt w:val="lowerLetter"/>
      <w:start w:val="1"/>
    </w:lvl>
  </w:abstractNum>
  <w:abstractNum w:abstractNumId="115">
    <w:nsid w:val="3B594807"/>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16">
    <w:nsid w:val="6CAA2304"/>
    <w:multiLevelType w:val="hybridMultilevel"/>
    <w:lvl w:ilvl="0">
      <w:lvlJc w:val="left"/>
      <w:lvlText w:val="(%1)"/>
      <w:numFmt w:val="decimal"/>
      <w:start w:val="1"/>
    </w:lvl>
    <w:lvl w:ilvl="1">
      <w:lvlJc w:val="left"/>
      <w:lvlText w:val="%2."/>
      <w:numFmt w:val="decimal"/>
      <w:start w:val="7"/>
    </w:lvl>
    <w:lvl w:ilvl="2">
      <w:lvlJc w:val="left"/>
      <w:lvlText w:val="(%3)"/>
      <w:numFmt w:val="lowerLetter"/>
      <w:start w:val="2"/>
    </w:lvl>
  </w:abstractNum>
  <w:abstractNum w:abstractNumId="117">
    <w:nsid w:val="3F7C2FF4"/>
    <w:multiLevelType w:val="hybridMultilevel"/>
    <w:lvl w:ilvl="0">
      <w:lvlJc w:val="left"/>
      <w:lvlText w:val="%1."/>
      <w:numFmt w:val="decimal"/>
      <w:start w:val="9"/>
    </w:lvl>
  </w:abstractNum>
  <w:abstractNum w:abstractNumId="118">
    <w:nsid w:val="25413BEC"/>
    <w:multiLevelType w:val="hybridMultilevel"/>
    <w:lvl w:ilvl="0">
      <w:lvlJc w:val="left"/>
      <w:lvlText w:val="%1."/>
      <w:numFmt w:val="decimal"/>
      <w:start w:val="14"/>
    </w:lvl>
  </w:abstractNum>
  <w:abstractNum w:abstractNumId="119">
    <w:nsid w:val="17180B0B"/>
    <w:multiLevelType w:val="hybridMultilevel"/>
    <w:lvl w:ilvl="0">
      <w:lvlJc w:val="left"/>
      <w:lvlText w:val="%1."/>
      <w:numFmt w:val="upperLetter"/>
      <w:start w:val="1"/>
    </w:lvl>
  </w:abstractNum>
  <w:abstractNum w:abstractNumId="120">
    <w:nsid w:val="579328B9"/>
    <w:multiLevelType w:val="hybridMultilevel"/>
    <w:lvl w:ilvl="0">
      <w:lvlJc w:val="left"/>
      <w:lvlText w:val="%1."/>
      <w:numFmt w:val="decimal"/>
      <w:start w:val="1"/>
    </w:lvl>
  </w:abstractNum>
  <w:abstractNum w:abstractNumId="121">
    <w:nsid w:val="5D205E20"/>
    <w:multiLevelType w:val="hybridMultilevel"/>
    <w:lvl w:ilvl="0">
      <w:lvlJc w:val="left"/>
      <w:lvlText w:val="%1."/>
      <w:numFmt w:val="decimal"/>
      <w:start w:val="3"/>
    </w:lvl>
    <w:lvl w:ilvl="1">
      <w:lvlJc w:val="left"/>
      <w:lvlText w:val="(%2)"/>
      <w:numFmt w:val="lowerLetter"/>
      <w:start w:val="1"/>
    </w:lvl>
  </w:abstractNum>
  <w:abstractNum w:abstractNumId="122">
    <w:nsid w:val="11CCA8BA"/>
    <w:multiLevelType w:val="hybridMultilevel"/>
    <w:lvl w:ilvl="0">
      <w:lvlJc w:val="left"/>
      <w:lvlText w:val="(%1)"/>
      <w:numFmt w:val="lowerLetter"/>
      <w:start w:val="2"/>
    </w:lvl>
  </w:abstractNum>
  <w:abstractNum w:abstractNumId="123">
    <w:nsid w:val="4D32AB86"/>
    <w:multiLevelType w:val="hybridMultilevel"/>
    <w:lvl w:ilvl="0">
      <w:lvlJc w:val="left"/>
      <w:lvlText w:val="(%1)"/>
      <w:numFmt w:val="lowerLetter"/>
      <w:start w:val="3"/>
    </w:lvl>
  </w:abstractNum>
  <w:abstractNum w:abstractNumId="124">
    <w:nsid w:val="3F07ACC3"/>
    <w:multiLevelType w:val="hybridMultilevel"/>
    <w:lvl w:ilvl="0">
      <w:lvlJc w:val="left"/>
      <w:lvlText w:val="%1"/>
      <w:numFmt w:val="decimal"/>
      <w:start w:val="1"/>
    </w:lvl>
    <w:lvl w:ilvl="1">
      <w:lvlJc w:val="left"/>
      <w:lvlText w:val="(%2)"/>
      <w:numFmt w:val="lowerLetter"/>
      <w:start w:val="4"/>
    </w:lvl>
  </w:abstractNum>
  <w:abstractNum w:abstractNumId="125">
    <w:nsid w:val="6B47F63E"/>
    <w:multiLevelType w:val="hybridMultilevel"/>
    <w:lvl w:ilvl="0">
      <w:lvlJc w:val="left"/>
      <w:lvlText w:val="%1."/>
      <w:numFmt w:val="decimal"/>
      <w:start w:val="4"/>
    </w:lvl>
    <w:lvl w:ilvl="1">
      <w:lvlJc w:val="left"/>
      <w:lvlText w:val="(%2)"/>
      <w:numFmt w:val="lowerLetter"/>
      <w:start w:val="1"/>
    </w:lvl>
  </w:abstractNum>
  <w:abstractNum w:abstractNumId="126">
    <w:nsid w:val="5CB44A05"/>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27">
    <w:nsid w:val="16CF80F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28">
    <w:nsid w:val="1C695DEC"/>
    <w:multiLevelType w:val="hybridMultilevel"/>
    <w:lvl w:ilvl="0">
      <w:lvlJc w:val="left"/>
      <w:lvlText w:val="%1"/>
      <w:numFmt w:val="decimal"/>
      <w:start w:val="1"/>
    </w:lvl>
    <w:lvl w:ilvl="1">
      <w:lvlJc w:val="left"/>
      <w:lvlText w:val="(%2)"/>
      <w:numFmt w:val="lowerLetter"/>
      <w:start w:val="2"/>
    </w:lvl>
  </w:abstractNum>
  <w:abstractNum w:abstractNumId="129">
    <w:nsid w:val="3FCFAED9"/>
    <w:multiLevelType w:val="hybridMultilevel"/>
    <w:lvl w:ilvl="0">
      <w:lvlJc w:val="left"/>
      <w:lvlText w:val="%1."/>
      <w:numFmt w:val="decimal"/>
      <w:start w:val="8"/>
    </w:lvl>
    <w:lvl w:ilvl="1">
      <w:lvlJc w:val="left"/>
      <w:lvlText w:val="%2"/>
      <w:numFmt w:val="lowerLetter"/>
      <w:start w:val="1"/>
    </w:lvl>
  </w:abstractNum>
  <w:abstractNum w:abstractNumId="130">
    <w:nsid w:val="F856867"/>
    <w:multiLevelType w:val="hybridMultilevel"/>
    <w:lvl w:ilvl="0">
      <w:lvlJc w:val="left"/>
      <w:lvlText w:val="%1."/>
      <w:numFmt w:val="upperLetter"/>
      <w:start w:val="1"/>
    </w:lvl>
  </w:abstractNum>
  <w:abstractNum w:abstractNumId="131">
    <w:nsid w:val="11B1CC33"/>
    <w:multiLevelType w:val="hybridMultilevel"/>
    <w:lvl w:ilvl="0">
      <w:lvlJc w:val="left"/>
      <w:lvlText w:val="%1."/>
      <w:numFmt w:val="decimal"/>
      <w:start w:val="1"/>
    </w:lvl>
  </w:abstractNum>
  <w:abstractNum w:abstractNumId="132">
    <w:nsid w:val="2E22FBB7"/>
    <w:multiLevelType w:val="hybridMultilevel"/>
    <w:lvl w:ilvl="0">
      <w:lvlJc w:val="left"/>
      <w:lvlText w:val="%1."/>
      <w:numFmt w:val="decimal"/>
      <w:start w:val="3"/>
    </w:lvl>
    <w:lvl w:ilvl="1">
      <w:lvlJc w:val="left"/>
      <w:lvlText w:val="(%2)"/>
      <w:numFmt w:val="lowerLetter"/>
      <w:start w:val="1"/>
    </w:lvl>
  </w:abstractNum>
  <w:abstractNum w:abstractNumId="133">
    <w:nsid w:val="29934699"/>
    <w:multiLevelType w:val="hybridMultilevel"/>
    <w:lvl w:ilvl="0">
      <w:lvlJc w:val="left"/>
      <w:lvlText w:val="(%1)"/>
      <w:numFmt w:val="lowerLetter"/>
      <w:start w:val="2"/>
    </w:lvl>
  </w:abstractNum>
  <w:abstractNum w:abstractNumId="134">
    <w:nsid w:val="77485850"/>
    <w:multiLevelType w:val="hybridMultilevel"/>
    <w:lvl w:ilvl="0">
      <w:lvlJc w:val="left"/>
      <w:lvlText w:val="(%1)"/>
      <w:numFmt w:val="lowerLetter"/>
      <w:start w:val="4"/>
    </w:lvl>
  </w:abstractNum>
  <w:abstractNum w:abstractNumId="135">
    <w:nsid w:val="744939A3"/>
    <w:multiLevelType w:val="hybridMultilevel"/>
    <w:lvl w:ilvl="0">
      <w:lvlJc w:val="left"/>
      <w:lvlText w:val="%1"/>
      <w:numFmt w:val="decimal"/>
      <w:start w:val="1"/>
    </w:lvl>
    <w:lvl w:ilvl="1">
      <w:lvlJc w:val="left"/>
      <w:lvlText w:val="(%2)"/>
      <w:numFmt w:val="lowerLetter"/>
      <w:start w:val="5"/>
    </w:lvl>
  </w:abstractNum>
  <w:abstractNum w:abstractNumId="136">
    <w:nsid w:val="4FA0D2E3"/>
    <w:multiLevelType w:val="hybridMultilevel"/>
    <w:lvl w:ilvl="0">
      <w:lvlJc w:val="left"/>
      <w:lvlText w:val="%1."/>
      <w:numFmt w:val="decimal"/>
      <w:start w:val="4"/>
    </w:lvl>
    <w:lvl w:ilvl="1">
      <w:lvlJc w:val="left"/>
      <w:lvlText w:val="(%2)"/>
      <w:numFmt w:val="lowerLetter"/>
      <w:start w:val="1"/>
    </w:lvl>
  </w:abstractNum>
  <w:abstractNum w:abstractNumId="137">
    <w:nsid w:val="6B1D2C14"/>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38">
    <w:nsid w:val="68B867D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39">
    <w:nsid w:val="3F7F5DD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140">
    <w:nsid w:val="2AE05A34"/>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35"/>
    </w:lvl>
  </w:abstractNum>
  <w:abstractNum w:abstractNumId="141">
    <w:nsid w:val="32794FF7"/>
    <w:multiLevelType w:val="hybridMultilevel"/>
    <w:lvl w:ilvl="0">
      <w:lvlJc w:val="left"/>
      <w:lvlText w:val="%1"/>
      <w:numFmt w:val="decimal"/>
      <w:start w:val="1"/>
    </w:lvl>
    <w:lvl w:ilvl="1">
      <w:lvlJc w:val="left"/>
      <w:lvlText w:val="(%2)"/>
      <w:numFmt w:val="lowerRoman"/>
      <w:start w:val="3"/>
    </w:lvl>
  </w:abstractNum>
  <w:abstractNum w:abstractNumId="142">
    <w:nsid w:val="5454945E"/>
    <w:multiLevelType w:val="hybridMultilevel"/>
    <w:lvl w:ilvl="0">
      <w:lvlJc w:val="left"/>
      <w:lvlText w:val="%1."/>
      <w:numFmt w:val="decimal"/>
      <w:start w:val="8"/>
    </w:lvl>
    <w:lvl w:ilvl="1">
      <w:lvlJc w:val="left"/>
      <w:lvlText w:val="%2"/>
      <w:numFmt w:val="lowerRoman"/>
      <w:start w:val="1"/>
    </w:lvl>
  </w:abstractNum>
  <w:abstractNum w:abstractNumId="143">
    <w:nsid w:val="4DEFDFA0"/>
    <w:multiLevelType w:val="hybridMultilevel"/>
    <w:lvl w:ilvl="0">
      <w:lvlJc w:val="left"/>
      <w:lvlText w:val="%1."/>
      <w:numFmt w:val="decimal"/>
      <w:start w:val="10"/>
    </w:lvl>
  </w:abstractNum>
  <w:abstractNum w:abstractNumId="144">
    <w:nsid w:val="2123D5F2"/>
    <w:multiLevelType w:val="hybridMultilevel"/>
    <w:lvl w:ilvl="0">
      <w:lvlJc w:val="left"/>
      <w:lvlText w:val="%1."/>
      <w:numFmt w:val="upperLetter"/>
      <w:start w:val="1"/>
    </w:lvl>
  </w:abstractNum>
  <w:abstractNum w:abstractNumId="145">
    <w:nsid w:val="135B8110"/>
    <w:multiLevelType w:val="hybridMultilevel"/>
    <w:lvl w:ilvl="0">
      <w:lvlJc w:val="left"/>
      <w:lvlText w:val="%1."/>
      <w:numFmt w:val="decimal"/>
      <w:start w:val="1"/>
    </w:lvl>
  </w:abstractNum>
  <w:abstractNum w:abstractNumId="146">
    <w:nsid w:val="94927A8"/>
    <w:multiLevelType w:val="hybridMultilevel"/>
    <w:lvl w:ilvl="0">
      <w:lvlJc w:val="left"/>
      <w:lvlText w:val="%1."/>
      <w:numFmt w:val="decimal"/>
      <w:start w:val="3"/>
    </w:lvl>
    <w:lvl w:ilvl="1">
      <w:lvlJc w:val="left"/>
      <w:lvlText w:val="(%2)"/>
      <w:numFmt w:val="lowerLetter"/>
      <w:start w:val="1"/>
    </w:lvl>
  </w:abstractNum>
  <w:abstractNum w:abstractNumId="147">
    <w:nsid w:val="DCDF8F6"/>
    <w:multiLevelType w:val="hybridMultilevel"/>
    <w:lvl w:ilvl="0">
      <w:lvlJc w:val="left"/>
      <w:lvlText w:val="%1"/>
      <w:numFmt w:val="lowerLetter"/>
      <w:start w:val="1"/>
    </w:lvl>
    <w:lvl w:ilvl="1">
      <w:lvlJc w:val="left"/>
      <w:lvlText w:val="(%2)"/>
      <w:numFmt w:val="lowerLetter"/>
      <w:start w:val="2"/>
    </w:lvl>
  </w:abstractNum>
  <w:abstractNum w:abstractNumId="148">
    <w:nsid w:val="52D7B105"/>
    <w:multiLevelType w:val="hybridMultilevel"/>
    <w:lvl w:ilvl="0">
      <w:lvlJc w:val="left"/>
      <w:lvlText w:val="(%1)"/>
      <w:numFmt w:val="lowerLetter"/>
      <w:start w:val="3"/>
    </w:lvl>
    <w:lvl w:ilvl="1">
      <w:lvlJc w:val="left"/>
      <w:lvlText w:val="%2"/>
      <w:numFmt w:val="lowerLetter"/>
      <w:start w:val="1"/>
    </w:lvl>
  </w:abstractNum>
  <w:abstractNum w:abstractNumId="149">
    <w:nsid w:val="2E8A6394"/>
    <w:multiLevelType w:val="hybridMultilevel"/>
    <w:lvl w:ilvl="0">
      <w:lvlJc w:val="left"/>
      <w:lvlText w:val="(%1)"/>
      <w:numFmt w:val="lowerLetter"/>
      <w:start w:val="4"/>
    </w:lvl>
  </w:abstractNum>
  <w:abstractNum w:abstractNumId="150">
    <w:nsid w:val="24E60401"/>
    <w:multiLevelType w:val="hybridMultilevel"/>
    <w:lvl w:ilvl="0">
      <w:lvlJc w:val="left"/>
      <w:lvlText w:val="%1"/>
      <w:numFmt w:val="decimal"/>
      <w:start w:val="1"/>
    </w:lvl>
    <w:lvl w:ilvl="1">
      <w:lvlJc w:val="left"/>
      <w:lvlText w:val="(%2)"/>
      <w:numFmt w:val="lowerLetter"/>
      <w:start w:val="5"/>
    </w:lvl>
  </w:abstractNum>
  <w:abstractNum w:abstractNumId="151">
    <w:nsid w:val="2A6AD9BE"/>
    <w:multiLevelType w:val="hybridMultilevel"/>
    <w:lvl w:ilvl="0">
      <w:lvlJc w:val="left"/>
      <w:lvlText w:val="%1."/>
      <w:numFmt w:val="decimal"/>
      <w:start w:val="4"/>
    </w:lvl>
    <w:lvl w:ilvl="1">
      <w:lvlJc w:val="left"/>
      <w:lvlText w:val="(%2)"/>
      <w:numFmt w:val="lowerLetter"/>
      <w:start w:val="1"/>
    </w:lvl>
  </w:abstractNum>
  <w:abstractNum w:abstractNumId="152">
    <w:nsid w:val="BAAC1B4"/>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53">
    <w:nsid w:val="36B2ACB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54">
    <w:nsid w:val="779D854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155">
    <w:nsid w:val="4AB26E78"/>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35"/>
    </w:lvl>
  </w:abstractNum>
  <w:abstractNum w:abstractNumId="156">
    <w:nsid w:val="21FAA2FA"/>
    <w:multiLevelType w:val="hybridMultilevel"/>
    <w:lvl w:ilvl="0">
      <w:lvlJc w:val="left"/>
      <w:lvlText w:val="%1"/>
      <w:numFmt w:val="decimal"/>
      <w:start w:val="1"/>
    </w:lvl>
    <w:lvl w:ilvl="1">
      <w:lvlJc w:val="left"/>
      <w:lvlText w:val="(%2)"/>
      <w:numFmt w:val="lowerRoman"/>
      <w:start w:val="3"/>
    </w:lvl>
  </w:abstractNum>
  <w:abstractNum w:abstractNumId="157">
    <w:nsid w:val="5451CF49"/>
    <w:multiLevelType w:val="hybridMultilevel"/>
    <w:lvl w:ilvl="0">
      <w:lvlJc w:val="left"/>
      <w:lvlText w:val="%1."/>
      <w:numFmt w:val="decimal"/>
      <w:start w:val="8"/>
    </w:lvl>
    <w:lvl w:ilvl="1">
      <w:lvlJc w:val="left"/>
      <w:lvlText w:val="%2"/>
      <w:numFmt w:val="lowerRoman"/>
      <w:start w:val="1"/>
    </w:lvl>
  </w:abstractNum>
  <w:abstractNum w:abstractNumId="158">
    <w:nsid w:val="6181EF69"/>
    <w:multiLevelType w:val="hybridMultilevel"/>
    <w:lvl w:ilvl="0">
      <w:lvlJc w:val="left"/>
      <w:lvlText w:val="%1."/>
      <w:numFmt w:val="decimal"/>
      <w:start w:val="10"/>
    </w:lvl>
  </w:abstractNum>
  <w:abstractNum w:abstractNumId="159">
    <w:nsid w:val="3E6400E6"/>
    <w:multiLevelType w:val="hybridMultilevel"/>
    <w:lvl w:ilvl="0">
      <w:lvlJc w:val="left"/>
      <w:lvlText w:val="%1."/>
      <w:numFmt w:val="upperLetter"/>
      <w:start w:val="1"/>
    </w:lvl>
  </w:abstractNum>
  <w:abstractNum w:abstractNumId="160">
    <w:nsid w:val="14217E23"/>
    <w:multiLevelType w:val="hybridMultilevel"/>
    <w:lvl w:ilvl="0">
      <w:lvlJc w:val="left"/>
      <w:lvlText w:val="%1."/>
      <w:numFmt w:val="decimal"/>
      <w:start w:val="1"/>
    </w:lvl>
  </w:abstractNum>
  <w:abstractNum w:abstractNumId="161">
    <w:nsid w:val="710757D0"/>
    <w:multiLevelType w:val="hybridMultilevel"/>
    <w:lvl w:ilvl="0">
      <w:lvlJc w:val="left"/>
      <w:lvlText w:val="%1."/>
      <w:numFmt w:val="decimal"/>
      <w:start w:val="3"/>
    </w:lvl>
    <w:lvl w:ilvl="1">
      <w:lvlJc w:val="left"/>
      <w:lvlText w:val="(%2)"/>
      <w:numFmt w:val="lowerLetter"/>
      <w:start w:val="1"/>
    </w:lvl>
  </w:abstractNum>
  <w:abstractNum w:abstractNumId="162">
    <w:nsid w:val="5015CD1A"/>
    <w:multiLevelType w:val="hybridMultilevel"/>
    <w:lvl w:ilvl="0">
      <w:lvlJc w:val="left"/>
      <w:lvlText w:val="(%1)"/>
      <w:numFmt w:val="lowerLetter"/>
      <w:start w:val="2"/>
    </w:lvl>
  </w:abstractNum>
  <w:abstractNum w:abstractNumId="163">
    <w:nsid w:val="424479DA"/>
    <w:multiLevelType w:val="hybridMultilevel"/>
    <w:lvl w:ilvl="0">
      <w:lvlJc w:val="left"/>
      <w:lvlText w:val="%1."/>
      <w:numFmt w:val="decimal"/>
      <w:start w:val="4"/>
    </w:lvl>
    <w:lvl w:ilvl="1">
      <w:lvlJc w:val="left"/>
      <w:lvlText w:val="(%2)"/>
      <w:numFmt w:val="lowerLetter"/>
      <w:start w:val="1"/>
    </w:lvl>
  </w:abstractNum>
  <w:abstractNum w:abstractNumId="164">
    <w:nsid w:val="1A9A9E69"/>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65">
    <w:nsid w:val="475E256A"/>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66">
    <w:nsid w:val="368DB37E"/>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9"/>
    </w:lvl>
  </w:abstractNum>
  <w:abstractNum w:abstractNumId="167">
    <w:nsid w:val="6A3B714C"/>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35"/>
    </w:lvl>
  </w:abstractNum>
  <w:abstractNum w:abstractNumId="168">
    <w:nsid w:val="327B517E"/>
    <w:multiLevelType w:val="hybridMultilevel"/>
    <w:lvl w:ilvl="0">
      <w:lvlJc w:val="left"/>
      <w:lvlText w:val="%1"/>
      <w:numFmt w:val="decimal"/>
      <w:start w:val="1"/>
    </w:lvl>
    <w:lvl w:ilvl="1">
      <w:lvlJc w:val="left"/>
      <w:lvlText w:val="(%2)"/>
      <w:numFmt w:val="lowerRoman"/>
      <w:start w:val="3"/>
    </w:lvl>
  </w:abstractNum>
  <w:abstractNum w:abstractNumId="169">
    <w:nsid w:val="1F461B51"/>
    <w:multiLevelType w:val="hybridMultilevel"/>
    <w:lvl w:ilvl="0">
      <w:lvlJc w:val="left"/>
      <w:lvlText w:val="%1."/>
      <w:numFmt w:val="decimal"/>
      <w:start w:val="8"/>
    </w:lvl>
    <w:lvl w:ilvl="1">
      <w:lvlJc w:val="left"/>
      <w:lvlText w:val="%2"/>
      <w:numFmt w:val="lowerRoman"/>
      <w:start w:val="1"/>
    </w:lvl>
  </w:abstractNum>
  <w:abstractNum w:abstractNumId="170">
    <w:nsid w:val="29BACF25"/>
    <w:multiLevelType w:val="hybridMultilevel"/>
    <w:lvl w:ilvl="0">
      <w:lvlJc w:val="left"/>
      <w:lvlText w:val="%1."/>
      <w:numFmt w:val="upperLetter"/>
      <w:start w:val="1"/>
    </w:lvl>
  </w:abstractNum>
  <w:abstractNum w:abstractNumId="171">
    <w:nsid w:val="5D5BABB3"/>
    <w:multiLevelType w:val="hybridMultilevel"/>
    <w:lvl w:ilvl="0">
      <w:lvlJc w:val="left"/>
      <w:lvlText w:val="%1."/>
      <w:numFmt w:val="decimal"/>
      <w:start w:val="1"/>
    </w:lvl>
  </w:abstractNum>
  <w:abstractNum w:abstractNumId="172">
    <w:nsid w:val="51BF6B48"/>
    <w:multiLevelType w:val="hybridMultilevel"/>
    <w:lvl w:ilvl="0">
      <w:lvlJc w:val="left"/>
      <w:lvlText w:val="%1."/>
      <w:numFmt w:val="decimal"/>
      <w:start w:val="3"/>
    </w:lvl>
    <w:lvl w:ilvl="1">
      <w:lvlJc w:val="left"/>
      <w:lvlText w:val="(%2)"/>
      <w:numFmt w:val="lowerLetter"/>
      <w:start w:val="1"/>
    </w:lvl>
  </w:abstractNum>
  <w:abstractNum w:abstractNumId="173">
    <w:nsid w:val="7E0F6384"/>
    <w:multiLevelType w:val="hybridMultilevel"/>
    <w:lvl w:ilvl="0">
      <w:lvlJc w:val="left"/>
      <w:lvlText w:val="(%1)"/>
      <w:numFmt w:val="lowerLetter"/>
      <w:start w:val="2"/>
    </w:lvl>
  </w:abstractNum>
  <w:abstractNum w:abstractNumId="174">
    <w:nsid w:val="2B4B8B53"/>
    <w:multiLevelType w:val="hybridMultilevel"/>
    <w:lvl w:ilvl="0">
      <w:lvlJc w:val="left"/>
      <w:lvlText w:val="%1"/>
      <w:numFmt w:val="decimal"/>
      <w:start w:val="1"/>
    </w:lvl>
    <w:lvl w:ilvl="1">
      <w:lvlJc w:val="left"/>
      <w:lvlText w:val="(%2)"/>
      <w:numFmt w:val="lowerLetter"/>
      <w:start w:val="4"/>
    </w:lvl>
  </w:abstractNum>
  <w:abstractNum w:abstractNumId="175">
    <w:nsid w:val="72E3413A"/>
    <w:multiLevelType w:val="hybridMultilevel"/>
    <w:lvl w:ilvl="0">
      <w:lvlJc w:val="left"/>
      <w:lvlText w:val="%1."/>
      <w:numFmt w:val="decimal"/>
      <w:start w:val="4"/>
    </w:lvl>
    <w:lvl w:ilvl="1">
      <w:lvlJc w:val="left"/>
      <w:lvlText w:val="(%2)"/>
      <w:numFmt w:val="lowerLetter"/>
      <w:start w:val="1"/>
    </w:lvl>
  </w:abstractNum>
  <w:abstractNum w:abstractNumId="176">
    <w:nsid w:val="116AE494"/>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77">
    <w:nsid w:val="3494B2F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78">
    <w:nsid w:val="B13A31"/>
    <w:multiLevelType w:val="hybridMultilevel"/>
    <w:lvl w:ilvl="0">
      <w:lvlJc w:val="left"/>
      <w:lvlText w:val="%1"/>
      <w:numFmt w:val="decimal"/>
      <w:start w:val="1"/>
    </w:lvl>
    <w:lvl w:ilvl="1">
      <w:lvlJc w:val="left"/>
      <w:lvlText w:val="(%2)"/>
      <w:numFmt w:val="lowerLetter"/>
      <w:start w:val="2"/>
    </w:lvl>
  </w:abstractNum>
  <w:abstractNum w:abstractNumId="179">
    <w:nsid w:val="64429599"/>
    <w:multiLevelType w:val="hybridMultilevel"/>
    <w:lvl w:ilvl="0">
      <w:lvlJc w:val="left"/>
      <w:lvlText w:val="%1."/>
      <w:numFmt w:val="decimal"/>
      <w:start w:val="8"/>
    </w:lvl>
    <w:lvl w:ilvl="1">
      <w:lvlJc w:val="left"/>
      <w:lvlText w:val="%2"/>
      <w:numFmt w:val="lowerLetter"/>
      <w:start w:val="1"/>
    </w:lvl>
  </w:abstractNum>
  <w:abstractNum w:abstractNumId="180">
    <w:nsid w:val="631F1690"/>
    <w:multiLevelType w:val="hybridMultilevel"/>
    <w:lvl w:ilvl="0">
      <w:lvlJc w:val="left"/>
      <w:lvlText w:val="%1."/>
      <w:numFmt w:val="decimal"/>
      <w:start w:val="9"/>
    </w:lvl>
  </w:abstractNum>
  <w:abstractNum w:abstractNumId="181">
    <w:nsid w:val="25973E32"/>
    <w:multiLevelType w:val="hybridMultilevel"/>
    <w:lvl w:ilvl="0">
      <w:lvlJc w:val="left"/>
      <w:lvlText w:val="%1."/>
      <w:numFmt w:val="decimal"/>
      <w:start w:val="14"/>
    </w:lvl>
  </w:abstractNum>
  <w:abstractNum w:abstractNumId="182">
    <w:nsid w:val="EAD6F57"/>
    <w:multiLevelType w:val="hybridMultilevel"/>
    <w:lvl w:ilvl="0">
      <w:lvlJc w:val="left"/>
      <w:lvlText w:val="%1."/>
      <w:numFmt w:val="upperLetter"/>
      <w:start w:val="1"/>
    </w:lvl>
  </w:abstractNum>
  <w:abstractNum w:abstractNumId="183">
    <w:nsid w:val="6EC9D844"/>
    <w:multiLevelType w:val="hybridMultilevel"/>
    <w:lvl w:ilvl="0">
      <w:lvlJc w:val="left"/>
      <w:lvlText w:val="%1."/>
      <w:numFmt w:val="decimal"/>
      <w:start w:val="1"/>
    </w:lvl>
  </w:abstractNum>
  <w:abstractNum w:abstractNumId="184">
    <w:nsid w:val="5C49EAEE"/>
    <w:multiLevelType w:val="hybridMultilevel"/>
    <w:lvl w:ilvl="0">
      <w:lvlJc w:val="left"/>
      <w:lvlText w:val="%1."/>
      <w:numFmt w:val="decimal"/>
      <w:start w:val="3"/>
    </w:lvl>
    <w:lvl w:ilvl="1">
      <w:lvlJc w:val="left"/>
      <w:lvlText w:val="(%2)"/>
      <w:numFmt w:val="lowerLetter"/>
      <w:start w:val="1"/>
    </w:lvl>
  </w:abstractNum>
  <w:abstractNum w:abstractNumId="185">
    <w:nsid w:val="64AF49B"/>
    <w:multiLevelType w:val="hybridMultilevel"/>
    <w:lvl w:ilvl="0">
      <w:lvlJc w:val="left"/>
      <w:lvlText w:val="(%1)"/>
      <w:numFmt w:val="lowerLetter"/>
      <w:start w:val="2"/>
    </w:lvl>
  </w:abstractNum>
  <w:abstractNum w:abstractNumId="186">
    <w:nsid w:val="397C46BC"/>
    <w:multiLevelType w:val="hybridMultilevel"/>
    <w:lvl w:ilvl="0">
      <w:lvlJc w:val="left"/>
      <w:lvlText w:val="%1."/>
      <w:numFmt w:val="decimal"/>
      <w:start w:val="4"/>
    </w:lvl>
    <w:lvl w:ilvl="1">
      <w:lvlJc w:val="left"/>
      <w:lvlText w:val="(%2)"/>
      <w:numFmt w:val="lowerLetter"/>
      <w:start w:val="1"/>
    </w:lvl>
  </w:abstractNum>
  <w:abstractNum w:abstractNumId="187">
    <w:nsid w:val="7E448DE9"/>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88">
    <w:nsid w:val="5A9CC3E5"/>
    <w:multiLevelType w:val="hybridMultilevel"/>
    <w:lvl w:ilvl="0">
      <w:lvlJc w:val="left"/>
      <w:lvlText w:val="(%1)"/>
      <w:numFmt w:val="decimal"/>
      <w:start w:val="1"/>
    </w:lvl>
    <w:lvl w:ilvl="1">
      <w:lvlJc w:val="left"/>
      <w:lvlText w:val="%2."/>
      <w:numFmt w:val="decimal"/>
      <w:start w:val="7"/>
    </w:lvl>
    <w:lvl w:ilvl="2">
      <w:lvlJc w:val="left"/>
      <w:lvlText w:val="(%3)"/>
      <w:numFmt w:val="lowerLetter"/>
      <w:start w:val="2"/>
    </w:lvl>
  </w:abstractNum>
  <w:abstractNum w:abstractNumId="189">
    <w:nsid w:val="1AFE3625"/>
    <w:multiLevelType w:val="hybridMultilevel"/>
    <w:lvl w:ilvl="0">
      <w:lvlJc w:val="left"/>
      <w:lvlText w:val="%1."/>
      <w:numFmt w:val="decimal"/>
      <w:start w:val="9"/>
    </w:lvl>
  </w:abstractNum>
  <w:abstractNum w:abstractNumId="190">
    <w:nsid w:val="3CA88ECF"/>
    <w:multiLevelType w:val="hybridMultilevel"/>
    <w:lvl w:ilvl="0">
      <w:lvlJc w:val="left"/>
      <w:lvlText w:val="%1."/>
      <w:numFmt w:val="decimal"/>
      <w:start w:val="14"/>
    </w:lvl>
  </w:abstractNum>
  <w:abstractNum w:abstractNumId="191">
    <w:nsid w:val="6EBE4208"/>
    <w:multiLevelType w:val="hybridMultilevel"/>
    <w:lvl w:ilvl="0">
      <w:lvlJc w:val="left"/>
      <w:lvlText w:val="%1."/>
      <w:numFmt w:val="decimal"/>
      <w:start w:val="1"/>
    </w:lvl>
    <w:lvl w:ilvl="1">
      <w:lvlJc w:val="left"/>
      <w:lvlText w:val="%2."/>
      <w:numFmt w:val="lowerLetter"/>
      <w:start w:val="1"/>
    </w:lvl>
  </w:abstractNum>
  <w:abstractNum w:abstractNumId="192">
    <w:nsid w:val="C058DF5"/>
    <w:multiLevelType w:val="hybridMultilevel"/>
    <w:lvl w:ilvl="0">
      <w:lvlJc w:val="left"/>
      <w:lvlText w:val="%1."/>
      <w:numFmt w:val="decimal"/>
      <w:start w:val="1"/>
    </w:lvl>
    <w:lvl w:ilvl="1">
      <w:lvlJc w:val="left"/>
      <w:lvlText w:val="%2."/>
      <w:numFmt w:val="lowerLetter"/>
      <w:start w:val="1"/>
    </w:lvl>
  </w:abstractNum>
  <w:abstractNum w:abstractNumId="193">
    <w:nsid w:val="CBE5BE9"/>
    <w:multiLevelType w:val="hybridMultilevel"/>
    <w:lvl w:ilvl="0">
      <w:lvlJc w:val="left"/>
      <w:lvlText w:val="%1."/>
      <w:numFmt w:val="decimal"/>
      <w:start w:val="1"/>
    </w:lvl>
  </w:abstractNum>
  <w:abstractNum w:abstractNumId="194">
    <w:nsid w:val="3102BBE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2019-12-10T08:39:23Z</dcterms:created>
  <dcterms:modified xsi:type="dcterms:W3CDTF">2019-12-10T08:39:23Z</dcterms:modified>
</cp:coreProperties>
</file>