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ind w:left="1000"/>
        <w:spacing w:after="0"/>
        <w:tabs>
          <w:tab w:leader="none" w:pos="5760" w:val="left"/>
        </w:tabs>
        <w:rPr>
          <w:sz w:val="20"/>
          <w:szCs w:val="20"/>
          <w:color w:val="auto"/>
        </w:rPr>
      </w:pPr>
      <w:r>
        <w:rPr>
          <w:rFonts w:ascii="Arial" w:cs="Arial" w:eastAsia="Arial" w:hAnsi="Arial"/>
          <w:sz w:val="18"/>
          <w:szCs w:val="18"/>
          <w:color w:val="auto"/>
        </w:rPr>
        <w:t>For the quarterly period ended March 31, 2022</w:t>
      </w:r>
      <w:r>
        <w:rPr>
          <w:sz w:val="20"/>
          <w:szCs w:val="20"/>
          <w:color w:val="auto"/>
        </w:rPr>
        <w:tab/>
      </w:r>
      <w:r>
        <w:rPr>
          <w:rFonts w:ascii="Arial" w:cs="Arial" w:eastAsia="Arial" w:hAnsi="Arial"/>
          <w:sz w:val="16"/>
          <w:szCs w:val="16"/>
          <w:color w:val="auto"/>
        </w:rPr>
        <w:t>Commission File Number 001-18761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Delaware</w:t>
            </w:r>
          </w:p>
        </w:tc>
        <w:tc>
          <w:tcPr>
            <w:tcW w:w="3760" w:type="dxa"/>
            <w:vAlign w:val="bottom"/>
          </w:tcPr>
          <w:p>
            <w:pPr>
              <w:ind w:left="200"/>
              <w:spacing w:after="0"/>
              <w:rPr>
                <w:sz w:val="20"/>
                <w:szCs w:val="20"/>
                <w:color w:val="auto"/>
              </w:rPr>
            </w:pPr>
            <w:r>
              <w:rPr>
                <w:rFonts w:ascii="Arial" w:cs="Arial" w:eastAsia="Arial" w:hAnsi="Arial"/>
                <w:sz w:val="18"/>
                <w:szCs w:val="18"/>
                <w:color w:val="auto"/>
              </w:rPr>
              <w:t>47-1809393</w:t>
            </w:r>
          </w:p>
        </w:tc>
      </w:tr>
      <w:tr>
        <w:trPr>
          <w:trHeight w:val="216"/>
        </w:trPr>
        <w:tc>
          <w:tcPr>
            <w:tcW w:w="2340" w:type="dxa"/>
            <w:vAlign w:val="bottom"/>
          </w:tcPr>
          <w:p>
            <w:pPr>
              <w:spacing w:after="0"/>
              <w:rPr>
                <w:sz w:val="18"/>
                <w:szCs w:val="18"/>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(State or other jurisdiction of</w:t>
            </w:r>
          </w:p>
        </w:tc>
        <w:tc>
          <w:tcPr>
            <w:tcW w:w="3760" w:type="dxa"/>
            <w:vAlign w:val="bottom"/>
          </w:tcPr>
          <w:p>
            <w:pPr>
              <w:ind w:left="200"/>
              <w:spacing w:after="0"/>
              <w:rPr>
                <w:sz w:val="20"/>
                <w:szCs w:val="20"/>
                <w:color w:val="auto"/>
              </w:rPr>
            </w:pPr>
            <w:r>
              <w:rPr>
                <w:rFonts w:ascii="Arial" w:cs="Arial" w:eastAsia="Arial" w:hAnsi="Arial"/>
                <w:sz w:val="18"/>
                <w:szCs w:val="18"/>
                <w:color w:val="auto"/>
              </w:rPr>
              <w:t>(I.R.S. Employer</w:t>
            </w:r>
          </w:p>
        </w:tc>
      </w:tr>
      <w:tr>
        <w:trPr>
          <w:trHeight w:val="230"/>
        </w:trPr>
        <w:tc>
          <w:tcPr>
            <w:tcW w:w="2340" w:type="dxa"/>
            <w:vAlign w:val="bottom"/>
          </w:tcPr>
          <w:p>
            <w:pPr>
              <w:spacing w:after="0"/>
              <w:rPr>
                <w:sz w:val="20"/>
                <w:szCs w:val="20"/>
                <w:color w:val="auto"/>
              </w:rPr>
            </w:pPr>
          </w:p>
        </w:tc>
        <w:tc>
          <w:tcPr>
            <w:tcW w:w="3820" w:type="dxa"/>
            <w:vAlign w:val="bottom"/>
            <w:gridSpan w:val="2"/>
          </w:tcPr>
          <w:p>
            <w:pPr>
              <w:ind w:left="200"/>
              <w:spacing w:after="0"/>
              <w:rPr>
                <w:sz w:val="20"/>
                <w:szCs w:val="20"/>
                <w:color w:val="auto"/>
              </w:rPr>
            </w:pPr>
            <w:r>
              <w:rPr>
                <w:rFonts w:ascii="Arial" w:cs="Arial" w:eastAsia="Arial" w:hAnsi="Arial"/>
                <w:sz w:val="18"/>
                <w:szCs w:val="18"/>
                <w:color w:val="auto"/>
              </w:rPr>
              <w:t>incorporation or organization)</w:t>
            </w:r>
          </w:p>
        </w:tc>
        <w:tc>
          <w:tcPr>
            <w:tcW w:w="3760" w:type="dxa"/>
            <w:vAlign w:val="bottom"/>
          </w:tcPr>
          <w:p>
            <w:pPr>
              <w:ind w:left="200"/>
              <w:spacing w:after="0"/>
              <w:rPr>
                <w:sz w:val="20"/>
                <w:szCs w:val="20"/>
                <w:color w:val="auto"/>
              </w:rPr>
            </w:pPr>
            <w:r>
              <w:rPr>
                <w:rFonts w:ascii="Arial" w:cs="Arial" w:eastAsia="Arial" w:hAnsi="Arial"/>
                <w:sz w:val="18"/>
                <w:szCs w:val="18"/>
                <w:color w:val="auto"/>
              </w:rPr>
              <w:t>Identification No.)</w:t>
            </w:r>
          </w:p>
        </w:tc>
      </w:tr>
      <w:tr>
        <w:trPr>
          <w:trHeight w:val="337"/>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80" w:type="dxa"/>
            <w:vAlign w:val="bottom"/>
          </w:tcPr>
          <w:p>
            <w:pPr>
              <w:jc w:val="center"/>
              <w:ind w:left="716"/>
              <w:spacing w:after="0"/>
              <w:rPr>
                <w:sz w:val="20"/>
                <w:szCs w:val="20"/>
                <w:color w:val="auto"/>
              </w:rPr>
            </w:pPr>
            <w:r>
              <w:rPr>
                <w:rFonts w:ascii="Arial" w:cs="Arial" w:eastAsia="Arial" w:hAnsi="Arial"/>
                <w:sz w:val="18"/>
                <w:szCs w:val="18"/>
                <w:color w:val="auto"/>
                <w:w w:val="90"/>
              </w:rPr>
              <w:t>1 Monster Way</w:t>
            </w:r>
          </w:p>
        </w:tc>
        <w:tc>
          <w:tcPr>
            <w:tcW w:w="376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180" w:type="dxa"/>
            <w:vAlign w:val="bottom"/>
          </w:tcPr>
          <w:p>
            <w:pPr>
              <w:jc w:val="center"/>
              <w:ind w:left="696"/>
              <w:spacing w:after="0"/>
              <w:rPr>
                <w:sz w:val="20"/>
                <w:szCs w:val="20"/>
                <w:color w:val="auto"/>
              </w:rPr>
            </w:pPr>
            <w:r>
              <w:rPr>
                <w:rFonts w:ascii="Arial" w:cs="Arial" w:eastAsia="Arial" w:hAnsi="Arial"/>
                <w:sz w:val="18"/>
                <w:szCs w:val="18"/>
                <w:color w:val="auto"/>
                <w:w w:val="91"/>
              </w:rPr>
              <w:t>Corona, California 92879</w:t>
            </w:r>
          </w:p>
        </w:tc>
        <w:tc>
          <w:tcPr>
            <w:tcW w:w="376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40" w:type="dxa"/>
            <w:vAlign w:val="bottom"/>
            <w:gridSpan w:val="2"/>
          </w:tcPr>
          <w:p>
            <w:pPr>
              <w:jc w:val="center"/>
              <w:ind w:right="289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40" w:type="dxa"/>
            <w:vAlign w:val="bottom"/>
          </w:tcPr>
          <w:p>
            <w:pPr>
              <w:spacing w:after="0"/>
              <w:rPr>
                <w:sz w:val="24"/>
                <w:szCs w:val="24"/>
                <w:color w:val="auto"/>
              </w:rPr>
            </w:pPr>
          </w:p>
        </w:tc>
        <w:tc>
          <w:tcPr>
            <w:tcW w:w="3820" w:type="dxa"/>
            <w:vAlign w:val="bottom"/>
            <w:gridSpan w:val="2"/>
          </w:tcPr>
          <w:p>
            <w:pPr>
              <w:jc w:val="center"/>
              <w:ind w:left="1350"/>
              <w:spacing w:after="0"/>
              <w:rPr>
                <w:sz w:val="20"/>
                <w:szCs w:val="20"/>
                <w:color w:val="auto"/>
              </w:rPr>
            </w:pPr>
            <w:r>
              <w:rPr>
                <w:rFonts w:ascii="Arial" w:cs="Arial" w:eastAsia="Arial" w:hAnsi="Arial"/>
                <w:sz w:val="18"/>
                <w:szCs w:val="18"/>
                <w:color w:val="auto"/>
                <w:w w:val="91"/>
              </w:rPr>
              <w:t>(951) 739 - 6200</w:t>
            </w:r>
          </w:p>
        </w:tc>
        <w:tc>
          <w:tcPr>
            <w:tcW w:w="376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940" w:type="dxa"/>
            <w:vAlign w:val="bottom"/>
            <w:gridSpan w:val="2"/>
          </w:tcPr>
          <w:p>
            <w:pPr>
              <w:jc w:val="center"/>
              <w:ind w:right="289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6160" w:type="dxa"/>
            <w:vAlign w:val="bottom"/>
            <w:gridSpan w:val="3"/>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3760" w:type="dxa"/>
            <w:vAlign w:val="bottom"/>
          </w:tcPr>
          <w:p>
            <w:pPr>
              <w:spacing w:after="0"/>
              <w:rPr>
                <w:sz w:val="24"/>
                <w:szCs w:val="24"/>
                <w:color w:val="auto"/>
              </w:rPr>
            </w:pPr>
          </w:p>
        </w:tc>
      </w:tr>
      <w:tr>
        <w:trPr>
          <w:trHeight w:val="135"/>
        </w:trPr>
        <w:tc>
          <w:tcPr>
            <w:tcW w:w="23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r>
      <w:tr>
        <w:trPr>
          <w:trHeight w:val="223"/>
        </w:trPr>
        <w:tc>
          <w:tcPr>
            <w:tcW w:w="2340" w:type="dxa"/>
            <w:vAlign w:val="bottom"/>
            <w:tcBorders>
              <w:left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640" w:type="dxa"/>
            <w:vAlign w:val="bottom"/>
            <w:tcBorders>
              <w:bottom w:val="single" w:sz="8" w:color="auto"/>
              <w:right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8"/>
                <w:szCs w:val="18"/>
                <w:color w:val="auto"/>
                <w:w w:val="92"/>
              </w:rPr>
              <w:t>Trading Symbol(s)</w:t>
            </w:r>
          </w:p>
        </w:tc>
        <w:tc>
          <w:tcPr>
            <w:tcW w:w="37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2340" w:type="dxa"/>
            <w:vAlign w:val="bottom"/>
            <w:tcBorders>
              <w:left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Common Stock</w:t>
            </w:r>
          </w:p>
        </w:tc>
        <w:tc>
          <w:tcPr>
            <w:tcW w:w="64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jc w:val="center"/>
              <w:ind w:left="76"/>
              <w:spacing w:after="0"/>
              <w:rPr>
                <w:sz w:val="20"/>
                <w:szCs w:val="20"/>
                <w:color w:val="auto"/>
              </w:rPr>
            </w:pPr>
            <w:r>
              <w:rPr>
                <w:rFonts w:ascii="Arial" w:cs="Arial" w:eastAsia="Arial" w:hAnsi="Arial"/>
                <w:sz w:val="18"/>
                <w:szCs w:val="18"/>
                <w:color w:val="auto"/>
                <w:w w:val="97"/>
              </w:rPr>
              <w:t>MNST</w:t>
            </w:r>
          </w:p>
        </w:tc>
        <w:tc>
          <w:tcPr>
            <w:tcW w:w="3760" w:type="dxa"/>
            <w:vAlign w:val="bottom"/>
            <w:tcBorders>
              <w:bottom w:val="single" w:sz="8" w:color="auto"/>
              <w:right w:val="single" w:sz="8" w:color="auto"/>
            </w:tcBorders>
          </w:tcPr>
          <w:p>
            <w:pPr>
              <w:jc w:val="center"/>
              <w:ind w:left="90"/>
              <w:spacing w:after="0"/>
              <w:rPr>
                <w:sz w:val="20"/>
                <w:szCs w:val="20"/>
                <w:color w:val="auto"/>
              </w:rPr>
            </w:pPr>
            <w:r>
              <w:rPr>
                <w:rFonts w:ascii="Arial" w:cs="Arial" w:eastAsia="Arial" w:hAnsi="Arial"/>
                <w:sz w:val="18"/>
                <w:szCs w:val="18"/>
                <w:color w:val="auto"/>
                <w:w w:val="91"/>
              </w:rPr>
              <w:t>Nasdaq Global Select Market</w:t>
            </w:r>
          </w:p>
        </w:tc>
      </w:tr>
    </w:tbl>
    <w:p>
      <w:pPr>
        <w:spacing w:after="0" w:line="10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3"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Arial" w:cs="Arial" w:eastAsia="Arial" w:hAnsi="Arial"/>
                <w:sz w:val="18"/>
                <w:szCs w:val="18"/>
                <w:color w:val="auto"/>
                <w:w w:val="94"/>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40" w:type="dxa"/>
            <w:vAlign w:val="bottom"/>
          </w:tcPr>
          <w:p>
            <w:pPr>
              <w:ind w:left="1480"/>
              <w:spacing w:after="0"/>
              <w:rPr>
                <w:sz w:val="20"/>
                <w:szCs w:val="20"/>
                <w:color w:val="auto"/>
              </w:rPr>
            </w:pPr>
            <w:r>
              <w:rPr>
                <w:rFonts w:ascii="Arial" w:cs="Arial" w:eastAsia="Arial" w:hAnsi="Arial"/>
                <w:sz w:val="18"/>
                <w:szCs w:val="18"/>
                <w:color w:val="auto"/>
                <w:w w:val="95"/>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ind w:right="140"/>
        <w:spacing w:after="0"/>
        <w:tabs>
          <w:tab w:leader="none" w:pos="120" w:val="left"/>
        </w:tabs>
        <w:rPr>
          <w:sz w:val="20"/>
          <w:szCs w:val="20"/>
          <w:color w:val="auto"/>
        </w:rPr>
      </w:pPr>
      <w:r>
        <w:rPr>
          <w:rFonts w:ascii="Arial" w:cs="Arial" w:eastAsia="Arial" w:hAnsi="Arial"/>
          <w:sz w:val="18"/>
          <w:szCs w:val="18"/>
          <w:color w:val="auto"/>
        </w:rPr>
        <w:t>Yes __ No</w:t>
      </w:r>
      <w:r>
        <w:rPr>
          <w:sz w:val="20"/>
          <w:szCs w:val="20"/>
          <w:color w:val="auto"/>
        </w:rPr>
        <w:tab/>
      </w:r>
      <w:r>
        <w:rPr>
          <w:rFonts w:ascii="Arial" w:cs="Arial" w:eastAsia="Arial" w:hAnsi="Arial"/>
          <w:sz w:val="17"/>
          <w:szCs w:val="17"/>
          <w:u w:val="single" w:color="auto"/>
          <w:color w:val="auto"/>
        </w:rPr>
        <w:t>X</w:t>
      </w:r>
    </w:p>
    <w:p>
      <w:pPr>
        <w:spacing w:after="0" w:line="14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The registrant had 529,671,407 shares of common stock, par value $0.005 per share, outstanding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0" w:type="dxa"/>
            <w:vAlign w:val="bottom"/>
            <w:gridSpan w:val="3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20"/>
          </w:tcPr>
          <w:p>
            <w:pPr>
              <w:jc w:val="center"/>
              <w:ind w:right="1680"/>
              <w:spacing w:after="0"/>
              <w:rPr>
                <w:sz w:val="20"/>
                <w:szCs w:val="20"/>
                <w:color w:val="auto"/>
              </w:rPr>
            </w:pPr>
            <w:r>
              <w:rPr>
                <w:rFonts w:ascii="Arial" w:cs="Arial" w:eastAsia="Arial" w:hAnsi="Arial"/>
                <w:sz w:val="18"/>
                <w:szCs w:val="18"/>
                <w:b w:val="1"/>
                <w:bCs w:val="1"/>
                <w:color w:val="auto"/>
                <w:w w:val="99"/>
              </w:rPr>
              <w:t>MONSTER BEVERAGE CORPORATION AND SUBSIDIARIES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Arial" w:cs="Arial" w:eastAsia="Arial" w:hAnsi="Arial"/>
                <w:sz w:val="18"/>
                <w:szCs w:val="18"/>
                <w:b w:val="1"/>
                <w:bCs w:val="1"/>
                <w:color w:val="auto"/>
                <w:w w:val="97"/>
              </w:rPr>
              <w:t>MARCH 31, 2022</w:t>
            </w:r>
          </w:p>
        </w:tc>
        <w:tc>
          <w:tcPr>
            <w:tcW w:w="1860" w:type="dxa"/>
            <w:vAlign w:val="bottom"/>
            <w:tcBorders>
              <w:top w:val="single" w:sz="8" w:color="auto"/>
            </w:tcBorders>
            <w:gridSpan w:val="3"/>
          </w:tcPr>
          <w:p>
            <w:pPr>
              <w:spacing w:after="0"/>
              <w:rPr>
                <w:sz w:val="17"/>
                <w:szCs w:val="17"/>
                <w:color w:val="auto"/>
              </w:rPr>
            </w:pPr>
          </w:p>
        </w:tc>
        <w:tc>
          <w:tcPr>
            <w:tcW w:w="16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INDEX</w:t>
            </w:r>
          </w:p>
        </w:tc>
        <w:tc>
          <w:tcPr>
            <w:tcW w:w="394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020" w:type="dxa"/>
            <w:vAlign w:val="bottom"/>
            <w:gridSpan w:val="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180" w:type="dxa"/>
            <w:vAlign w:val="bottom"/>
            <w:gridSpan w:val="2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196"/>
        </w:trPr>
        <w:tc>
          <w:tcPr>
            <w:tcW w:w="1020" w:type="dxa"/>
            <w:vAlign w:val="bottom"/>
            <w:gridSpan w:val="4"/>
            <w:vMerge w:val="continue"/>
          </w:tcPr>
          <w:p>
            <w:pPr>
              <w:spacing w:after="0"/>
              <w:rPr>
                <w:sz w:val="17"/>
                <w:szCs w:val="17"/>
                <w:color w:val="auto"/>
              </w:rPr>
            </w:pPr>
          </w:p>
        </w:tc>
        <w:tc>
          <w:tcPr>
            <w:tcW w:w="8180" w:type="dxa"/>
            <w:vAlign w:val="bottom"/>
            <w:gridSpan w:val="28"/>
            <w:vMerge w:val="continue"/>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520" w:type="dxa"/>
            <w:vAlign w:val="bottom"/>
            <w:gridSpan w:val="3"/>
          </w:tcPr>
          <w:p>
            <w:pPr>
              <w:spacing w:after="0"/>
              <w:rPr>
                <w:sz w:val="24"/>
                <w:szCs w:val="24"/>
                <w:color w:val="auto"/>
              </w:rPr>
            </w:pPr>
          </w:p>
        </w:tc>
        <w:tc>
          <w:tcPr>
            <w:tcW w:w="4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92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2022 and December 31, 2021</w:t>
              </w:r>
            </w:hyperlink>
          </w:p>
        </w:tc>
        <w:tc>
          <w:tcPr>
            <w:tcW w:w="1900" w:type="dxa"/>
            <w:vAlign w:val="bottom"/>
            <w:gridSpan w:val="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28"/>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Income for the Three-Months Ended March 31, 2022 and 2021</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tcBorders>
              <w:bottom w:val="single" w:sz="8" w:color="0000EE"/>
            </w:tcBorders>
            <w:gridSpan w:val="2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Comprehensive Income for the Three-Months Ended March 31, 2022</w:t>
              </w:r>
            </w:hyperlink>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80" w:type="dxa"/>
            <w:vAlign w:val="bottom"/>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2021</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28"/>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Stockholders’ Equity for the Three-Months Ended March 31, 2022 and</w:t>
              </w:r>
            </w:hyperlink>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2021</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Three-Months Ended March 31, 2022 and 2021</w:t>
              </w:r>
            </w:hyperlink>
          </w:p>
        </w:tc>
        <w:tc>
          <w:tcPr>
            <w:tcW w:w="460" w:type="dxa"/>
            <w:vAlign w:val="bottom"/>
            <w:gridSpan w:val="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180" w:type="dxa"/>
            <w:vAlign w:val="bottom"/>
            <w:gridSpan w:val="1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32">
              <w:r>
                <w:rPr>
                  <w:rFonts w:ascii="Arial" w:cs="Arial" w:eastAsia="Arial" w:hAnsi="Arial"/>
                  <w:sz w:val="18"/>
                  <w:szCs w:val="18"/>
                  <w:color w:val="0000EE"/>
                  <w:w w:val="83"/>
                </w:rPr>
                <w:t>Item 2.</w:t>
              </w:r>
            </w:hyperlink>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1720" w:type="dxa"/>
            <w:vAlign w:val="bottom"/>
            <w:gridSpan w:val="6"/>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3.</w:t>
              </w:r>
            </w:hyperlink>
          </w:p>
        </w:tc>
        <w:tc>
          <w:tcPr>
            <w:tcW w:w="520" w:type="dxa"/>
            <w:vAlign w:val="bottom"/>
            <w:gridSpan w:val="3"/>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3820" w:type="dxa"/>
            <w:vAlign w:val="bottom"/>
            <w:gridSpan w:val="9"/>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4.</w:t>
              </w:r>
            </w:hyperlink>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Controls and Procedures</w:t>
              </w:r>
            </w:hyperlink>
          </w:p>
        </w:tc>
        <w:tc>
          <w:tcPr>
            <w:tcW w:w="6400" w:type="dxa"/>
            <w:vAlign w:val="bottom"/>
            <w:gridSpan w:val="19"/>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580" w:type="dxa"/>
            <w:vAlign w:val="bottom"/>
            <w:gridSpan w:val="2"/>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440" w:type="dxa"/>
            <w:vAlign w:val="bottom"/>
            <w:gridSpan w:val="2"/>
          </w:tcPr>
          <w:p>
            <w:pPr>
              <w:spacing w:after="0"/>
              <w:rPr>
                <w:sz w:val="24"/>
                <w:szCs w:val="24"/>
                <w:color w:val="auto"/>
              </w:rPr>
            </w:pPr>
          </w:p>
        </w:tc>
        <w:tc>
          <w:tcPr>
            <w:tcW w:w="8180" w:type="dxa"/>
            <w:vAlign w:val="bottom"/>
            <w:gridSpan w:val="28"/>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160" w:type="dxa"/>
            <w:vAlign w:val="bottom"/>
            <w:gridSpan w:val="18"/>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102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8180" w:type="dxa"/>
            <w:vAlign w:val="bottom"/>
            <w:gridSpan w:val="2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Item 2.</w:t>
              </w:r>
            </w:hyperlink>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2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Item 3.</w:t>
              </w:r>
            </w:hyperlink>
          </w:p>
        </w:tc>
        <w:tc>
          <w:tcPr>
            <w:tcW w:w="520" w:type="dxa"/>
            <w:vAlign w:val="bottom"/>
            <w:gridSpan w:val="3"/>
          </w:tcPr>
          <w:p>
            <w:pPr>
              <w:spacing w:after="0"/>
              <w:rPr>
                <w:sz w:val="24"/>
                <w:szCs w:val="24"/>
                <w:color w:val="auto"/>
              </w:rPr>
            </w:pPr>
          </w:p>
        </w:tc>
        <w:tc>
          <w:tcPr>
            <w:tcW w:w="4340" w:type="dxa"/>
            <w:vAlign w:val="bottom"/>
            <w:tcBorders>
              <w:top w:val="single" w:sz="8" w:color="0000EE"/>
            </w:tcBorders>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3840" w:type="dxa"/>
            <w:vAlign w:val="bottom"/>
            <w:gridSpan w:val="10"/>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Item 4.</w:t>
              </w:r>
            </w:hyperlink>
          </w:p>
        </w:tc>
        <w:tc>
          <w:tcPr>
            <w:tcW w:w="52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5860" w:type="dxa"/>
            <w:vAlign w:val="bottom"/>
            <w:gridSpan w:val="1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9">
              <w:r>
                <w:rPr>
                  <w:rFonts w:ascii="Arial" w:cs="Arial" w:eastAsia="Arial" w:hAnsi="Arial"/>
                  <w:sz w:val="18"/>
                  <w:szCs w:val="18"/>
                  <w:color w:val="0000EE"/>
                  <w:w w:val="83"/>
                </w:rPr>
                <w:t>Item 5.</w:t>
              </w:r>
            </w:hyperlink>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Other Information</w:t>
              </w:r>
            </w:hyperlink>
          </w:p>
        </w:tc>
        <w:tc>
          <w:tcPr>
            <w:tcW w:w="6860" w:type="dxa"/>
            <w:vAlign w:val="bottom"/>
            <w:gridSpan w:val="2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500" w:type="dxa"/>
            <w:vAlign w:val="bottom"/>
          </w:tcPr>
          <w:p>
            <w:pPr>
              <w:spacing w:after="0"/>
              <w:rPr>
                <w:rFonts w:ascii="Arial" w:cs="Arial" w:eastAsia="Arial" w:hAnsi="Arial"/>
                <w:sz w:val="18"/>
                <w:szCs w:val="18"/>
                <w:color w:val="0000EE"/>
                <w:w w:val="83"/>
              </w:rPr>
            </w:pPr>
            <w:hyperlink w:anchor="page50">
              <w:r>
                <w:rPr>
                  <w:rFonts w:ascii="Arial" w:cs="Arial" w:eastAsia="Arial" w:hAnsi="Arial"/>
                  <w:sz w:val="18"/>
                  <w:szCs w:val="18"/>
                  <w:color w:val="0000EE"/>
                  <w:w w:val="83"/>
                </w:rPr>
                <w:t>Item 6.</w:t>
              </w:r>
            </w:hyperlink>
          </w:p>
        </w:tc>
        <w:tc>
          <w:tcPr>
            <w:tcW w:w="520" w:type="dxa"/>
            <w:vAlign w:val="bottom"/>
            <w:gridSpan w:val="3"/>
          </w:tcPr>
          <w:p>
            <w:pPr>
              <w:spacing w:after="0"/>
              <w:rPr>
                <w:sz w:val="24"/>
                <w:szCs w:val="24"/>
                <w:color w:val="auto"/>
              </w:rPr>
            </w:pPr>
          </w:p>
        </w:tc>
        <w:tc>
          <w:tcPr>
            <w:tcW w:w="8180" w:type="dxa"/>
            <w:vAlign w:val="bottom"/>
            <w:gridSpan w:val="2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20" w:type="dxa"/>
            <w:vAlign w:val="bottom"/>
            <w:gridSpan w:val="2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8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7" w:lineRule="auto"/>
        <w:rPr>
          <w:sz w:val="20"/>
          <w:szCs w:val="20"/>
          <w:color w:val="auto"/>
        </w:rPr>
      </w:pPr>
      <w:r>
        <w:rPr>
          <w:rFonts w:ascii="Arial" w:cs="Arial" w:eastAsia="Arial" w:hAnsi="Arial"/>
          <w:sz w:val="18"/>
          <w:szCs w:val="18"/>
          <w:b w:val="1"/>
          <w:bCs w:val="1"/>
          <w:color w:val="auto"/>
        </w:rPr>
        <w:t>MONSTER BEVERAGE CORPORATION AND SUBSIDIARIES CONDENSED CONSOLIDATED BALANCE SHEETS AS OF MARCH 31, 2022 AND DECEMBER 31,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1,014,786</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1,326,462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1,717,648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1,749,727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1,039,780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821,132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593,357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110,327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Prepaid income taxes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39,993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4,743,666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4,682,110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65,652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407,391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313,753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225,221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1,411,928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1,232,113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101,488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80,252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Arial" w:cs="Arial" w:eastAsia="Arial" w:hAnsi="Arial"/>
                <w:sz w:val="14"/>
                <w:szCs w:val="14"/>
                <w:b w:val="1"/>
                <w:bCs w:val="1"/>
                <w:color w:val="auto"/>
                <w:w w:val="88"/>
              </w:rPr>
              <w:t>Total Assets</w:t>
            </w: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8,187,459</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438,256</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404,263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234,111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210,964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promotional allowances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270,785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42,540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42,530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21,118</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1,044,361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965,076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238,241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38,185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29,508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12)</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5"/>
              </w:rPr>
              <w:t>Common stock - $0.005 par value; 1,250,000 shares authorized; 640,528 shares issued and 529,642 shares outstanding as</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Arial" w:cs="Arial" w:eastAsia="Arial" w:hAnsi="Arial"/>
                <w:sz w:val="14"/>
                <w:szCs w:val="14"/>
                <w:color w:val="auto"/>
              </w:rPr>
              <w:t>of March 31, 2022; 640,043 shares issued and 529,323 shares outstanding as of December 31, 2021</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4,673,302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4,652,620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8,103,752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7,809,549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(72,145)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320" w:type="dxa"/>
            <w:vAlign w:val="bottom"/>
            <w:gridSpan w:val="5"/>
          </w:tcPr>
          <w:p>
            <w:pPr>
              <w:spacing w:after="0" w:line="130" w:lineRule="exact"/>
              <w:rPr>
                <w:sz w:val="20"/>
                <w:szCs w:val="20"/>
                <w:color w:val="auto"/>
              </w:rPr>
            </w:pPr>
            <w:r>
              <w:rPr>
                <w:rFonts w:ascii="Arial" w:cs="Arial" w:eastAsia="Arial" w:hAnsi="Arial"/>
                <w:sz w:val="14"/>
                <w:szCs w:val="14"/>
                <w:color w:val="auto"/>
                <w:w w:val="99"/>
              </w:rPr>
              <w:t>Common stock in treasury, at cost; 110,886 shares and 110,720 shares as of March 31, 2022 and December 31, 2021,</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Arial" w:cs="Arial" w:eastAsia="Arial" w:hAnsi="Arial"/>
                <w:sz w:val="14"/>
                <w:szCs w:val="14"/>
                <w:color w:val="auto"/>
              </w:rPr>
              <w:t>respectively</w:t>
            </w:r>
          </w:p>
        </w:tc>
        <w:tc>
          <w:tcPr>
            <w:tcW w:w="1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(5,841,440)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(5,829,253)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6,866,672</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6,566,951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Arial" w:cs="Arial" w:eastAsia="Arial" w:hAnsi="Arial"/>
                <w:sz w:val="14"/>
                <w:szCs w:val="14"/>
                <w:b w:val="1"/>
                <w:bCs w:val="1"/>
                <w:color w:val="auto"/>
                <w:w w:val="94"/>
              </w:rPr>
              <w:t>Total Liabilities and Stockholders’ Equity</w:t>
            </w: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8,187,459</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64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INCOME FOR THE THREE-MONTHS ENDED MARCH 31, 2022 AND 2021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1,518,574</w:t>
            </w:r>
          </w:p>
        </w:tc>
        <w:tc>
          <w:tcPr>
            <w:tcW w:w="5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1,243,816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741,907</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528,881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776,667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377,178</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399,489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392,189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97,986</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294,203</w:t>
            </w:r>
          </w:p>
        </w:tc>
        <w:tc>
          <w:tcPr>
            <w:tcW w:w="5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0.56</w:t>
            </w:r>
          </w:p>
        </w:tc>
        <w:tc>
          <w:tcPr>
            <w:tcW w:w="5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 w:lineRule="exact"/>
        <w:rPr>
          <w:sz w:val="20"/>
          <w:szCs w:val="20"/>
          <w:color w:val="auto"/>
        </w:rPr>
      </w:pPr>
    </w:p>
    <w:p>
      <w:pPr>
        <w:ind w:left="140" w:right="400" w:hanging="129"/>
        <w:spacing w:after="0" w:line="258" w:lineRule="auto"/>
        <w:rPr>
          <w:sz w:val="20"/>
          <w:szCs w:val="20"/>
          <w:color w:val="auto"/>
        </w:rPr>
      </w:pPr>
      <w:r>
        <w:rPr>
          <w:rFonts w:ascii="Arial" w:cs="Arial" w:eastAsia="Arial" w:hAnsi="Arial"/>
          <w:sz w:val="18"/>
          <w:szCs w:val="18"/>
          <w:color w:val="auto"/>
        </w:rPr>
        <w:t>WEIGHTED AVERAGE NUMBER OF SHARES OF COMMON STOCK AND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color w:val="auto"/>
        </w:rPr>
        <w:t>529,405</w:t>
      </w:r>
      <w:r>
        <w:rPr>
          <w:sz w:val="20"/>
          <w:szCs w:val="20"/>
          <w:color w:val="auto"/>
        </w:rPr>
        <w:tab/>
      </w:r>
      <w:r>
        <w:rPr>
          <w:rFonts w:ascii="Arial" w:cs="Arial" w:eastAsia="Arial" w:hAnsi="Arial"/>
          <w:sz w:val="16"/>
          <w:szCs w:val="16"/>
          <w:color w:val="auto"/>
        </w:rPr>
        <w:t>528,195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29210</wp:posOffset>
            </wp:positionV>
            <wp:extent cx="1637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53"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color w:val="auto"/>
        </w:rPr>
        <w:t>535,554</w:t>
      </w:r>
      <w:r>
        <w:rPr>
          <w:sz w:val="20"/>
          <w:szCs w:val="20"/>
          <w:color w:val="auto"/>
        </w:rPr>
        <w:tab/>
      </w:r>
      <w:r>
        <w:rPr>
          <w:rFonts w:ascii="Arial" w:cs="Arial" w:eastAsia="Arial" w:hAnsi="Arial"/>
          <w:sz w:val="16"/>
          <w:szCs w:val="16"/>
          <w:color w:val="auto"/>
        </w:rPr>
        <w:t>534,982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46355</wp:posOffset>
            </wp:positionV>
            <wp:extent cx="1637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2040"/>
          </w:cols>
          <w:pgMar w:left="980" w:top="665" w:right="99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328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THREE-MONTHS ENDED MARCH 31,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Three-Months Ended</w:t>
            </w:r>
          </w:p>
        </w:tc>
      </w:tr>
      <w:tr>
        <w:trPr>
          <w:trHeight w:val="234"/>
        </w:trPr>
        <w:tc>
          <w:tcPr>
            <w:tcW w:w="6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r>
      <w:tr>
        <w:trPr>
          <w:trHeight w:val="209"/>
        </w:trPr>
        <w:tc>
          <w:tcPr>
            <w:tcW w:w="60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(27,932)</w:t>
            </w:r>
          </w:p>
        </w:tc>
      </w:tr>
      <w:tr>
        <w:trPr>
          <w:trHeight w:val="216"/>
        </w:trPr>
        <w:tc>
          <w:tcPr>
            <w:tcW w:w="608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(losses) gains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(27,908)</w:t>
            </w: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287,286</w:t>
            </w:r>
          </w:p>
        </w:tc>
      </w:tr>
      <w:tr>
        <w:trPr>
          <w:trHeight w:val="20"/>
        </w:trPr>
        <w:tc>
          <w:tcPr>
            <w:tcW w:w="6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38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THREE-MONTHS ENDED MARCH 31,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Earnings</w:t>
            </w:r>
          </w:p>
        </w:tc>
        <w:tc>
          <w:tcPr>
            <w:tcW w:w="14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640,043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4,652,620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7,809,549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(69,165)</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(110,720)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(5,829,253)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6,566,951</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16,175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16,175</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4,507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4,510</w:t>
            </w: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color w:val="auto"/>
              </w:rPr>
              <w:t>Unrealized loss,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700" w:type="dxa"/>
            <w:vAlign w:val="bottom"/>
          </w:tcPr>
          <w:p>
            <w:pPr>
              <w:spacing w:after="0"/>
              <w:rPr>
                <w:sz w:val="20"/>
                <w:szCs w:val="20"/>
                <w:color w:val="auto"/>
              </w:rPr>
            </w:pPr>
            <w:r>
              <w:rPr>
                <w:rFonts w:ascii="Arial" w:cs="Arial" w:eastAsia="Arial" w:hAnsi="Arial"/>
                <w:sz w:val="13"/>
                <w:szCs w:val="13"/>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(4,059)</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(4,059)</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(12,187)</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(12,187)</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1,079</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1,079</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294,203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294,203</w:t>
            </w:r>
          </w:p>
        </w:tc>
      </w:tr>
      <w:tr>
        <w:trPr>
          <w:trHeight w:val="128"/>
        </w:trPr>
        <w:tc>
          <w:tcPr>
            <w:tcW w:w="27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2022</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640,528</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3,203</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4,673,302</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8,103,752</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(72,145)</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(110,886)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(5,841,440)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6,866,672</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9"/>
        </w:trPr>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w w:val="93"/>
              </w:rPr>
              <w:t>Earnings</w:t>
            </w:r>
          </w:p>
        </w:tc>
        <w:tc>
          <w:tcPr>
            <w:tcW w:w="14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9"/>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December 31,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638,662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3,193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4,537,982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6,432,074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3,034</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(110,565)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(5,815,423)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5,160,860</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17,949</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6,761</w:t>
            </w: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color w:val="auto"/>
              </w:rPr>
              <w:t>Unrealized gain, net on available-for-sale</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700" w:type="dxa"/>
            <w:vAlign w:val="bottom"/>
          </w:tcPr>
          <w:p>
            <w:pPr>
              <w:ind w:left="140"/>
              <w:spacing w:after="0"/>
              <w:rPr>
                <w:sz w:val="20"/>
                <w:szCs w:val="20"/>
                <w:color w:val="auto"/>
              </w:rPr>
            </w:pPr>
            <w:r>
              <w:rPr>
                <w:rFonts w:ascii="Arial" w:cs="Arial" w:eastAsia="Arial" w:hAnsi="Arial"/>
                <w:sz w:val="13"/>
                <w:szCs w:val="13"/>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(13,419)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(13,419)</w:t>
            </w: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(27,932)</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(27,932)</w:t>
            </w:r>
          </w:p>
        </w:tc>
      </w:tr>
      <w:tr>
        <w:trPr>
          <w:trHeight w:val="135"/>
        </w:trPr>
        <w:tc>
          <w:tcPr>
            <w:tcW w:w="2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315,194</w:t>
            </w:r>
          </w:p>
        </w:tc>
      </w:tr>
      <w:tr>
        <w:trPr>
          <w:trHeight w:val="128"/>
        </w:trPr>
        <w:tc>
          <w:tcPr>
            <w:tcW w:w="2700" w:type="dxa"/>
            <w:vAlign w:val="bottom"/>
          </w:tcPr>
          <w:p>
            <w:pPr>
              <w:spacing w:after="0" w:line="129" w:lineRule="exact"/>
              <w:rPr>
                <w:sz w:val="20"/>
                <w:szCs w:val="20"/>
                <w:color w:val="auto"/>
              </w:rPr>
            </w:pPr>
            <w:r>
              <w:rPr>
                <w:rFonts w:ascii="Arial" w:cs="Arial" w:eastAsia="Arial" w:hAnsi="Arial"/>
                <w:sz w:val="13"/>
                <w:szCs w:val="13"/>
                <w:b w:val="1"/>
                <w:bCs w:val="1"/>
                <w:color w:val="auto"/>
              </w:rPr>
              <w:t>Balance, March 31, 2021</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639,154</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3,196</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4,562,689</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6,747,268</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(24,874)</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(110,715)</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(5,828,842)</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5,459,437</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THREE-MONTHS ENDED MARCH 31,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w w:val="89"/>
              </w:rPr>
              <w:t>Three-Months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b w:val="1"/>
                <w:bCs w:val="1"/>
                <w:color w:val="auto"/>
              </w:rPr>
              <w:t>March 31,</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17"/>
              <w:spacing w:after="0" w:line="129" w:lineRule="exact"/>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FLOWS FROM OPERATING ACTIVITIES:</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40" w:type="dxa"/>
            <w:vAlign w:val="bottom"/>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294,203</w:t>
            </w:r>
          </w:p>
        </w:tc>
        <w:tc>
          <w:tcPr>
            <w:tcW w:w="240" w:type="dxa"/>
            <w:vAlign w:val="bottom"/>
          </w:tcPr>
          <w:p>
            <w:pPr>
              <w:spacing w:after="0"/>
              <w:rPr>
                <w:sz w:val="11"/>
                <w:szCs w:val="11"/>
                <w:color w:val="auto"/>
              </w:rPr>
            </w:pPr>
          </w:p>
        </w:tc>
        <w:tc>
          <w:tcPr>
            <w:tcW w:w="440" w:type="dxa"/>
            <w:vAlign w:val="bottom"/>
          </w:tcPr>
          <w:p>
            <w:pPr>
              <w:jc w:val="right"/>
              <w:ind w:right="297"/>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315,194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8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14,599</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12,825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Non-cash lease expense</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1,481</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200"/>
              <w:spacing w:after="0" w:line="135" w:lineRule="exact"/>
              <w:rPr>
                <w:sz w:val="20"/>
                <w:szCs w:val="20"/>
                <w:color w:val="auto"/>
              </w:rPr>
            </w:pPr>
            <w:r>
              <w:rPr>
                <w:rFonts w:ascii="Arial" w:cs="Arial" w:eastAsia="Arial" w:hAnsi="Arial"/>
                <w:sz w:val="13"/>
                <w:szCs w:val="13"/>
                <w:color w:val="auto"/>
              </w:rPr>
              <w:t>Gain on disposal of property and equipment</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16,332</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200"/>
              <w:spacing w:after="0" w:line="135" w:lineRule="exact"/>
              <w:rPr>
                <w:sz w:val="20"/>
                <w:szCs w:val="20"/>
                <w:color w:val="auto"/>
              </w:rPr>
            </w:pPr>
            <w:r>
              <w:rPr>
                <w:rFonts w:ascii="Arial" w:cs="Arial" w:eastAsia="Arial" w:hAnsi="Arial"/>
                <w:sz w:val="13"/>
                <w:szCs w:val="13"/>
                <w:color w:val="auto"/>
              </w:rPr>
              <w:t>Effect on cash of changes in operating assets and liabilities net of acquisition:</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Accounts receivable</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6"/>
              </w:rPr>
              <w:t>(134,433)</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(147,452)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320"/>
              <w:spacing w:after="0" w:line="135" w:lineRule="exact"/>
              <w:rPr>
                <w:sz w:val="20"/>
                <w:szCs w:val="20"/>
                <w:color w:val="auto"/>
              </w:rPr>
            </w:pPr>
            <w:r>
              <w:rPr>
                <w:rFonts w:ascii="Arial" w:cs="Arial" w:eastAsia="Arial" w:hAnsi="Arial"/>
                <w:sz w:val="13"/>
                <w:szCs w:val="13"/>
                <w:color w:val="auto"/>
              </w:rPr>
              <w:t>Inventories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6"/>
              </w:rPr>
              <w:t>(208,673)</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(39,546)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Prepaid expenses and other assets</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(29,621)</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320"/>
              <w:spacing w:after="0" w:line="135" w:lineRule="exact"/>
              <w:rPr>
                <w:sz w:val="20"/>
                <w:szCs w:val="20"/>
                <w:color w:val="auto"/>
              </w:rPr>
            </w:pPr>
            <w:r>
              <w:rPr>
                <w:rFonts w:ascii="Arial" w:cs="Arial" w:eastAsia="Arial" w:hAnsi="Arial"/>
                <w:sz w:val="13"/>
                <w:szCs w:val="13"/>
                <w:color w:val="auto"/>
              </w:rPr>
              <w:t>Prepaid income taxes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(5,885)</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(7,076)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Accounts payable</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18,329</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320"/>
              <w:spacing w:after="0" w:line="135" w:lineRule="exact"/>
              <w:rPr>
                <w:sz w:val="20"/>
                <w:szCs w:val="20"/>
                <w:color w:val="auto"/>
              </w:rPr>
            </w:pPr>
            <w:r>
              <w:rPr>
                <w:rFonts w:ascii="Arial" w:cs="Arial" w:eastAsia="Arial" w:hAnsi="Arial"/>
                <w:sz w:val="13"/>
                <w:szCs w:val="13"/>
                <w:color w:val="auto"/>
              </w:rPr>
              <w:t>Accrued liabilities</w:t>
            </w:r>
          </w:p>
        </w:tc>
        <w:tc>
          <w:tcPr>
            <w:tcW w:w="8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20,603</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32,441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Accrued promotional allowances</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61,171</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320"/>
              <w:spacing w:after="0" w:line="135" w:lineRule="exact"/>
              <w:rPr>
                <w:sz w:val="20"/>
                <w:szCs w:val="20"/>
                <w:color w:val="auto"/>
              </w:rPr>
            </w:pPr>
            <w:r>
              <w:rPr>
                <w:rFonts w:ascii="Arial" w:cs="Arial" w:eastAsia="Arial" w:hAnsi="Arial"/>
                <w:sz w:val="13"/>
                <w:szCs w:val="13"/>
                <w:color w:val="auto"/>
              </w:rPr>
              <w:t>Accrued compensation</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(32,122)</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(24,443)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Income taxes payable</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(9,818)</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ind w:left="320"/>
              <w:spacing w:after="0" w:line="135" w:lineRule="exact"/>
              <w:rPr>
                <w:sz w:val="20"/>
                <w:szCs w:val="20"/>
                <w:color w:val="auto"/>
              </w:rPr>
            </w:pPr>
            <w:r>
              <w:rPr>
                <w:rFonts w:ascii="Arial" w:cs="Arial" w:eastAsia="Arial" w:hAnsi="Arial"/>
                <w:sz w:val="13"/>
                <w:szCs w:val="13"/>
                <w:color w:val="auto"/>
              </w:rPr>
              <w:t>Other liabilities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(596)</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Deferred revenue</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(5,915)</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20" w:type="dxa"/>
            <w:vAlign w:val="bottom"/>
          </w:tcPr>
          <w:p>
            <w:pPr>
              <w:ind w:left="520"/>
              <w:spacing w:after="0" w:line="129" w:lineRule="exact"/>
              <w:rPr>
                <w:sz w:val="20"/>
                <w:szCs w:val="20"/>
                <w:color w:val="auto"/>
              </w:rPr>
            </w:pPr>
            <w:r>
              <w:rPr>
                <w:rFonts w:ascii="Arial" w:cs="Arial" w:eastAsia="Arial" w:hAnsi="Arial"/>
                <w:sz w:val="13"/>
                <w:szCs w:val="13"/>
                <w:color w:val="auto"/>
              </w:rPr>
              <w:t>Net cash (used in) provided by operating activities</w:t>
            </w:r>
          </w:p>
        </w:tc>
        <w:tc>
          <w:tcPr>
            <w:tcW w:w="8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(351)</w:t>
            </w:r>
          </w:p>
        </w:tc>
        <w:tc>
          <w:tcPr>
            <w:tcW w:w="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175,473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CASH FLOWS FROM INVESTING ACTIVITIES:</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Sales of available-for-sale investments</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504,808</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325,751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Purchases of available-for-sale investments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6"/>
              </w:rPr>
              <w:t>(441,925)</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(440,570)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Acquisition of CANarchy, net of cash</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6"/>
              </w:rPr>
              <w:t>(330,356)</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Purchases of property and equipment</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(21,511)</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Proceeds from sale of property and equipment</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Additions to intangibles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(8,419)</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Increase in other assets</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(6,241)</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20" w:type="dxa"/>
            <w:vAlign w:val="bottom"/>
          </w:tcPr>
          <w:p>
            <w:pPr>
              <w:ind w:left="520"/>
              <w:spacing w:after="0" w:line="129" w:lineRule="exact"/>
              <w:rPr>
                <w:sz w:val="20"/>
                <w:szCs w:val="20"/>
                <w:color w:val="auto"/>
              </w:rPr>
            </w:pPr>
            <w:r>
              <w:rPr>
                <w:rFonts w:ascii="Arial" w:cs="Arial" w:eastAsia="Arial" w:hAnsi="Arial"/>
                <w:sz w:val="13"/>
                <w:szCs w:val="13"/>
                <w:color w:val="auto"/>
              </w:rPr>
              <w:t>Net cash used in investing activities</w:t>
            </w:r>
          </w:p>
        </w:tc>
        <w:tc>
          <w:tcPr>
            <w:tcW w:w="8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(303,630)</w:t>
            </w:r>
          </w:p>
        </w:tc>
        <w:tc>
          <w:tcPr>
            <w:tcW w:w="2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(149,083)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CASH FLOWS FROM FINANCING ACTIVITIES:</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Borrowings on debt</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3,454</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Issuance of common stock</w:t>
            </w:r>
          </w:p>
        </w:tc>
        <w:tc>
          <w:tcPr>
            <w:tcW w:w="8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4,510</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6,761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Purchases of common stock held in treasury</w:t>
            </w:r>
          </w:p>
        </w:tc>
        <w:tc>
          <w:tcPr>
            <w:tcW w:w="8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(12,187)</w:t>
            </w: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20" w:type="dxa"/>
            <w:vAlign w:val="bottom"/>
            <w:tcBorders>
              <w:bottom w:val="single" w:sz="8" w:color="CCEEFF"/>
            </w:tcBorders>
          </w:tcPr>
          <w:p>
            <w:pPr>
              <w:ind w:left="520"/>
              <w:spacing w:after="0" w:line="129" w:lineRule="exact"/>
              <w:rPr>
                <w:sz w:val="20"/>
                <w:szCs w:val="20"/>
                <w:color w:val="auto"/>
              </w:rPr>
            </w:pPr>
            <w:r>
              <w:rPr>
                <w:rFonts w:ascii="Arial" w:cs="Arial" w:eastAsia="Arial" w:hAnsi="Arial"/>
                <w:sz w:val="13"/>
                <w:szCs w:val="13"/>
                <w:color w:val="auto"/>
              </w:rPr>
              <w:t>Net cash used in financing activities</w:t>
            </w:r>
          </w:p>
        </w:tc>
        <w:tc>
          <w:tcPr>
            <w:tcW w:w="8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(4,223)</w:t>
            </w:r>
          </w:p>
        </w:tc>
        <w:tc>
          <w:tcPr>
            <w:tcW w:w="2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Effect of exchange rate changes on cash and cash equivalents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(3,472)</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(22,223)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0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NET DECREASE IN CASH AND CASH EQUIVALENTS</w:t>
            </w:r>
          </w:p>
        </w:tc>
        <w:tc>
          <w:tcPr>
            <w:tcW w:w="84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6"/>
              </w:rPr>
              <w:t>(311,676)</w:t>
            </w:r>
          </w:p>
        </w:tc>
        <w:tc>
          <w:tcPr>
            <w:tcW w:w="4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(1,534)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beginning of period</w:t>
            </w:r>
          </w:p>
        </w:tc>
        <w:tc>
          <w:tcPr>
            <w:tcW w:w="8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1,326,462</w:t>
            </w:r>
          </w:p>
        </w:tc>
        <w:tc>
          <w:tcPr>
            <w:tcW w:w="24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1,180,413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CASH AND CASH EQUIVALENTS, end of period</w:t>
            </w:r>
          </w:p>
        </w:tc>
        <w:tc>
          <w:tcPr>
            <w:tcW w:w="84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1,014,786</w:t>
            </w: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297"/>
              <w:spacing w:after="0" w:line="129"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1,178,879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20" w:type="dxa"/>
            <w:vAlign w:val="bottom"/>
          </w:tcPr>
          <w:p>
            <w:pPr>
              <w:spacing w:after="0" w:line="135" w:lineRule="exact"/>
              <w:rPr>
                <w:sz w:val="20"/>
                <w:szCs w:val="20"/>
                <w:color w:val="auto"/>
              </w:rPr>
            </w:pPr>
            <w:r>
              <w:rPr>
                <w:rFonts w:ascii="Arial" w:cs="Arial" w:eastAsia="Arial" w:hAnsi="Arial"/>
                <w:sz w:val="13"/>
                <w:szCs w:val="13"/>
                <w:color w:val="auto"/>
              </w:rPr>
              <w:t>SUPPLEMENTAL INFORMATION:</w:t>
            </w: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paid during the period for:</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2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Interest</w:t>
            </w:r>
          </w:p>
        </w:tc>
        <w:tc>
          <w:tcPr>
            <w:tcW w:w="84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97"/>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020" w:type="dxa"/>
            <w:vAlign w:val="bottom"/>
            <w:tcBorders>
              <w:bottom w:val="single" w:sz="8" w:color="CCEEFF"/>
            </w:tcBorders>
            <w:shd w:val="clear" w:color="auto" w:fill="CCEEFF"/>
          </w:tcPr>
          <w:p>
            <w:pPr>
              <w:ind w:left="200"/>
              <w:spacing w:after="0" w:line="116" w:lineRule="exact"/>
              <w:rPr>
                <w:sz w:val="20"/>
                <w:szCs w:val="20"/>
                <w:color w:val="auto"/>
              </w:rPr>
            </w:pPr>
            <w:r>
              <w:rPr>
                <w:rFonts w:ascii="Arial" w:cs="Arial" w:eastAsia="Arial" w:hAnsi="Arial"/>
                <w:sz w:val="13"/>
                <w:szCs w:val="13"/>
                <w:color w:val="auto"/>
              </w:rPr>
              <w:t>Income taxes</w:t>
            </w:r>
          </w:p>
        </w:tc>
        <w:tc>
          <w:tcPr>
            <w:tcW w:w="84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112,863</w:t>
            </w:r>
          </w:p>
        </w:tc>
        <w:tc>
          <w:tcPr>
            <w:tcW w:w="2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ind w:right="297"/>
              <w:spacing w:after="0" w:line="116"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121,866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THREE-MONTHS ENDED MARCH 31, 2022 AND 2021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Included in accrued liabilities as of March 31, 2022 and 2021 were $11.3 million and $7.8 million, respectively, related to additions to other intangible assets.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Included in accounts payable as of March 31, 2022 and 2021 were equipment purchases of $4.0 million and $0.4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payable as of March 31, 2021 were available-for-sale short-term investment purchases of $4.4 million.</w:t>
      </w:r>
    </w:p>
    <w:p>
      <w:pPr>
        <w:spacing w:after="0" w:line="23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the Notes to Consolidated Financial Statements, in Monster Beverage Corporation and Subsidiaries (the “Company”) Annual Report on Form 10-K for the year ended December 31, 2021 for a summary of significant accounting policies utilized by the Company and its consolidated subsidiaries and other disclosures, which should be read in conjunction with this Quarterly Report on Form 10-Q (“Form 10-Q”).</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2022 and 2021,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recently issued or adopted accounting pronouncements from those disclosed in our Annual Report on Form 10-K for the fiscal year ended December 31, 2021.</w:t>
      </w:r>
    </w:p>
    <w:p>
      <w:pPr>
        <w:spacing w:after="0" w:line="170"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DIVESTITURES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February 17, 2022, the Company completed its acquisition of CANarchy Craft Brewery Collective LLC (“CANarchy”), a craft beer and hard seltzer company, for $330.4 million in cash, subject to adjustments (the “CANarchy Transaction”). The CANarchy Transaction allows the Company to enter the alcohol beverage sector and brings the Cigar City family of brands including Jai Alai IPA and Florida Man IPA, the Oskar Blues family of brands including Dale’s Pale Ale and Wild Basin Hard Seltzers, the Deep Ellum family of brands including Dallas Blonde and Deep Ellum IPA, the Perrin Brewing family of brands including Black Ale, the Squatters family of brands including Hop Rising Double IPA and Juicy IPA, the Wasatch family of brands including Apricot Hefeweizen, as well as certain other brands (collectively the “CANarchy Brands”) to the Company’s beverage portfolio. The transaction does not include CANarchy’s stand-alone restaurants. The Company’s organizational structure for its existing energy beverage business will remain unchanged. CANarchy will function independently, retaining its own organizational structure and team.</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accounted for the CANarchy Transaction in accordance with Financial Accounting Standards Board (“FASB”) Accounting Standards Codification (“ASC”) 805 “Business Combinations”.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preliminary fair value allocations of the CANarchy Transaction:</w:t>
      </w:r>
    </w:p>
    <w:p>
      <w:pPr>
        <w:spacing w:after="0" w:line="234"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Identifiable</w:t>
      </w:r>
    </w:p>
    <w:p>
      <w:pPr>
        <w:spacing w:after="0" w:line="1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Assets</w:t>
      </w:r>
    </w:p>
    <w:p>
      <w:pPr>
        <w:spacing w:after="0" w:line="8" w:lineRule="exact"/>
        <w:rPr>
          <w:sz w:val="20"/>
          <w:szCs w:val="20"/>
          <w:color w:val="auto"/>
        </w:rPr>
      </w:pPr>
    </w:p>
    <w:tbl>
      <w:tblPr>
        <w:tblLayout w:type="fixed"/>
        <w:tblInd w:w="1000" w:type="dxa"/>
        <w:tblCellMar>
          <w:top w:w="0" w:type="dxa"/>
          <w:left w:w="0" w:type="dxa"/>
          <w:bottom w:w="0" w:type="dxa"/>
          <w:right w:w="0" w:type="dxa"/>
        </w:tblCellMar>
      </w:tblPr>
      <w:tr>
        <w:trPr>
          <w:trHeight w:val="199"/>
        </w:trPr>
        <w:tc>
          <w:tcPr>
            <w:tcW w:w="598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6"/>
                <w:szCs w:val="16"/>
                <w:color w:val="auto"/>
              </w:rPr>
              <w:t>Acquired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color w:val="auto"/>
              </w:rPr>
              <w:t>Liabilities</w:t>
            </w:r>
          </w:p>
        </w:tc>
        <w:tc>
          <w:tcPr>
            <w:tcW w:w="940" w:type="dxa"/>
            <w:vAlign w:val="bottom"/>
            <w:gridSpan w:val="3"/>
          </w:tcPr>
          <w:p>
            <w:pPr>
              <w:ind w:left="20"/>
              <w:spacing w:after="0"/>
              <w:rPr>
                <w:sz w:val="20"/>
                <w:szCs w:val="20"/>
                <w:color w:val="auto"/>
              </w:rPr>
            </w:pPr>
            <w:r>
              <w:rPr>
                <w:rFonts w:ascii="Arial" w:cs="Arial" w:eastAsia="Arial" w:hAnsi="Arial"/>
                <w:sz w:val="16"/>
                <w:szCs w:val="16"/>
                <w:color w:val="auto"/>
                <w:w w:val="91"/>
              </w:rPr>
              <w:t>Consideration</w:t>
            </w:r>
          </w:p>
        </w:tc>
      </w:tr>
      <w:tr>
        <w:trPr>
          <w:trHeight w:val="20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Assumed</w:t>
            </w:r>
          </w:p>
        </w:tc>
        <w:tc>
          <w:tcPr>
            <w:tcW w:w="20" w:type="dxa"/>
            <w:vAlign w:val="bottom"/>
          </w:tcPr>
          <w:p>
            <w:pPr>
              <w:spacing w:after="0"/>
              <w:rPr>
                <w:sz w:val="17"/>
                <w:szCs w:val="17"/>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w w:val="96"/>
              </w:rPr>
              <w:t>Transferred</w:t>
            </w:r>
          </w:p>
        </w:tc>
      </w:tr>
      <w:tr>
        <w:trPr>
          <w:trHeight w:val="215"/>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 trademarks (non-amortizing)</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Intangibles - customer relationships (amortizing)</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Intangibles - permits (non-amortizing)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Right-of -use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Working capital (excluding inventory)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333,604</w:t>
            </w:r>
          </w:p>
        </w:tc>
      </w:tr>
      <w:tr>
        <w:trPr>
          <w:trHeight w:val="209"/>
        </w:trPr>
        <w:tc>
          <w:tcPr>
            <w:tcW w:w="598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333,604</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analysis has yet to progress to a stage where there is sufficient information for a definitive measurement of the respective fair values. Accordingly, the respective fair value allocations are preliminary and are based on valuations derived from estimated fair value assumptions used by management. The Company expects to complete its fair value analysis at a level of detail necessary to finalize the underlying fair value allocations as soon as practicable, but no later than twelve months from the closing of the CANarchy Transaction.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determined the preliminary estimated fair values as follows:</w:t>
      </w:r>
    </w:p>
    <w:p>
      <w:pPr>
        <w:spacing w:after="0" w:line="225" w:lineRule="exact"/>
        <w:rPr>
          <w:sz w:val="20"/>
          <w:szCs w:val="20"/>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 relief-from-royalty method of the income approach</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relationships – distributor method of the income approach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Permits – with-and-without method of the income approach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and equipment – cost approach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 comparative sales method and replacement cost method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preliminary book value of the working capital (excluding inventory) approximates fair value.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determined goodwill in accordance with ASC 805-30-30-1, “Business Combinations,” which requires the recognition of goodwill for the excess of the aggregate consideration over the net amounts of identifiable assets acquired and liabilities assumed as of the acquisition date.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tax purposes, the CANarchy Transaction was recorded as an asset purchase. As such, the Company received a step-up in tax basis of the CANarchy assets, net, equal to the purchase price.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accordance with Regulation S-X, pro forma unaudited condensed financial information for the CANarchy Transaction has not been provided as the impact of the transaction on the Company’s financial position, results of operations and liquidity was not material.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has four operating and reportable segments: (i) Monster Energy® Drinks segment (“Monster Energy® Drinks”), which is primarily comprised of the Company’s Monster Energy® drinks, Reign Total Body Fuel® high performance energy drinks and True North</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and (iv) Other segment (“Other”), which is comprised of certain products sold by American Fruits and Flavors, LLC, a wholly-owned subsidiary of the Company, to independent third-party customers (the “AFF Third-Party Products”).</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Monster Energy® Drinks segment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Alcohol Brands segment primarily generates operating revenues by selling kegged, and canned beer as well as hard seltzers primarily to distributors in the United States.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2022 and December 31, 2021.</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000" w:hanging="317"/>
        <w:spacing w:after="0" w:line="26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slotting, shelf space allowances and other fees given directly to retailers, club stores and/or wholesalers;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1000" w:right="20" w:hanging="317"/>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spacing w:after="0" w:line="1"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000" w:hanging="317"/>
        <w:spacing w:after="0" w:line="250"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ind w:left="1000" w:hanging="317"/>
        <w:spacing w:after="0" w:line="323"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commissions to TCCC based on the Company’s sales to wholly-owned subsidiaries of TCCC (the “TCCC Subsidiaries”) and/or to TCCC bottlers/distributors accounted for under the equity method by TCCC (the “TCCC Related Parties”).</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2"/>
          </w:tcPr>
          <w:p>
            <w:pPr>
              <w:jc w:val="center"/>
              <w:ind w:right="140"/>
              <w:spacing w:after="0"/>
              <w:rPr>
                <w:sz w:val="20"/>
                <w:szCs w:val="20"/>
                <w:color w:val="auto"/>
              </w:rPr>
            </w:pPr>
            <w:r>
              <w:rPr>
                <w:rFonts w:ascii="Arial" w:cs="Arial" w:eastAsia="Arial" w:hAnsi="Arial"/>
                <w:sz w:val="18"/>
                <w:szCs w:val="18"/>
                <w:color w:val="auto"/>
                <w:w w:val="90"/>
              </w:rPr>
              <w:t>Three-Months Ended March 31, 2022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7"/>
              </w:rPr>
              <w:t>Latin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U.S. and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Asia Pacific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Caribbean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925,680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260,889</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107,722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1,404,847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Alcohol Brands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999,865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291,065</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1,518,574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2"/>
          </w:tcPr>
          <w:p>
            <w:pPr>
              <w:jc w:val="center"/>
              <w:ind w:right="180"/>
              <w:spacing w:after="0"/>
              <w:rPr>
                <w:sz w:val="20"/>
                <w:szCs w:val="20"/>
                <w:color w:val="auto"/>
              </w:rPr>
            </w:pPr>
            <w:r>
              <w:rPr>
                <w:rFonts w:ascii="Arial" w:cs="Arial" w:eastAsia="Arial" w:hAnsi="Arial"/>
                <w:sz w:val="18"/>
                <w:szCs w:val="18"/>
                <w:color w:val="auto"/>
                <w:w w:val="90"/>
              </w:rPr>
              <w:t>Three-Months Ended March 31, 2021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7"/>
              </w:rPr>
              <w:t>Latin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U.S. and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8"/>
                <w:szCs w:val="18"/>
                <w:color w:val="auto"/>
              </w:rPr>
              <w:t>EMEA</w:t>
            </w:r>
            <w:r>
              <w:rPr>
                <w:rFonts w:ascii="Arial" w:cs="Arial" w:eastAsia="Arial" w:hAnsi="Arial"/>
                <w:sz w:val="26"/>
                <w:szCs w:val="26"/>
                <w:color w:val="auto"/>
                <w:vertAlign w:val="superscript"/>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Canada</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Caribbean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773,504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1,170,280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Alcohol Brands</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1,243,816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p>
      <w:pPr>
        <w:spacing w:after="0"/>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Effectively from February 17, 2022 to March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Amounts received from certain bottlers/distributors at inception of their distribution contracts or at the inception of certain sales/marketing programs are accounted for as deferred revenue. As of March 31, 2022, the Company had $280.8 million of deferred revenue, which is included in current and long-term deferred revenue in the Company’s condensed consolidated balance sheet. As of December 31, 2021, the Company had $285.8 million of deferred revenue, which is included in current and long-term deferred revenue in the Company’s condensed consolidated balance sheet. During the three-months ended March 31, 2022 and 2021, $10.0 million and $10.4 million, respectively, of deferred revenue was recognized in net sales. See Note 11.</w:t>
      </w:r>
    </w:p>
    <w:p>
      <w:pPr>
        <w:spacing w:after="0" w:line="17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Leases are classified as either finance leases or operating leases based on criteria in ASC 842. The Company’s operating leases are comprised of real estate and warehouse equipment, and the Company’s finance leases are comprised of vehicles.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net in the condensed consolidated statement of income.</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leases have remaining lease terms of less than one year to 12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w w:val="91"/>
              </w:rPr>
              <w:t>Three-Months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Three-Months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60" w:type="dxa"/>
            <w:vAlign w:val="bottom"/>
            <w:gridSpan w:val="3"/>
          </w:tcPr>
          <w:p>
            <w:pPr>
              <w:ind w:left="2220"/>
              <w:spacing w:after="0"/>
              <w:rPr>
                <w:sz w:val="20"/>
                <w:szCs w:val="20"/>
                <w:color w:val="auto"/>
              </w:rPr>
            </w:pPr>
            <w:r>
              <w:rPr>
                <w:rFonts w:ascii="Arial" w:cs="Arial" w:eastAsia="Arial" w:hAnsi="Arial"/>
                <w:sz w:val="18"/>
                <w:szCs w:val="18"/>
                <w:color w:val="auto"/>
                <w:w w:val="88"/>
              </w:rPr>
              <w:t>Ended March 31,</w:t>
            </w:r>
          </w:p>
        </w:tc>
        <w:tc>
          <w:tcPr>
            <w:tcW w:w="2440" w:type="dxa"/>
            <w:vAlign w:val="bottom"/>
            <w:gridSpan w:val="4"/>
          </w:tcPr>
          <w:p>
            <w:pPr>
              <w:ind w:left="20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Amortization of ROU assets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gridSpan w:val="2"/>
          </w:tcPr>
          <w:p>
            <w:pPr>
              <w:ind w:left="1000"/>
              <w:spacing w:after="0"/>
              <w:rPr>
                <w:sz w:val="20"/>
                <w:szCs w:val="20"/>
                <w:color w:val="auto"/>
              </w:rPr>
            </w:pPr>
            <w:r>
              <w:rPr>
                <w:rFonts w:ascii="Arial" w:cs="Arial" w:eastAsia="Arial" w:hAnsi="Arial"/>
                <w:sz w:val="18"/>
                <w:szCs w:val="18"/>
                <w:color w:val="auto"/>
              </w:rPr>
              <w:t>Total lease cost</w:t>
            </w:r>
          </w:p>
        </w:tc>
        <w:tc>
          <w:tcPr>
            <w:tcW w:w="22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20" w:type="dxa"/>
            <w:vAlign w:val="bottom"/>
            <w:vMerge w:val="restart"/>
          </w:tcPr>
          <w:p>
            <w:pPr>
              <w:jc w:val="right"/>
              <w:ind w:right="1090"/>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Supplemental cash flow information for the following periods: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Three-Months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Three-Months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Ended March 31,</w:t>
            </w:r>
          </w:p>
        </w:tc>
        <w:tc>
          <w:tcPr>
            <w:tcW w:w="26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90"/>
              </w:rPr>
              <w:t>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2021</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Operating cash outflows from operating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outflows from finance leases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Financing cash outflows from finance leases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ROU assets for operating and finance leases recognized in the Company’s condensed consolidated balance sheets were comprised of the following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1"/>
              </w:rPr>
              <w:t>March 31, 2022</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vMerge w:val="restart"/>
          </w:tcPr>
          <w:p>
            <w:pPr>
              <w:ind w:left="48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5"/>
              </w:rPr>
              <w:t>Real Estate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34,202</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431"/>
        </w:trPr>
        <w:tc>
          <w:tcPr>
            <w:tcW w:w="3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left="710"/>
              <w:spacing w:after="0"/>
              <w:rPr>
                <w:sz w:val="20"/>
                <w:szCs w:val="20"/>
                <w:color w:val="auto"/>
              </w:rPr>
            </w:pPr>
            <w:r>
              <w:rPr>
                <w:rFonts w:ascii="Arial" w:cs="Arial" w:eastAsia="Arial" w:hAnsi="Arial"/>
                <w:sz w:val="18"/>
                <w:szCs w:val="18"/>
                <w:color w:val="auto"/>
                <w:w w:val="89"/>
              </w:rPr>
              <w:t>December 31, 2021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vMerge w:val="restart"/>
          </w:tcPr>
          <w:p>
            <w:pPr>
              <w:ind w:left="48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5"/>
              </w:rPr>
              <w:t>Real Estate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2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23,157</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2,646</w:t>
            </w: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and finance lease liabilities recognized in the Company’s condensed consolidated balance sheets were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1"/>
              </w:rPr>
              <w:t>March 31, 2022</w:t>
            </w:r>
          </w:p>
        </w:tc>
        <w:tc>
          <w:tcPr>
            <w:tcW w:w="54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Finance Leases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26,713</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33,111</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8"/>
              </w:rPr>
              <w:t>December 31, 2021</w:t>
            </w:r>
          </w:p>
        </w:tc>
        <w:tc>
          <w:tcPr>
            <w:tcW w:w="54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Finance Leases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17,389</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21,379</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at March 31, 2022 and December 31, 2021 were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820" w:type="dxa"/>
            <w:vAlign w:val="bottom"/>
            <w:gridSpan w:val="4"/>
          </w:tcPr>
          <w:p>
            <w:pPr>
              <w:ind w:left="740"/>
              <w:spacing w:after="0"/>
              <w:rPr>
                <w:sz w:val="20"/>
                <w:szCs w:val="20"/>
                <w:color w:val="auto"/>
              </w:rPr>
            </w:pPr>
            <w:r>
              <w:rPr>
                <w:rFonts w:ascii="Arial" w:cs="Arial" w:eastAsia="Arial" w:hAnsi="Arial"/>
                <w:sz w:val="18"/>
                <w:szCs w:val="18"/>
                <w:color w:val="auto"/>
              </w:rPr>
              <w:t>March 31, 2022</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3.2 %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1.6 %</w:t>
            </w:r>
          </w:p>
        </w:tc>
      </w:tr>
      <w:tr>
        <w:trPr>
          <w:trHeight w:val="431"/>
        </w:trPr>
        <w:tc>
          <w:tcPr>
            <w:tcW w:w="5120" w:type="dxa"/>
            <w:vAlign w:val="bottom"/>
          </w:tcPr>
          <w:p>
            <w:pPr>
              <w:spacing w:after="0"/>
              <w:rPr>
                <w:sz w:val="24"/>
                <w:szCs w:val="24"/>
                <w:color w:val="auto"/>
              </w:rPr>
            </w:pPr>
          </w:p>
        </w:tc>
        <w:tc>
          <w:tcPr>
            <w:tcW w:w="2820" w:type="dxa"/>
            <w:vAlign w:val="bottom"/>
            <w:gridSpan w:val="4"/>
          </w:tcPr>
          <w:p>
            <w:pPr>
              <w:ind w:left="600"/>
              <w:spacing w:after="0"/>
              <w:rPr>
                <w:sz w:val="20"/>
                <w:szCs w:val="20"/>
                <w:color w:val="auto"/>
              </w:rPr>
            </w:pPr>
            <w:r>
              <w:rPr>
                <w:rFonts w:ascii="Arial" w:cs="Arial" w:eastAsia="Arial" w:hAnsi="Arial"/>
                <w:sz w:val="18"/>
                <w:szCs w:val="18"/>
                <w:color w:val="auto"/>
              </w:rPr>
              <w:t>December 31, 2021</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ind w:left="980"/>
              <w:spacing w:after="0"/>
              <w:rPr>
                <w:sz w:val="20"/>
                <w:szCs w:val="20"/>
                <w:color w:val="auto"/>
              </w:rPr>
            </w:pPr>
            <w:r>
              <w:rPr>
                <w:rFonts w:ascii="Arial" w:cs="Arial" w:eastAsia="Arial" w:hAnsi="Arial"/>
                <w:sz w:val="18"/>
                <w:szCs w:val="18"/>
                <w:color w:val="auto"/>
              </w:rPr>
              <w:t>3.5 %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1.3 %</w:t>
            </w: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Company’s condensed consolidated balance sheet at March 31, 2022:</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Undiscounted Future Lease Payments</w:t>
            </w:r>
          </w:p>
        </w:tc>
      </w:tr>
      <w:tr>
        <w:trPr>
          <w:trHeight w:val="210"/>
        </w:trPr>
        <w:tc>
          <w:tcPr>
            <w:tcW w:w="46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Finance Leases</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three-months ended March 31, 2022)</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thereafter</w:t>
            </w:r>
          </w:p>
        </w:tc>
        <w:tc>
          <w:tcPr>
            <w:tcW w:w="5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16"/>
        </w:trPr>
        <w:tc>
          <w:tcPr>
            <w:tcW w:w="46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4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33,111</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0"/>
        </w:trPr>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March 31, 2022,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Continuous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less than 12</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March 31, 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Gains</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w w:val="96"/>
              </w:rPr>
              <w:t>U.S. government agency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78,489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1,161,042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1,157,258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U.S. government agency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Municipal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9"/>
        </w:trPr>
        <w:tc>
          <w:tcPr>
            <w:tcW w:w="282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1,788,306</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1,783,300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2"/>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0"/>
              </w:rPr>
              <w:t>Continuous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Continuous</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0"/>
              </w:rPr>
              <w:t>Unrealized</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less than 12</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December 31, 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Gains</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Municipal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w w:val="96"/>
              </w:rPr>
              <w:t>U.S. government agency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1,308,536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1,307,821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U.S. government agency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86,943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1,850,101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1,849,146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March 31, 2022 and 2021, realized gains or losses recognized on the sale of investments were not significant.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investments at March 31, 2022 and December 31, 2021 carried investment grade credit ratings.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March 31, 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color w:val="auto"/>
              </w:rPr>
              <w:t>December 31, 2021</w:t>
            </w:r>
          </w:p>
        </w:tc>
      </w:tr>
      <w:tr>
        <w:trPr>
          <w:trHeight w:val="209"/>
        </w:trPr>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Amortized Cost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Fair Value</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Amortized Cost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Fair Value</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40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276,413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276,413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334,077</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78,489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62,661</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44,502</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1,161,042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1,157,258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1,308,536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1,307,821</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1 - 10 years: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86,943</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government agency securities</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12,476</w:t>
            </w:r>
          </w:p>
        </w:tc>
      </w:tr>
      <w:tr>
        <w:trPr>
          <w:trHeight w:val="209"/>
        </w:trPr>
        <w:tc>
          <w:tcPr>
            <w:tcW w:w="3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1,788,306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1,783,300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1,850,101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1,849,146</w:t>
            </w: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4"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right="2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related assets or liabilities.</w:t>
      </w:r>
    </w:p>
    <w:p>
      <w:pPr>
        <w:spacing w:after="0" w:line="175" w:lineRule="exact"/>
        <w:rPr>
          <w:rFonts w:ascii="Arial" w:cs="Arial" w:eastAsia="Arial" w:hAnsi="Arial"/>
          <w:sz w:val="18"/>
          <w:szCs w:val="18"/>
          <w:color w:val="auto"/>
        </w:rPr>
      </w:pPr>
    </w:p>
    <w:p>
      <w:pPr>
        <w:ind w:left="680" w:right="20" w:hanging="321"/>
        <w:spacing w:after="0" w:line="28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March 31, 2022</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748,324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1,907,118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886,485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128,301</w:t>
            </w:r>
          </w:p>
        </w:tc>
        <w:tc>
          <w:tcPr>
            <w:tcW w:w="120" w:type="dxa"/>
            <w:vAlign w:val="bottom"/>
          </w:tcPr>
          <w:p>
            <w:pPr>
              <w:spacing w:after="0"/>
              <w:rPr>
                <w:sz w:val="18"/>
                <w:szCs w:val="18"/>
                <w:color w:val="auto"/>
              </w:rPr>
            </w:pPr>
          </w:p>
        </w:tc>
        <w:tc>
          <w:tcPr>
            <w:tcW w:w="112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886,485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1,907,118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2,793,603</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3"/>
          </w:tcPr>
          <w:p>
            <w:pPr>
              <w:spacing w:after="0"/>
              <w:rPr>
                <w:sz w:val="20"/>
                <w:szCs w:val="20"/>
                <w:color w:val="auto"/>
              </w:rPr>
            </w:pPr>
            <w:r>
              <w:rPr>
                <w:rFonts w:ascii="Arial" w:cs="Arial" w:eastAsia="Arial" w:hAnsi="Arial"/>
                <w:sz w:val="18"/>
                <w:szCs w:val="18"/>
                <w:color w:val="auto"/>
              </w:rPr>
              <w:t>December 31, 2021</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440,826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1,189,915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136,547</w:t>
            </w:r>
          </w:p>
        </w:tc>
        <w:tc>
          <w:tcPr>
            <w:tcW w:w="120" w:type="dxa"/>
            <w:vAlign w:val="bottom"/>
          </w:tcPr>
          <w:p>
            <w:pPr>
              <w:spacing w:after="0"/>
              <w:rPr>
                <w:sz w:val="18"/>
                <w:szCs w:val="18"/>
                <w:color w:val="auto"/>
              </w:rPr>
            </w:pPr>
          </w:p>
        </w:tc>
        <w:tc>
          <w:tcPr>
            <w:tcW w:w="1120" w:type="dxa"/>
            <w:vAlign w:val="bottom"/>
            <w:gridSpan w:val="2"/>
          </w:tcPr>
          <w:p>
            <w:pPr>
              <w:jc w:val="right"/>
              <w:ind w:right="843"/>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2022, or during the year-ended December 31, 2021, and there were no changes in the Company’s valuation techniques.</w:t>
      </w:r>
    </w:p>
    <w:p>
      <w:pPr>
        <w:sectPr>
          <w:pgSz w:w="11900" w:h="16838" w:orient="portrait"/>
          <w:cols w:equalWidth="0" w:num="1">
            <w:col w:w="9920"/>
          </w:cols>
          <w:pgMar w:left="980" w:top="665"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currency exchange rate risks related primarily to its foreign business operations. During the three-months ended March 31, 2022 and the year-ended December 31, 2021,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2022 have terms of one month or less. The Company does not enter into forward currency exchange contracts for speculation or trading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Company’s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80" w:type="dxa"/>
            <w:vAlign w:val="bottom"/>
            <w:tcBorders>
              <w:top w:val="single" w:sz="8" w:color="auto"/>
            </w:tcBorders>
          </w:tcPr>
          <w:p>
            <w:pPr>
              <w:jc w:val="center"/>
              <w:ind w:left="910"/>
              <w:spacing w:after="0" w:line="195" w:lineRule="exact"/>
              <w:rPr>
                <w:sz w:val="20"/>
                <w:szCs w:val="20"/>
                <w:color w:val="auto"/>
              </w:rPr>
            </w:pPr>
            <w:r>
              <w:rPr>
                <w:rFonts w:ascii="Arial" w:cs="Arial" w:eastAsia="Arial" w:hAnsi="Arial"/>
                <w:sz w:val="18"/>
                <w:szCs w:val="18"/>
                <w:color w:val="auto"/>
                <w:w w:val="89"/>
              </w:rPr>
              <w:t>Derivatives not designated as</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jc w:val="center"/>
              <w:ind w:left="910"/>
              <w:spacing w:after="0"/>
              <w:rPr>
                <w:sz w:val="20"/>
                <w:szCs w:val="20"/>
                <w:color w:val="auto"/>
              </w:rPr>
            </w:pPr>
            <w:r>
              <w:rPr>
                <w:rFonts w:ascii="Arial" w:cs="Arial" w:eastAsia="Arial" w:hAnsi="Arial"/>
                <w:sz w:val="18"/>
                <w:szCs w:val="18"/>
                <w:color w:val="auto"/>
                <w:w w:val="90"/>
              </w:rPr>
              <w:t>hedging instruments under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Notional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jc w:val="center"/>
              <w:ind w:left="890"/>
              <w:spacing w:after="0"/>
              <w:rPr>
                <w:sz w:val="20"/>
                <w:szCs w:val="20"/>
                <w:color w:val="auto"/>
              </w:rPr>
            </w:pPr>
            <w:r>
              <w:rPr>
                <w:rFonts w:ascii="Arial" w:cs="Arial" w:eastAsia="Arial" w:hAnsi="Arial"/>
                <w:sz w:val="18"/>
                <w:szCs w:val="18"/>
                <w:color w:val="auto"/>
                <w:w w:val="91"/>
              </w:rPr>
              <w:t>ASC 815-20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w w:val="92"/>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RSD/pay USD</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Receive SGD/pay USD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CNY</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RUB</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(3,888)</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Receive USD/pay EUR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ZAR</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DKK</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GBP</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Derivatives not designated as</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0"/>
              </w:rPr>
              <w:t>hedging instruments under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9"/>
              </w:rPr>
              <w:t>Notional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Fair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FASB ASC 815-20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Value</w:t>
            </w:r>
          </w:p>
        </w:tc>
        <w:tc>
          <w:tcPr>
            <w:tcW w:w="1800" w:type="dxa"/>
            <w:vAlign w:val="bottom"/>
          </w:tcPr>
          <w:p>
            <w:pPr>
              <w:ind w:left="40"/>
              <w:spacing w:after="0"/>
              <w:rPr>
                <w:sz w:val="20"/>
                <w:szCs w:val="20"/>
                <w:color w:val="auto"/>
              </w:rPr>
            </w:pPr>
            <w:r>
              <w:rPr>
                <w:rFonts w:ascii="Arial" w:cs="Arial" w:eastAsia="Arial" w:hAnsi="Arial"/>
                <w:sz w:val="18"/>
                <w:szCs w:val="18"/>
                <w:color w:val="auto"/>
                <w:w w:val="91"/>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SGD/pay USD</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RSD/pay USD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0"/>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Receive USD/pay GBP</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29,929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(666)</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AUD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Receive USD/pay CNY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NZD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Receive USD/pay EUR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Receive USD/pay ZAR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180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losses on derivative instruments in the condensed consolidated statements of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center"/>
              <w:ind w:right="50"/>
              <w:spacing w:after="0"/>
              <w:rPr>
                <w:sz w:val="20"/>
                <w:szCs w:val="20"/>
                <w:color w:val="auto"/>
              </w:rPr>
            </w:pPr>
            <w:r>
              <w:rPr>
                <w:rFonts w:ascii="Arial" w:cs="Arial" w:eastAsia="Arial" w:hAnsi="Arial"/>
                <w:sz w:val="18"/>
                <w:szCs w:val="18"/>
                <w:color w:val="auto"/>
                <w:w w:val="92"/>
              </w:rPr>
              <w:t>Amount of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center"/>
              <w:ind w:right="5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8"/>
              </w:rPr>
              <w:t>Derivatives not designated as</w:t>
            </w:r>
          </w:p>
        </w:tc>
        <w:tc>
          <w:tcPr>
            <w:tcW w:w="240" w:type="dxa"/>
            <w:vAlign w:val="bottom"/>
          </w:tcPr>
          <w:p>
            <w:pPr>
              <w:spacing w:after="0"/>
              <w:rPr>
                <w:sz w:val="20"/>
                <w:szCs w:val="20"/>
                <w:color w:val="auto"/>
              </w:rPr>
            </w:pP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2"/>
              </w:rPr>
              <w:t>Location of loss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9"/>
              </w:rPr>
              <w:t>Three-months ended</w:t>
            </w:r>
          </w:p>
        </w:tc>
        <w:tc>
          <w:tcPr>
            <w:tcW w:w="0" w:type="dxa"/>
            <w:vAlign w:val="bottom"/>
          </w:tcPr>
          <w:p>
            <w:pPr>
              <w:spacing w:after="0"/>
              <w:rPr>
                <w:sz w:val="1"/>
                <w:szCs w:val="1"/>
                <w:color w:val="auto"/>
              </w:rPr>
            </w:pP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hedging instruments under</w:t>
            </w:r>
          </w:p>
        </w:tc>
        <w:tc>
          <w:tcPr>
            <w:tcW w:w="240" w:type="dxa"/>
            <w:vAlign w:val="bottom"/>
          </w:tcPr>
          <w:p>
            <w:pPr>
              <w:spacing w:after="0"/>
              <w:rPr>
                <w:sz w:val="16"/>
                <w:szCs w:val="16"/>
                <w:color w:val="auto"/>
              </w:rPr>
            </w:pP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ASC 815-20</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March 31,</w:t>
            </w:r>
          </w:p>
        </w:tc>
        <w:tc>
          <w:tcPr>
            <w:tcW w:w="2240" w:type="dxa"/>
            <w:vAlign w:val="bottom"/>
            <w:gridSpan w:val="4"/>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Work in process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364,343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243,492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821,132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593,357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100" w:type="dxa"/>
            <w:vAlign w:val="bottom"/>
            <w:vMerge w:val="restart"/>
          </w:tcPr>
          <w:p>
            <w:pPr>
              <w:jc w:val="right"/>
              <w:ind w:right="14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9.</w:t>
            </w: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consist of the following at:</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March 31,</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3"/>
              </w:rPr>
              <w:t>December 31,</w:t>
            </w: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21,601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Equipment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251,184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190,333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45,404</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538,538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(235,857)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(224,785)</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407,391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313,753</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depreciation and amortization expense recorded was $13.1 million and $11.7 million for the three-months ended March 31, 2022 and 2021, respectively.</w:t>
      </w:r>
    </w:p>
    <w:p>
      <w:pPr>
        <w:spacing w:after="0" w:line="170"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following is a roll-forward of goodwill for the three-months ended March 31, 2022 and 2021 by reportable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Monster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Energy®</w:t>
            </w:r>
          </w:p>
        </w:tc>
        <w:tc>
          <w:tcPr>
            <w:tcW w:w="120" w:type="dxa"/>
            <w:vAlign w:val="bottom"/>
          </w:tcPr>
          <w:p>
            <w:pPr>
              <w:spacing w:after="0"/>
              <w:rPr>
                <w:sz w:val="18"/>
                <w:szCs w:val="18"/>
                <w:color w:val="auto"/>
              </w:rPr>
            </w:pPr>
          </w:p>
        </w:tc>
        <w:tc>
          <w:tcPr>
            <w:tcW w:w="1000" w:type="dxa"/>
            <w:vAlign w:val="bottom"/>
            <w:gridSpan w:val="3"/>
          </w:tcPr>
          <w:p>
            <w:pPr>
              <w:jc w:val="center"/>
              <w:ind w:right="247"/>
              <w:spacing w:after="0"/>
              <w:rPr>
                <w:sz w:val="20"/>
                <w:szCs w:val="20"/>
                <w:color w:val="auto"/>
              </w:rPr>
            </w:pPr>
            <w:r>
              <w:rPr>
                <w:rFonts w:ascii="Arial" w:cs="Arial" w:eastAsia="Arial" w:hAnsi="Arial"/>
                <w:sz w:val="18"/>
                <w:szCs w:val="18"/>
                <w:color w:val="auto"/>
                <w:w w:val="90"/>
              </w:rPr>
              <w:t>Strategic</w:t>
            </w: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color w:val="auto"/>
                <w:w w:val="98"/>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Drinks</w:t>
            </w:r>
          </w:p>
        </w:tc>
        <w:tc>
          <w:tcPr>
            <w:tcW w:w="120" w:type="dxa"/>
            <w:vAlign w:val="bottom"/>
          </w:tcPr>
          <w:p>
            <w:pPr>
              <w:spacing w:after="0"/>
              <w:rPr>
                <w:sz w:val="20"/>
                <w:szCs w:val="20"/>
                <w:color w:val="auto"/>
              </w:rPr>
            </w:pPr>
          </w:p>
        </w:tc>
        <w:tc>
          <w:tcPr>
            <w:tcW w:w="1000" w:type="dxa"/>
            <w:vAlign w:val="bottom"/>
            <w:gridSpan w:val="3"/>
          </w:tcPr>
          <w:p>
            <w:pPr>
              <w:jc w:val="center"/>
              <w:ind w:right="247"/>
              <w:spacing w:after="0"/>
              <w:rPr>
                <w:sz w:val="20"/>
                <w:szCs w:val="20"/>
                <w:color w:val="auto"/>
              </w:rPr>
            </w:pPr>
            <w:r>
              <w:rPr>
                <w:rFonts w:ascii="Arial" w:cs="Arial" w:eastAsia="Arial" w:hAnsi="Arial"/>
                <w:sz w:val="18"/>
                <w:szCs w:val="18"/>
                <w:color w:val="auto"/>
                <w:w w:val="91"/>
              </w:rPr>
              <w:t>Brands</w:t>
            </w: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1,331,643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80,285</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1,411,928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Monster</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Energy®</w:t>
            </w:r>
          </w:p>
        </w:tc>
        <w:tc>
          <w:tcPr>
            <w:tcW w:w="120" w:type="dxa"/>
            <w:vAlign w:val="bottom"/>
          </w:tcPr>
          <w:p>
            <w:pPr>
              <w:spacing w:after="0"/>
              <w:rPr>
                <w:sz w:val="18"/>
                <w:szCs w:val="18"/>
                <w:color w:val="auto"/>
              </w:rPr>
            </w:pPr>
          </w:p>
        </w:tc>
        <w:tc>
          <w:tcPr>
            <w:tcW w:w="1000" w:type="dxa"/>
            <w:vAlign w:val="bottom"/>
            <w:gridSpan w:val="3"/>
          </w:tcPr>
          <w:p>
            <w:pPr>
              <w:jc w:val="center"/>
              <w:ind w:right="247"/>
              <w:spacing w:after="0"/>
              <w:rPr>
                <w:sz w:val="20"/>
                <w:szCs w:val="20"/>
                <w:color w:val="auto"/>
              </w:rPr>
            </w:pPr>
            <w:r>
              <w:rPr>
                <w:rFonts w:ascii="Arial" w:cs="Arial" w:eastAsia="Arial" w:hAnsi="Arial"/>
                <w:sz w:val="18"/>
                <w:szCs w:val="18"/>
                <w:color w:val="auto"/>
                <w:w w:val="90"/>
              </w:rPr>
              <w:t>Strategic</w:t>
            </w: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8"/>
                <w:szCs w:val="18"/>
                <w:color w:val="auto"/>
                <w:w w:val="98"/>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Drinks</w:t>
            </w:r>
          </w:p>
        </w:tc>
        <w:tc>
          <w:tcPr>
            <w:tcW w:w="120" w:type="dxa"/>
            <w:vAlign w:val="bottom"/>
          </w:tcPr>
          <w:p>
            <w:pPr>
              <w:spacing w:after="0"/>
              <w:rPr>
                <w:sz w:val="20"/>
                <w:szCs w:val="20"/>
                <w:color w:val="auto"/>
              </w:rPr>
            </w:pPr>
          </w:p>
        </w:tc>
        <w:tc>
          <w:tcPr>
            <w:tcW w:w="1000" w:type="dxa"/>
            <w:vAlign w:val="bottom"/>
            <w:gridSpan w:val="3"/>
          </w:tcPr>
          <w:p>
            <w:pPr>
              <w:jc w:val="center"/>
              <w:ind w:right="207"/>
              <w:spacing w:after="0"/>
              <w:rPr>
                <w:sz w:val="20"/>
                <w:szCs w:val="20"/>
                <w:color w:val="auto"/>
              </w:rPr>
            </w:pPr>
            <w:r>
              <w:rPr>
                <w:rFonts w:ascii="Arial" w:cs="Arial" w:eastAsia="Arial" w:hAnsi="Arial"/>
                <w:sz w:val="18"/>
                <w:szCs w:val="18"/>
                <w:color w:val="auto"/>
                <w:w w:val="91"/>
              </w:rPr>
              <w:t>Brands</w:t>
            </w: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1,331,643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1,331,643</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660"/>
              <w:spacing w:after="0"/>
              <w:rPr>
                <w:sz w:val="20"/>
                <w:szCs w:val="20"/>
                <w:color w:val="auto"/>
              </w:rPr>
            </w:pPr>
            <w:r>
              <w:rPr>
                <w:rFonts w:ascii="Arial" w:cs="Arial" w:eastAsia="Arial" w:hAnsi="Arial"/>
                <w:sz w:val="18"/>
                <w:szCs w:val="18"/>
                <w:color w:val="auto"/>
              </w:rPr>
              <w:t>Intangible assets consist of the following at:</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auto"/>
              </w:rPr>
              <w:t>March 31,</w:t>
            </w:r>
          </w:p>
        </w:tc>
        <w:tc>
          <w:tcPr>
            <w:tcW w:w="1080" w:type="dxa"/>
            <w:vAlign w:val="bottom"/>
            <w:gridSpan w:val="4"/>
          </w:tcPr>
          <w:p>
            <w:pPr>
              <w:spacing w:after="0"/>
              <w:rPr>
                <w:sz w:val="20"/>
                <w:szCs w:val="20"/>
                <w:color w:val="auto"/>
              </w:rPr>
            </w:pPr>
            <w:r>
              <w:rPr>
                <w:rFonts w:ascii="Arial" w:cs="Arial" w:eastAsia="Arial" w:hAnsi="Arial"/>
                <w:sz w:val="18"/>
                <w:szCs w:val="18"/>
                <w:color w:val="auto"/>
                <w:w w:val="93"/>
              </w:rPr>
              <w:t>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(62,761)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(61,227)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Non-amortizing intangibles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1,173,502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1,066,741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1,232,113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1,072,386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fifteen years. Total amortization expense recorded was $1.5 million and $1.1 million for the three-months ended March 31, 2022 and March 31, 2021,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March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2022 (excluding the three-months ended March 31, 2022)</w:t>
            </w:r>
          </w:p>
        </w:tc>
        <w:tc>
          <w:tcPr>
            <w:tcW w:w="16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2023</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2025</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thereafter</w:t>
            </w:r>
          </w:p>
        </w:tc>
        <w:tc>
          <w:tcPr>
            <w:tcW w:w="1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36,897</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color w:val="auto"/>
                <w:w w:val="81"/>
              </w:rPr>
              <w:t>11</w:t>
            </w:r>
            <w:r>
              <w:rPr>
                <w:rFonts w:ascii="Arial" w:cs="Arial" w:eastAsia="Arial" w:hAnsi="Arial"/>
                <w:sz w:val="17"/>
                <w:szCs w:val="17"/>
                <w:color w:val="auto"/>
                <w:w w:val="81"/>
              </w:rPr>
              <w:t>.</w:t>
            </w:r>
          </w:p>
        </w:tc>
        <w:tc>
          <w:tcPr>
            <w:tcW w:w="6040" w:type="dxa"/>
            <w:vAlign w:val="bottom"/>
            <w:gridSpan w:val="2"/>
            <w:vMerge w:val="restart"/>
          </w:tcPr>
          <w:p>
            <w:pPr>
              <w:ind w:left="200"/>
              <w:spacing w:after="0"/>
              <w:rPr>
                <w:sz w:val="20"/>
                <w:szCs w:val="20"/>
                <w:color w:val="auto"/>
              </w:rPr>
            </w:pPr>
            <w:r>
              <w:rPr>
                <w:rFonts w:ascii="Arial" w:cs="Arial" w:eastAsia="Arial" w:hAnsi="Arial"/>
                <w:sz w:val="18"/>
                <w:szCs w:val="18"/>
                <w:color w:val="auto"/>
              </w:rPr>
              <w:t>DISTRIBUTION AGREEMENTS</w:t>
            </w: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40" w:type="dxa"/>
            <w:vAlign w:val="bottom"/>
            <w:vMerge w:val="continue"/>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 million and $10.4 million for the three-months ended March 31, 2022 and 2021, respectively.</w:t>
      </w:r>
    </w:p>
    <w:p>
      <w:pPr>
        <w:spacing w:after="0" w:line="176"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purchase commitments aggregating approximately $384.1 million at March 31, 2022, which represented commitments made by the Company and its subsidiaries to various suppliers of raw materials for the production of its products. These obligations vary in terms, but are generally satisfied within one year.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$335.4 million at March 31, 2022, which related primarily to sponsorships and other marketing activities.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 credit facility with HSBC Bank (China) Company Limited, Shanghai Branch, of $15.0 million. At March 31, 2022, the interest rate on borrowings under the line of credit was 5.5%. As of March 31, 2022, $9.9 million was outstanding on this line of credit.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From time to time in the normal course of business, the Company is named in litigation, including labor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evaluates, on a quarterly basis, developments in legal proceedings and other matters that could cause an increase or decrease in the amount of the liability that is accrued, if any, and any related insurance reimbursements. As of March 31, 2022, no loss contingencies were included in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OTHER COMPREHENSIVE LOSS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Changes in accumulated other comprehensive loss by component, after tax, for the three-months ended March 31, 2022 and 2021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Losses 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Translation</w:t>
            </w: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Available-for-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(69,165)</w:t>
            </w:r>
          </w:p>
        </w:tc>
        <w:tc>
          <w:tcPr>
            <w:tcW w:w="0" w:type="dxa"/>
            <w:vAlign w:val="bottom"/>
          </w:tcPr>
          <w:p>
            <w:pPr>
              <w:spacing w:after="0"/>
              <w:rPr>
                <w:sz w:val="1"/>
                <w:szCs w:val="1"/>
                <w:color w:val="auto"/>
              </w:rPr>
            </w:pPr>
          </w:p>
        </w:tc>
      </w:tr>
      <w:tr>
        <w:trPr>
          <w:trHeight w:val="216"/>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(4,059)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Currency</w:t>
            </w: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Gains 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Translation</w:t>
            </w: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Available-for-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Sale Securities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(27,932)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(27,932)</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5280" w:type="dxa"/>
            <w:vAlign w:val="bottom"/>
            <w:vMerge w:val="restart"/>
          </w:tcPr>
          <w:p>
            <w:pPr>
              <w:ind w:left="20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share repurchase program for the purchase of up to $500.0 million of the Company’s outstanding common stock (the “March 2020 Repurchase Plan”). During the three-months ended March 31, 2022, no shares were repurchased under the March 2020 Repurchase Plan. As of May 6, 2022, $441.5 million remained available for repurchase under the March 2020 Repurchase Plan.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March 31, 2022, 0.2 million shares of common stock were purchased from employees in lieu of cash payments for options exercised or withholding taxes due for a total amount of $12.2 million.</w:t>
      </w:r>
    </w:p>
    <w:p>
      <w:pPr>
        <w:spacing w:after="0" w:line="17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two stock-based compensation plans under which shares were available for grant at March 31, 2022: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recorded $16.3 million and $18.4 million of compensation expense relating to outstanding options, restricted stock units, performance share units and other share-based awards during the three-months ended March 31, 2022 and 2021, respectively.</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and performance share units for the three-months ended March 31, 2022 and 2021 was $0.4 million and $1.4 million,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stock-based compensation plans, all stock options granted as of March 31, 2022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266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Three-Months Ended March 31,</w:t>
            </w:r>
          </w:p>
        </w:tc>
      </w:tr>
      <w:tr>
        <w:trPr>
          <w:trHeight w:val="210"/>
        </w:trPr>
        <w:tc>
          <w:tcPr>
            <w:tcW w:w="52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18"/>
                <w:szCs w:val="18"/>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27.7 %</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28.9 %</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0.8 %</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Expected term</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6.0 years</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5.8 years</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is based on the most recent volatility of the stock price over a period of time equivalent to the expected term of the option.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Weighted-</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1"/>
              </w:rPr>
              <w:t>Aggregate</w:t>
            </w: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 Per</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Term (in</w:t>
            </w:r>
          </w:p>
        </w:tc>
        <w:tc>
          <w:tcPr>
            <w:tcW w:w="1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Intrinsic</w:t>
            </w:r>
          </w:p>
        </w:tc>
      </w:tr>
      <w:tr>
        <w:trPr>
          <w:trHeight w:val="230"/>
        </w:trPr>
        <w:tc>
          <w:tcPr>
            <w:tcW w:w="5200" w:type="dxa"/>
            <w:vAlign w:val="bottom"/>
            <w:gridSpan w:val="2"/>
          </w:tcPr>
          <w:p>
            <w:pPr>
              <w:ind w:left="222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Share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years)</w:t>
            </w:r>
          </w:p>
        </w:tc>
        <w:tc>
          <w:tcPr>
            <w:tcW w:w="1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Value</w:t>
            </w: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663,148</w:t>
            </w: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Granted 01/01/22 - 03/31/22</w:t>
            </w:r>
          </w:p>
        </w:tc>
        <w:tc>
          <w:tcPr>
            <w:tcW w:w="1080" w:type="dxa"/>
            <w:vAlign w:val="bottom"/>
          </w:tcPr>
          <w:p>
            <w:pPr>
              <w:jc w:val="right"/>
              <w:spacing w:after="0"/>
              <w:rPr>
                <w:sz w:val="20"/>
                <w:szCs w:val="20"/>
                <w:color w:val="auto"/>
              </w:rPr>
            </w:pPr>
            <w:r>
              <w:rPr>
                <w:rFonts w:ascii="Arial" w:cs="Arial" w:eastAsia="Arial" w:hAnsi="Arial"/>
                <w:sz w:val="18"/>
                <w:szCs w:val="18"/>
                <w:color w:val="auto"/>
              </w:rPr>
              <w:t>2,489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73.96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459,540</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Vested and expected to vest in the future at March 31, 2022</w:t>
            </w:r>
          </w:p>
        </w:tc>
        <w:tc>
          <w:tcPr>
            <w:tcW w:w="1080" w:type="dxa"/>
            <w:vAlign w:val="bottom"/>
          </w:tcPr>
          <w:p>
            <w:pPr>
              <w:jc w:val="right"/>
              <w:spacing w:after="0"/>
              <w:rPr>
                <w:sz w:val="20"/>
                <w:szCs w:val="20"/>
                <w:color w:val="auto"/>
              </w:rPr>
            </w:pPr>
            <w:r>
              <w:rPr>
                <w:rFonts w:ascii="Arial" w:cs="Arial" w:eastAsia="Arial" w:hAnsi="Arial"/>
                <w:sz w:val="18"/>
                <w:szCs w:val="18"/>
                <w:color w:val="auto"/>
              </w:rPr>
              <w:t>15,723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455,553</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402,706</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weighted-average grant-date fair value of options granted during the three-months ended March 31, 2022 and 2021 was $23.21 per share and $25.78 per share,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intrinsic value of options exercised during the three-months ended March 31, 2022 and 2021 was $4.9 million and $7.2 million, respectively.</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received from option exercises under all plans for the three-months ended March 31, 2022 and 2021 was $4.5 million and $6.8 million,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2022, there was $95.4 million of total unrecognized compensation expense related to non-vested options granted to employees under the Company’s stock-based compensation plans. That cost is expected to be recognized over a weighted-average period of 3.4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 and Performance Share Units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activities with respect to non-vested restricted stock units and performance share units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89"/>
              </w:rPr>
              <w:t>Weighted</w:t>
            </w:r>
          </w:p>
        </w:tc>
      </w:tr>
      <w:tr>
        <w:trPr>
          <w:trHeight w:val="216"/>
        </w:trPr>
        <w:tc>
          <w:tcPr>
            <w:tcW w:w="5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Average</w:t>
            </w:r>
          </w:p>
        </w:tc>
      </w:tr>
      <w:tr>
        <w:trPr>
          <w:trHeight w:val="216"/>
        </w:trPr>
        <w:tc>
          <w:tcPr>
            <w:tcW w:w="5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Grant-Date</w:t>
            </w:r>
          </w:p>
        </w:tc>
      </w:tr>
      <w:tr>
        <w:trPr>
          <w:trHeight w:val="230"/>
        </w:trPr>
        <w:tc>
          <w:tcPr>
            <w:tcW w:w="59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thousands)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Fair Value</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r>
      <w:tr>
        <w:trPr>
          <w:trHeight w:val="216"/>
        </w:trPr>
        <w:tc>
          <w:tcPr>
            <w:tcW w:w="5920" w:type="dxa"/>
            <w:vAlign w:val="bottom"/>
          </w:tcPr>
          <w:p>
            <w:pPr>
              <w:ind w:left="100"/>
              <w:spacing w:after="0" w:line="216" w:lineRule="exact"/>
              <w:rPr>
                <w:sz w:val="20"/>
                <w:szCs w:val="20"/>
                <w:color w:val="auto"/>
              </w:rPr>
            </w:pPr>
            <w:r>
              <w:rPr>
                <w:rFonts w:ascii="Arial" w:cs="Arial" w:eastAsia="Arial" w:hAnsi="Arial"/>
                <w:sz w:val="17"/>
                <w:szCs w:val="17"/>
                <w:color w:val="auto"/>
              </w:rPr>
              <w:t>Granted 01/01/22 - 03/31/22</w:t>
            </w:r>
            <w:r>
              <w:rPr>
                <w:rFonts w:ascii="Arial" w:cs="Arial" w:eastAsia="Arial" w:hAnsi="Arial"/>
                <w:sz w:val="25"/>
                <w:szCs w:val="25"/>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71.88</w:t>
            </w:r>
          </w:p>
        </w:tc>
      </w:tr>
      <w:tr>
        <w:trPr>
          <w:trHeight w:val="216"/>
        </w:trPr>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16"/>
        </w:trPr>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Forfeited/cancelled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59.67</w:t>
            </w: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31,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r>
      <w:tr>
        <w:trPr>
          <w:trHeight w:val="20"/>
        </w:trPr>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3"/>
          <w:szCs w:val="13"/>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weighted-average grant-date fair value of restricted stock units and/or performance share units granted during the three-months ended March 31, 2022 and 2021 was $73.45 and $88.96 per share,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2022, 0.9 million of restricted stock units and performance share units are expected to vest over their respective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2022, total unrecognized compensation expense relating to non-vested restricted stock units and performance share units was $56.7 million, which is expected to be recognized over a weighted-average period of 2.4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Share-Based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March 31, 2022, other share-based awards outstanding included grants that vest over three years payable in the first quarters of 2023, 2024 and 2025.</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2022, there was $0.5 million of total unrecognized compensation expense related to nonvested other share-based awards granted to employees under the Company’s stock-based compensation plans. That cost is expected to be recognized over a weighted-average period of 0.8 years.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the Company does not have unrecognized tax benefits. In addition, the Company’s policy is to recognize accrued interest and penalties related to unrecognized tax benefits in the provision for income taxes in the Company’s condensed consolidated financial statements. It is expected that any change in the amount of unrecognized tax benefits within the next 12 months will not be significant.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income tax as well as to income tax in multiple state and foreign jurisdictions.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2018 through 2021 U.S. federal income tax returns are subject to examination by the IRS. The Company’s state income tax returns are subject to examination for the 2017 through 2021 tax years.</w:t>
      </w:r>
    </w:p>
    <w:p>
      <w:pPr>
        <w:spacing w:after="0" w:line="18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920" w:type="dxa"/>
            <w:vAlign w:val="bottom"/>
            <w:gridSpan w:val="3"/>
          </w:tcPr>
          <w:p>
            <w:pPr>
              <w:jc w:val="right"/>
              <w:ind w:right="110"/>
              <w:spacing w:after="0"/>
              <w:rPr>
                <w:sz w:val="20"/>
                <w:szCs w:val="20"/>
                <w:color w:val="auto"/>
              </w:rPr>
            </w:pPr>
            <w:r>
              <w:rPr>
                <w:rFonts w:ascii="Arial" w:cs="Arial" w:eastAsia="Arial" w:hAnsi="Arial"/>
                <w:sz w:val="18"/>
                <w:szCs w:val="18"/>
                <w:color w:val="auto"/>
              </w:rPr>
              <w:t>Three-Months Ended</w:t>
            </w:r>
          </w:p>
        </w:tc>
      </w:tr>
      <w:tr>
        <w:trPr>
          <w:trHeight w:val="230"/>
        </w:trPr>
        <w:tc>
          <w:tcPr>
            <w:tcW w:w="602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March 31,</w:t>
            </w:r>
          </w:p>
        </w:tc>
      </w:tr>
      <w:tr>
        <w:trPr>
          <w:trHeight w:val="210"/>
        </w:trPr>
        <w:tc>
          <w:tcPr>
            <w:tcW w:w="60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020" w:type="dxa"/>
            <w:vAlign w:val="bottom"/>
          </w:tcPr>
          <w:p>
            <w:pPr>
              <w:ind w:left="10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spacing w:after="0"/>
              <w:rPr>
                <w:sz w:val="20"/>
                <w:szCs w:val="20"/>
                <w:color w:val="auto"/>
              </w:rPr>
            </w:pPr>
            <w:r>
              <w:rPr>
                <w:rFonts w:ascii="Arial" w:cs="Arial" w:eastAsia="Arial" w:hAnsi="Arial"/>
                <w:sz w:val="18"/>
                <w:szCs w:val="18"/>
                <w:color w:val="auto"/>
              </w:rPr>
              <w:t>529,405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528,195</w:t>
            </w:r>
          </w:p>
        </w:tc>
      </w:tr>
      <w:tr>
        <w:trPr>
          <w:trHeight w:val="216"/>
        </w:trPr>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w:t>
            </w:r>
          </w:p>
        </w:tc>
      </w:tr>
      <w:tr>
        <w:trPr>
          <w:trHeight w:val="210"/>
        </w:trPr>
        <w:tc>
          <w:tcPr>
            <w:tcW w:w="6020" w:type="dxa"/>
            <w:vAlign w:val="bottom"/>
          </w:tcPr>
          <w:p>
            <w:pPr>
              <w:ind w:left="10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535,554</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534,982</w:t>
            </w: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three-months ended March 31, 2022 and 2021, options and awards outstanding totaling 1.6 million shares and 0.2 million shares, respectively, were excluded from the calculations as their effect would have been antidilutive.</w:t>
      </w:r>
    </w:p>
    <w:p>
      <w:pPr>
        <w:spacing w:after="0" w:line="170"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four operating and reportable segments: (i) Monster Energy® Drinks segment, which is primarily comprised of the Company’s Monster Energy® drinks, Reign Total Body Fuel® high performance energy drinks and True North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Pure Energy Seltzers,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and (iv) Other segment, which is comprised of the AFF Third-Party Products.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Alcohol Brands segment primarily generates operating revenues by selling kegged and canned beer as well as hard seltzers primarily to distributors in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Generally, the Alcohol Brands segment will have lower gross profit margin percentages than the Monster Energy® Drinks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three-months ended March 31, 2022 and 2021 are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3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r>
      <w:tr>
        <w:trPr>
          <w:trHeight w:val="209"/>
        </w:trPr>
        <w:tc>
          <w:tcPr>
            <w:tcW w:w="36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w:t>
            </w:r>
          </w:p>
        </w:tc>
        <w:tc>
          <w:tcPr>
            <w:tcW w:w="18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1,404,847</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1,170,280</w:t>
            </w: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67,809</w:t>
            </w:r>
          </w:p>
        </w:tc>
      </w:tr>
      <w:tr>
        <w:trPr>
          <w:trHeight w:val="216"/>
        </w:trPr>
        <w:tc>
          <w:tcPr>
            <w:tcW w:w="3620" w:type="dxa"/>
            <w:vAlign w:val="bottom"/>
          </w:tcPr>
          <w:p>
            <w:pPr>
              <w:ind w:left="100"/>
              <w:spacing w:after="0" w:line="216" w:lineRule="exact"/>
              <w:rPr>
                <w:sz w:val="20"/>
                <w:szCs w:val="20"/>
                <w:color w:val="auto"/>
              </w:rPr>
            </w:pPr>
            <w:r>
              <w:rPr>
                <w:rFonts w:ascii="Arial" w:cs="Arial" w:eastAsia="Arial" w:hAnsi="Arial"/>
                <w:sz w:val="17"/>
                <w:szCs w:val="17"/>
                <w:color w:val="auto"/>
              </w:rPr>
              <w:t>Alcohol Brands</w:t>
            </w:r>
            <w:r>
              <w:rPr>
                <w:rFonts w:ascii="Arial" w:cs="Arial" w:eastAsia="Arial" w:hAnsi="Arial"/>
                <w:sz w:val="25"/>
                <w:szCs w:val="25"/>
                <w:color w:val="auto"/>
                <w:vertAlign w:val="superscript"/>
              </w:rPr>
              <w:t>2</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r>
      <w:tr>
        <w:trPr>
          <w:trHeight w:val="216"/>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unallocated</w:t>
            </w: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1,518,574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1,243,816</w:t>
            </w: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12"/>
        </w:trPr>
        <w:tc>
          <w:tcPr>
            <w:tcW w:w="3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3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r>
      <w:tr>
        <w:trPr>
          <w:trHeight w:val="210"/>
        </w:trPr>
        <w:tc>
          <w:tcPr>
            <w:tcW w:w="36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Arial" w:cs="Arial" w:eastAsia="Arial" w:hAnsi="Arial"/>
                <w:sz w:val="18"/>
                <w:szCs w:val="18"/>
                <w:color w:val="auto"/>
              </w:rPr>
              <w:t>Monster Energy® Drinks¹</w:t>
            </w:r>
          </w:p>
        </w:tc>
        <w:tc>
          <w:tcPr>
            <w:tcW w:w="18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454,563</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464,819</w:t>
            </w: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45,140</w:t>
            </w:r>
          </w:p>
        </w:tc>
      </w:tr>
      <w:tr>
        <w:trPr>
          <w:trHeight w:val="216"/>
        </w:trPr>
        <w:tc>
          <w:tcPr>
            <w:tcW w:w="3620" w:type="dxa"/>
            <w:vAlign w:val="bottom"/>
          </w:tcPr>
          <w:p>
            <w:pPr>
              <w:ind w:left="100"/>
              <w:spacing w:after="0" w:line="216" w:lineRule="exact"/>
              <w:rPr>
                <w:sz w:val="20"/>
                <w:szCs w:val="20"/>
                <w:color w:val="auto"/>
              </w:rPr>
            </w:pPr>
            <w:r>
              <w:rPr>
                <w:rFonts w:ascii="Arial" w:cs="Arial" w:eastAsia="Arial" w:hAnsi="Arial"/>
                <w:sz w:val="17"/>
                <w:szCs w:val="17"/>
                <w:color w:val="auto"/>
              </w:rPr>
              <w:t>Alcohol Brands</w:t>
            </w:r>
            <w:r>
              <w:rPr>
                <w:rFonts w:ascii="Arial" w:cs="Arial" w:eastAsia="Arial" w:hAnsi="Arial"/>
                <w:sz w:val="25"/>
                <w:szCs w:val="25"/>
                <w:color w:val="auto"/>
                <w:vertAlign w:val="superscript"/>
              </w:rPr>
              <w:t>2</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16"/>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unallocated</w:t>
            </w: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(97,606)</w:t>
            </w:r>
          </w:p>
        </w:tc>
      </w:tr>
      <w:tr>
        <w:trPr>
          <w:trHeight w:val="210"/>
        </w:trPr>
        <w:tc>
          <w:tcPr>
            <w:tcW w:w="3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399,489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414,146</w:t>
            </w: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12"/>
        </w:trPr>
        <w:tc>
          <w:tcPr>
            <w:tcW w:w="3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3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920" w:type="dxa"/>
            <w:vAlign w:val="bottom"/>
            <w:tcBorders>
              <w:bottom w:val="single" w:sz="8" w:color="auto"/>
            </w:tcBorders>
          </w:tcPr>
          <w:p>
            <w:pPr>
              <w:spacing w:after="0"/>
              <w:rPr>
                <w:sz w:val="20"/>
                <w:szCs w:val="20"/>
                <w:color w:val="auto"/>
              </w:rPr>
            </w:pPr>
          </w:p>
        </w:tc>
      </w:tr>
      <w:tr>
        <w:trPr>
          <w:trHeight w:val="209"/>
        </w:trPr>
        <w:tc>
          <w:tcPr>
            <w:tcW w:w="36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Arial" w:cs="Arial" w:eastAsia="Arial" w:hAnsi="Arial"/>
                <w:sz w:val="18"/>
                <w:szCs w:val="18"/>
                <w:color w:val="auto"/>
              </w:rPr>
              <w:t>Monster Energy® Drinks¹</w:t>
            </w:r>
          </w:p>
        </w:tc>
        <w:tc>
          <w:tcPr>
            <w:tcW w:w="18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455,134</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464,968</w:t>
            </w: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45,140</w:t>
            </w:r>
          </w:p>
        </w:tc>
      </w:tr>
      <w:tr>
        <w:trPr>
          <w:trHeight w:val="216"/>
        </w:trPr>
        <w:tc>
          <w:tcPr>
            <w:tcW w:w="3620" w:type="dxa"/>
            <w:vAlign w:val="bottom"/>
          </w:tcPr>
          <w:p>
            <w:pPr>
              <w:ind w:left="100"/>
              <w:spacing w:after="0" w:line="216" w:lineRule="exact"/>
              <w:rPr>
                <w:sz w:val="20"/>
                <w:szCs w:val="20"/>
                <w:color w:val="auto"/>
              </w:rPr>
            </w:pPr>
            <w:r>
              <w:rPr>
                <w:rFonts w:ascii="Arial" w:cs="Arial" w:eastAsia="Arial" w:hAnsi="Arial"/>
                <w:sz w:val="17"/>
                <w:szCs w:val="17"/>
                <w:color w:val="auto"/>
              </w:rPr>
              <w:t>Alcohol Brands</w:t>
            </w:r>
            <w:r>
              <w:rPr>
                <w:rFonts w:ascii="Arial" w:cs="Arial" w:eastAsia="Arial" w:hAnsi="Arial"/>
                <w:sz w:val="25"/>
                <w:szCs w:val="25"/>
                <w:color w:val="auto"/>
                <w:vertAlign w:val="superscript"/>
              </w:rPr>
              <w:t>2</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16"/>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unallocated</w:t>
            </w: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(115,730)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(98,514)</w:t>
            </w:r>
          </w:p>
        </w:tc>
      </w:tr>
      <w:tr>
        <w:trPr>
          <w:trHeight w:val="210"/>
        </w:trPr>
        <w:tc>
          <w:tcPr>
            <w:tcW w:w="3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392,189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413,387</w:t>
            </w: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$10.0 million and $10.4 million for the three-months ended March 31, 2022 and 2021, respectively, related to the recognition of deferred revenue.</w:t>
      </w:r>
    </w:p>
    <w:p>
      <w:pPr>
        <w:spacing w:after="0" w:line="11" w:lineRule="exact"/>
        <w:rPr>
          <w:rFonts w:ascii="Arial" w:cs="Arial" w:eastAsia="Arial" w:hAnsi="Arial"/>
          <w:sz w:val="13"/>
          <w:szCs w:val="13"/>
          <w:i w:val="1"/>
          <w:iCs w:val="1"/>
          <w:color w:val="auto"/>
        </w:rPr>
      </w:pPr>
    </w:p>
    <w:p>
      <w:pPr>
        <w:ind w:left="680" w:hanging="321"/>
        <w:spacing w:after="0"/>
        <w:tabs>
          <w:tab w:leader="none" w:pos="68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Effectively from February 17, 2022 to March 31, 2022.</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color w:val="auto"/>
              </w:rPr>
              <w:t>Three-Months Ended</w:t>
            </w:r>
          </w:p>
        </w:tc>
      </w:tr>
      <w:tr>
        <w:trPr>
          <w:trHeight w:val="230"/>
        </w:trPr>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March 31,</w:t>
            </w:r>
          </w:p>
        </w:tc>
        <w:tc>
          <w:tcPr>
            <w:tcW w:w="920" w:type="dxa"/>
            <w:vAlign w:val="bottom"/>
            <w:tcBorders>
              <w:bottom w:val="single" w:sz="8" w:color="auto"/>
            </w:tcBorders>
          </w:tcPr>
          <w:p>
            <w:pPr>
              <w:spacing w:after="0"/>
              <w:rPr>
                <w:sz w:val="20"/>
                <w:szCs w:val="20"/>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7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8,159</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9,022</w:t>
            </w: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Alcohol Brands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16"/>
        </w:trPr>
        <w:tc>
          <w:tcPr>
            <w:tcW w:w="3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unallocated</w:t>
            </w:r>
          </w:p>
        </w:tc>
        <w:tc>
          <w:tcPr>
            <w:tcW w:w="1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r>
      <w:tr>
        <w:trPr>
          <w:trHeight w:val="20"/>
        </w:trPr>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Corporate and unallocated expenses for the three-months ended March 31, 2022 include $68.1 million of payroll costs, of which $16.2 million was attributable to stock-based compensation expenses (see Note 15 “Stock-Based Compensation”), as well as $26.4 million attributable to professional service expenses, including accounting and legal costs, and $13.9 million of other operating expenses.</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Corporate and unallocated expenses for the three-months ended March 31, 2021 include $65.1 million of payroll costs, of which $18.3 million was attributable to stock-based compensation expenses (see Note 15 “Stock-Based Compensation”), as well as $20.4 million attributable to professional service expenses, including accounting and legal costs, and $12.1 million of other operating expenses.</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Coca-Cola Europacific Partners (formerly Coca-Cola European Partners) accounted for approximately 12% and 11% of the Company’s net sales for the three-months ended March 31, 2022 and 2021,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Coca-Cola Consolidated, Inc. accounted for approximately 9% and 12% of the Company’s net sales for the three-months ended March 31, 2022 and 2021,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Reyes Coca-Cola Bottling, LLC accounted for approximately 10% and 9% of the Company’s net sales for the three-months ended March 31, 2022 and 2021,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to customers outside the United States amounted to $553.4 million and $459.4 million for the three-months ended March 31, 2022 and 2021, respectively. Such sales were approximately 36% and 37% of net sales for three-months ended March 31, 2022 and 2021,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and other intangible assets for the Company’s reportable segments as of March 31, 2022 and December 31, 2021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March 31,</w:t>
            </w:r>
          </w:p>
        </w:tc>
        <w:tc>
          <w:tcPr>
            <w:tcW w:w="200" w:type="dxa"/>
            <w:vAlign w:val="bottom"/>
          </w:tcPr>
          <w:p>
            <w:pPr>
              <w:spacing w:after="0"/>
              <w:rPr>
                <w:sz w:val="18"/>
                <w:szCs w:val="18"/>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80" w:type="dxa"/>
            <w:vAlign w:val="bottom"/>
            <w:gridSpan w:val="2"/>
          </w:tcPr>
          <w:p>
            <w:pPr>
              <w:jc w:val="right"/>
              <w:ind w:right="19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$ 1,425,023</w:t>
            </w:r>
          </w:p>
        </w:tc>
        <w:tc>
          <w:tcPr>
            <w:tcW w:w="38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1,420,503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979,268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978,032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Alcohol Brands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235,353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and unallocated</w:t>
            </w:r>
          </w:p>
        </w:tc>
        <w:tc>
          <w:tcPr>
            <w:tcW w:w="24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$ 2,644,041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460" w:type="dxa"/>
            <w:vAlign w:val="bottom"/>
            <w:vMerge w:val="restart"/>
          </w:tcPr>
          <w:p>
            <w:pPr>
              <w:jc w:val="right"/>
              <w:ind w:right="1590"/>
              <w:spacing w:after="0"/>
              <w:rPr>
                <w:sz w:val="20"/>
                <w:szCs w:val="20"/>
                <w:color w:val="auto"/>
              </w:rPr>
            </w:pPr>
            <w:r>
              <w:rPr>
                <w:rFonts w:ascii="Arial" w:cs="Arial" w:eastAsia="Arial" w:hAnsi="Arial"/>
                <w:sz w:val="18"/>
                <w:szCs w:val="18"/>
                <w:color w:val="auto"/>
              </w:rPr>
              <w:t>29</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TCCC controls approximately 19.3%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TCCC commissions, based on sales to the TCCC Subsidiaries and the TCCC Related Parties, were $18.4 million and $16.1 million for the three-months ended March 31, 2022 and 2021, respectively, and are included as a reduction to net sales.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TCCC commissions, based on sales to TCCC independent bottlers/distributors, were $11.0 million and $5.5 million for the three-months ended March 31, 2022 and 2021, respectively, and are included 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to the TCCC Subsidiaries for the three-months ended March 31, 2022 and 2021 were $31.8 million and $27.1 million,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purchases concentrates from TCCC which are then sold to certain of the Company’s bottlers/distributors. Concentrate purchases from TCCC were $8.5 million and $6.4 million for the three-months ended March 31, 2022 and 2021, respectively.</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TCCC Subsidiaries also contract manufacture certain of the Company’s energy drinks. Such contract manufacturing expenses were $9.2 million and $7.4 million for the three-months ended March 31, 2022 and 2021, respectively.</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accrued promotional allowances and accrued liabilities related to the TCCC Subsidiaries are as follows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March 31,</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3"/>
              </w:rPr>
              <w:t>December 31,</w:t>
            </w:r>
          </w:p>
        </w:tc>
      </w:tr>
      <w:tr>
        <w:trPr>
          <w:trHeight w:val="230"/>
        </w:trPr>
        <w:tc>
          <w:tcPr>
            <w:tcW w:w="40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Accounts payable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(37,629)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(35,248)</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Accrued liabilities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(35,849)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(26,616)</w:t>
            </w:r>
          </w:p>
        </w:tc>
      </w:tr>
    </w:tbl>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2021, TCCC exercised its contract rights for a third-party public accounting firm (the "Accounting Firm") to conduct an examination relating to commissions and fees payable to TCCC and marketing contributions payable to the Company, for the years ended December 31, 2015 through December 31, 2020. The Company understands that the Accounting Firm has advised TCCC that it may be entitled to additional commissions and fees and/or reduced amounts of marketing contributions due to the Company in an aggregate amount of up to approximately $65.0 million. No portion of such amounts have been recognized in the Company’s condensed consolidated financial statements at March 31, 2022. The Company disputes any liability for additional commissions or fees payable to TCCC or reduced amounts of marketing contributions due to the Company for these periods.</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March 31, 2022 and 2021 were $1.1 million and $0.4 million, respectively.</w:t>
      </w:r>
    </w:p>
    <w:p>
      <w:pPr>
        <w:spacing w:after="0" w:line="14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During the three-months ended March 31, 2022, the Company occasionally chartered a private aircraft that is indirectly owned by Mr. Rodney C. Sacks, Co-Chief Executive Officer and Chairman of the Board of Directors. On certain occasions, Mr. Sacks was accompanied by guests and other Company personnel when using such aircraft for business travel. During the three-months ended March 31, 2022, the Company incurred costs of $0.08 million, an amount the Company believes is commensurate with market rates for comparable travel.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three-months ended March 31, 2022, the Company recorded an equity loss of $0.03 million As of March 31, 2022, the Company’s equity investment is $1.3 million and is included in other assets (non-current) in the accompanying condensed consolidated balance sheet. At March 31, 2022 and December 31, 2021, the Company had $6.1 million and $3.4 million, respectively, in loans receivable from the partnership.</w:t>
      </w:r>
    </w:p>
    <w:p>
      <w:pPr>
        <w:spacing w:after="0" w:line="17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April 2022, Monster Energy Company (“MEC”) and Orange Bang, Inc. (“Orange Bang”) filed a joint motion in the United States District Court for the Central District of California to confirm a final arbitration award against Vital Pharmaceuticals, Inc. (“VPX”) that awarded MEC and Orange Bang $175.0 million and a 5% royalty on all future sales of VPX’s Bang Energy drink and other Bang-branded products as well as certain fees and costs.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MEC agreed to help Orange Bang defend its rights in exchange for half of any recovery. Upon examining evidence presented at the arbitration, the arbitrator found that Super Creatine is not creatine and that VPX’s Bang products are not creatine based and, therefore, don’t comply with the agreement between Orange Bang and VPX. The motion is scheduled for hearing in the 2022 second quarter. Per ASC No. 450 “Contingencies”, the Company will not recognize the award or royalties until such time as they are realized or realizable. The award and royalties will be realized or realizable when VPX has no remaining potential for appeal or reversal of the decision and all contingencies have been resolved. As of May 6, 2022, the proceedings have yet to progress to a stage where there is sufficient information for an accurate timeline of when the awards will be realized or realizable, if at all.</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5, 2022, the Company acquired certain real property, leases and equipment in Norwalk, California for a purchase price of $62.5 million. The Company intends to utilize the property as a manufacturing facility for certain of its products.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and hard seltzers.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CANarchy Acquisition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17, 2022, we completed our acquisition of CANarchy Craft Brewery Collective LLC (“CANarchy”), a craft beer and hard seltzer company, for $330.4 million in cash, subject to adjustments. The transaction allows us to enter the alcohol beverage sector and brings the Cigar City family of brands including Jai Alai IPA and Florida Man IPA, the Oskar Blues family of brands including Dale’s Pale Ale and Wild Basin Hard Seltzers, the Deep Ellum family of brands including Dallas Blonde and Deep Ellum IPA, the Perrin Brewing family of brands including Black Ale, the Squatters family of brands including Hop Rising Double IPA and Juicy IPA and the Wasatch family of brands including Apricot Hefeweizen to our beverage portfolio. The transaction does not include CANarchy’s stand-alone restaurants. Our organizational structure for our existing energy beverage business will remain unchanged. CANarchy will function independently, retaining its own organizational structure and team.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Russia-Ukraine Conflict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fiscal 2022, the Russia-Ukraine conflict did not have a material impact on our financial position, results of operations and liquidity. Net sales in Russia and Ukraine combined were approximately 1.1% of our total net sales for the twelve months ended December 31, 2021.We will continue to monitor future developments relative to this conflict and its potential impacts.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 – 19 Pandemic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See “Part I, Item 1A – Risk Factors” in our Form 10-K.</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address the COVID-19 pandemic with a global task force team working to mitigate the potential impacts on our people and business.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incredibly proud of the teamwork exhibited by our employees, co-packers and bottlers/distributors around the world who are endeavoring to maintain the integrity of our supply chain. Despite the ongoing impact of the COVID-19 pandemic, we achieved record first quarter net sales in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countries continue to combat the COVID-19 pandemic, and as governments and/or local authorities impose regulations regarding COVID-19 testing, vaccine mandates and related workplace restrictions, there remains a risk that the COVID-19 pandemic may continue to impact our business and supply chain, including our ability to recruit and/or retain our employees as well as impact our co-packers, bottlers/distributors and/or suppliers.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first quarter of 2022, we experienced a significant increase in cost of sales relative to the comparative 2021 first quarter, primarily due to increased freight rates and fuel costs, including cost relating to the importation of aluminum cans, as well as aluminum can costs attributable to higher aluminum commodity pricing. We also experienced a significant increase in ingredient and other input costs, including secondary packaging materials, co-packing fees and production inefficiencies, which adversely impacted costs of sales. Furthermore, we experienced significant increases in distribution expenses including increased fuel, freight and warehousing costs which adversely impacted operating costs.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continue to address the controllable challenges in our supply chain and are focused on increasing our finished product inventory levels in proximity to our customers, where possible, to reduce the excessive cost of freight to satisfy consumer demand.</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implement measures to mitigate our increased product and distribution costs through pricing actions and reductions in promotions.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we expect to maintain substantial liquidity as we manage through the current environment as described in the “Liquidity and Capital Resources”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Energy®</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Energy Ultra®</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Rehab®</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Burn®</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Energy ® Nitro</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Java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Muscle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Espresso Monster®</w:t>
            </w:r>
          </w:p>
        </w:tc>
        <w:tc>
          <w:tcPr>
            <w:tcW w:w="3540" w:type="dxa"/>
            <w:vAlign w:val="bottom"/>
            <w:gridSpan w:val="2"/>
          </w:tcPr>
          <w:p>
            <w:pPr>
              <w:ind w:left="760"/>
              <w:spacing w:after="0"/>
              <w:rPr>
                <w:sz w:val="20"/>
                <w:szCs w:val="20"/>
                <w:color w:val="auto"/>
              </w:rPr>
            </w:pPr>
            <w:r>
              <w:rPr>
                <w:rFonts w:ascii="Arial" w:cs="Arial" w:eastAsia="Arial" w:hAnsi="Arial"/>
                <w:sz w:val="18"/>
                <w:szCs w:val="18"/>
                <w:color w:val="auto"/>
                <w:w w:val="93"/>
              </w:rPr>
              <w:t>●   Play® and Power Play® (stylized)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Punch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Juice Monster®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BPM®</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 Energy Water</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 Super Sport</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Gladiator®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Monster HydroSport Super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Samurai®</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Super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Live+®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80"/>
              <w:spacing w:after="0"/>
              <w:rPr>
                <w:sz w:val="20"/>
                <w:szCs w:val="20"/>
                <w:color w:val="auto"/>
              </w:rPr>
            </w:pPr>
            <w:r>
              <w:rPr>
                <w:rFonts w:ascii="Arial" w:cs="Arial" w:eastAsia="Arial" w:hAnsi="Arial"/>
                <w:sz w:val="18"/>
                <w:szCs w:val="18"/>
                <w:color w:val="auto"/>
              </w:rPr>
              <w:t>Monster Dragon Tea®</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Predator®</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   Reign Total Body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Fury®</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   Reign Inferno® Thermogenic Fuel</w:t>
            </w:r>
          </w:p>
        </w:tc>
        <w:tc>
          <w:tcPr>
            <w:tcW w:w="960" w:type="dxa"/>
            <w:vAlign w:val="bottom"/>
          </w:tcPr>
          <w:p>
            <w:pPr>
              <w:ind w:left="760"/>
              <w:spacing w:after="0"/>
              <w:rPr>
                <w:sz w:val="20"/>
                <w:szCs w:val="20"/>
                <w:color w:val="auto"/>
              </w:rPr>
            </w:pPr>
            <w:r>
              <w:rPr>
                <w:rFonts w:ascii="Arial" w:cs="Arial" w:eastAsia="Arial" w:hAnsi="Arial"/>
                <w:sz w:val="18"/>
                <w:szCs w:val="18"/>
                <w:color w:val="auto"/>
              </w:rPr>
              <w:t>●</w:t>
            </w:r>
          </w:p>
        </w:tc>
        <w:tc>
          <w:tcPr>
            <w:tcW w:w="2580" w:type="dxa"/>
            <w:vAlign w:val="bottom"/>
          </w:tcPr>
          <w:p>
            <w:pPr>
              <w:ind w:left="80"/>
              <w:spacing w:after="0"/>
              <w:rPr>
                <w:sz w:val="20"/>
                <w:szCs w:val="20"/>
                <w:color w:val="auto"/>
              </w:rPr>
            </w:pPr>
            <w:r>
              <w:rPr>
                <w:rFonts w:ascii="Arial" w:cs="Arial" w:eastAsia="Arial" w:hAnsi="Arial"/>
                <w:sz w:val="18"/>
                <w:szCs w:val="18"/>
                <w:color w:val="auto"/>
              </w:rPr>
              <w:t>True North®</w:t>
            </w:r>
          </w:p>
        </w:tc>
      </w:tr>
    </w:tbl>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We also develop, </w:t>
      </w:r>
      <w:r>
        <w:rPr>
          <w:rFonts w:ascii="Arial" w:cs="Arial" w:eastAsia="Arial" w:hAnsi="Arial"/>
          <w:sz w:val="19"/>
          <w:szCs w:val="19"/>
          <w:color w:val="auto"/>
        </w:rPr>
        <w:t>market, sell and distribute craft beers and hard seltzers</w:t>
      </w:r>
      <w:r>
        <w:rPr>
          <w:rFonts w:ascii="Arial" w:cs="Arial" w:eastAsia="Arial" w:hAnsi="Arial"/>
          <w:sz w:val="18"/>
          <w:szCs w:val="18"/>
          <w:color w:val="auto"/>
        </w:rPr>
        <w:t xml:space="preserve"> under a number of brands, including, Jai Alai IPA, Florida Man IPA, Dale’s Pale Ale, Wild Basin Hard Seltzers, Dallas Blonde, Deep Ellum IPA, Black Ale, Hop Rising Double IPA, Juicy IPA, Apricot Hefeweizen and a host of other brands.</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four operating and reportable segments: (i) Monster Energy® Drinks segment (“Monster Energy® Drinks”), which is primarily comprised of the Company’s Monster Energy® drinks, Reign Total Body Fuel® high performance energy drinks and True North®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and (iv) Other segment (“Other”), which is comprised of certain products sold by American Fruits and Flavors, LLC, a wholly-owned subsidiary, to independent third-party customers (the “AFF Third-Party Products”).</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three-months ended March 31, 2022, we continued to expand our existing energy drink portfolio by adding additional products to our portfolio in a number of countries and further developed our distribution markets. During the three-months ended March 31, 2022, we sold the following new products to our customers:</w:t>
      </w:r>
    </w:p>
    <w:p>
      <w:pPr>
        <w:spacing w:after="0" w:line="184"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Java Monster® Cold Brew Latte</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Java Monster® Cold Brew Sweet Black</w:t>
      </w:r>
    </w:p>
    <w:p>
      <w:pPr>
        <w:spacing w:after="0" w:line="9" w:lineRule="exact"/>
        <w:rPr>
          <w:rFonts w:ascii="Arial" w:cs="Arial" w:eastAsia="Arial" w:hAnsi="Arial"/>
          <w:sz w:val="18"/>
          <w:szCs w:val="18"/>
          <w:color w:val="auto"/>
        </w:rPr>
      </w:pPr>
    </w:p>
    <w:p>
      <w:pPr>
        <w:ind w:left="1000" w:hanging="317"/>
        <w:spacing w:after="0" w:line="181"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Juice Monster® Aussie Style Lemonade</w:t>
      </w:r>
      <w:r>
        <w:rPr>
          <w:rFonts w:ascii="Arial" w:cs="Arial" w:eastAsia="Arial" w:hAnsi="Arial"/>
          <w:sz w:val="25"/>
          <w:szCs w:val="25"/>
          <w:color w:val="auto"/>
          <w:vertAlign w:val="superscript"/>
        </w:rPr>
        <w:t>TM</w:t>
      </w: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Monster Energy® Ultra Peachy Keen®</w:t>
      </w:r>
    </w:p>
    <w:p>
      <w:pPr>
        <w:spacing w:after="0" w:line="7"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Rehab® Monster® Watermelon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Reign Total Body Fuel® Reignbow Sherbet</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Live+® Watermelon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Mother® Kiwi Sublime</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Play® Peach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Predator® Peach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Predator® Red Apple</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Relentless® Peach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Relentless® Raspberry</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March 31, 2022, either individually or in aggregate, did not have a material adverse impact on our financial position, results of operations or liquidity.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sales of $1.52 billion for the three-months ended March 31, 2022 represented record sales for our first fiscal quarter. Net changes in foreign currency exchange rates had an unfavorable impact on net sales of approximately $32.9 million for the three-months ended March 31, 2022.</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vast majority of our net sales are derived from our Monster Energy® Drinks segment. Net sales of our Monster Energy® Drinks segment were $1.40 billion for the three-months ended March 31, 2022. Net sales of our Strategic Brands segment were $92.6 million for the three-months ended March 31, 2022. Net sales of our Alcohol Brands segment were $15.2 million for the three-months ended March 31, 2022. Net sales of our Other segment were $5.9 million for the three-months ended March 31, 2022. Our Monster Energy® Drinks segment represented 92.5% and 94.1% of our net sales for the three-months ended March 31, 2022 and 2021, respectively. Our Strategic Brands segment represented 6.1% and 5.5% of our net sales for the three-months ended March 31, 2022 and 2021, respectively. Our Alcohol Segment represented 1.0% of our net sales for the three-months ended March 31, 2022 (effectively from February 17 to March 31, 2022). Our Other segment represented 0.4% of our net sales for both the three-months ended March 31, 2022 and 2021.</w:t>
      </w:r>
    </w:p>
    <w:p>
      <w:pPr>
        <w:spacing w:after="0" w:line="1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strategy includes expanding our international business and expanding our business in new sectors, such as the alcohol beverage sector. Net sales to customers outside the United States were $553.4 million for the three-months ended March 31, 2022, an increase of approximately $94.0 million, or 20.4% higher than net sales to customers outside of the United States of $459.4 million for the three-months ended March 31, 2021. Such sales were approximately 36% and 37% of net sales for the three-months ended March 31, 2022 and 2021, respectively. On February 17, 2022, the Company completed the CANarchy Transaction which allowed the Company to enter the alcohol beverage sector.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three-months ended March 31, 2022 and 2021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Three-Months Ended</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58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tcPr>
          <w:p>
            <w:pPr>
              <w:spacing w:after="0"/>
              <w:rPr>
                <w:sz w:val="18"/>
                <w:szCs w:val="18"/>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U.S. full service bottlers/distributors</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International full service bottlers/distributors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7"/>
              </w:rPr>
              <w:t>39 %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Club stores and e-commerce retailers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Retail grocery, direct convenience, specialty chains and wholesalers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value stores and other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results of operations.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Coca-Cola Europacific Partners accounted for approximately 12% and 11% of our net sales for the three-months ended March 31, 2022 and 2021,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Coca-Cola Consolidated, Inc. accounted for approximately 9% and 12% of our net sales for the three-months ended March 31, 2022 and 2021,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Reyes Coca-Cola Bottling, LLC accounted for approximately 10% and 9% of our net sales for the three-months ended March 31, 2022 and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three-months ended March 31,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jc w:val="right"/>
              <w:ind w:right="710"/>
              <w:spacing w:after="0"/>
              <w:rPr>
                <w:sz w:val="20"/>
                <w:szCs w:val="20"/>
                <w:color w:val="auto"/>
              </w:rPr>
            </w:pPr>
            <w:r>
              <w:rPr>
                <w:rFonts w:ascii="Arial" w:cs="Arial" w:eastAsia="Arial" w:hAnsi="Arial"/>
                <w:sz w:val="18"/>
                <w:szCs w:val="18"/>
                <w:color w:val="auto"/>
              </w:rPr>
              <w:t>Three-Months Ended</w:t>
            </w: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260" w:type="dxa"/>
            <w:vAlign w:val="bottom"/>
          </w:tcPr>
          <w:p>
            <w:pPr>
              <w:spacing w:after="0"/>
              <w:rPr>
                <w:sz w:val="20"/>
                <w:szCs w:val="20"/>
                <w:color w:val="auto"/>
              </w:rPr>
            </w:pPr>
          </w:p>
        </w:tc>
        <w:tc>
          <w:tcPr>
            <w:tcW w:w="1540" w:type="dxa"/>
            <w:vAlign w:val="bottom"/>
            <w:gridSpan w:val="3"/>
          </w:tcPr>
          <w:p>
            <w:pPr>
              <w:jc w:val="right"/>
              <w:ind w:right="27"/>
              <w:spacing w:after="0"/>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22 vs. 21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Net sales</w:t>
            </w:r>
            <w:r>
              <w:rPr>
                <w:rFonts w:ascii="Arial" w:cs="Arial" w:eastAsia="Arial" w:hAnsi="Arial"/>
                <w:sz w:val="24"/>
                <w:szCs w:val="24"/>
                <w:color w:val="auto"/>
                <w:vertAlign w:val="superscript"/>
              </w:rPr>
              <w:t>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1,518,574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1,243,816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741,907</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528,881</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Gross profit*</w:t>
            </w:r>
            <w:r>
              <w:rPr>
                <w:rFonts w:ascii="Arial" w:cs="Arial" w:eastAsia="Arial" w:hAnsi="Arial"/>
                <w:sz w:val="24"/>
                <w:szCs w:val="24"/>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776,667</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51.1 %</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377,178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300,789</w:t>
            </w:r>
          </w:p>
        </w:tc>
        <w:tc>
          <w:tcPr>
            <w:tcW w:w="2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percentage of net sales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income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399,489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26.3 %</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expense,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861.8 %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line="216" w:lineRule="exact"/>
              <w:rPr>
                <w:sz w:val="20"/>
                <w:szCs w:val="20"/>
                <w:color w:val="auto"/>
              </w:rPr>
            </w:pPr>
            <w:r>
              <w:rPr>
                <w:rFonts w:ascii="Arial" w:cs="Arial" w:eastAsia="Arial" w:hAnsi="Arial"/>
                <w:sz w:val="17"/>
                <w:szCs w:val="17"/>
                <w:color w:val="auto"/>
              </w:rPr>
              <w:t>Income before provision for income taxes</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392,189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413,387</w:t>
            </w:r>
          </w:p>
        </w:tc>
        <w:tc>
          <w:tcPr>
            <w:tcW w:w="2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98,193</w:t>
            </w:r>
          </w:p>
        </w:tc>
        <w:tc>
          <w:tcPr>
            <w:tcW w:w="2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294,203</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315,194</w:t>
            </w: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as a percentage of net sales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Case sales (in thousands) (in 192</w:t>
            </w:r>
            <w:r>
              <w:rPr>
                <w:rFonts w:ascii="MS PGothic" w:cs="MS PGothic" w:eastAsia="MS PGothic" w:hAnsi="MS PGothic"/>
                <w:sz w:val="18"/>
                <w:szCs w:val="18"/>
                <w:color w:val="auto"/>
              </w:rPr>
              <w:t>‑</w:t>
            </w:r>
            <w:r>
              <w:rPr>
                <w:rFonts w:ascii="Arial" w:cs="Arial" w:eastAsia="Arial" w:hAnsi="Arial"/>
                <w:sz w:val="18"/>
                <w:szCs w:val="18"/>
                <w:color w:val="auto"/>
              </w:rPr>
              <w:t>ounce case equivalents)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168,793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Includes $10.0 million and $10.4 million for the three-months ended March 31, 2022 and 2021, respectively, related to the recognition of deferred revenue.</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$1.52 billion for the three-months ended March 31, 2022, an increase of approximately $274.8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22.1% higher than net sales of $1.24 billion for the three-months ended March 31, 2021. Net changes in foreign currency exchange rates had an unfavorable impact on net sales of approximately $32.9 million for the three-months ended March 31, 2022.</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sales for the Monster Energy® Drinks segment were $1.40 billion for the three-months ended March 31, 2022, an increase of approximately $234.6 million, or 20.0% higher than net sales of $1.17 billion for the three-months ended March 31, 2021. Net sales for the Monster Energy® Drinks segment increased primarily due to increased worldwide sales by volume of our Monster Energy® brand energy drinks as a result of increased consumer demand, as well as sales of our True North® Pure Energy Seltzers (introduced in August 2021). Net changes in foreign currency exchange rates had an unfavorable impact on net sales for the Monster Energy® Drinks segment of approximately $29.6 million for the three-months ended March 31, 2022.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Net sales for the Strategic Brands segment were $92.6 million for the three-months ended March 31, 2022, an increase of approximately $24.8 million, or 36.6% higher than net sales of $67.8 million for the three-months ended March 31, 2021. Net sales for the Strategic Brands segment increased primarily due to increased worldwide sales by volume of our NOS® and Predator® brand energy drinks as a result of increased consumer demand. Net changes in foreign currency exchange rates had an unfavorable impact on net sales of approximately $3.3 million for the Strategic Brands segment for the three-months ended March 31, 2022.</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Alcohol Brands segment were $15.2 million for the three-months ended March 31, 2022 (effectively from February 17 to March 31,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Other segment were $5.9 million for the three-months ended March 31, 2022, an increase of approximately $0.2 million, or 3.5% higher than net sales of $5.7 million for the three-months ended March 31, 2021.</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Case sales for our energy drink products, in 192-ounce case equivalents, were 168.8 million cases for the three-months ended March 31, 2022, an increase of approximately 30.2 million cases or 21.8% higher than case sales of 138.6 million cases for the three-months ended March 31, 2021. The overall average net sales per case decreased to $8.87 for the three-months ended March 31, 2022, which was 0.7% lower than the average net sales per case of $8.94 for the three-months ended March 31, 2021.</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Barrel sales for our craft beers and hard seltzers, in 31 US gallon equivalents, were 0.05 million barrels for the three-months ended March 31, 2022.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Profit</w:t>
      </w:r>
    </w:p>
    <w:p>
      <w:pPr>
        <w:spacing w:after="0" w:line="22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Gross profit was $776.7 million for the three-months ended March 31, 2022, an increase of approximately $61.7 million, or 8.6% higher than the gross profit of $714.9 million for the three-months ended March 31, 2021. The increase in gross profit dollars was primarily the result of the $274.8 million increase in net sales for the three-months ended March 31, 2022.</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as a percentage of net sales decreased to 51.1% for the three-months ended March 31, 2022 from 57.5% for the three-months ended March 31, 2021. The decrease for the three-months ended March 31, 2022 was primarily the result of increased freight rates and fuel costs, including costs relating to the importation of aluminum cans, increased aluminum can costs attributable to higher aluminum commodity pricing, increased ingredient and other input costs, including secondary packaging materials, increased co-packing fees, production inefficiencies and geographical sales mix.</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gross profit as a percentage of net sales for the three-months ended March 31, 2022 was adversely impacted by the CANarchy Transaction. Inventory purchased as part of the CANarchy Transaction was recorded at fair value. The purchased inventory was subsequently sold in the three-months ended March 31, 2022 and was recognized through cost of goods sold at fair value (purchased cost), resulting in no recognized gross profits on the associated sales. Gross profit was negatively impacted by approximately $3.8 million during the three-months ended March 31, 2022 as a result.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operating expenses were $377.2 million for the three-months ended March 31, 2022, an increase of approximately $76.4 million, or 25.4% higher than total operating expenses of $300.8 million for the three-months ended March 31, 2021.</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in operating expenses was primarily due to increased out-bound freight and warehouse costs of $27.0 million, increased expenditures of $12.6 million for travel and entertainment, increased payroll expenses of $10.0 million, increased expenditures of $6.3 million for professional service expenses, including accounting and legal costs ($3.6 million related to the CANarchy Transaction), increased expenditures of $5.6 million for commissions and increased expenditures of $5.3 million for sponsorships and endorsements. Operating expenses as a percentage of net sales for the three-months ended March 31, 2022 were 24.8% as compared to 24.2% for the three-months ended March 31, 2021. Operating expenses as a percentage of net sales for the three-months ended March 31, 2019 (pre COVID-19) were 27.7%.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Operating income was $399.5 million for the three-months ended March 31, 2022, a decrease of approximately $14.7 million, or 3.5% lower than operating income of $414.1 million for the three-months ended March 31, 2021. Operating income as a percentage of net sales decreased to 26.3% for the three-months ended March 31, 2022 from 33.3% for the three-months ended March 31, 2021. Operating income for the three-months ended March 31, 2022 decreased primarily as a result of the decrease in the gross profit as a percentage of net sales as well as the increase in operating expenses. Operating income was $71.5 million and $96.8 million for the three-months ended March 31, 2022 and 2021, respectively, for our operations in EMEA, Asia Pacific, Latin America and the Caribbean.</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Operating income for the Monster Energy® Drinks segment, exclusive of corporate and unallocated expenses, was $454.6 million for the three-months ended March 31, 2022, a decrease of approximately $10.3 million, or 2.2% lower than operating income of $464.8 million for the three-months ended March 31, 2021. The decrease in operating income for the Monster Energy® Drinks segment was primarily the result of a decrease in gross profit as a percentage of net sales as well as an increase in operating expenses.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$57.2 million for the three-months ended March 31, 2022, an increase of approximately $12.1 million, or 26.7% higher than operating income of $45.1 million for the three-months ended March 31, 2021. The increase in operating income for the Strategic Brands segment was primarily the result of an increase in net sales.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loss for the Alcohol Brands segment, exclusive of corporate and unallocated expenses, was $5.0 million for the three-months ended March 31, 2022. Inventory purchased as part of the CANarchy Transaction was recorded at fair value.The inventory acquired was subsequently sold in the three-months ended March 31, 2022 and was recognized through cost of goods sold at fair value (purchased cost), resulting in no recognized profits on the associated sales. Operating income was negatively impacted by approximately $3.8 million during the three-months ended March 31, 2022 as a result. As of March 31, 2022, all purchased inventory recorded at fair value had been sold.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$1.1 million for the three-months ended March 31, 2022, a decrease of approximately $0.7 million, or 37.5% lower than operating income of $1.8 million for the three-months ended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and other non-operating expense, net, was $7.3 million for the three-months ended March 31, 2022, as compared to interest and other non-operating expense, net, of $0.8 million for the three-months ended March 31, 2021. Foreign currency transaction losses were $8.4 million and $0.8 million for the three-months ended March 31, 2022 and 2021, respectively. Interest income was $1.5 million and $1.1 million for the three-months ended March 31,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Provision for income taxes was $98.0 million for the three-months ended March 31, 2022, a decrease of $0.2 million, or 0.2% lower than the provision for income taxes of $98.2 million for the three-months ended March 31, 2021. The effective combined federal, state and foreign tax rate increased to 25.0% from 23.8% for the three-months ended March 31, 2022 and 2021, respectively. The increase in effective tax rate was primarily attributable to the increase in the net losses in certain foreign subsidiaries that have no related income tax benefits as a result of the prior establishment of valuation allowances on their deferred tax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income was $294.2 million for the three-months ended March 31, 2022, a decrease of $21.0 million, or 6.7% lower than net income of $315.2 million for the three-months ended March 31, 2021. The decrease in net income for the three-months ended March 31, 2022 was primarily due to the decrease in the gross profit percentage of net sales as well as the increase in operating expenses.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Key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Gross billings were $1.74 billion for the three-months ended March 31, 2022, an increase of approximately $293.9 million, or 20.3% higher than gross billings of $1.45 billion for the three-months ended March 31, 2021. Net changes in foreign currency exchange rates had an unfavorable impact on gross billings of approximately $38.3 million for the three-months ended March 31, 2022.</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billings for the Monster Energy® Drinks segment were $1.62 billion for the three-months ended March 31, 2022, an increase of approximately $252.4 million, or 18.5% higher than gross billings of $1.37 billion for the three-months ended March 31, 2021. Gross billings for the Monster Energy® Drinks segment increased primarily due to increased worldwide sales by volume of our Monster Energy® brand energy drinks as a result of increased consumer demand. Net changes in foreign currency exchange rates had an unfavorable impact on gross billings for the Monster Energy® Drinks segment of approximately $35.1 million for the three-months ended March 31, 2022.</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billings for the Strategic Brands segment were $104.3 million for the three-months ended March 31, 2022, an increase of $25.9 million, or 33.1% higher than gross billings of $78.4 million for the three-months ended March 31, 2021. Net changes in foreign currency exchange rates had an unfavorable impact on gross billings in the Strategic Brands segment of approximately $3.3 million for the three-months ended March 31,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billings for the Alcohol Brands segment were $15.4 million for the three-months ended March 31,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billings for the Other segment were $5.9 million for the three-months ended March 31, 2022, an increase of $0.2 million, or 3.5% higher than gross billings of $5.7 million for the three-months ended March 31, 2021.</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Promotional allowances, commissions and other expenses, as described in the footnote below, were $235.4 million for the three-months ended March 31, 2022, an increase of $18.7 million, or 8.6% higher than promotional allowances, commissions and other expenses of $216.7 million for the three-months ended March 31, 2021. Promotional allowances, commissions and other expenses as a percentage of gross billings decreased to 13.5% from 14.9% for the three-months ended March 31, 2022 and 2021, respectively.</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color w:val="auto"/>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r>
        <w:rPr>
          <w:rFonts w:ascii="Arial" w:cs="Arial" w:eastAsia="Arial" w:hAnsi="Arial"/>
          <w:sz w:val="16"/>
          <w:szCs w:val="16"/>
          <w:i w:val="1"/>
          <w:iCs w:val="1"/>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non-GAAP financial measure of gross billings with the most directly comparable GAAP financial measure of net sales: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450"/>
              <w:spacing w:after="0"/>
              <w:rPr>
                <w:sz w:val="20"/>
                <w:szCs w:val="20"/>
                <w:color w:val="auto"/>
              </w:rPr>
            </w:pPr>
            <w:r>
              <w:rPr>
                <w:rFonts w:ascii="Arial" w:cs="Arial" w:eastAsia="Arial" w:hAnsi="Arial"/>
                <w:sz w:val="18"/>
                <w:szCs w:val="18"/>
                <w:color w:val="auto"/>
              </w:rPr>
              <w:t>Three-Months Ended</w:t>
            </w:r>
          </w:p>
        </w:tc>
        <w:tc>
          <w:tcPr>
            <w:tcW w:w="220" w:type="dxa"/>
            <w:vAlign w:val="bottom"/>
          </w:tcPr>
          <w:p>
            <w:pPr>
              <w:spacing w:after="0"/>
              <w:rPr>
                <w:sz w:val="18"/>
                <w:szCs w:val="18"/>
                <w:color w:val="auto"/>
              </w:rPr>
            </w:pPr>
          </w:p>
        </w:tc>
        <w:tc>
          <w:tcPr>
            <w:tcW w:w="1280" w:type="dxa"/>
            <w:vAlign w:val="bottom"/>
            <w:gridSpan w:val="2"/>
          </w:tcPr>
          <w:p>
            <w:pPr>
              <w:jc w:val="center"/>
              <w:ind w:right="13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58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480" w:type="dxa"/>
            <w:vAlign w:val="bottom"/>
            <w:gridSpan w:val="4"/>
          </w:tcPr>
          <w:p>
            <w:pPr>
              <w:jc w:val="right"/>
              <w:ind w:right="29"/>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13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22 vs. 21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Billings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1,450,036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 commissions and other expenses***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1,518,574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1,243,816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three-months ended March 31, 2022 and 2021 were (i) to increase sales volume and trial, (ii) to address market conditions, and (iii) to secure shelf and display space at retail.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 below discloses selected quarterly data regarding sales for the three-months ended March 31, 2022 and 2021, respectively. Data from any one or more quarters or periods is not necessarily indicative of annual results or continuing trends.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including new variants may also have an impact on consumer behavior and change the seasonal fluctuation of our business.</w:t>
      </w:r>
    </w:p>
    <w:p>
      <w:pPr>
        <w:spacing w:after="0" w:line="19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Three-Months Ended</w:t>
      </w:r>
    </w:p>
    <w:p>
      <w:pPr>
        <w:spacing w:after="0" w:line="2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March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gridSpan w:val="2"/>
          </w:tcPr>
          <w:p>
            <w:pPr>
              <w:spacing w:after="0"/>
              <w:rPr>
                <w:sz w:val="20"/>
                <w:szCs w:val="20"/>
                <w:color w:val="auto"/>
              </w:rPr>
            </w:pPr>
            <w:r>
              <w:rPr>
                <w:rFonts w:ascii="Arial" w:cs="Arial" w:eastAsia="Arial" w:hAnsi="Arial"/>
                <w:sz w:val="14"/>
                <w:szCs w:val="14"/>
                <w:color w:val="auto"/>
              </w:rPr>
              <w:t>(In thousands, except average net sales per case)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1,518,574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Alcohol Brands segment sales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Other segment sales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49"/>
        </w:trPr>
        <w:tc>
          <w:tcPr>
            <w:tcW w:w="4800" w:type="dxa"/>
            <w:vAlign w:val="bottom"/>
            <w:gridSpan w:val="2"/>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1,497,440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7"/>
                <w:szCs w:val="17"/>
                <w:color w:val="auto"/>
              </w:rPr>
              <w:t>Case sales by segment:</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Monster Energy® Drinks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Strategic Brands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case sales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138,566</w:t>
            </w:r>
          </w:p>
        </w:tc>
        <w:tc>
          <w:tcPr>
            <w:tcW w:w="0" w:type="dxa"/>
            <w:vAlign w:val="bottom"/>
          </w:tcPr>
          <w:p>
            <w:pPr>
              <w:spacing w:after="0"/>
              <w:rPr>
                <w:sz w:val="1"/>
                <w:szCs w:val="1"/>
                <w:color w:val="auto"/>
              </w:rPr>
            </w:pPr>
          </w:p>
        </w:tc>
      </w:tr>
      <w:tr>
        <w:trPr>
          <w:trHeight w:val="209"/>
        </w:trPr>
        <w:tc>
          <w:tcPr>
            <w:tcW w:w="4800" w:type="dxa"/>
            <w:vAlign w:val="bottom"/>
            <w:gridSpan w:val="2"/>
          </w:tcPr>
          <w:p>
            <w:pPr>
              <w:spacing w:after="0"/>
              <w:rPr>
                <w:sz w:val="20"/>
                <w:szCs w:val="20"/>
                <w:color w:val="auto"/>
              </w:rPr>
            </w:pPr>
            <w:r>
              <w:rPr>
                <w:rFonts w:ascii="Arial" w:cs="Arial" w:eastAsia="Arial" w:hAnsi="Arial"/>
                <w:sz w:val="18"/>
                <w:szCs w:val="18"/>
                <w:color w:val="auto"/>
              </w:rPr>
              <w:t>Average net sales per case - Energy Drinks</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20" w:lineRule="auto"/>
        <w:rPr>
          <w:sz w:val="20"/>
          <w:szCs w:val="20"/>
          <w:color w:val="auto"/>
        </w:rPr>
      </w:pPr>
      <w:r>
        <w:rPr>
          <w:rFonts w:ascii="Arial" w:cs="Arial" w:eastAsia="Arial" w:hAnsi="Arial"/>
          <w:sz w:val="24"/>
          <w:szCs w:val="24"/>
          <w:i w:val="1"/>
          <w:iCs w:val="1"/>
          <w:color w:val="auto"/>
          <w:vertAlign w:val="superscript"/>
        </w:rPr>
        <w:t>1</w:t>
      </w:r>
      <w:r>
        <w:rPr>
          <w:rFonts w:ascii="Arial" w:cs="Arial" w:eastAsia="Arial" w:hAnsi="Arial"/>
          <w:sz w:val="16"/>
          <w:szCs w:val="16"/>
          <w:i w:val="1"/>
          <w:iCs w:val="1"/>
          <w:color w:val="auto"/>
        </w:rPr>
        <w:t>Excludes Alcohol Brands segment (effectively from February 17, 2022 to March 31, 2022) and Other segment net sales, as these sales do not have unit case equivalents.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of our Alcohol products are expressed in barrel volume. A “Barrel” means a unit of measurement equal to 31 US gallons.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Barrel sales were 0.05 million for the three-months ended March 31, 2022.</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Results of Operations”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Cash and cash equivalents, short-term and long-term investments. </w:t>
      </w:r>
      <w:r>
        <w:rPr>
          <w:rFonts w:ascii="Arial" w:cs="Arial" w:eastAsia="Arial" w:hAnsi="Arial"/>
          <w:sz w:val="16"/>
          <w:szCs w:val="16"/>
          <w:color w:val="auto"/>
        </w:rPr>
        <w:t>At March 31, 2022, we had $1.01 billion in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$1.72 billion in short-term investments and $65.7 million in long-term investments, including certificates of deposit, commercial paper, U.S. government agency securities, municipal securities and U.S. treasuries.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our $1.01 billion of cash and cash equivalents held at March 31, 2022, $489.8 million was held by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short-term or long-term investments were held by our foreign subsidiaries at March 31, 2022.</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$200.0 million through March 31, 2023. However, future business opportunities may cause a change in this estimate.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cash flows for the three-months ended March 31, 2022 and 2021 (in thousands):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 cash (used in) provided by:</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175,473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(303,630)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(149,083)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Cash flows (used in) provided by operating activities. </w:t>
      </w:r>
      <w:r>
        <w:rPr>
          <w:rFonts w:ascii="Arial" w:cs="Arial" w:eastAsia="Arial" w:hAnsi="Arial"/>
          <w:sz w:val="18"/>
          <w:szCs w:val="18"/>
          <w:color w:val="auto"/>
        </w:rPr>
        <w:t>Cash used in operating activities was ($0.4) million for the three-months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as compared with cash provided by operating activities of $175.5 million for the three-months ended March 31, 2021.</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three-months ended March 31, 2022, cash provided by operating activities was primarily attributable to net income earned of $294.2 million and adjustments for certain non-cash expenses, consisting of $16.3 million of stock-based compensation and $14.6 million of depreciation and amortization. For the three-months ended March 31, 2022, cash provided by operating activities also increased due to a $61.2 million increase in accrued promotional allowances, a $20.6 million increase in accrued liabilities and an $18.3 million increase in accounts payable. For the three-months ended March 31, 2022, cash used in operating activities was primarily attributable to a $208.7 million increase in inventories, a $134.4 million increase in accounts receivable, a $32.1 million decrease in accrued compensation, a $29.6 million increase in prepaid expenses and other assets, a $9.8 million decrease in income taxes payable, a $5.9 million increase in prepaid income taxes and a $5.9 million decrease in deferred revenue.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three-months ended March 31, 2021, cash provided by operating activities was primarily attributable to net income earned of $315.2 million and adjustments for certain non-cash expenses, consisting of $18.4 million of stock-based compensation and $12.8 million of depreciation and amortization. For the three-months ended March 31, 2021, cash provided by operating activities also increased due to a $36.9 million increase in accounts payable, a $32.4 million increase in accrued liabilities and a $14.0 million increase in accrued promotional allowances. For the three-months ended March 31, 2021, cash used in operating activities was primarily attributable to a $147.5 million increase in accounts receivable, a $39.5 million increase in inventories, a $24.4 million decrease in accrued compensation, an $18.5 million increase in prepaid expenses and other assets, a $13.3 million decrease in income taxes payable, a $7.1 million increase in prepaid income taxes and a $5.3 million decrease in deferred revenue.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Cash flows used in investing activities. </w:t>
      </w:r>
      <w:r>
        <w:rPr>
          <w:rFonts w:ascii="Arial" w:cs="Arial" w:eastAsia="Arial" w:hAnsi="Arial"/>
          <w:sz w:val="17"/>
          <w:szCs w:val="17"/>
          <w:color w:val="auto"/>
        </w:rPr>
        <w:t>Cash used in investing activities was $306.6 million for the three-months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as compared to cash used in investing activities of $149.1 million for the three-months ended March 31, 2021.</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both the three-months ended March 31, 2022 and 2021, cash provided by investing activities was primarily attributable to sales of available-for-sale investments. For the three-months ended March 31, 2022, cash used in investing activities included $330.4 million related to the CANarchy Transaction. For both the three-months ended March 31, 2022 and 2021, cash used in investing activities was attributable to purchases of available-for-sale investments. To a lesser extent, for both the three-months ended March 31, 2022 and 2021,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Cash flow used in financing activities. </w:t>
      </w:r>
      <w:r>
        <w:rPr>
          <w:rFonts w:ascii="Arial" w:cs="Arial" w:eastAsia="Arial" w:hAnsi="Arial"/>
          <w:sz w:val="17"/>
          <w:szCs w:val="17"/>
          <w:color w:val="auto"/>
        </w:rPr>
        <w:t>Cash used in financing activities was $4.2 million for the three-months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2022 as compared to cash used in financing activities of $5.7 million for the three-months ended March 31, 2021. The cash used in financing activities for both the three-months ended March 31, 2022 and 2021 was primarily the result of the repurchases of our common stock. The cash provided by financing activities for both the three-months ended March 31, 2022, and 2021 was primarily attributable to the issuance of our common stock under our stock-based compensation plans and borrowings on debt.</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8"/>
                <w:szCs w:val="18"/>
                <w:color w:val="auto"/>
                <w:w w:val="90"/>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3"/>
              </w:rPr>
              <w:t>3</w:t>
            </w:r>
            <w:r>
              <w:rPr>
                <w:rFonts w:ascii="MS PGothic" w:cs="MS PGothic" w:eastAsia="MS PGothic" w:hAnsi="MS PGothic"/>
                <w:sz w:val="18"/>
                <w:szCs w:val="18"/>
                <w:color w:val="auto"/>
                <w:w w:val="93"/>
              </w:rPr>
              <w:t>‑</w:t>
            </w:r>
            <w:r>
              <w:rPr>
                <w:rFonts w:ascii="Arial" w:cs="Arial" w:eastAsia="Arial" w:hAnsi="Arial"/>
                <w:sz w:val="18"/>
                <w:szCs w:val="18"/>
                <w:color w:val="auto"/>
                <w:w w:val="93"/>
              </w:rPr>
              <w:t>5</w:t>
            </w:r>
          </w:p>
        </w:tc>
        <w:tc>
          <w:tcPr>
            <w:tcW w:w="120" w:type="dxa"/>
            <w:vAlign w:val="bottom"/>
          </w:tcPr>
          <w:p>
            <w:pPr>
              <w:spacing w:after="0"/>
              <w:rPr>
                <w:sz w:val="16"/>
                <w:szCs w:val="16"/>
                <w:color w:val="auto"/>
              </w:rPr>
            </w:pPr>
          </w:p>
        </w:tc>
        <w:tc>
          <w:tcPr>
            <w:tcW w:w="9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3"/>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1440"/>
              <w:spacing w:after="0"/>
              <w:rPr>
                <w:sz w:val="20"/>
                <w:szCs w:val="20"/>
                <w:color w:val="auto"/>
              </w:rPr>
            </w:pPr>
            <w:r>
              <w:rPr>
                <w:rFonts w:ascii="Arial" w:cs="Arial" w:eastAsia="Arial" w:hAnsi="Arial"/>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384,111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757,986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641,129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97,663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Contractual obligations include our obligations related to sponsorships and other commitments.</w:t>
      </w:r>
    </w:p>
    <w:p>
      <w:pPr>
        <w:jc w:val="both"/>
        <w:spacing w:after="0" w:line="195"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unrecognized tax benefits have been recorded as liabilities as of March 31, 2022. It is expected that the amount of unrecognized tax benefits will not significantly change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2021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recently issued or adopted accounting pronouncements from those disclosed in our Annual Report on Form 10-K for the fiscal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had a negative impact on our results of operations for the three-months ended March 31,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4" w:lineRule="exact"/>
        <w:rPr>
          <w:sz w:val="20"/>
          <w:szCs w:val="20"/>
          <w:color w:val="auto"/>
        </w:rPr>
      </w:pPr>
    </w:p>
    <w:p>
      <w:pPr>
        <w:ind w:left="680" w:hanging="321"/>
        <w:spacing w:after="0" w:line="258"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absorb, mitigate or pass on to our bottlers/distributors and/or consumers increases in commodity, fuel, freight and other costs;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impact of rising costs and inflation on the discretionary income of our consumers, particularly the rising cost of gasoline;</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military conflict in Ukraine, including supply chain disruptions, volatility in commodity prices, increased economic uncertainty and escalating geopolitical tensions;</w:t>
      </w:r>
    </w:p>
    <w:p>
      <w:pPr>
        <w:jc w:val="both"/>
        <w:ind w:left="680" w:hanging="321"/>
        <w:spacing w:after="0" w:line="281" w:lineRule="auto"/>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human and economic consequences of the COVID-19 pandemic, including new variants,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spacing w:after="0" w:line="1"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growth and/or growth rates and/or declining sales in the domestic and international energy drink and alcohol beverage categories generally, including in the convenience and gas channel (which is our largest channel) and the impact on demand for our products resulting from deteriorating economic conditions and/or financial uncertainties due to the COVID-19 pandemic;</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potential future reductions of our sponsorship and endorsement activities as well as our sampling activities as a result of COVID-19 or other pandemics on our future sales and market share;</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countries being in lockdown due to the COVID-19 pandemic at various times;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vaccine mandates on our business and supply chain, including our ability to recruit and/or retain employees, and disruptions in the business of our co-packers, bottlers/distributors and/or suppliers;</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COVID-19 pandemic on our product sampling programs;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introduce new products and the impact of the COVID-19 pandemic on our innovation activities;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effects of the COVID-19 pandemic on our employees, such as mental health challenges that employees may face;</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any reductions in productivity and disruptions to our business routines while most office-based employees of the Company are working remotely;</w:t>
      </w: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impact of logistical issues, including shortages of shipping containers, port of entry congestion and increased freight costs;</w:t>
      </w:r>
    </w:p>
    <w:p>
      <w:pPr>
        <w:spacing w:after="0" w:line="32" w:lineRule="exact"/>
        <w:rPr>
          <w:rFonts w:ascii="Arial" w:cs="Arial" w:eastAsia="Arial" w:hAnsi="Arial"/>
          <w:sz w:val="16"/>
          <w:szCs w:val="16"/>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5"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58"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TCCC being one of our significant stockholders and the potential divergence of TCCC’s interests from those of our other stockholders;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Fluctuations in the inventory levels of our bottlers/distributors, planned or otherwise, and the resultant impact on our revenues;</w:t>
      </w:r>
    </w:p>
    <w:p>
      <w:pPr>
        <w:spacing w:after="0" w:line="32"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18"/>
          <w:szCs w:val="18"/>
          <w:color w:val="auto"/>
        </w:rPr>
      </w:pPr>
    </w:p>
    <w:p>
      <w:pPr>
        <w:ind w:left="680" w:hanging="321"/>
        <w:spacing w:after="0" w:line="281" w:lineRule="auto"/>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spacing w:after="0" w:line="1" w:lineRule="exact"/>
        <w:rPr>
          <w:rFonts w:ascii="Arial" w:cs="Arial" w:eastAsia="Arial" w:hAnsi="Arial"/>
          <w:sz w:val="16"/>
          <w:szCs w:val="16"/>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profitability and/or repatriate cash from certain of our operations outside the United States;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long-term impact of the United Kingdom’s departure from the European Union (or “Brexit”);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Implications of the Organization for Economic Cooperation and Development’s base erosion and profit shifting project;</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ind w:left="680" w:right="20" w:hanging="321"/>
        <w:spacing w:after="0" w:line="265"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injunctions;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and volatility in the domestic and global economies, including risk of counterparty default or failure;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address any significant deficiencies or material weakness in our internal controls over financial reporting;</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continue to generate sufficient cash flows to support our expansion plans and general operating activities;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5"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2"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 including through reductions in promotional allowances;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our Strategic Brands and Alcohol Brands;</w:t>
      </w: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implement our growth strategy, including expanding our business in existing and new sectors, such as the alcoholic beverage sector;</w:t>
      </w: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inherent operational risks presented by the alcoholic beverage industry that may not be adequately covered by insurance or lead to litigation relating to the abuse or misuse of our products;</w:t>
      </w: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integrate CANarchy and other acquired businesses or assets;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and/or alcohol drinks (including prohibiting the sale of energy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in the timely import or export of our products and/or ingredients including flavors, flavor ingredients and supplement ingredients due to port congestion, strikes and related labor issues or otherwise;</w:t>
      </w: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aluminum cans,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shortages that may be experienced in the procurement of containers and/or other raw materials including, without limitation, flavors, flavor ingredients, supplement ingredients, aluminum cans generally, PET containers used for our Monster Hydro® energy drinks, 24-ounce aluminum cap cans and 550ml BRE aluminum cans with resealable ends;</w:t>
      </w:r>
    </w:p>
    <w:p>
      <w:pPr>
        <w:jc w:val="both"/>
        <w:ind w:left="680" w:hanging="321"/>
        <w:spacing w:after="0" w:line="302"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in securing the supply of sufficient quantities of aluminum cans may cause us to focus on producing higher volume products. As a result, certain of our lower volume products may be temporarily discontinued by our bottlers/distributors and/or their retail customers, and we may not be able to reinstate all, or any, of such lower volume products in the future;</w:t>
      </w:r>
    </w:p>
    <w:p>
      <w:pPr>
        <w:sectPr>
          <w:pgSz w:w="11900" w:h="16838" w:orient="portrait"/>
          <w:cols w:equalWidth="0" w:num="1">
            <w:col w:w="9920"/>
          </w:cols>
          <w:pgMar w:left="980" w:top="665" w:right="99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9" w:lineRule="auto"/>
        <w:tabs>
          <w:tab w:leader="none" w:pos="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spacing w:after="0" w:line="1" w:lineRule="exact"/>
        <w:rPr>
          <w:rFonts w:ascii="Arial" w:cs="Arial" w:eastAsia="Arial" w:hAnsi="Arial"/>
          <w:sz w:val="17"/>
          <w:szCs w:val="17"/>
          <w:color w:val="auto"/>
        </w:rPr>
      </w:pPr>
    </w:p>
    <w:p>
      <w:pPr>
        <w:ind w:left="680" w:right="2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81" w:lineRule="auto"/>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spacing w:after="0" w:line="2"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adapt to the changing retail landscape with the rapid growth in e-commerce retailers;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bottler/distributor consolidation on our business;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success of our sports marketing, social media and other general marketing endeavors both domestically and internationally;</w:t>
      </w:r>
    </w:p>
    <w:p>
      <w:pPr>
        <w:spacing w:after="0" w:line="32" w:lineRule="exact"/>
        <w:rPr>
          <w:rFonts w:ascii="Arial" w:cs="Arial" w:eastAsia="Arial" w:hAnsi="Arial"/>
          <w:sz w:val="16"/>
          <w:szCs w:val="16"/>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product recalls and/or reformulations of certain of our products and/or market withdrawals of certain of our products due to defective and/or non-compliant formulas or production in one or more jurisdictions;</w:t>
      </w:r>
    </w:p>
    <w:p>
      <w:pPr>
        <w:jc w:val="both"/>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of our bottlers and/or co-packers to manufacture our products on a timely basis or at all;</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7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our market risks during the three-months ended March 31, 2022 compared with the disclosures in Part II, Item 7A of our Form 10-K.</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 Under the supervision and with the participation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quarter ended March 31, 2022,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12. Commitments and Contingencies: Litigation in Part I, Item 1, of this Quarterly Report on Form 10-Q.</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other information set forth in this Quarterly Report on Form 10-Q, including Management’s Discussion and Analysis of Financial Condition and Results of Operations and the condensed consolidated financial statements and related notes, and the following additional risk factor, you should carefully consider the risks discussed in “Part I, Item 1A – Risk Factors” in our Form 10-K. There have been no material changes with respect to the risk factors disclosed in our Form 10-K. However, we note that the risks described in this report and in our Form 10-K are not the only risks facing our Company, and such additional risks or uncertainties that we currently deem to be immaterial or are unknown to us could negatively impact our business, operations, or financial results.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Regulations concerning our alcoholic beverages may adversely affect our business, financial condition or results of operations and inhibit the sales of such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Governmental agencies heavily regulate the alcoholic beverage industry. In particular, they monitor and regulate licensing, warehousing, trade and pricing practices, permitted and required labeling, including warning labels and other such signage, advertising and relations with wholesalers and retailers. In addition, other countries in which we sell such beverages impose duties, excise taxes and/or other related taxes. If such agencies or jurisdictions, foreign or domestic, choose to implement new or revised laws, regulations, fees, taxes, or other such requirements, our business, financial condition or results of operations could be materially, adversely affected. Additionally, if such governmental bodies require increased additional product labeling, warning requirements, or limitations on the marketing or sale of our alcohol products due to their contents or allegations concerning their potential to cause adverse health effects, our sales of alcoholic beverages may be impeded.</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March 31, 2022, 0.2 million shares of common stock were purchased from employees in lieu of cash payments for options exercised or withholding taxes due for a total amount of $12.2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13, 2020, the Company’s Board of Directors authorized a share repurchase program for the purchase of up to $500.0 million of the Company’s outstanding common stock (the “March 2020 Repurchase Plan”). During the three-months ended March 31, 2022, no shares were purchased by the Company under the March 2020 Repurchase Plan. As of May 6, 2022, $441.5 million remained available for repurchase under the March 2020 Repurchase Plan.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2">
        <w:r>
          <w:rPr>
            <w:rFonts w:ascii="Arial" w:cs="Arial" w:eastAsia="Arial" w:hAnsi="Arial"/>
            <w:sz w:val="16"/>
            <w:szCs w:val="16"/>
            <w:u w:val="single" w:color="auto"/>
            <w:color w:val="0000EE"/>
          </w:rPr>
          <w:t>Monster Beverage Corporation 2017 Compensation Plan for Non-Employee Directors as Amended and Restated on February</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23, 2022.</w:t>
        </w:r>
      </w:hyperlink>
    </w:p>
    <w:p>
      <w:pPr>
        <w:spacing w:after="0" w:line="211"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7">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8">
        <w:r>
          <w:rPr>
            <w:rFonts w:ascii="Arial" w:cs="Arial" w:eastAsia="Arial" w:hAnsi="Arial"/>
            <w:sz w:val="16"/>
            <w:szCs w:val="16"/>
            <w:u w:val="single" w:color="auto"/>
            <w:color w:val="0000EE"/>
          </w:rPr>
          <w:t>Certification of Co-Chief Executive Officer Pursuant to Section 302 of the Sarbanes-Oxley Act of 2002</w:t>
        </w:r>
      </w:hyperlink>
    </w:p>
    <w:p>
      <w:pPr>
        <w:spacing w:after="0" w:line="225"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69">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620" w:right="20" w:hanging="607"/>
        <w:spacing w:after="0" w:line="277"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0">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620" w:right="20" w:hanging="607"/>
        <w:spacing w:after="0" w:line="277" w:lineRule="auto"/>
        <w:tabs>
          <w:tab w:leader="none" w:pos="60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71">
        <w:r>
          <w:rPr>
            <w:rFonts w:ascii="Arial" w:cs="Arial" w:eastAsia="Arial" w:hAnsi="Arial"/>
            <w:sz w:val="18"/>
            <w:szCs w:val="18"/>
            <w:u w:val="single" w:color="auto"/>
            <w:color w:val="0000EE"/>
          </w:rPr>
          <w:t>Certification of Co-Chief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32.3*</w:t>
      </w:r>
      <w:r>
        <w:rPr>
          <w:sz w:val="20"/>
          <w:szCs w:val="20"/>
          <w:color w:val="auto"/>
        </w:rPr>
        <w:tab/>
      </w:r>
      <w:hyperlink w:anchor="page72">
        <w:r>
          <w:rPr>
            <w:rFonts w:ascii="Arial" w:cs="Arial" w:eastAsia="Arial" w:hAnsi="Arial"/>
            <w:sz w:val="16"/>
            <w:szCs w:val="16"/>
            <w:u w:val="single" w:color="auto"/>
            <w:color w:val="0000EE"/>
          </w:rPr>
          <w:t>Certification by Chief Financial Officer Pursuant to 18 U.S.C. Section 1350, as Adopted</w:t>
        </w:r>
      </w:hyperlink>
    </w:p>
    <w:p>
      <w:pPr>
        <w:spacing w:after="0" w:line="225" w:lineRule="exact"/>
        <w:rPr>
          <w:sz w:val="20"/>
          <w:szCs w:val="20"/>
          <w:color w:val="auto"/>
        </w:rPr>
      </w:pPr>
    </w:p>
    <w:p>
      <w:pPr>
        <w:jc w:val="both"/>
        <w:ind w:left="620" w:hanging="619"/>
        <w:spacing w:after="0" w:line="272" w:lineRule="auto"/>
        <w:tabs>
          <w:tab w:leader="none" w:pos="6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financial information from Monster Beverage Corporation’s Quarterly Report on Form 10-Q for the quarter ended March 31, 2022, formatted in iXBRL (Inline eXtensible Business Reporting Language): (i) Condensed Consolidated Balance Sheets as of March 31, 2022 and December 31, 2021, (ii) Condensed Consolidated Statements of Income for the three -months ended March 31, 2022 and 2021, (iii) Condensed Consolidated Statements of Comprehensive Income for the three-months ended March 31, 2022 and 2021, (iv) Condensed Consolidated Statements of Stockholders’ Equity for the three-months ended March 31, 2022 and 2021, (v) Condensed Consolidated Statements of Cash Flows for the three-months ended March 31, 2022 and 2021, and (vi) the Notes to Condensed Consolidated Financial Statements.</w:t>
      </w:r>
    </w:p>
    <w:p>
      <w:pPr>
        <w:spacing w:after="0" w:line="177" w:lineRule="exact"/>
        <w:rPr>
          <w:sz w:val="20"/>
          <w:szCs w:val="20"/>
          <w:color w:val="auto"/>
        </w:rPr>
      </w:pPr>
    </w:p>
    <w:p>
      <w:pPr>
        <w:jc w:val="both"/>
        <w:ind w:left="620" w:right="20" w:hanging="619"/>
        <w:spacing w:after="0" w:line="277" w:lineRule="auto"/>
        <w:tabs>
          <w:tab w:leader="none" w:pos="6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Monster Beverage Corporation’s Quarterly Report on Form 10-Q for the quarter ended March 31, 2022, formatted in iXBRL (Inline eXtensible Business Reporting Language) and contained in Exhibit 101.</w:t>
      </w:r>
    </w:p>
    <w:p>
      <w:pPr>
        <w:spacing w:after="0" w:line="170"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MONSTER BEVERAGE CORPORATION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ind w:left="1700" w:right="2160"/>
        <w:spacing w:after="0" w:line="444" w:lineRule="auto"/>
        <w:rPr>
          <w:sz w:val="20"/>
          <w:szCs w:val="20"/>
          <w:color w:val="auto"/>
        </w:rPr>
      </w:pPr>
      <w:r>
        <w:rPr>
          <w:rFonts w:ascii="Arial" w:cs="Arial" w:eastAsia="Arial" w:hAnsi="Arial"/>
          <w:sz w:val="22"/>
          <w:szCs w:val="22"/>
          <w:b w:val="1"/>
          <w:bCs w:val="1"/>
          <w:color w:val="auto"/>
        </w:rPr>
        <w:t>MONSTER BEVERAGE CORPORATION 2017 COMPENSATION PLAN FOR NON-EMPLOYEE DIRECTORS AS AMENDED AND RESTATED ON 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749300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MONSTER BEVERAGE CORPORATION</w:t>
      </w:r>
    </w:p>
    <w:p>
      <w:pPr>
        <w:spacing w:after="0" w:line="206" w:lineRule="exact"/>
        <w:rPr>
          <w:sz w:val="20"/>
          <w:szCs w:val="20"/>
          <w:color w:val="auto"/>
        </w:rPr>
      </w:pPr>
    </w:p>
    <w:p>
      <w:pPr>
        <w:ind w:right="220" w:firstLine="223"/>
        <w:spacing w:after="0" w:line="435" w:lineRule="auto"/>
        <w:rPr>
          <w:sz w:val="20"/>
          <w:szCs w:val="20"/>
          <w:color w:val="auto"/>
        </w:rPr>
      </w:pPr>
      <w:r>
        <w:rPr>
          <w:rFonts w:ascii="Arial" w:cs="Arial" w:eastAsia="Arial" w:hAnsi="Arial"/>
          <w:sz w:val="22"/>
          <w:szCs w:val="22"/>
          <w:b w:val="1"/>
          <w:bCs w:val="1"/>
          <w:color w:val="auto"/>
        </w:rPr>
        <w:t>AMENDED AND RESTATED 2017 COMPENSATION PLAN FOR NON-EMPLOYEE DIRECTORS Article 1. Establishment, Objectives and Duration</w:t>
      </w:r>
    </w:p>
    <w:p>
      <w:pPr>
        <w:spacing w:after="0" w:line="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1.1 Establishment of the Plan</w:t>
      </w:r>
      <w:r>
        <w:rPr>
          <w:rFonts w:ascii="Arial" w:cs="Arial" w:eastAsia="Arial" w:hAnsi="Arial"/>
          <w:sz w:val="22"/>
          <w:szCs w:val="22"/>
          <w:color w:val="auto"/>
        </w:rPr>
        <w:t>. Monster Beverage Corporation, a Delaware corporation, hereby</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establishes the “Monster Beverage Corporation 2017 Compensation Plan for Non-Employee Directors”, as set forth herein.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1.2 Plan Objectives</w:t>
      </w:r>
      <w:r>
        <w:rPr>
          <w:rFonts w:ascii="Arial" w:cs="Arial" w:eastAsia="Arial" w:hAnsi="Arial"/>
          <w:sz w:val="22"/>
          <w:szCs w:val="22"/>
          <w:color w:val="auto"/>
        </w:rPr>
        <w:t>. The objectives of the Plan are to attract and retain persons of ability as non-employee directors of the Company and to further align the economic interests of such directors with those of the Company’s shareholders.</w:t>
      </w:r>
    </w:p>
    <w:p>
      <w:pPr>
        <w:spacing w:after="0" w:line="17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1.3 Duration of the Plan</w:t>
      </w:r>
      <w:r>
        <w:rPr>
          <w:rFonts w:ascii="Arial" w:cs="Arial" w:eastAsia="Arial" w:hAnsi="Arial"/>
          <w:sz w:val="19"/>
          <w:szCs w:val="19"/>
          <w:color w:val="auto"/>
        </w:rPr>
        <w:t>. The Plan shall become effective on the Effective Date and shall remain in</w:t>
      </w:r>
      <w:r>
        <w:rPr>
          <w:rFonts w:ascii="Arial" w:cs="Arial" w:eastAsia="Arial" w:hAnsi="Arial"/>
          <w:sz w:val="19"/>
          <w:szCs w:val="19"/>
          <w:b w:val="1"/>
          <w:bCs w:val="1"/>
          <w:color w:val="auto"/>
        </w:rPr>
        <w:t xml:space="preserve"> </w:t>
      </w:r>
      <w:r>
        <w:rPr>
          <w:rFonts w:ascii="Arial" w:cs="Arial" w:eastAsia="Arial" w:hAnsi="Arial"/>
          <w:sz w:val="19"/>
          <w:szCs w:val="19"/>
          <w:color w:val="auto"/>
        </w:rPr>
        <w:t>effect until the tenth (10) anniversary of the Effective Date, unless earlier terminated pursuant to Section 12.1.</w:t>
      </w:r>
    </w:p>
    <w:p>
      <w:pPr>
        <w:spacing w:after="0" w:line="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1.4 Prior Plan</w:t>
      </w:r>
      <w:r>
        <w:rPr>
          <w:rFonts w:ascii="Arial" w:cs="Arial" w:eastAsia="Arial" w:hAnsi="Arial"/>
          <w:sz w:val="22"/>
          <w:szCs w:val="22"/>
          <w:color w:val="auto"/>
        </w:rPr>
        <w:t>. Effective as of the Effective Date, no awards will be made under the 2009 Monster</w:t>
      </w:r>
      <w:r>
        <w:rPr>
          <w:rFonts w:ascii="Arial" w:cs="Arial" w:eastAsia="Arial" w:hAnsi="Arial"/>
          <w:sz w:val="22"/>
          <w:szCs w:val="22"/>
          <w:b w:val="1"/>
          <w:bCs w:val="1"/>
          <w:color w:val="auto"/>
        </w:rPr>
        <w:t xml:space="preserve"> </w:t>
      </w:r>
      <w:r>
        <w:rPr>
          <w:rFonts w:ascii="Arial" w:cs="Arial" w:eastAsia="Arial" w:hAnsi="Arial"/>
          <w:sz w:val="22"/>
          <w:szCs w:val="22"/>
          <w:color w:val="auto"/>
        </w:rPr>
        <w:t>Beverage Corporation Stock Incentive Plan for Non-Employee Directors, as amended (the “</w:t>
      </w:r>
      <w:r>
        <w:rPr>
          <w:rFonts w:ascii="Arial" w:cs="Arial" w:eastAsia="Arial" w:hAnsi="Arial"/>
          <w:sz w:val="22"/>
          <w:szCs w:val="22"/>
          <w:b w:val="1"/>
          <w:bCs w:val="1"/>
          <w:color w:val="auto"/>
        </w:rPr>
        <w:t>Prior Plan</w:t>
      </w:r>
      <w:r>
        <w:rPr>
          <w:rFonts w:ascii="Arial" w:cs="Arial" w:eastAsia="Arial" w:hAnsi="Arial"/>
          <w:sz w:val="22"/>
          <w:szCs w:val="22"/>
          <w:color w:val="auto"/>
        </w:rPr>
        <w:t>”); provided, that such plan shall remain in effect with respect to, and govern, awards made thereunder for so long as awards thereunder remain outstanding.</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2.</w:t>
      </w:r>
      <w:r>
        <w:rPr>
          <w:sz w:val="20"/>
          <w:szCs w:val="20"/>
          <w:color w:val="auto"/>
        </w:rPr>
        <w:tab/>
      </w:r>
      <w:r>
        <w:rPr>
          <w:rFonts w:ascii="Arial" w:cs="Arial" w:eastAsia="Arial" w:hAnsi="Arial"/>
          <w:sz w:val="19"/>
          <w:szCs w:val="19"/>
          <w:b w:val="1"/>
          <w:bCs w:val="1"/>
          <w:color w:val="auto"/>
        </w:rPr>
        <w:t>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defined terms have the meanings set forth below:</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2.1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the Company, any entity directly or indirectly controlling,</w:t>
      </w:r>
      <w:r>
        <w:rPr>
          <w:rFonts w:ascii="Arial" w:cs="Arial" w:eastAsia="Arial" w:hAnsi="Arial"/>
          <w:sz w:val="22"/>
          <w:szCs w:val="22"/>
          <w:b w:val="1"/>
          <w:bCs w:val="1"/>
          <w:color w:val="auto"/>
        </w:rPr>
        <w:t xml:space="preserve"> </w:t>
      </w:r>
      <w:r>
        <w:rPr>
          <w:rFonts w:ascii="Arial" w:cs="Arial" w:eastAsia="Arial" w:hAnsi="Arial"/>
          <w:sz w:val="22"/>
          <w:szCs w:val="22"/>
          <w:color w:val="auto"/>
        </w:rPr>
        <w:t>controlled by, or under common control with, the Company or any other entity designated by the Board in which the Company or an Affiliate has an interest; provided, that, with respect to the award of a “stock right” within the meaning of Code Section 409A, such affiliated entity would be required to qualify as a “service recipient” within the meaning of Code Section 409A.</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2.2 </w:t>
      </w:r>
      <w:r>
        <w:rPr>
          <w:rFonts w:ascii="Arial" w:cs="Arial" w:eastAsia="Arial" w:hAnsi="Arial"/>
          <w:sz w:val="22"/>
          <w:szCs w:val="22"/>
          <w:color w:val="auto"/>
        </w:rPr>
        <w:t>“</w:t>
      </w:r>
      <w:r>
        <w:rPr>
          <w:rFonts w:ascii="Arial" w:cs="Arial" w:eastAsia="Arial" w:hAnsi="Arial"/>
          <w:sz w:val="22"/>
          <w:szCs w:val="22"/>
          <w:b w:val="1"/>
          <w:bCs w:val="1"/>
          <w:color w:val="auto"/>
        </w:rPr>
        <w:t>Annual Retainer</w:t>
      </w:r>
      <w:r>
        <w:rPr>
          <w:rFonts w:ascii="Arial" w:cs="Arial" w:eastAsia="Arial" w:hAnsi="Arial"/>
          <w:sz w:val="22"/>
          <w:szCs w:val="22"/>
          <w:color w:val="auto"/>
        </w:rPr>
        <w:t>” means the annual cash retainer fee payable by the Company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to a Non-Employee Director for services performed as a member of the Board of Directors during the applicable year.</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Available Shares</w:t>
      </w:r>
      <w:r>
        <w:rPr>
          <w:rFonts w:ascii="Arial" w:cs="Arial" w:eastAsia="Arial" w:hAnsi="Arial"/>
          <w:sz w:val="19"/>
          <w:szCs w:val="19"/>
          <w:color w:val="auto"/>
        </w:rPr>
        <w:t>” has the meaning ascribed to it in Section 4.1.</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color w:val="auto"/>
        </w:rPr>
        <w:t>“</w:t>
      </w:r>
      <w:r>
        <w:rPr>
          <w:rFonts w:ascii="Arial" w:cs="Arial" w:eastAsia="Arial" w:hAnsi="Arial"/>
          <w:sz w:val="21"/>
          <w:szCs w:val="21"/>
          <w:b w:val="1"/>
          <w:bCs w:val="1"/>
          <w:color w:val="auto"/>
        </w:rPr>
        <w:t>Award</w:t>
      </w:r>
      <w:r>
        <w:rPr>
          <w:rFonts w:ascii="Arial" w:cs="Arial" w:eastAsia="Arial" w:hAnsi="Arial"/>
          <w:sz w:val="21"/>
          <w:szCs w:val="21"/>
          <w:color w:val="auto"/>
        </w:rPr>
        <w:t>” means any Option, Stock Appreciation Right, Restricted Stock, Restricted Stock Unit,</w:t>
      </w:r>
      <w:r>
        <w:rPr>
          <w:rFonts w:ascii="Arial" w:cs="Arial" w:eastAsia="Arial" w:hAnsi="Arial"/>
          <w:sz w:val="21"/>
          <w:szCs w:val="21"/>
          <w:b w:val="1"/>
          <w:bCs w:val="1"/>
          <w:color w:val="auto"/>
        </w:rPr>
        <w:t xml:space="preserve"> </w:t>
      </w:r>
      <w:r>
        <w:rPr>
          <w:rFonts w:ascii="Arial" w:cs="Arial" w:eastAsia="Arial" w:hAnsi="Arial"/>
          <w:sz w:val="21"/>
          <w:szCs w:val="21"/>
          <w:color w:val="auto"/>
        </w:rPr>
        <w:t>Deferred Award, Dividend Equivalent, or Other Share Based Award granted pursuant to the Plan.</w:t>
      </w:r>
    </w:p>
    <w:p>
      <w:pPr>
        <w:spacing w:after="0" w:line="13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color w:val="auto"/>
        </w:rPr>
        <w:t>“</w:t>
      </w:r>
      <w:r>
        <w:rPr>
          <w:rFonts w:ascii="Arial" w:cs="Arial" w:eastAsia="Arial" w:hAnsi="Arial"/>
          <w:sz w:val="22"/>
          <w:szCs w:val="22"/>
          <w:b w:val="1"/>
          <w:bCs w:val="1"/>
          <w:color w:val="auto"/>
        </w:rPr>
        <w:t>Award Agreement</w:t>
      </w:r>
      <w:r>
        <w:rPr>
          <w:rFonts w:ascii="Arial" w:cs="Arial" w:eastAsia="Arial" w:hAnsi="Arial"/>
          <w:sz w:val="22"/>
          <w:szCs w:val="22"/>
          <w:color w:val="auto"/>
        </w:rPr>
        <w:t>” means an agreement between a Non-Employee Director and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the terms of an Award hereunder, whether in writing or through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892175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3" w:name="page54"/>
    <w:bookmarkEnd w:id="53"/>
    <w:p>
      <w:pPr>
        <w:jc w:val="both"/>
        <w:spacing w:after="0" w:line="250" w:lineRule="auto"/>
        <w:rPr>
          <w:sz w:val="20"/>
          <w:szCs w:val="20"/>
          <w:color w:val="auto"/>
        </w:rPr>
      </w:pPr>
      <w:r>
        <w:rPr>
          <w:rFonts w:ascii="Arial" w:cs="Arial" w:eastAsia="Arial" w:hAnsi="Arial"/>
          <w:sz w:val="22"/>
          <w:szCs w:val="22"/>
          <w:color w:val="auto"/>
        </w:rPr>
        <w:t>electronic medium and duly executed by the Non-Employee Director and an authorized representative of the Company for this purpose.</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2.6 </w:t>
      </w: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or “</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as constituted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2.7 </w:t>
      </w:r>
      <w:r>
        <w:rPr>
          <w:rFonts w:ascii="Arial" w:cs="Arial" w:eastAsia="Arial" w:hAnsi="Arial"/>
          <w:sz w:val="22"/>
          <w:szCs w:val="22"/>
          <w:color w:val="auto"/>
        </w:rPr>
        <w:t>“</w:t>
      </w:r>
      <w:r>
        <w:rPr>
          <w:rFonts w:ascii="Arial" w:cs="Arial" w:eastAsia="Arial" w:hAnsi="Arial"/>
          <w:sz w:val="22"/>
          <w:szCs w:val="22"/>
          <w:b w:val="1"/>
          <w:bCs w:val="1"/>
          <w:color w:val="auto"/>
        </w:rPr>
        <w:t xml:space="preserve">Change of Control </w:t>
      </w:r>
      <w:r>
        <w:rPr>
          <w:rFonts w:ascii="Arial" w:cs="Arial" w:eastAsia="Arial" w:hAnsi="Arial"/>
          <w:sz w:val="22"/>
          <w:szCs w:val="22"/>
          <w:color w:val="auto"/>
        </w:rPr>
        <w:t>means the occurrence of any of the following events: (i) sale of all or</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all of the assets of the Company and its subsidiaries taken as a whole; (ii) any Person or group of Persons is or shall become the “beneficial owner” (as defined in Rule 13(d)-3 and 13(d)-5 under the Exchange Act), directly or indirectly, of more than 50% of the voting stock of the Company then outstanding; or (iii) a merger or consolidation pursuant to which any Person or group of Persons becomes the “beneficial owner” (as defined in clause (ii) above) of more than 50% of the voting stock of the Company or the surviving or resulting entity immediately following the consummation of such transaction. Notwithstanding the foregoing, no Awards that are subject to Code Section 409A shall accelerate or be paid as the result of a Change of Control unless such Change of Control constitutes a “change in control event” within the meaning of Treasury Regulations Section 1.409A-3(i)(5).</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 and any successor to it.</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2.9 </w:t>
      </w:r>
      <w:r>
        <w:rPr>
          <w:rFonts w:ascii="Arial" w:cs="Arial" w:eastAsia="Arial" w:hAnsi="Arial"/>
          <w:sz w:val="22"/>
          <w:szCs w:val="22"/>
          <w:color w:val="auto"/>
        </w:rPr>
        <w:t>“</w:t>
      </w:r>
      <w:r>
        <w:rPr>
          <w:rFonts w:ascii="Arial" w:cs="Arial" w:eastAsia="Arial" w:hAnsi="Arial"/>
          <w:sz w:val="22"/>
          <w:szCs w:val="22"/>
          <w:b w:val="1"/>
          <w:bCs w:val="1"/>
          <w:color w:val="auto"/>
        </w:rPr>
        <w:t>Code Section 409A</w:t>
      </w:r>
      <w:r>
        <w:rPr>
          <w:rFonts w:ascii="Arial" w:cs="Arial" w:eastAsia="Arial" w:hAnsi="Arial"/>
          <w:sz w:val="22"/>
          <w:szCs w:val="22"/>
          <w:color w:val="auto"/>
        </w:rPr>
        <w:t>” means section 409A of the Code, and regulations and other guidance issued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Treasury Department or the Internal Revenue Service thereunder.</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means Monster Beverage Corporation, a Delaware corporation, and any successor</w:t>
      </w:r>
      <w:r>
        <w:rPr>
          <w:rFonts w:ascii="Arial" w:cs="Arial" w:eastAsia="Arial" w:hAnsi="Arial"/>
          <w:sz w:val="22"/>
          <w:szCs w:val="22"/>
          <w:b w:val="1"/>
          <w:bCs w:val="1"/>
          <w:color w:val="auto"/>
        </w:rPr>
        <w:t xml:space="preserve"> </w:t>
      </w:r>
      <w:r>
        <w:rPr>
          <w:rFonts w:ascii="Arial" w:cs="Arial" w:eastAsia="Arial" w:hAnsi="Arial"/>
          <w:sz w:val="22"/>
          <w:szCs w:val="22"/>
          <w:color w:val="auto"/>
        </w:rPr>
        <w:t>thereto.</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Deferral Election</w:t>
      </w:r>
      <w:r>
        <w:rPr>
          <w:rFonts w:ascii="Arial" w:cs="Arial" w:eastAsia="Arial" w:hAnsi="Arial"/>
          <w:sz w:val="19"/>
          <w:szCs w:val="19"/>
          <w:color w:val="auto"/>
        </w:rPr>
        <w:t>” has the meaning ascribed to it in Section 10.</w:t>
      </w:r>
    </w:p>
    <w:p>
      <w:pPr>
        <w:spacing w:after="0" w:line="20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2.12 </w:t>
      </w:r>
      <w:r>
        <w:rPr>
          <w:rFonts w:ascii="Arial" w:cs="Arial" w:eastAsia="Arial" w:hAnsi="Arial"/>
          <w:sz w:val="19"/>
          <w:szCs w:val="19"/>
          <w:color w:val="auto"/>
        </w:rPr>
        <w:t>“</w:t>
      </w:r>
      <w:r>
        <w:rPr>
          <w:rFonts w:ascii="Arial" w:cs="Arial" w:eastAsia="Arial" w:hAnsi="Arial"/>
          <w:sz w:val="19"/>
          <w:szCs w:val="19"/>
          <w:b w:val="1"/>
          <w:bCs w:val="1"/>
          <w:color w:val="auto"/>
        </w:rPr>
        <w:t>Deferred Award</w:t>
      </w:r>
      <w:r>
        <w:rPr>
          <w:rFonts w:ascii="Arial" w:cs="Arial" w:eastAsia="Arial" w:hAnsi="Arial"/>
          <w:sz w:val="19"/>
          <w:szCs w:val="19"/>
          <w:color w:val="auto"/>
        </w:rPr>
        <w:t>” means a right, granted as an Award under Section 10, to receive payment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form of cash or Shares (or measured by the value of Shares) at the end of a specified deferral period.</w:t>
      </w:r>
    </w:p>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any individual who is a member of the Board of Directors.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2.14 </w:t>
      </w: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means a mental or physical illness that renders a Non-Employee Director totally and</w:t>
      </w:r>
      <w:r>
        <w:rPr>
          <w:rFonts w:ascii="Arial" w:cs="Arial" w:eastAsia="Arial" w:hAnsi="Arial"/>
          <w:sz w:val="21"/>
          <w:szCs w:val="21"/>
          <w:b w:val="1"/>
          <w:bCs w:val="1"/>
          <w:color w:val="auto"/>
        </w:rPr>
        <w:t xml:space="preserve"> </w:t>
      </w:r>
      <w:r>
        <w:rPr>
          <w:rFonts w:ascii="Arial" w:cs="Arial" w:eastAsia="Arial" w:hAnsi="Arial"/>
          <w:sz w:val="21"/>
          <w:szCs w:val="21"/>
          <w:color w:val="auto"/>
        </w:rPr>
        <w:t>permanently incapable of performing the Non-Employee Directors duties for the Company; provided, however, that Disability for purposes of Code Section 409A, to the extent applicable, shall occur only upon the occurrence of a “disability” within the meaning of Treasury Regulations Section 1.409A-3(i)(4).</w:t>
      </w:r>
    </w:p>
    <w:p>
      <w:pPr>
        <w:spacing w:after="0" w:line="1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2.15 </w:t>
      </w:r>
      <w:r>
        <w:rPr>
          <w:rFonts w:ascii="Arial" w:cs="Arial" w:eastAsia="Arial" w:hAnsi="Arial"/>
          <w:sz w:val="22"/>
          <w:szCs w:val="22"/>
          <w:color w:val="auto"/>
        </w:rPr>
        <w:t>“</w:t>
      </w:r>
      <w:r>
        <w:rPr>
          <w:rFonts w:ascii="Arial" w:cs="Arial" w:eastAsia="Arial" w:hAnsi="Arial"/>
          <w:sz w:val="22"/>
          <w:szCs w:val="22"/>
          <w:b w:val="1"/>
          <w:bCs w:val="1"/>
          <w:color w:val="auto"/>
        </w:rPr>
        <w:t>Dividend Equivalent</w:t>
      </w:r>
      <w:r>
        <w:rPr>
          <w:rFonts w:ascii="Arial" w:cs="Arial" w:eastAsia="Arial" w:hAnsi="Arial"/>
          <w:sz w:val="22"/>
          <w:szCs w:val="22"/>
          <w:color w:val="auto"/>
        </w:rPr>
        <w:t>” means any right to receive payments equal to dividends (whether in cash,</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or other property) if and when paid or distributed on Shares. Dividend Equivalents can be satisfied in cash, Shares or other property as the Board determines.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date on which the Company’s shareholders approve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4" w:name="page55"/>
    <w:bookmarkEnd w:id="54"/>
    <w:p>
      <w:pPr>
        <w:ind w:left="660"/>
        <w:spacing w:after="0"/>
        <w:tabs>
          <w:tab w:leader="none" w:pos="1280"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 and any successor to it.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2.18 </w:t>
      </w:r>
      <w:r>
        <w:rPr>
          <w:rFonts w:ascii="Arial" w:cs="Arial" w:eastAsia="Arial" w:hAnsi="Arial"/>
          <w:sz w:val="22"/>
          <w:szCs w:val="22"/>
          <w:color w:val="auto"/>
        </w:rPr>
        <w:t>“</w:t>
      </w:r>
      <w:r>
        <w:rPr>
          <w:rFonts w:ascii="Arial" w:cs="Arial" w:eastAsia="Arial" w:hAnsi="Arial"/>
          <w:sz w:val="22"/>
          <w:szCs w:val="22"/>
          <w:b w:val="1"/>
          <w:bCs w:val="1"/>
          <w:color w:val="auto"/>
        </w:rPr>
        <w:t>Exercise Date</w:t>
      </w:r>
      <w:r>
        <w:rPr>
          <w:rFonts w:ascii="Arial" w:cs="Arial" w:eastAsia="Arial" w:hAnsi="Arial"/>
          <w:sz w:val="22"/>
          <w:szCs w:val="22"/>
          <w:color w:val="auto"/>
        </w:rPr>
        <w:t>” means the date a holder of an Award under the Plan (i) exercises an Award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procedures established by the Board and (ii) pays any Option Price or other amounts required as a condition to such exercise.</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2.19 </w:t>
      </w: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with respect to any property other than Shares, the market value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property as determined by such methods or procedures as shall be established or determined from time to time by the Board. The Fair Market Value of Shares as of any date shall be the per Share closing price of the Shares as reported on NASDAQ on that date (or if there were no reported prices on such date, on the last preceding date on which the prices were reported) or, if the Company is not then listed on NASDAQ, on such other principal securities exchange on which the Shares are traded, and if the Company is not listed on the NASDAQ or any other securities exchange, the Fair Market Value of Shares shall be determined by the Board in its sole discretion.</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2.20 </w:t>
      </w:r>
      <w:r>
        <w:rPr>
          <w:rFonts w:ascii="Arial" w:cs="Arial" w:eastAsia="Arial" w:hAnsi="Arial"/>
          <w:sz w:val="22"/>
          <w:szCs w:val="22"/>
          <w:color w:val="auto"/>
        </w:rPr>
        <w:t>“</w:t>
      </w:r>
      <w:r>
        <w:rPr>
          <w:rFonts w:ascii="Arial" w:cs="Arial" w:eastAsia="Arial" w:hAnsi="Arial"/>
          <w:sz w:val="22"/>
          <w:szCs w:val="22"/>
          <w:b w:val="1"/>
          <w:bCs w:val="1"/>
          <w:color w:val="auto"/>
        </w:rPr>
        <w:t>Grant Date</w:t>
      </w:r>
      <w:r>
        <w:rPr>
          <w:rFonts w:ascii="Arial" w:cs="Arial" w:eastAsia="Arial" w:hAnsi="Arial"/>
          <w:sz w:val="22"/>
          <w:szCs w:val="22"/>
          <w:color w:val="auto"/>
        </w:rPr>
        <w:t>” means the date on which an Award is granted, which date may be specified in</w:t>
      </w:r>
      <w:r>
        <w:rPr>
          <w:rFonts w:ascii="Arial" w:cs="Arial" w:eastAsia="Arial" w:hAnsi="Arial"/>
          <w:sz w:val="22"/>
          <w:szCs w:val="22"/>
          <w:b w:val="1"/>
          <w:bCs w:val="1"/>
          <w:color w:val="auto"/>
        </w:rPr>
        <w:t xml:space="preserve"> </w:t>
      </w:r>
      <w:r>
        <w:rPr>
          <w:rFonts w:ascii="Arial" w:cs="Arial" w:eastAsia="Arial" w:hAnsi="Arial"/>
          <w:sz w:val="22"/>
          <w:szCs w:val="22"/>
          <w:color w:val="auto"/>
        </w:rPr>
        <w:t>advance by the Board; provided, that for Code Section 409A purposes, Grant Date shall mean the date of grant determined in accordance with Code Section 409A, as applicable.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2.21 </w:t>
      </w:r>
      <w:r>
        <w:rPr>
          <w:rFonts w:ascii="Arial" w:cs="Arial" w:eastAsia="Arial" w:hAnsi="Arial"/>
          <w:sz w:val="22"/>
          <w:szCs w:val="22"/>
          <w:color w:val="auto"/>
        </w:rPr>
        <w:t>“</w:t>
      </w:r>
      <w:r>
        <w:rPr>
          <w:rFonts w:ascii="Arial" w:cs="Arial" w:eastAsia="Arial" w:hAnsi="Arial"/>
          <w:sz w:val="22"/>
          <w:szCs w:val="22"/>
          <w:b w:val="1"/>
          <w:bCs w:val="1"/>
          <w:color w:val="auto"/>
        </w:rPr>
        <w:t>Non-Employee Director</w:t>
      </w:r>
      <w:r>
        <w:rPr>
          <w:rFonts w:ascii="Arial" w:cs="Arial" w:eastAsia="Arial" w:hAnsi="Arial"/>
          <w:sz w:val="22"/>
          <w:szCs w:val="22"/>
          <w:color w:val="auto"/>
        </w:rPr>
        <w:t>” means a Director who, at the time in question, is not an employee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any of its Affiliates.</w:t>
      </w:r>
    </w:p>
    <w:p>
      <w:pPr>
        <w:spacing w:after="0" w:line="162"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 xml:space="preserve">2.22 </w:t>
      </w: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means any right granted to a Non-Employee Director under the Plan allowing such Non-Employee Director to purchase Shares at the Option Price and at such times as the Board shall determine.</w:t>
      </w:r>
    </w:p>
    <w:p>
      <w:pPr>
        <w:spacing w:after="0" w:line="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2.23 </w:t>
      </w:r>
      <w:r>
        <w:rPr>
          <w:rFonts w:ascii="Arial" w:cs="Arial" w:eastAsia="Arial" w:hAnsi="Arial"/>
          <w:sz w:val="22"/>
          <w:szCs w:val="22"/>
          <w:color w:val="auto"/>
        </w:rPr>
        <w:t>“</w:t>
      </w:r>
      <w:r>
        <w:rPr>
          <w:rFonts w:ascii="Arial" w:cs="Arial" w:eastAsia="Arial" w:hAnsi="Arial"/>
          <w:sz w:val="22"/>
          <w:szCs w:val="22"/>
          <w:b w:val="1"/>
          <w:bCs w:val="1"/>
          <w:color w:val="auto"/>
        </w:rPr>
        <w:t>Option Price</w:t>
      </w:r>
      <w:r>
        <w:rPr>
          <w:rFonts w:ascii="Arial" w:cs="Arial" w:eastAsia="Arial" w:hAnsi="Arial"/>
          <w:sz w:val="22"/>
          <w:szCs w:val="22"/>
          <w:color w:val="auto"/>
        </w:rPr>
        <w:t>” means the price at which a Share may be purchased by a Non-Employee Director</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an Option. Except with respect to Substitute Awards or in connection with an adjustment provided in Section 4.2, the Option Price shall not be less than 100% of the Fair Market Value on the Grant Date of an Option. Options granted hereunder are nonqualified stock options and not stock options as described in Section 422 of the Code.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Share Based Awards</w:t>
      </w:r>
      <w:r>
        <w:rPr>
          <w:rFonts w:ascii="Arial" w:cs="Arial" w:eastAsia="Arial" w:hAnsi="Arial"/>
          <w:sz w:val="19"/>
          <w:szCs w:val="19"/>
          <w:color w:val="auto"/>
        </w:rPr>
        <w:t>” has the meaning ascribed it in Section 7.4.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Assignee</w:t>
      </w:r>
      <w:r>
        <w:rPr>
          <w:rFonts w:ascii="Arial" w:cs="Arial" w:eastAsia="Arial" w:hAnsi="Arial"/>
          <w:sz w:val="19"/>
          <w:szCs w:val="19"/>
          <w:color w:val="auto"/>
        </w:rPr>
        <w:t>” has the meaning ascribed in in Section 12.13.</w:t>
      </w:r>
    </w:p>
    <w:p>
      <w:pPr>
        <w:spacing w:after="0" w:line="2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2.26 </w:t>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joint venture, limited liability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estate, trust, unincorporated association, any federal, state, county or municipal government or any bureau, department or agency thereof and any fiduciary acting in such capacity on behalf of any of the foregoing.</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2.27 </w:t>
      </w: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means the Monster Beverage Corporation 2017 Compensation Plan for Non-Employee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as may be amended from time to time.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Plan</w:t>
      </w:r>
      <w:r>
        <w:rPr>
          <w:rFonts w:ascii="Arial" w:cs="Arial" w:eastAsia="Arial" w:hAnsi="Arial"/>
          <w:sz w:val="19"/>
          <w:szCs w:val="19"/>
          <w:color w:val="auto"/>
        </w:rPr>
        <w:t>” has the meaning ascribed to it in Section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5" w:name="page56"/>
    <w:bookmarkEnd w:id="55"/>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2.29 </w:t>
      </w:r>
      <w:r>
        <w:rPr>
          <w:rFonts w:ascii="Arial" w:cs="Arial" w:eastAsia="Arial" w:hAnsi="Arial"/>
          <w:sz w:val="22"/>
          <w:szCs w:val="22"/>
          <w:color w:val="auto"/>
        </w:rPr>
        <w:t>“</w:t>
      </w:r>
      <w:r>
        <w:rPr>
          <w:rFonts w:ascii="Arial" w:cs="Arial" w:eastAsia="Arial" w:hAnsi="Arial"/>
          <w:sz w:val="22"/>
          <w:szCs w:val="22"/>
          <w:b w:val="1"/>
          <w:bCs w:val="1"/>
          <w:color w:val="auto"/>
        </w:rPr>
        <w:t>Restricted Stock</w:t>
      </w:r>
      <w:r>
        <w:rPr>
          <w:rFonts w:ascii="Arial" w:cs="Arial" w:eastAsia="Arial" w:hAnsi="Arial"/>
          <w:sz w:val="22"/>
          <w:szCs w:val="22"/>
          <w:color w:val="auto"/>
        </w:rPr>
        <w:t>” means an Award of Shares issued with the restriction that the holder may not</w:t>
      </w:r>
      <w:r>
        <w:rPr>
          <w:rFonts w:ascii="Arial" w:cs="Arial" w:eastAsia="Arial" w:hAnsi="Arial"/>
          <w:sz w:val="22"/>
          <w:szCs w:val="22"/>
          <w:b w:val="1"/>
          <w:bCs w:val="1"/>
          <w:color w:val="auto"/>
        </w:rPr>
        <w:t xml:space="preserve"> </w:t>
      </w:r>
      <w:r>
        <w:rPr>
          <w:rFonts w:ascii="Arial" w:cs="Arial" w:eastAsia="Arial" w:hAnsi="Arial"/>
          <w:sz w:val="22"/>
          <w:szCs w:val="22"/>
          <w:color w:val="auto"/>
        </w:rPr>
        <w:t>sell, transfer, pledge or assign such Share and with such other restrictions as the Board, in its sole discretion, may impose (including any restriction on the right to vote such Share and the right to receive any dividends), which restrictions may lapse separately or in combination at such time or times, in installments or otherwise, as the Board may deem appropriate.</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2.30 </w:t>
      </w:r>
      <w:r>
        <w:rPr>
          <w:rFonts w:ascii="Arial" w:cs="Arial" w:eastAsia="Arial" w:hAnsi="Arial"/>
          <w:sz w:val="19"/>
          <w:szCs w:val="19"/>
          <w:color w:val="auto"/>
        </w:rPr>
        <w:t>“</w:t>
      </w:r>
      <w:r>
        <w:rPr>
          <w:rFonts w:ascii="Arial" w:cs="Arial" w:eastAsia="Arial" w:hAnsi="Arial"/>
          <w:sz w:val="19"/>
          <w:szCs w:val="19"/>
          <w:b w:val="1"/>
          <w:bCs w:val="1"/>
          <w:color w:val="auto"/>
        </w:rPr>
        <w:t>Restricted Stock Unit</w:t>
      </w:r>
      <w:r>
        <w:rPr>
          <w:rFonts w:ascii="Arial" w:cs="Arial" w:eastAsia="Arial" w:hAnsi="Arial"/>
          <w:sz w:val="19"/>
          <w:szCs w:val="19"/>
          <w:color w:val="auto"/>
        </w:rPr>
        <w:t>” or “</w:t>
      </w:r>
      <w:r>
        <w:rPr>
          <w:rFonts w:ascii="Arial" w:cs="Arial" w:eastAsia="Arial" w:hAnsi="Arial"/>
          <w:sz w:val="19"/>
          <w:szCs w:val="19"/>
          <w:b w:val="1"/>
          <w:bCs w:val="1"/>
          <w:color w:val="auto"/>
        </w:rPr>
        <w:t>RSU</w:t>
      </w:r>
      <w:r>
        <w:rPr>
          <w:rFonts w:ascii="Arial" w:cs="Arial" w:eastAsia="Arial" w:hAnsi="Arial"/>
          <w:sz w:val="19"/>
          <w:szCs w:val="19"/>
          <w:color w:val="auto"/>
        </w:rPr>
        <w:t>” means an Award that is valued by reference to a Share, which</w:t>
      </w:r>
      <w:r>
        <w:rPr>
          <w:rFonts w:ascii="Arial" w:cs="Arial" w:eastAsia="Arial" w:hAnsi="Arial"/>
          <w:sz w:val="19"/>
          <w:szCs w:val="19"/>
          <w:b w:val="1"/>
          <w:bCs w:val="1"/>
          <w:color w:val="auto"/>
        </w:rPr>
        <w:t xml:space="preserve"> </w:t>
      </w:r>
      <w:r>
        <w:rPr>
          <w:rFonts w:ascii="Arial" w:cs="Arial" w:eastAsia="Arial" w:hAnsi="Arial"/>
          <w:sz w:val="19"/>
          <w:szCs w:val="19"/>
          <w:color w:val="auto"/>
        </w:rPr>
        <w:t>value may be paid to the Non-Employee Director by delivery of Share(s) or cash, or any combination thereof, as set forth in an Award Agreement, and which has such restrictions as the Board, in its sole discretion, may impose, including any restriction on the right to retain such Awards, to sell, transfer, pledge or assign such Awards, and/or to receive any cash Dividend Equivalents with respect to such Awards, which restrictions may lapse separately or in combination at such time or times, in installments or otherwise, as the Board may deem appropriate.</w:t>
      </w:r>
    </w:p>
    <w:p>
      <w:pPr>
        <w:spacing w:after="0" w:line="1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2.31 </w:t>
      </w:r>
      <w:r>
        <w:rPr>
          <w:rFonts w:ascii="Arial" w:cs="Arial" w:eastAsia="Arial" w:hAnsi="Arial"/>
          <w:sz w:val="22"/>
          <w:szCs w:val="22"/>
          <w:color w:val="auto"/>
        </w:rPr>
        <w:t>“</w:t>
      </w:r>
      <w:r>
        <w:rPr>
          <w:rFonts w:ascii="Arial" w:cs="Arial" w:eastAsia="Arial" w:hAnsi="Arial"/>
          <w:sz w:val="22"/>
          <w:szCs w:val="22"/>
          <w:b w:val="1"/>
          <w:bCs w:val="1"/>
          <w:color w:val="auto"/>
        </w:rPr>
        <w:t>Separation from Service</w:t>
      </w:r>
      <w:r>
        <w:rPr>
          <w:rFonts w:ascii="Arial" w:cs="Arial" w:eastAsia="Arial" w:hAnsi="Arial"/>
          <w:sz w:val="22"/>
          <w:szCs w:val="22"/>
          <w:color w:val="auto"/>
        </w:rPr>
        <w:t>” or “</w:t>
      </w:r>
      <w:r>
        <w:rPr>
          <w:rFonts w:ascii="Arial" w:cs="Arial" w:eastAsia="Arial" w:hAnsi="Arial"/>
          <w:sz w:val="22"/>
          <w:szCs w:val="22"/>
          <w:b w:val="1"/>
          <w:bCs w:val="1"/>
          <w:color w:val="auto"/>
        </w:rPr>
        <w:t>Separate from Service</w:t>
      </w:r>
      <w:r>
        <w:rPr>
          <w:rFonts w:ascii="Arial" w:cs="Arial" w:eastAsia="Arial" w:hAnsi="Arial"/>
          <w:sz w:val="22"/>
          <w:szCs w:val="22"/>
          <w:color w:val="auto"/>
        </w:rPr>
        <w:t>” means ceasing to be a Director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any or no reason. Notwithstanding anything to the contrary, for purposes of Code Section 409A, to the extent applicable, the determination of whether an individual has had a Separation from Service will be made in accordance with Code Section 409A.</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Shares</w:t>
      </w:r>
      <w:r>
        <w:rPr>
          <w:rFonts w:ascii="Arial" w:cs="Arial" w:eastAsia="Arial" w:hAnsi="Arial"/>
          <w:sz w:val="19"/>
          <w:szCs w:val="19"/>
          <w:color w:val="auto"/>
        </w:rPr>
        <w:t>” means the shares of common stock of the Company.</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2.33 </w:t>
      </w:r>
      <w:r>
        <w:rPr>
          <w:rFonts w:ascii="Arial" w:cs="Arial" w:eastAsia="Arial" w:hAnsi="Arial"/>
          <w:sz w:val="22"/>
          <w:szCs w:val="22"/>
          <w:color w:val="auto"/>
        </w:rPr>
        <w:t>“</w:t>
      </w:r>
      <w:r>
        <w:rPr>
          <w:rFonts w:ascii="Arial" w:cs="Arial" w:eastAsia="Arial" w:hAnsi="Arial"/>
          <w:sz w:val="22"/>
          <w:szCs w:val="22"/>
          <w:b w:val="1"/>
          <w:b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color w:val="auto"/>
        </w:rPr>
        <w:t>SAR</w:t>
      </w:r>
      <w:r>
        <w:rPr>
          <w:rFonts w:ascii="Arial" w:cs="Arial" w:eastAsia="Arial" w:hAnsi="Arial"/>
          <w:sz w:val="22"/>
          <w:szCs w:val="22"/>
          <w:color w:val="auto"/>
        </w:rPr>
        <w:t>” means a right granted to a Non-Employee Director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to receive payment, upon exercise, of an amount equal to the excess, if any, of the Fair Market Value of a Share on the Exercise Date over the Strike Price.</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2.34 </w:t>
      </w:r>
      <w:r>
        <w:rPr>
          <w:rFonts w:ascii="Arial" w:cs="Arial" w:eastAsia="Arial" w:hAnsi="Arial"/>
          <w:sz w:val="22"/>
          <w:szCs w:val="22"/>
          <w:color w:val="auto"/>
        </w:rPr>
        <w:t>“</w:t>
      </w:r>
      <w:r>
        <w:rPr>
          <w:rFonts w:ascii="Arial" w:cs="Arial" w:eastAsia="Arial" w:hAnsi="Arial"/>
          <w:sz w:val="22"/>
          <w:szCs w:val="22"/>
          <w:b w:val="1"/>
          <w:bCs w:val="1"/>
          <w:color w:val="auto"/>
        </w:rPr>
        <w:t>Strike Price</w:t>
      </w:r>
      <w:r>
        <w:rPr>
          <w:rFonts w:ascii="Arial" w:cs="Arial" w:eastAsia="Arial" w:hAnsi="Arial"/>
          <w:sz w:val="22"/>
          <w:szCs w:val="22"/>
          <w:color w:val="auto"/>
        </w:rPr>
        <w:t>” means the per-Share price used as the baseline measure for the value of a SAR, as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in the applicable Award Agreement. Except in the case of Substitute Awards or in connection with an adjustment provided in Section 4.2, Strike Price shall not be less than the Fair Market Value of one Share on the Grant Date of a SAR.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Substitute Awards</w:t>
      </w:r>
      <w:r>
        <w:rPr>
          <w:rFonts w:ascii="Arial" w:cs="Arial" w:eastAsia="Arial" w:hAnsi="Arial"/>
          <w:sz w:val="19"/>
          <w:szCs w:val="19"/>
          <w:color w:val="auto"/>
        </w:rPr>
        <w:t>” has the meaning ascribed in in Section 4.1.</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Article 3. Administration</w:t>
      </w:r>
      <w:r>
        <w:rPr>
          <w:rFonts w:ascii="Arial" w:cs="Arial" w:eastAsia="Arial" w:hAnsi="Arial"/>
          <w:sz w:val="19"/>
          <w:szCs w:val="19"/>
          <w:color w:val="auto"/>
        </w:rPr>
        <w:t>. The Plan shall be administered by the Board. The Board shall have full power</w:t>
      </w:r>
      <w:r>
        <w:rPr>
          <w:rFonts w:ascii="Arial" w:cs="Arial" w:eastAsia="Arial" w:hAnsi="Arial"/>
          <w:sz w:val="19"/>
          <w:szCs w:val="19"/>
          <w:b w:val="1"/>
          <w:bCs w:val="1"/>
          <w:color w:val="auto"/>
        </w:rPr>
        <w:t xml:space="preserve"> </w:t>
      </w:r>
      <w:r>
        <w:rPr>
          <w:rFonts w:ascii="Arial" w:cs="Arial" w:eastAsia="Arial" w:hAnsi="Arial"/>
          <w:sz w:val="19"/>
          <w:szCs w:val="19"/>
          <w:color w:val="auto"/>
        </w:rPr>
        <w:t>and authority, subject to the provisions of the Plan and subject to such orders or resolutions not inconsistent with the provisions of the Plan as may from time to time be adopted by the Board, to: (i) select the Non-Employee Directors to whom Awards may from time to time be granted hereunder; (ii) determine the type or types of Awards, not inconsistent with the provisions of the Plan, to be granted to each Non-Employee Director hereunder;</w:t>
      </w:r>
    </w:p>
    <w:p>
      <w:pPr>
        <w:spacing w:after="0" w:line="1" w:lineRule="exact"/>
        <w:rPr>
          <w:sz w:val="20"/>
          <w:szCs w:val="20"/>
          <w:color w:val="auto"/>
        </w:rPr>
      </w:pPr>
    </w:p>
    <w:p>
      <w:pPr>
        <w:jc w:val="both"/>
        <w:ind w:firstLine="8"/>
        <w:spacing w:after="0" w:line="232" w:lineRule="auto"/>
        <w:tabs>
          <w:tab w:leader="none" w:pos="4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determine the number of Shares or dollar value to be covered by each Award granted hereunder; (iv) determine the terms and conditions, not inconsistent with the provisions of the Plan, of any Award granted hereunder; (v) determine whether, to what extent and under what circumstances Awards may be settled in cash, Shares or other property; (vi) determine whether, to what extent, and under what circumstances cash, Shares, other property and other amounts payable with respect to an Award made under the Plan shall be deferred either automatically or at the election of the Non-Employee Director; (vii) determine whether, to what extent and under what circumstances any Award shall be canceled or suspended; (viii) interpret and administer the Plan and any instrument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9"/>
          <w:szCs w:val="19"/>
          <w:color w:val="auto"/>
        </w:rPr>
        <w:t>entered into under or in connection with the Plan, including any Award Agreement; (ix) correct any defect, supply any omission or reconcile any inconsistency in the Plan or any Award in the manner and to the extent that the Board shall deem desirable to carry it into effect; (x) establish such rules and regulations and appoint such agents as it shall deem appropriate for the proper administration of the Plan; (xi) determine whether any Award, other than an Option or Stock Appreciation Right, will have Dividend Equivalents; and (xii) make any other determination and take any other action that the Board deems necessary or desirable for administration of the Plan. Any decision of the Board in the interpretation and administration of the Plan, as described herein, shall lie within its sole and absolute discretion and shall be final, conclusive and binding on all parties concerned. The Board shall have the full power and authority to waive any terms and conditions at any time (including, without limitation, accelerating or waiving any vesting conditions). The Board shall require payment of any amount it may determine to be necessary to withhold for federal, state, local or other taxes as a result of the exercise of an Award or other amounts required to be paid or withheld by law. The Board’s decisions and determinations under the Plan need not be uniform and may be made selectively among Non-Employee Directors, whether or not such Non-Employee Directors are similarly situated.</w:t>
      </w:r>
    </w:p>
    <w:p>
      <w:pPr>
        <w:spacing w:after="0" w:line="200" w:lineRule="exact"/>
        <w:rPr>
          <w:sz w:val="20"/>
          <w:szCs w:val="20"/>
          <w:color w:val="auto"/>
        </w:rPr>
      </w:pP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19"/>
          <w:szCs w:val="19"/>
          <w:b w:val="1"/>
          <w:bCs w:val="1"/>
          <w:color w:val="auto"/>
        </w:rPr>
        <w:t>Shares Subject to the Plan and Adjustments</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4.1 Number of Shares Available for Grants</w:t>
      </w:r>
      <w:r>
        <w:rPr>
          <w:rFonts w:ascii="Arial" w:cs="Arial" w:eastAsia="Arial" w:hAnsi="Arial"/>
          <w:sz w:val="19"/>
          <w:szCs w:val="19"/>
          <w:color w:val="auto"/>
        </w:rPr>
        <w:t>. Subject to adjustment as provided in Section 4.2, a total</w:t>
      </w:r>
      <w:r>
        <w:rPr>
          <w:rFonts w:ascii="Arial" w:cs="Arial" w:eastAsia="Arial" w:hAnsi="Arial"/>
          <w:sz w:val="19"/>
          <w:szCs w:val="19"/>
          <w:b w:val="1"/>
          <w:bCs w:val="1"/>
          <w:color w:val="auto"/>
        </w:rPr>
        <w:t xml:space="preserve"> </w:t>
      </w:r>
      <w:r>
        <w:rPr>
          <w:rFonts w:ascii="Arial" w:cs="Arial" w:eastAsia="Arial" w:hAnsi="Arial"/>
          <w:sz w:val="19"/>
          <w:szCs w:val="19"/>
          <w:color w:val="auto"/>
        </w:rPr>
        <w:t>of 1,250,000 Shares shall be authorized for issuance under the Plan (“</w:t>
      </w:r>
      <w:r>
        <w:rPr>
          <w:rFonts w:ascii="Arial" w:cs="Arial" w:eastAsia="Arial" w:hAnsi="Arial"/>
          <w:sz w:val="19"/>
          <w:szCs w:val="19"/>
          <w:b w:val="1"/>
          <w:bCs w:val="1"/>
          <w:color w:val="auto"/>
        </w:rPr>
        <w:t>Available Shares</w:t>
      </w:r>
      <w:r>
        <w:rPr>
          <w:rFonts w:ascii="Arial" w:cs="Arial" w:eastAsia="Arial" w:hAnsi="Arial"/>
          <w:sz w:val="19"/>
          <w:szCs w:val="19"/>
          <w:color w:val="auto"/>
        </w:rPr>
        <w:t>”), less one (1) Share for every one (1) Share granted under the Prior Plan after December 31, 2016 and prior to the effective date of the Plan. Shares covered by an Award shall only be counted as used to the extent they are actually issued. Any Shares related to Awards (or awards under the Prior Plan) which terminate by expiration, forfeiture, cancellation, or otherwise without the issuance of such Shares, are settled in cash in lieu of Shares, or are exchanged with the Board’s permission, prior to the issuance of Shares, for Awards not involving Shares, shall be available again for grant under this Plan, and shall be counted on a one-for-one basis. However, the full number of Stock Appreciation Rights granted that are to be settled by the issuance of Shares shall be counted against the number of Shares available for award under the Plan, regardless of the number of Shares actually issued upon settlement of such Stock Appreciation Rights. Furthermore, any Shares tendered or withheld to satisfy any tax withholding obligations on an Award issued under the Plan (or award granted under the Prior Plan), Shares tendered or withheld to pay the exercise price of an Award under the Plan (or award under the Prior Plan), and Shares repurchased on the open market with the proceeds of an Option exercise will not be available for grant under this Plan. Awards granted or Shares issued by the Company in assumption of, or in substitution or exchange for, awards previously granted, or the right or obligation to make future awards, in each case by a company acquired by the Company or any Affiliate that is a subsidiary of the Company or with which the Company or any Affiliate that is a subsidiary of the Company combines (“</w:t>
      </w:r>
      <w:r>
        <w:rPr>
          <w:rFonts w:ascii="Arial" w:cs="Arial" w:eastAsia="Arial" w:hAnsi="Arial"/>
          <w:sz w:val="19"/>
          <w:szCs w:val="19"/>
          <w:b w:val="1"/>
          <w:bCs w:val="1"/>
          <w:color w:val="auto"/>
        </w:rPr>
        <w:t>Substitute Awards</w:t>
      </w:r>
      <w:r>
        <w:rPr>
          <w:rFonts w:ascii="Arial" w:cs="Arial" w:eastAsia="Arial" w:hAnsi="Arial"/>
          <w:sz w:val="19"/>
          <w:szCs w:val="19"/>
          <w:color w:val="auto"/>
        </w:rPr>
        <w:t>”) shall not reduce the Shares authorized for grant under the Plan (and shall not be added back as provided in Section 4.1 above). Additionally, in the event that a company acquired by the Company or any Affiliate that is a subsidiary of the Company or with which the Company or such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21"/>
          <w:szCs w:val="21"/>
          <w:color w:val="auto"/>
        </w:rPr>
        <w:t>common stock of the entities party to such acquisition or combination) may be used for Awards under the Plan and shall not reduce the Shares authorized for grant under the Plan (and shall not be added back as provided in Section 4.1); provided that Awards using such available shares shall not be made after the date awards or grants could have been made under the terms of the pre-existing plan, absent the acquisition or combination, and shall only be made to individuals who were not Non-Employee Directors prior to such acquisition or combination. Any Shares issued hereunder may consist, in whole or in part, of authorized and unissued shares, treasury shares or shares purchased in the open market or otherwise.</w:t>
      </w:r>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4.2 Adjustments in Authorized Shares and Awards</w:t>
      </w:r>
      <w:r>
        <w:rPr>
          <w:rFonts w:ascii="Arial" w:cs="Arial" w:eastAsia="Arial" w:hAnsi="Arial"/>
          <w:sz w:val="21"/>
          <w:szCs w:val="21"/>
          <w:color w:val="auto"/>
        </w:rPr>
        <w:t>. In the event of any merger, reorganization,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consolidation, recapitalization, extraordinary dividend or distribution (whether in cash, shares or other property, other than a regular cash dividend), stock split, reverse stock split, spin-off or similar transaction or other change of corporate structure affecting the Shares or the value thereof, such adjustments and other substitutions shall be made to the Plan and to Awards as the Board deems equitable or appropriate to prevent dilution or enlargement of the rights of Non-Employee Directors under the Plan, taking into consideration the accounting and tax consequences, including such adjustments in the aggregate number, class and kind of securities that may be delivered under the Plan and the number, class, kind and price of securities subject to outstanding Awards granted under the Plan (including, if the Board deems appropriate, the substitution of similar Awards to purchase the shares of, or other awards denominated in the shares of, another company) as the Board may determine to be appropriate.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19"/>
          <w:szCs w:val="19"/>
          <w:b w:val="1"/>
          <w:bCs w:val="1"/>
          <w:color w:val="auto"/>
        </w:rPr>
        <w:t>Eligibility and General Conditions of Awards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Non-Employee Director shall be eligible to participate in the Plan for so long as such Person remains a Non-Employee Director and the Plan is then in effect. To the extent not set forth in the Plan, the terms and conditions of each Award shall be set forth in an Award Agreement.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19"/>
          <w:szCs w:val="19"/>
          <w:b w:val="1"/>
          <w:bCs w:val="1"/>
          <w:color w:val="auto"/>
        </w:rPr>
        <w:t>Annual Retainer; Annual Award</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6.1 Amounts Payable in Cash</w:t>
      </w:r>
      <w:r>
        <w:rPr>
          <w:rFonts w:ascii="Arial" w:cs="Arial" w:eastAsia="Arial" w:hAnsi="Arial"/>
          <w:sz w:val="19"/>
          <w:szCs w:val="19"/>
          <w:color w:val="auto"/>
        </w:rPr>
        <w:t>. Each Non-Employee Director will be entitled to receive an Annual</w:t>
      </w:r>
      <w:r>
        <w:rPr>
          <w:rFonts w:ascii="Arial" w:cs="Arial" w:eastAsia="Arial" w:hAnsi="Arial"/>
          <w:sz w:val="19"/>
          <w:szCs w:val="19"/>
          <w:b w:val="1"/>
          <w:bCs w:val="1"/>
          <w:color w:val="auto"/>
        </w:rPr>
        <w:t xml:space="preserve"> </w:t>
      </w:r>
      <w:r>
        <w:rPr>
          <w:rFonts w:ascii="Arial" w:cs="Arial" w:eastAsia="Arial" w:hAnsi="Arial"/>
          <w:sz w:val="19"/>
          <w:szCs w:val="19"/>
          <w:color w:val="auto"/>
        </w:rPr>
        <w:t>Retainer equal to $85,000. The Annual Retainer for the chairs of the Audit Committee, Nominating Committee and Compensation Committee will be increased by $25,000, $22,500, and $22,500 each, respectively. The Annual Retainer (i) for each member of the Audit Committee (other than the chairperson) will be increased by $10,000 and (ii) for each member of the Compensation Committee and Nominating Committee (other than the respective chairperson) will be increased by an additional $7,500. The Annual Retainer of the Lead Independent Director will be increased by $40,000. So long as a Non-Employee Director has not made a Deferral Election with respect to the Annual Retainer, one quarter of the Non-Employee Director’s Annual Retainer will be paid to the Non-Employee Director in cash in arrears as soon as administratively practicable following completion of the applicable quarter. A Non-Employee Director’s Annual Retainer shall be prorated for any partial year of service on the Board, unless otherwise determined by the Board. The amounts provided for under this Section 6.1 may be modified by the Board or applicable committee thereof pursuant to any applicable charters and board procedures in effect from time to time without any amendment required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8" w:name="page59"/>
    <w:bookmarkEnd w:id="58"/>
    <w:p>
      <w:pPr>
        <w:jc w:val="both"/>
        <w:ind w:firstLine="648"/>
        <w:spacing w:after="0" w:line="272" w:lineRule="auto"/>
        <w:rPr>
          <w:sz w:val="20"/>
          <w:szCs w:val="20"/>
          <w:color w:val="auto"/>
        </w:rPr>
      </w:pPr>
      <w:r>
        <w:rPr>
          <w:rFonts w:ascii="Arial" w:cs="Arial" w:eastAsia="Arial" w:hAnsi="Arial"/>
          <w:sz w:val="19"/>
          <w:szCs w:val="19"/>
          <w:b w:val="1"/>
          <w:bCs w:val="1"/>
          <w:color w:val="auto"/>
        </w:rPr>
        <w:t>6.2 Amounts Payable in Equity</w:t>
      </w:r>
      <w:r>
        <w:rPr>
          <w:rFonts w:ascii="Arial" w:cs="Arial" w:eastAsia="Arial" w:hAnsi="Arial"/>
          <w:sz w:val="19"/>
          <w:szCs w:val="19"/>
          <w:color w:val="auto"/>
        </w:rPr>
        <w:t>. At each annual meeting of the Company’s stockholders or promptly</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each Non-Employee Director will receive an Award of Restricted Stock Units in such amount equal to the quotient determined by dividing $175,000 by the Fair Market Value on the Grant Date (rounded down to the nearest whole number). All Awards shall be evidenced by an Award Agreement in such form and upon such terms as the Board may approve. The Board may, but is not obligated, to award such Non-Employee Directors Dividend Equivalents. Except as provided otherwise in an Award Agreement with respect to RSUs, a Non-Employee Director’s annual award of RSUs will vest on earliest to occur of: (i) the last business day immediately preceding the annual meeting of the Company’s stockholders in the calendar year following the calendar year in which the Grant Date occurs, (ii) a Change of Control, (iii) the Non-Employee Director’s death, or (iv) the date of the Non-Employee Director’s Separation from Service due to Disability, so long as the Non-Employee Director remains a Non-Employee Director through such date. The amounts provided for under this Section 6.2 may be modified by the Board or applicable committee thereof pursuant to any applicable charters and board procedures in effect from time to time without any amendment required under the Plan.</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19"/>
          <w:szCs w:val="19"/>
          <w:b w:val="1"/>
          <w:bCs w:val="1"/>
          <w:color w:val="auto"/>
        </w:rPr>
        <w:t>Awards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7.1 Options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may be granted hereunder to Non-Employee Directors either alone or in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to other Awards granted under the Plan. Any Option shall be subject to the terms and conditions of this Article and to such additional terms and conditions, not inconsistent with the provisions of the Plan, as the Board shall determine in an Award Agreement. The terms of Options need not be the same with respect to each Non-Employee Director. Granting an Option pursuant to the Plan shall impose no obligation on the recipient to exercise such Option, including upon the scheduled expiration thereof; provided that an Option will be automatically exercised by the Company on the Non-Employee Director’s behalf as of immediately prior to its scheduled expiration so long as the Exercise Price of such Option does not equal or exceed the Fair Market Value of the Shares covered thereby as of such exercise. Other than pursuant to Section 4.2 or in connection with a Change of Control, the Board shall not without the approval of the Company’s stockholders to the extent required by law or the rules and regulations of the principal securities exchange on which the Shares are traded (i) lower the option price per Share of an Option after it is granted, (ii) cancel an Option in exchange for cash or another Award, and (iii) take any other action with respect to an Option that would be treated as a repricing under the rules and regulations of the principal securities exchange on which the Shares are traded. The Award Agreement will require as a condition to exercise full payment of the Option Price or, in the Board’s discretion, satisfaction of the Option Price by such other manner, including by tendering of previously acquired Shares (either actually or by attestation, valued at their then Fair Market Value), by delivering other consideration having a Fair Market Value on the Exercise Date equal to the total Option Price, by withholding Shares otherwise issuable in connection with the exercise of the Option, or such other method (or combination of methods) as specified in an Award Agreement or permitted by the Board. The Award Agreement for an Option shall set forth the extent to which it may be exercised following a Separation from Service. The term of each Option will be provided for in the Award Agreement; provided, however, that the term will be no more than ten (10) years from the Grant Date of the Option.</w:t>
      </w:r>
    </w:p>
    <w:p>
      <w:pPr>
        <w:spacing w:after="0" w:line="3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7.2 Stock Appreciation Rights</w:t>
      </w:r>
      <w:r>
        <w:rPr>
          <w:rFonts w:ascii="Arial" w:cs="Arial" w:eastAsia="Arial" w:hAnsi="Arial"/>
          <w:sz w:val="22"/>
          <w:szCs w:val="22"/>
          <w:color w:val="auto"/>
        </w:rPr>
        <w:t>. The Board may provide Stock Appreciation Rights (a) in conjunction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all or part of any Option granted under the Plan or at any subsequent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9"/>
          <w:szCs w:val="19"/>
          <w:color w:val="auto"/>
        </w:rPr>
        <w:t>during the term of such Option, (b) in conjunction with all or part of any Award (other than an Option) granted under the Plan or at any subsequent time during the term of such Award, or (c) without regard to any Option or other Award, in each case upon such terms and conditions as the Board may establish in its sole discretion. Stock Appreciation Rights shall be subject to such terms and conditions, not inconsistent with the provisions of the Plan, as shall be determined from time to time by the Board. Granting a Stock Appreciation Right pursuant to the Plan shall impose no obligation on the recipient to exercise such Stock Appreciation Right; provided, that a Stock Appreciation Right will be automatically exercised by the Company on the Non-Employee Director’s behalf as of immediately prior to its scheduled expiration so long as the Strike Price of such Stock Appreciation Right does not equal or exceed the Fair Market Value of the Shares covered thereby as of such exercise. The Board shall determine in its sole discretion whether upon the exercise of a Stock Appreciation Right payment shall be made in cash, in whole Shares or other property, or any combination thereof. The terms of Stock Appreciation Rights need not be the same with respect to each Non-Employee Director. Stock Appreciation Rights shall be subject to such vesting conditions as may be imposed by the Board. The Board may impose such other conditions or restrictions on the terms of exercise of any Stock Appreciation Right, as it shall deem appropriate. The Award Agreement for the Stock Appreciation Right shall set forth the extent to which it may be exercised following a Separation from Service. Other than pursuant to Section 4.2 or in connection with a Change of Control, the Board shall not without the approval of the Company’s stockholders to the extent required by law or the rules and regulations of the principal securities exchange on which the Shares are traded (i) reduce the Strike Price of any Stock Appreciation Right after the date of grant (ii) cancel any Stock Appreciation Right in exchange for cash or another Award, and (iii) take any other action with respect to a Stock Appreciation Right that would be treated as a repricing under the rules and regulations of the principal securities market on which the Shares are traded. The term of each Stock Appreciation Right will be provided for in the Award Agreement; provided, however, that the term will be no more than ten (10) years from the Grant Date of the Stock Appreciation Right.</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7.3 RSUs and Restricted Stock</w:t>
      </w:r>
      <w:r>
        <w:rPr>
          <w:rFonts w:ascii="Arial" w:cs="Arial" w:eastAsia="Arial" w:hAnsi="Arial"/>
          <w:sz w:val="19"/>
          <w:szCs w:val="19"/>
          <w:color w:val="auto"/>
        </w:rPr>
        <w:t>. Awards of Restricted Stock or RSUs may be issued hereunder to</w:t>
      </w:r>
      <w:r>
        <w:rPr>
          <w:rFonts w:ascii="Arial" w:cs="Arial" w:eastAsia="Arial" w:hAnsi="Arial"/>
          <w:sz w:val="19"/>
          <w:szCs w:val="19"/>
          <w:b w:val="1"/>
          <w:bCs w:val="1"/>
          <w:color w:val="auto"/>
        </w:rPr>
        <w:t xml:space="preserve"> </w:t>
      </w:r>
      <w:r>
        <w:rPr>
          <w:rFonts w:ascii="Arial" w:cs="Arial" w:eastAsia="Arial" w:hAnsi="Arial"/>
          <w:sz w:val="19"/>
          <w:szCs w:val="19"/>
          <w:color w:val="auto"/>
        </w:rPr>
        <w:t>Non-Employee Directors either alone or in addition to other Awards granted under the Plan. An Award of Restricted Stock or RSUs shall be subject to vesting restrictions imposed by the Board covering a period of time or other conditions specified by the Board. The terms of an Award of Restricted Stock or an RSU granted under the Plan shall be set forth in an Award Agreement which shall contain provisions determined by the Board and not inconsistent with the Plan. The terms of an Award of Restricted Stock or RSUs need not be the same with respect to each Non-Employee Director. Unless otherwise provided in the Award Agreement, beginning on the Grant Date of an Award of Restricted Stock and subject to execution of the Award Agreement, the Non-Employee Director to whom such Award was made shall become a stockholder of the Company with respect to all Shares subject to the Award Agreement and shall have all of the rights of a stockholder, including the right to vote such Shares and the right to receive distributions made with respect to such Shares. A Non-Employee Director receiving an Award of RSUs shall not possess any rights of a stockholder with respect to such Award. Except as otherwise provided in an Award Agreement, any Shares or any other property (including cash) distributed as a dividend or otherwise with respect to any Award of Restricted Stock as to which the restrictions have not yet lapsed shall be subject to the same restrictions as such Award of Restricted Stock. The Award Agreement for an Award of Restricted Stock or Restricted Stock Units shall set forth the extent to which the Non-Employee Director to whom such Award was made shall have the right to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0" w:name="page61"/>
    <w:bookmarkEnd w:id="60"/>
    <w:p>
      <w:pPr>
        <w:jc w:val="both"/>
        <w:spacing w:after="0" w:line="245" w:lineRule="auto"/>
        <w:rPr>
          <w:sz w:val="20"/>
          <w:szCs w:val="20"/>
          <w:color w:val="auto"/>
        </w:rPr>
      </w:pPr>
      <w:r>
        <w:rPr>
          <w:rFonts w:ascii="Arial" w:cs="Arial" w:eastAsia="Arial" w:hAnsi="Arial"/>
          <w:sz w:val="21"/>
          <w:szCs w:val="21"/>
          <w:color w:val="auto"/>
        </w:rPr>
        <w:t>such Restricted Stock or Restricted Stock Units following a Separation from Service. Any Restricted Stock granted under the Plan may be evidenced in such manner as the Board may deem appropriate, including book-entry registration or issuance of a stock certificate or certificates, which certificate or certificates shall be held by the Company. Such certificate or certificates shall be registered in the name of the applicable Non-Employee Director and shall bear an appropriate legend referring to the restrictions applicable to such Restricted Stock. The Board may, but is not obligated, to grant Dividend Equivalents with respect to an Award of RSUs, and the Award Agreement for any such Award of RSUs will set forth the rights, if any, to any such Dividend Equivalents; provided, that, a holder of RSUs shall not have a right to Dividend Equivalents unless such Award Agreement provides for Dividend Equivalents.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7.4 Other Share Based Awards</w:t>
      </w:r>
      <w:r>
        <w:rPr>
          <w:rFonts w:ascii="Arial" w:cs="Arial" w:eastAsia="Arial" w:hAnsi="Arial"/>
          <w:sz w:val="19"/>
          <w:szCs w:val="19"/>
          <w:color w:val="auto"/>
        </w:rPr>
        <w:t>. Other Awards of Shares and other Awards that are valued in whole</w:t>
      </w:r>
      <w:r>
        <w:rPr>
          <w:rFonts w:ascii="Arial" w:cs="Arial" w:eastAsia="Arial" w:hAnsi="Arial"/>
          <w:sz w:val="19"/>
          <w:szCs w:val="19"/>
          <w:b w:val="1"/>
          <w:bCs w:val="1"/>
          <w:color w:val="auto"/>
        </w:rPr>
        <w:t xml:space="preserve"> </w:t>
      </w:r>
      <w:r>
        <w:rPr>
          <w:rFonts w:ascii="Arial" w:cs="Arial" w:eastAsia="Arial" w:hAnsi="Arial"/>
          <w:sz w:val="19"/>
          <w:szCs w:val="19"/>
          <w:color w:val="auto"/>
        </w:rPr>
        <w:t>or in part by reference to, or are otherwise based on, Shares or other property (“</w:t>
      </w:r>
      <w:r>
        <w:rPr>
          <w:rFonts w:ascii="Arial" w:cs="Arial" w:eastAsia="Arial" w:hAnsi="Arial"/>
          <w:sz w:val="19"/>
          <w:szCs w:val="19"/>
          <w:b w:val="1"/>
          <w:bCs w:val="1"/>
          <w:color w:val="auto"/>
        </w:rPr>
        <w:t>Other Share Based Awards</w:t>
      </w:r>
      <w:r>
        <w:rPr>
          <w:rFonts w:ascii="Arial" w:cs="Arial" w:eastAsia="Arial" w:hAnsi="Arial"/>
          <w:sz w:val="19"/>
          <w:szCs w:val="19"/>
          <w:color w:val="auto"/>
        </w:rPr>
        <w:t>”) may be granted hereunder to Non-Employee Directors either alone or in addition to other Awards granted under the Plan. Other Share Based Awards shall also be available as a form of payment of other Awards granted under the Plan and other earned cash-based compensation, including under any deferred compensation plan whether or not under the Plan or a sub-plan thereunder. Other Share Based Awards may be fully vested or subject to vesting restrictions or conditions imposed by the Board covering a period of time or other condition, as specified by the Board. The terms of Other Share Based Awards granted under the Plan shall be set forth in an Award Agreement which shall contain provisions determined by the Board and not inconsistent with the Plan. The terms of Other Share Based Awards need not be the same with respect to each Non-Employee Director. A Non-Employee Director receiving Other Share Based Awards shall not possess any rights of a stockholder with respect to such Award unless the Award Agreement for such Other Share Based Award provides for such rights. The Award Agreement for Other Share Based Awards shall set forth the extent to which the Non-Employee Director to whom such Award was made shall have the right to retain such Other Share Based Awards following a Separation from Service. Other Share Based Awards granted under the Plan may be evidenced in such manner as the Board may deem appropriate, including book-entry registration or issuance of a stock certificate or certificates, which certificate or certificates shall be held by the Company. Such certificate or certificates shall be registered in the name of the applicable Non-Employee Director and shall bear an appropriate legend referring to the restrictions applicable to such Other Share Based Award. The Board may, but is not obligated, to grant Dividend Equivalents with respect to Other Share Based Awards and the Award Agreement for any such Award will set forth the rights, if any, to any such Dividend Equivalents; provided, that, no Dividend Equivalents shall be granted to the holder of such Other Share Based Award unless such Award Agreement provides for Dividend Equivalents. Except as may be provided in an Award Agreement, Other Share-Based Awards may be paid in cash, Shares, other property, or any combination thereof, in the sole discretion of the Board. Other Share-Based Awards may be paid in a lump sum or in installments or, in accordance with procedures established by the Board, on a deferred basis subject to Code Section 409A.</w:t>
      </w:r>
    </w:p>
    <w:p>
      <w:pPr>
        <w:spacing w:after="0" w:line="200" w:lineRule="exact"/>
        <w:rPr>
          <w:sz w:val="20"/>
          <w:szCs w:val="20"/>
          <w:color w:val="auto"/>
        </w:rPr>
      </w:pP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Article 8. Special Treatment In the Event of a Change of Control</w:t>
      </w:r>
      <w:r>
        <w:rPr>
          <w:rFonts w:ascii="Arial" w:cs="Arial" w:eastAsia="Arial" w:hAnsi="Arial"/>
          <w:sz w:val="22"/>
          <w:szCs w:val="22"/>
          <w:color w:val="auto"/>
        </w:rPr>
        <w:t>. In the event of a Change of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Effective Date, the Board may, in its sole discretion, provide for (i) the termination of an Award upon the consummation of the Change of Control, but only if such Award has vested and been paid out or the Non-Employee Director has been permitted to exercise the Award in full for a period of not less than ten (10) days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1" w:name="page62"/>
    <w:bookmarkEnd w:id="61"/>
    <w:p>
      <w:pPr>
        <w:jc w:val="both"/>
        <w:ind w:firstLine="8"/>
        <w:spacing w:after="0" w:line="273" w:lineRule="auto"/>
        <w:tabs>
          <w:tab w:leader="none" w:pos="323" w:val="left"/>
        </w:tabs>
        <w:numPr>
          <w:ilvl w:val="0"/>
          <w:numId w:val="30"/>
        </w:numPr>
        <w:rPr>
          <w:rFonts w:ascii="Arial" w:cs="Arial" w:eastAsia="Arial" w:hAnsi="Arial"/>
          <w:sz w:val="19"/>
          <w:szCs w:val="19"/>
          <w:color w:val="auto"/>
        </w:rPr>
      </w:pPr>
      <w:r>
        <w:rPr>
          <w:rFonts w:ascii="Arial" w:cs="Arial" w:eastAsia="Arial" w:hAnsi="Arial"/>
          <w:sz w:val="19"/>
          <w:szCs w:val="19"/>
          <w:color w:val="auto"/>
        </w:rPr>
        <w:t>acceleration of all or any portion of an Award, (iii) the payment of any amount (in cash or, in the discretion of the Board, in the form of consideration paid to shareholders of the Company in connection with such Change of Control) in exchange for the cancellation of such Award which, in the case of Options and Stock Appreciation Rights, may equal the excess, if any, of the Fair Market Value of the Shares subject to such Options or Stock Appreciation Rights over the aggregate exercise price or Option Price of such Options or Stock Appreciation Rights; provided, that if the Option Price of such Options and/or the Strike Price of such Stock Appreciation Right equals or exceeds the Fair Market Value of Shares covered thereby immediately prior to the occurrence of such Change of Control, then such Option and/or Stock Appreciation Right may be cancelled without the payment of consideration, and/or (iv) issuance of substitute Awards that will substantially preserve the otherwise applicable terms of any affected Awards previously granted hereunder.</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Article 9. Ownership Guidelines</w:t>
      </w:r>
      <w:r>
        <w:rPr>
          <w:rFonts w:ascii="Arial" w:cs="Arial" w:eastAsia="Arial" w:hAnsi="Arial"/>
          <w:sz w:val="19"/>
          <w:szCs w:val="19"/>
          <w:color w:val="auto"/>
        </w:rPr>
        <w:t>. The Board believes that Non-Employee Directors should own and hold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to further align their interests and actions with the interests of the Company’s shareholders. Therefore, the Board requires each Non-Employee Director to satisfy the share ownership guidelines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as may be modified by the Board from time to time or applicable committee thereof pursuant to any applicable charters and board procedures in effect from time to time without any amendment required under the Plan.</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Article 10. Deferrals</w:t>
      </w:r>
      <w:r>
        <w:rPr>
          <w:rFonts w:ascii="Arial" w:cs="Arial" w:eastAsia="Arial" w:hAnsi="Arial"/>
          <w:sz w:val="21"/>
          <w:szCs w:val="21"/>
          <w:color w:val="auto"/>
        </w:rPr>
        <w:t>. If and to the extent permitted by the Board, an Non-Employee Director may elect (a</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Deferral Election</w:t>
      </w:r>
      <w:r>
        <w:rPr>
          <w:rFonts w:ascii="Arial" w:cs="Arial" w:eastAsia="Arial" w:hAnsi="Arial"/>
          <w:sz w:val="21"/>
          <w:szCs w:val="21"/>
          <w:color w:val="auto"/>
        </w:rPr>
        <w:t>”), at such times and in accordance with rules and procedures (or sub-plan) adopted by the Board (which shall comply with Code Section 409A, as applicable), to receive all or any portion of such Non-Employee Director’s compensation, whether payable in cash or in equity, on a deferred basis.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11.</w:t>
      </w:r>
      <w:r>
        <w:rPr>
          <w:sz w:val="20"/>
          <w:szCs w:val="20"/>
          <w:color w:val="auto"/>
        </w:rPr>
        <w:tab/>
      </w:r>
      <w:r>
        <w:rPr>
          <w:rFonts w:ascii="Arial" w:cs="Arial" w:eastAsia="Arial" w:hAnsi="Arial"/>
          <w:sz w:val="19"/>
          <w:szCs w:val="19"/>
          <w:b w:val="1"/>
          <w:bCs w:val="1"/>
          <w:color w:val="auto"/>
        </w:rPr>
        <w:t>Effective Date</w:t>
      </w:r>
      <w:r>
        <w:rPr>
          <w:rFonts w:ascii="Arial" w:cs="Arial" w:eastAsia="Arial" w:hAnsi="Arial"/>
          <w:sz w:val="19"/>
          <w:szCs w:val="19"/>
          <w:color w:val="auto"/>
        </w:rPr>
        <w:t>.  The Plan shall be effective on the Effective Date.</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Article 12.</w:t>
      </w:r>
      <w:r>
        <w:rPr>
          <w:sz w:val="20"/>
          <w:szCs w:val="20"/>
          <w:color w:val="auto"/>
        </w:rPr>
        <w:tab/>
      </w:r>
      <w:r>
        <w:rPr>
          <w:rFonts w:ascii="Arial" w:cs="Arial" w:eastAsia="Arial" w:hAnsi="Arial"/>
          <w:sz w:val="19"/>
          <w:szCs w:val="19"/>
          <w:b w:val="1"/>
          <w:bCs w:val="1"/>
          <w:color w:val="auto"/>
        </w:rPr>
        <w:t>Miscellaneous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12.1 Modification and Termination</w:t>
      </w:r>
      <w:r>
        <w:rPr>
          <w:rFonts w:ascii="Arial" w:cs="Arial" w:eastAsia="Arial" w:hAnsi="Arial"/>
          <w:sz w:val="19"/>
          <w:szCs w:val="19"/>
          <w:color w:val="auto"/>
        </w:rPr>
        <w:t>. The Board may, at any time, amend or terminate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Awards thereunder subject to applicable law and the rules and regulations of the principal securities exchange on which the Shares are traded. No amendment shall, without proper approval of the Company’s shareholders, increase the maximum number of Shares which are available for Awards under the Plan. No amendment or termination shall materially and adversely affect any rights of any Person with respect to an Award without the consent of such Person. Notwithstanding the foregoing, the Board may (i) amend the Plan in such manner as it deems necessary to cause Awards to meet the requirements of the Code or other applicable laws or (ii) terminate any Deferred Awards and accelerate payment thereunder in a manner consistent with Code Section 409A, in each case without the consent of the Non-Employee Director.</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12.2 Successors</w:t>
      </w:r>
      <w:r>
        <w:rPr>
          <w:rFonts w:ascii="Arial" w:cs="Arial" w:eastAsia="Arial" w:hAnsi="Arial"/>
          <w:sz w:val="22"/>
          <w:szCs w:val="22"/>
          <w:color w:val="auto"/>
        </w:rPr>
        <w:t>. The Plan shall be binding on and inure to the benefit of all successors and assigns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Non-Employee Directors participating therein, including without limitation, the estate of such and the executor, administrator or trustee of such estate, or any receiver or trustee in bankruptcy or representative of the Non-Employee Director’s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2" w:name="page63"/>
    <w:bookmarkEnd w:id="62"/>
    <w:p>
      <w:pPr>
        <w:jc w:val="both"/>
        <w:ind w:firstLine="648"/>
        <w:spacing w:after="0" w:line="280" w:lineRule="auto"/>
        <w:rPr>
          <w:sz w:val="20"/>
          <w:szCs w:val="20"/>
          <w:color w:val="auto"/>
        </w:rPr>
      </w:pPr>
      <w:r>
        <w:rPr>
          <w:rFonts w:ascii="Arial" w:cs="Arial" w:eastAsia="Arial" w:hAnsi="Arial"/>
          <w:sz w:val="19"/>
          <w:szCs w:val="19"/>
          <w:b w:val="1"/>
          <w:bCs w:val="1"/>
          <w:color w:val="auto"/>
        </w:rPr>
        <w:t>12.3 Service</w:t>
      </w:r>
      <w:r>
        <w:rPr>
          <w:rFonts w:ascii="Arial" w:cs="Arial" w:eastAsia="Arial" w:hAnsi="Arial"/>
          <w:sz w:val="19"/>
          <w:szCs w:val="19"/>
          <w:color w:val="auto"/>
        </w:rPr>
        <w:t>. Nothing in this Plan or in any Award Agreement will be construed to limit in any way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right to remove a Non-Employee Director from the Board of Directors and nothing herein shall confer upon any Non-Employee Director the right to remain a Director of the Company. The Company shall not be liable for the loss of existing or potential profit from an Award in the event of a Separation from Service. Except as provided expressly in the Plan, no non-Employee Director shall have any claim to be granted any Award under the Plan, and there is no obligation for uniformity of treatment of Non-Employee Directors under the Plan.</w:t>
      </w:r>
    </w:p>
    <w:p>
      <w:pPr>
        <w:spacing w:after="0" w:line="14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1"/>
          <w:szCs w:val="21"/>
          <w:b w:val="1"/>
          <w:bCs w:val="1"/>
          <w:color w:val="auto"/>
        </w:rPr>
        <w:t>12.4 Substitute Awards</w:t>
      </w:r>
      <w:r>
        <w:rPr>
          <w:rFonts w:ascii="Arial" w:cs="Arial" w:eastAsia="Arial" w:hAnsi="Arial"/>
          <w:sz w:val="21"/>
          <w:szCs w:val="21"/>
          <w:color w:val="auto"/>
        </w:rPr>
        <w:t>. Notwithstanding any other provision of the Plan, the terms of Substitute</w:t>
      </w:r>
      <w:r>
        <w:rPr>
          <w:rFonts w:ascii="Arial" w:cs="Arial" w:eastAsia="Arial" w:hAnsi="Arial"/>
          <w:sz w:val="21"/>
          <w:szCs w:val="21"/>
          <w:b w:val="1"/>
          <w:bCs w:val="1"/>
          <w:color w:val="auto"/>
        </w:rPr>
        <w:t xml:space="preserve"> </w:t>
      </w:r>
      <w:r>
        <w:rPr>
          <w:rFonts w:ascii="Arial" w:cs="Arial" w:eastAsia="Arial" w:hAnsi="Arial"/>
          <w:sz w:val="21"/>
          <w:szCs w:val="21"/>
          <w:color w:val="auto"/>
        </w:rPr>
        <w:t>Awards may vary from the terms set forth in the Plan to the extent the Board deems appropriate to conform, in whole or in part, to the provisions of the awards in substitution for which they are granted.</w:t>
      </w:r>
    </w:p>
    <w:p>
      <w:pPr>
        <w:spacing w:after="0" w:line="16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12.5 Forfeiture Events</w:t>
      </w:r>
      <w:r>
        <w:rPr>
          <w:rFonts w:ascii="Arial" w:cs="Arial" w:eastAsia="Arial" w:hAnsi="Arial"/>
          <w:sz w:val="19"/>
          <w:szCs w:val="19"/>
          <w:color w:val="auto"/>
        </w:rPr>
        <w:t>. The Board may specify in an Award Agreement that a Non-Employee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Separation from Service or violation of material Company and/or Affiliate policies. Awards made under the Plan shall be subject to generally applicable clawback policies of the Company as in effect from time to time.</w:t>
      </w:r>
    </w:p>
    <w:p>
      <w:pPr>
        <w:spacing w:after="0" w:line="14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12.6 Stop Transfer Orders</w:t>
      </w:r>
      <w:r>
        <w:rPr>
          <w:rFonts w:ascii="Arial" w:cs="Arial" w:eastAsia="Arial" w:hAnsi="Arial"/>
          <w:sz w:val="19"/>
          <w:szCs w:val="19"/>
          <w:color w:val="auto"/>
        </w:rPr>
        <w:t>. All certificates for Shares delivered under the Plan pursuant to any Award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such stop-transfer orders and other restrictions as the Board may deem advisable under the rules, regulations and other requirements of the Securities and Exchange Commission, any stock exchange upon which the Shares are then traded, and any applicable federal or state securities law, and the Board may cause a legend or legends to be put on any such certificates to make appropriate reference to such restrictions.</w:t>
      </w:r>
    </w:p>
    <w:p>
      <w:pPr>
        <w:spacing w:after="0" w:line="1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12.7 Severability</w:t>
      </w:r>
      <w:r>
        <w:rPr>
          <w:rFonts w:ascii="Arial" w:cs="Arial" w:eastAsia="Arial" w:hAnsi="Arial"/>
          <w:sz w:val="21"/>
          <w:szCs w:val="21"/>
          <w:color w:val="auto"/>
        </w:rPr>
        <w:t>. If any provision of the Plan shall be held unlawful or otherwise invalid or</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in whole or in part by a court of competent jurisdiction or by reason of a change in law or regulation, such provision shall (i) be deemed limited to the extent that such court of competent jurisdiction deems it lawful, valid and/or enforceable and as so limited shall remain in full force and effect, and (ii) not affect any other provision of the Plan or part thereof, each of which shall remain in full force and effect. If the making of any payment or the provision of any other benefit required under the Plan shall be held unlawful or otherwise invalid or unenforceable by a court of competent jurisdiction,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12.8 Requirements of Law</w:t>
      </w:r>
      <w:r>
        <w:rPr>
          <w:rFonts w:ascii="Arial" w:cs="Arial" w:eastAsia="Arial" w:hAnsi="Arial"/>
          <w:sz w:val="22"/>
          <w:szCs w:val="22"/>
          <w:color w:val="auto"/>
        </w:rPr>
        <w:t>. The granting of Awards and the delivery of Shares under the Plan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all applicable laws, rules and regulations, and to such approvals by any governmental agencies or national securities exchanges or markets as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3" w:name="page64"/>
    <w:bookmarkEnd w:id="63"/>
    <w:p>
      <w:pPr>
        <w:jc w:val="both"/>
        <w:spacing w:after="0" w:line="236" w:lineRule="auto"/>
        <w:rPr>
          <w:sz w:val="20"/>
          <w:szCs w:val="20"/>
          <w:color w:val="auto"/>
        </w:rPr>
      </w:pPr>
      <w:r>
        <w:rPr>
          <w:rFonts w:ascii="Arial" w:cs="Arial" w:eastAsia="Arial" w:hAnsi="Arial"/>
          <w:sz w:val="22"/>
          <w:szCs w:val="22"/>
          <w:color w:val="auto"/>
        </w:rPr>
        <w:t>Notwithstanding any provision of the Plan or any Award Agreement, Non-Employee Directors shall not be entitled to exercise, or receive benefits under, any Award, and the Company (or any Affiliate) shall not be obligated to deliver any Shares or deliver benefits to a Non-Employee Director, if such exercise or delivery would constitute a violation by the Non-Employee Director, the Company or any Affiliate of any applicable law or regulation.</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12.9 Withholding</w:t>
      </w:r>
      <w:r>
        <w:rPr>
          <w:rFonts w:ascii="Arial" w:cs="Arial" w:eastAsia="Arial" w:hAnsi="Arial"/>
          <w:sz w:val="22"/>
          <w:szCs w:val="22"/>
          <w:color w:val="auto"/>
        </w:rPr>
        <w:t>. Awards or amounts payable or deliverable in respect of Awards may be withheld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only to the extent required under applicable law.</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12.10 Section 409A Compliance</w:t>
      </w:r>
      <w:r>
        <w:rPr>
          <w:rFonts w:ascii="Arial" w:cs="Arial" w:eastAsia="Arial" w:hAnsi="Arial"/>
          <w:sz w:val="19"/>
          <w:szCs w:val="19"/>
          <w:color w:val="auto"/>
        </w:rPr>
        <w:t>. To the extent applicable and notwithstanding any other provision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Plan, Awards, and Award Agreements hereunder shall be administered, operated and interpreted in accordance with Code Section 409A, including any regulations or other guidance that may be issued after the date on which the Board approves the Plan; provided, however, that, in the event that the Board determines that any amounts payable hereunder may be taxable to a Non-Employee Director under Code Section 409A prior to the payment and/or delivery to such Non-Employee Director of such amount, the Board may (i) adopt such amendments to the Plan and related Award, and appropriate policies and procedures, including amendments and policies with retroactive effect, that the Board determines necessary or appropriate to preserve the intended tax treatment of the benefits provided by the Plan and Awards hereunder, and/or (ii) take such other actions as the Board determines necessary or appropriate to comply with or exempt the Plan and/or Awards from the requirements of Code Section 409A. The Company and its Affiliates and the Board make no guarantees to any Person regarding the tax treatment of Awards or payments made or to be made under the Plan and shall have no liability with regard to any adverse tax consequences arising from any Awards or payments made or to be made under the Plan, including the failure of any Award to comply with or be exempt from Code Section 409A. Each Award and each payment under any Award shall be a separate payment for purposes of Code Section 409A.</w:t>
      </w:r>
    </w:p>
    <w:p>
      <w:pPr>
        <w:spacing w:after="0" w:line="16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12.11 Unfunded Status of the Plan</w:t>
      </w:r>
      <w:r>
        <w:rPr>
          <w:rFonts w:ascii="Arial" w:cs="Arial" w:eastAsia="Arial" w:hAnsi="Arial"/>
          <w:sz w:val="22"/>
          <w:szCs w:val="22"/>
          <w:color w:val="auto"/>
        </w:rPr>
        <w:t>. The Plan is intended to constitute an “unfunded” plan.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any payments or benefits not yet made to a Non-Employee Director by the Company, nothing contained herein will give any rights to a Non-Employee Director that are greater than those of a general unsecured creditor of the Company.</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12.12 Governing Law</w:t>
      </w:r>
      <w:r>
        <w:rPr>
          <w:rFonts w:ascii="Arial" w:cs="Arial" w:eastAsia="Arial" w:hAnsi="Arial"/>
          <w:sz w:val="22"/>
          <w:szCs w:val="22"/>
          <w:color w:val="auto"/>
        </w:rPr>
        <w:t>. The Plan and all determinations made and actions taken thereunder,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not otherwise governed by the Code or the laws of the United States, shall be governed by the laws of the State of Delaware, without reference to principles of conflict of laws, and construed accordingly. The Plan and Awards thereunder are not governed by or subject to the Federal law known as ERISA (the Employee Retirement Income Security Act of 1974, as amended).</w:t>
      </w:r>
    </w:p>
    <w:p>
      <w:pPr>
        <w:spacing w:after="0" w:line="18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12.13 Nontransferability</w:t>
      </w:r>
      <w:r>
        <w:rPr>
          <w:rFonts w:ascii="Arial" w:cs="Arial" w:eastAsia="Arial" w:hAnsi="Arial"/>
          <w:sz w:val="22"/>
          <w:szCs w:val="22"/>
          <w:color w:val="auto"/>
        </w:rPr>
        <w:t>. Except as provided below, no Award and no Shares subject to Awards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not been issued or as to which any applicable restriction, performance or deferral period has not lapsed, may be sold, assigned, transferred, pledged or otherwise encumbered, other than by will or the laws of descent and distribution or as otherwise required by law, and such Award may be exercised during the life of the Non-Employee Director only by the Non-Employee Director or the Non-Employee Director’s guardian or legal representative. To the extent and under such terms and conditions as determined by the Board, a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may assign or transfer an Award without consideration (each transferee thereof, a “</w:t>
      </w:r>
      <w:r>
        <w:rPr>
          <w:rFonts w:ascii="Arial" w:cs="Arial" w:eastAsia="Arial" w:hAnsi="Arial"/>
          <w:sz w:val="19"/>
          <w:szCs w:val="19"/>
          <w:b w:val="1"/>
          <w:bCs w:val="1"/>
          <w:color w:val="auto"/>
        </w:rPr>
        <w:t>Permitted Assignee</w:t>
      </w:r>
      <w:r>
        <w:rPr>
          <w:rFonts w:ascii="Arial" w:cs="Arial" w:eastAsia="Arial" w:hAnsi="Arial"/>
          <w:sz w:val="19"/>
          <w:szCs w:val="19"/>
          <w:color w:val="auto"/>
        </w:rPr>
        <w:t>”) to</w:t>
      </w:r>
    </w:p>
    <w:p>
      <w:pPr>
        <w:spacing w:after="0" w:line="49" w:lineRule="exact"/>
        <w:rPr>
          <w:sz w:val="20"/>
          <w:szCs w:val="20"/>
          <w:color w:val="auto"/>
        </w:rPr>
      </w:pPr>
    </w:p>
    <w:p>
      <w:pPr>
        <w:jc w:val="both"/>
        <w:ind w:firstLine="8"/>
        <w:spacing w:after="0" w:line="243" w:lineRule="auto"/>
        <w:tabs>
          <w:tab w:leader="none" w:pos="281"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Non-Employee Director’s spouse, children or grandchildren (including any adopted and step children or grandchildren), parents, grandparents or siblings, (ii) to a trust in which a majority of the beneficiaries are the Non-Employee Director or the persons referred to in clause (i), (iii) to a partnership, limited liability company or corporation in which the Director or the Persons referred to in clause (i) are a majority of the partners, members or shareholders, or (iv) for charitable donations;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Non-Employee Director shall remain bound by the terms and conditions of the Plan. The Company shall cooperate with any Permitted Assignee and the Company’s transfer agent in effectuating any transfer permitted under this Section.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12.14 No Fractional Shares</w:t>
      </w:r>
      <w:r>
        <w:rPr>
          <w:rFonts w:ascii="Arial" w:cs="Arial" w:eastAsia="Arial" w:hAnsi="Arial"/>
          <w:sz w:val="22"/>
          <w:szCs w:val="22"/>
          <w:color w:val="auto"/>
        </w:rPr>
        <w:t>. Except as otherwise determined by the Board, no fractional Shares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issued or delivered pursuant to the Plan or any Award, and the Board may pay cash in lieu of any fractional Shares or round down to the nearest whole Share.</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12.15 Plan Document Controls</w:t>
      </w:r>
      <w:r>
        <w:rPr>
          <w:rFonts w:ascii="Arial" w:cs="Arial" w:eastAsia="Arial" w:hAnsi="Arial"/>
          <w:sz w:val="19"/>
          <w:szCs w:val="19"/>
          <w:color w:val="auto"/>
        </w:rPr>
        <w:t>. This Plan and each Award Agreement constitute the 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subject matter hereof and thereof; provided, however, that in the event of any inconsistency between the Plan and such Award Agreement, the terms and conditions of the Plan shall control.</w:t>
      </w:r>
    </w:p>
    <w:p>
      <w:pPr>
        <w:spacing w:after="0" w:line="12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12.16 No Registration Rights; No Right to Settle in Cash</w:t>
      </w:r>
      <w:r>
        <w:rPr>
          <w:rFonts w:ascii="Arial" w:cs="Arial" w:eastAsia="Arial" w:hAnsi="Arial"/>
          <w:sz w:val="19"/>
          <w:szCs w:val="19"/>
          <w:color w:val="auto"/>
        </w:rPr>
        <w:t>. The Company has no obligation to register</w:t>
      </w:r>
      <w:r>
        <w:rPr>
          <w:rFonts w:ascii="Arial" w:cs="Arial" w:eastAsia="Arial" w:hAnsi="Arial"/>
          <w:sz w:val="19"/>
          <w:szCs w:val="19"/>
          <w:b w:val="1"/>
          <w:bCs w:val="1"/>
          <w:color w:val="auto"/>
        </w:rPr>
        <w:t xml:space="preserve"> </w:t>
      </w:r>
      <w:r>
        <w:rPr>
          <w:rFonts w:ascii="Arial" w:cs="Arial" w:eastAsia="Arial" w:hAnsi="Arial"/>
          <w:sz w:val="19"/>
          <w:szCs w:val="19"/>
          <w:color w:val="auto"/>
        </w:rPr>
        <w:t>with any governmental body or organization any of (i) the offer or issuance of any Award, (ii) any Shares issuable upon the exercise of any Award, or (iii) the sale of any Shares issued upon exercise of any Award, regardless of whether the Company in fact undertakes to register any of the foregoing. In particular, in the event that any of (a) any offer or issuance of any Award, (b) any Shares issuable upon exercise of any Award, or (c) the sale of any Shares issued upon exercise of any Award are not registered with any governmental body or organization, the Company will not under any circumstance be required to settle its obligations, if any, under this Plan in cash.</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12.17 Construction</w:t>
      </w:r>
      <w:r>
        <w:rPr>
          <w:rFonts w:ascii="Arial" w:cs="Arial" w:eastAsia="Arial" w:hAnsi="Arial"/>
          <w:sz w:val="22"/>
          <w:szCs w:val="22"/>
          <w:color w:val="auto"/>
        </w:rPr>
        <w:t>. As used in the Plan, the words “include” and “including,” and variations thereof,</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deemed to be terms of limitation, but rather shall be deemed to be followed by the words “without limitation.”</w:t>
      </w:r>
    </w:p>
    <w:p>
      <w:pPr>
        <w:spacing w:after="0" w:line="17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12.18 Gender and Number</w:t>
      </w:r>
      <w:r>
        <w:rPr>
          <w:rFonts w:ascii="Arial" w:cs="Arial" w:eastAsia="Arial" w:hAnsi="Arial"/>
          <w:sz w:val="19"/>
          <w:szCs w:val="19"/>
          <w:color w:val="auto"/>
        </w:rPr>
        <w:t>. Except where otherwise indicated by the context, any masculine term used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will also include the feminine, the plural will include the singular, and the singular will include the plural.</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12.19 Captions</w:t>
      </w:r>
      <w:r>
        <w:rPr>
          <w:rFonts w:ascii="Arial" w:cs="Arial" w:eastAsia="Arial" w:hAnsi="Arial"/>
          <w:sz w:val="22"/>
          <w:szCs w:val="22"/>
          <w:color w:val="auto"/>
        </w:rPr>
        <w:t>. The captions in the Plan are for convenience of reference only, and are not intended to</w:t>
      </w:r>
      <w:r>
        <w:rPr>
          <w:rFonts w:ascii="Arial" w:cs="Arial" w:eastAsia="Arial" w:hAnsi="Arial"/>
          <w:sz w:val="22"/>
          <w:szCs w:val="22"/>
          <w:b w:val="1"/>
          <w:bCs w:val="1"/>
          <w:color w:val="auto"/>
        </w:rPr>
        <w:t xml:space="preserve"> </w:t>
      </w:r>
      <w:r>
        <w:rPr>
          <w:rFonts w:ascii="Arial" w:cs="Arial" w:eastAsia="Arial" w:hAnsi="Arial"/>
          <w:sz w:val="22"/>
          <w:szCs w:val="22"/>
          <w:color w:val="auto"/>
        </w:rPr>
        <w:t>narrow, limit or affect the substance or interpretation of the provisions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5" w:name="page66"/>
    <w:bookmarkEnd w:id="65"/>
    <w:p>
      <w:pPr>
        <w:ind w:left="440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SHARE OWNERSHIP GUIDELINES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Non-Employee Directors of the Company must:</w:t>
      </w:r>
    </w:p>
    <w:p>
      <w:pPr>
        <w:spacing w:after="0" w:line="206" w:lineRule="exact"/>
        <w:rPr>
          <w:sz w:val="20"/>
          <w:szCs w:val="20"/>
          <w:color w:val="auto"/>
        </w:rPr>
      </w:pPr>
    </w:p>
    <w:p>
      <w:pPr>
        <w:jc w:val="both"/>
        <w:ind w:left="660" w:hanging="328"/>
        <w:spacing w:after="0" w:line="236"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Hold Shares having a total value of five (5)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Shares will be deemed held if deferred Shares or deferred RSUs, to the extent vested.</w:t>
      </w:r>
    </w:p>
    <w:p>
      <w:pPr>
        <w:spacing w:after="0" w:line="187" w:lineRule="exact"/>
        <w:rPr>
          <w:rFonts w:ascii="Arial" w:cs="Arial" w:eastAsia="Arial" w:hAnsi="Arial"/>
          <w:sz w:val="22"/>
          <w:szCs w:val="22"/>
          <w:color w:val="auto"/>
        </w:rPr>
      </w:pPr>
    </w:p>
    <w:p>
      <w:pPr>
        <w:ind w:left="660" w:right="20" w:hanging="328"/>
        <w:spacing w:after="0" w:line="250"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minimum stock ownership level must be achieved by each Non-Employee Director by the fifth (5</w:t>
      </w:r>
      <w:r>
        <w:rPr>
          <w:rFonts w:ascii="Arial" w:cs="Arial" w:eastAsia="Arial" w:hAnsi="Arial"/>
          <w:sz w:val="16"/>
          <w:szCs w:val="16"/>
          <w:color w:val="auto"/>
        </w:rPr>
        <w:t>th</w:t>
      </w:r>
      <w:r>
        <w:rPr>
          <w:rFonts w:ascii="Arial" w:cs="Arial" w:eastAsia="Arial" w:hAnsi="Arial"/>
          <w:sz w:val="22"/>
          <w:szCs w:val="22"/>
          <w:color w:val="auto"/>
        </w:rPr>
        <w:t>) anniversary of such Director’s initial appointment to the Board.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Once achieved, ownership of the guideline amount should be maintained for so long as the Non-Employee Director retains his or her seat on the Board.</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There may be rare instances where these guidelines would place a hardship on a Non-Employee Director.</w:t>
      </w:r>
    </w:p>
    <w:p>
      <w:pPr>
        <w:spacing w:after="0" w:line="43" w:lineRule="exact"/>
        <w:rPr>
          <w:sz w:val="20"/>
          <w:szCs w:val="20"/>
          <w:color w:val="auto"/>
        </w:rPr>
      </w:pPr>
    </w:p>
    <w:p>
      <w:pPr>
        <w:jc w:val="both"/>
        <w:ind w:left="660" w:firstLine="81"/>
        <w:spacing w:after="0" w:line="234" w:lineRule="auto"/>
        <w:rPr>
          <w:sz w:val="20"/>
          <w:szCs w:val="20"/>
          <w:color w:val="auto"/>
        </w:rPr>
      </w:pPr>
      <w:r>
        <w:rPr>
          <w:rFonts w:ascii="Arial" w:cs="Arial" w:eastAsia="Arial" w:hAnsi="Arial"/>
          <w:sz w:val="22"/>
          <w:szCs w:val="22"/>
          <w:color w:val="auto"/>
        </w:rPr>
        <w:t>In these cases or in similar circumstances, the Board will make the final decision as to developing an alternative stock ownership guideline for a Non-Employee Director that reflects the intention of these guidelines and his or her personal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1000" w:right="1580"/>
        <w:spacing w:after="0" w:line="263"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1620" w:right="20" w:hanging="316"/>
        <w:spacing w:after="0" w:line="263"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1000" w:right="1580"/>
        <w:spacing w:after="0" w:line="263"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1620" w:right="20" w:hanging="316"/>
        <w:spacing w:after="0" w:line="263"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Chairman of the Board of Directors and</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31.3</w:t>
      </w:r>
    </w:p>
    <w:p>
      <w:pPr>
        <w:spacing w:after="0" w:line="229" w:lineRule="exact"/>
        <w:rPr>
          <w:sz w:val="20"/>
          <w:szCs w:val="20"/>
          <w:color w:val="auto"/>
        </w:rPr>
      </w:pPr>
    </w:p>
    <w:p>
      <w:pPr>
        <w:jc w:val="center"/>
        <w:ind w:left="1000" w:right="1580"/>
        <w:spacing w:after="0" w:line="263"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Kelly,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1620" w:right="20" w:hanging="316"/>
        <w:spacing w:after="0" w:line="263"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620" w:hanging="316"/>
        <w:spacing w:after="0" w:line="277" w:lineRule="auto"/>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Kelly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Thomas J. Kelly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March 31, 2022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and Co-Chief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March 31, 2022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Vice Chairman of the Board of Directors and</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March 31, 2022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May 6,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Kelly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Thomas J. Kelly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7"/>
    </w:lvl>
  </w:abstractNum>
  <w:abstractNum w:abstractNumId="11">
    <w:nsid w:val="79838CB2"/>
    <w:multiLevelType w:val="hybridMultilevel"/>
    <w:lvl w:ilvl="0">
      <w:lvlJc w:val="left"/>
      <w:lvlText w:val="%1."/>
      <w:numFmt w:val="decimal"/>
      <w:start w:val="8"/>
    </w:lvl>
  </w:abstractNum>
  <w:abstractNum w:abstractNumId="12">
    <w:nsid w:val="4353D0CD"/>
    <w:multiLevelType w:val="hybridMultilevel"/>
    <w:lvl w:ilvl="0">
      <w:lvlJc w:val="left"/>
      <w:lvlText w:val="%1."/>
      <w:numFmt w:val="decimal"/>
      <w:start w:val="10"/>
    </w:lvl>
  </w:abstractNum>
  <w:abstractNum w:abstractNumId="13">
    <w:nsid w:val="B03E0C6"/>
    <w:multiLevelType w:val="hybridMultilevel"/>
    <w:lvl w:ilvl="0">
      <w:lvlJc w:val="left"/>
      <w:lvlText w:val="%1."/>
      <w:numFmt w:val="decimal"/>
      <w:start w:val="12"/>
    </w:lvl>
  </w:abstractNum>
  <w:abstractNum w:abstractNumId="14">
    <w:nsid w:val="189A769B"/>
    <w:multiLevelType w:val="hybridMultilevel"/>
    <w:lvl w:ilvl="0">
      <w:lvlJc w:val="left"/>
      <w:lvlText w:val="%1."/>
      <w:numFmt w:val="decimal"/>
      <w:start w:val="13"/>
    </w:lvl>
  </w:abstractNum>
  <w:abstractNum w:abstractNumId="15">
    <w:nsid w:val="54E49EB4"/>
    <w:multiLevelType w:val="hybridMultilevel"/>
    <w:lvl w:ilvl="0">
      <w:lvlJc w:val="left"/>
      <w:lvlText w:val="%1."/>
      <w:numFmt w:val="decimal"/>
      <w:start w:val="15"/>
    </w:lvl>
  </w:abstractNum>
  <w:abstractNum w:abstractNumId="16">
    <w:nsid w:val="71F32454"/>
    <w:multiLevelType w:val="hybridMultilevel"/>
    <w:lvl w:ilvl="0">
      <w:lvlJc w:val="left"/>
      <w:lvlText w:val="%1."/>
      <w:numFmt w:val="decimal"/>
      <w:start w:val="16"/>
    </w:lvl>
  </w:abstractNum>
  <w:abstractNum w:abstractNumId="17">
    <w:nsid w:val="2CA88611"/>
    <w:multiLevelType w:val="hybridMultilevel"/>
    <w:lvl w:ilvl="0">
      <w:lvlJc w:val="left"/>
      <w:lvlText w:val="%1."/>
      <w:numFmt w:val="decimal"/>
      <w:start w:val="17"/>
    </w:lvl>
  </w:abstractNum>
  <w:abstractNum w:abstractNumId="18">
    <w:nsid w:val="836C40E"/>
    <w:multiLevelType w:val="hybridMultilevel"/>
    <w:lvl w:ilvl="0">
      <w:lvlJc w:val="left"/>
      <w:lvlText w:val="%1."/>
      <w:numFmt w:val="decimal"/>
      <w:start w:val="18"/>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9"/>
    </w:lvl>
  </w:abstractNum>
  <w:abstractNum w:abstractNumId="21">
    <w:nsid w:val="8138641"/>
    <w:multiLevelType w:val="hybridMultilevel"/>
    <w:lvl w:ilvl="0">
      <w:lvlJc w:val="left"/>
      <w:lvlText w:val="%1."/>
      <w:numFmt w:val="decimal"/>
      <w:start w:val="20"/>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lowerRoman"/>
      <w:start w:val="3"/>
    </w:lvl>
  </w:abstractNum>
  <w:abstractNum w:abstractNumId="29">
    <w:nsid w:val="614FD4A1"/>
    <w:multiLevelType w:val="hybridMultilevel"/>
    <w:lvl w:ilvl="0">
      <w:lvlJc w:val="left"/>
      <w:lvlText w:val="(%1)"/>
      <w:numFmt w:val="lowerRoman"/>
      <w:start w:val="2"/>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lvl w:ilvl="1">
      <w:lvlJc w:val="left"/>
      <w:lvlText w:val="%2."/>
      <w:numFmt w:val="lowerLetter"/>
      <w:start w:val="1"/>
    </w:lvl>
  </w:abstractNum>
  <w:abstractNum w:abstractNumId="33">
    <w:nsid w:val="5072367"/>
    <w:multiLevelType w:val="hybridMultilevel"/>
    <w:lvl w:ilvl="0">
      <w:lvlJc w:val="left"/>
      <w:lvlText w:val="%1."/>
      <w:numFmt w:val="decimal"/>
      <w:start w:val="1"/>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2022-05-07T08:28:02Z</dcterms:created>
  <dcterms:modified xsi:type="dcterms:W3CDTF">2022-05-07T08:28:02Z</dcterms:modified>
</cp:coreProperties>
</file>