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March 31, 2016</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p>
      <w:pPr>
        <w:ind w:left="2940"/>
        <w:spacing w:after="0"/>
        <w:tabs>
          <w:tab w:leader="none" w:pos="6600" w:val="left"/>
        </w:tabs>
        <w:rPr>
          <w:sz w:val="20"/>
          <w:szCs w:val="20"/>
          <w:color w:val="auto"/>
        </w:rPr>
      </w:pPr>
      <w:r>
        <w:rPr>
          <w:rFonts w:ascii="Arial" w:cs="Arial" w:eastAsia="Arial" w:hAnsi="Arial"/>
          <w:sz w:val="20"/>
          <w:szCs w:val="20"/>
          <w:color w:val="auto"/>
        </w:rPr>
        <w:t>Delaware</w:t>
      </w:r>
      <w:r>
        <w:rPr>
          <w:sz w:val="20"/>
          <w:szCs w:val="20"/>
          <w:color w:val="auto"/>
        </w:rPr>
        <w:tab/>
      </w:r>
      <w:r>
        <w:rPr>
          <w:rFonts w:ascii="Arial" w:cs="Arial" w:eastAsia="Arial" w:hAnsi="Arial"/>
          <w:sz w:val="20"/>
          <w:szCs w:val="20"/>
          <w:color w:val="auto"/>
        </w:rPr>
        <w:t>47-1809393</w:t>
      </w:r>
    </w:p>
    <w:p>
      <w:pPr>
        <w:ind w:left="2940"/>
        <w:spacing w:after="0"/>
        <w:tabs>
          <w:tab w:leader="none" w:pos="66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2940"/>
        <w:spacing w:after="0"/>
        <w:tabs>
          <w:tab w:leader="none" w:pos="660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6440" w:type="dxa"/>
            <w:vAlign w:val="bottom"/>
          </w:tcPr>
          <w:p>
            <w:pPr>
              <w:spacing w:after="0"/>
              <w:rPr>
                <w:sz w:val="20"/>
                <w:szCs w:val="20"/>
                <w:color w:val="auto"/>
              </w:rPr>
            </w:pPr>
            <w:r>
              <w:rPr>
                <w:rFonts w:ascii="Arial" w:cs="Arial" w:eastAsia="Arial" w:hAnsi="Arial"/>
                <w:sz w:val="20"/>
                <w:szCs w:val="20"/>
                <w:color w:val="auto"/>
              </w:rPr>
              <w:t>Large Accelerated Filer x</w:t>
            </w:r>
          </w:p>
        </w:tc>
        <w:tc>
          <w:tcPr>
            <w:tcW w:w="3340" w:type="dxa"/>
            <w:vAlign w:val="bottom"/>
          </w:tcPr>
          <w:p>
            <w:pPr>
              <w:ind w:left="960"/>
              <w:spacing w:after="0" w:line="230" w:lineRule="exact"/>
              <w:rPr>
                <w:sz w:val="20"/>
                <w:szCs w:val="20"/>
                <w:color w:val="auto"/>
              </w:rPr>
            </w:pPr>
            <w:r>
              <w:rPr>
                <w:rFonts w:ascii="Arial" w:cs="Arial" w:eastAsia="Arial" w:hAnsi="Arial"/>
                <w:sz w:val="20"/>
                <w:szCs w:val="20"/>
                <w:color w:val="auto"/>
              </w:rPr>
              <w:t xml:space="preserve">Accelerated filer </w:t>
            </w:r>
            <w:r>
              <w:rPr>
                <w:rFonts w:ascii="MS PGothic" w:cs="MS PGothic" w:eastAsia="MS PGothic" w:hAnsi="MS PGothic"/>
                <w:sz w:val="20"/>
                <w:szCs w:val="20"/>
                <w:color w:val="auto"/>
              </w:rPr>
              <w:t>☐</w:t>
            </w:r>
          </w:p>
        </w:tc>
      </w:tr>
      <w:tr>
        <w:trPr>
          <w:trHeight w:val="338"/>
        </w:trPr>
        <w:tc>
          <w:tcPr>
            <w:tcW w:w="6440" w:type="dxa"/>
            <w:vAlign w:val="bottom"/>
          </w:tcPr>
          <w:p>
            <w:pPr>
              <w:spacing w:after="0" w:line="230" w:lineRule="exact"/>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rPr>
              <w:t>☐</w:t>
            </w:r>
            <w:r>
              <w:rPr>
                <w:rFonts w:ascii="Arial" w:cs="Arial" w:eastAsia="Arial" w:hAnsi="Arial"/>
                <w:sz w:val="20"/>
                <w:szCs w:val="20"/>
                <w:color w:val="auto"/>
              </w:rPr>
              <w:t xml:space="preserve"> (Do not check if smaller reporting company)</w:t>
            </w:r>
          </w:p>
        </w:tc>
        <w:tc>
          <w:tcPr>
            <w:tcW w:w="3340" w:type="dxa"/>
            <w:vAlign w:val="bottom"/>
          </w:tcPr>
          <w:p>
            <w:pPr>
              <w:ind w:left="960"/>
              <w:spacing w:after="0" w:line="230" w:lineRule="exact"/>
              <w:rPr>
                <w:sz w:val="20"/>
                <w:szCs w:val="20"/>
                <w:color w:val="auto"/>
              </w:rPr>
            </w:pPr>
            <w:r>
              <w:rPr>
                <w:rFonts w:ascii="Arial" w:cs="Arial" w:eastAsia="Arial" w:hAnsi="Arial"/>
                <w:sz w:val="20"/>
                <w:szCs w:val="20"/>
                <w:color w:val="auto"/>
                <w:w w:val="89"/>
              </w:rPr>
              <w:t xml:space="preserve">Smaller reporting company </w:t>
            </w:r>
            <w:r>
              <w:rPr>
                <w:rFonts w:ascii="MS PGothic" w:cs="MS PGothic" w:eastAsia="MS PGothic" w:hAnsi="MS PGothic"/>
                <w:sz w:val="20"/>
                <w:szCs w:val="20"/>
                <w:color w:val="auto"/>
                <w:w w:val="89"/>
              </w:rPr>
              <w:t>☐</w:t>
            </w:r>
          </w:p>
        </w:tc>
      </w:tr>
    </w:tbl>
    <w:p>
      <w:pPr>
        <w:spacing w:after="0" w:line="187"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203,042,661 shares of common stock, par value $0.005 per share, outstanding as of April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MARCH 31, 2016</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INDEX</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00" w:type="dxa"/>
            <w:vAlign w:val="bottom"/>
            <w:gridSpan w:val="3"/>
          </w:tcPr>
          <w:p>
            <w:pPr>
              <w:spacing w:after="0"/>
              <w:rPr>
                <w:sz w:val="19"/>
                <w:szCs w:val="19"/>
                <w:color w:val="auto"/>
              </w:rPr>
            </w:pPr>
          </w:p>
        </w:tc>
        <w:tc>
          <w:tcPr>
            <w:tcW w:w="2640" w:type="dxa"/>
            <w:vAlign w:val="bottom"/>
            <w:gridSpan w:val="9"/>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80" w:type="dxa"/>
            <w:vAlign w:val="bottom"/>
            <w:gridSpan w:val="9"/>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420" w:type="dxa"/>
            <w:vAlign w:val="bottom"/>
            <w:gridSpan w:val="18"/>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Balance Sheets as of March 31, 2016 and December 31, 2015</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60" w:type="dxa"/>
            <w:vAlign w:val="bottom"/>
            <w:tcBorders>
              <w:bottom w:val="single" w:sz="8" w:color="0000EE"/>
            </w:tcBorders>
            <w:gridSpan w:val="15"/>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Condensed Consolidated Statements of Income for the Three-Months Ended March 31, 2016 and 2015</w:t>
              </w:r>
            </w:hyperlink>
          </w:p>
        </w:tc>
        <w:tc>
          <w:tcPr>
            <w:tcW w:w="126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Condensed Consolidated Statements of Comprehensive Income for the Three-Months Ended March 31, 2016 and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2015</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20"/>
                <w:szCs w:val="20"/>
                <w:color w:val="0000EE"/>
                <w:w w:val="98"/>
              </w:rPr>
            </w:pPr>
            <w:hyperlink w:anchor="page4">
              <w:r>
                <w:rPr>
                  <w:rFonts w:ascii="Arial" w:cs="Arial" w:eastAsia="Arial" w:hAnsi="Arial"/>
                  <w:sz w:val="20"/>
                  <w:szCs w:val="20"/>
                  <w:color w:val="0000EE"/>
                  <w:w w:val="98"/>
                </w:rPr>
                <w:t>Condensed Consolidated Statements of Cash Flows for the Three-Months Ended March 31, 2016 and 2015</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0"/>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4080" w:type="dxa"/>
            <w:vAlign w:val="bottom"/>
            <w:tcBorders>
              <w:top w:val="single" w:sz="8" w:color="0000EE"/>
            </w:tcBorders>
            <w:gridSpan w:val="6"/>
          </w:tcPr>
          <w:p>
            <w:pPr>
              <w:spacing w:after="0"/>
              <w:rPr>
                <w:sz w:val="24"/>
                <w:szCs w:val="24"/>
                <w:color w:val="auto"/>
              </w:rPr>
            </w:pPr>
          </w:p>
        </w:tc>
        <w:tc>
          <w:tcPr>
            <w:tcW w:w="94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26"/>
        </w:trPr>
        <w:tc>
          <w:tcPr>
            <w:tcW w:w="640" w:type="dxa"/>
            <w:vAlign w:val="bottom"/>
            <w:gridSpan w:val="2"/>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Item 2.</w:t>
              </w:r>
            </w:hyperlink>
          </w:p>
        </w:tc>
        <w:tc>
          <w:tcPr>
            <w:tcW w:w="620" w:type="dxa"/>
            <w:vAlign w:val="bottom"/>
            <w:gridSpan w:val="2"/>
          </w:tcPr>
          <w:p>
            <w:pPr>
              <w:spacing w:after="0"/>
              <w:rPr>
                <w:sz w:val="24"/>
                <w:szCs w:val="24"/>
                <w:color w:val="auto"/>
              </w:rPr>
            </w:pPr>
          </w:p>
        </w:tc>
        <w:tc>
          <w:tcPr>
            <w:tcW w:w="9420" w:type="dxa"/>
            <w:vAlign w:val="bottom"/>
            <w:gridSpan w:val="18"/>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28</w:t>
            </w:r>
          </w:p>
        </w:tc>
      </w:tr>
      <w:tr>
        <w:trPr>
          <w:trHeight w:val="426"/>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3.</w:t>
              </w:r>
            </w:hyperlink>
          </w:p>
        </w:tc>
        <w:tc>
          <w:tcPr>
            <w:tcW w:w="620" w:type="dxa"/>
            <w:vAlign w:val="bottom"/>
            <w:gridSpan w:val="2"/>
          </w:tcPr>
          <w:p>
            <w:pPr>
              <w:spacing w:after="0"/>
              <w:rPr>
                <w:sz w:val="24"/>
                <w:szCs w:val="24"/>
                <w:color w:val="auto"/>
              </w:rPr>
            </w:pPr>
          </w:p>
        </w:tc>
        <w:tc>
          <w:tcPr>
            <w:tcW w:w="7100" w:type="dxa"/>
            <w:vAlign w:val="bottom"/>
            <w:tcBorders>
              <w:top w:val="single" w:sz="8" w:color="0000EE"/>
            </w:tcBorders>
            <w:gridSpan w:val="1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Quantitative and Qualitative Disclosures About Market Risk</w:t>
              </w:r>
            </w:hyperlink>
          </w:p>
        </w:tc>
        <w:tc>
          <w:tcPr>
            <w:tcW w:w="232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43</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4"/>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4.</w:t>
              </w:r>
            </w:hyperlink>
          </w:p>
        </w:tc>
        <w:tc>
          <w:tcPr>
            <w:tcW w:w="9420" w:type="dxa"/>
            <w:vAlign w:val="bottom"/>
            <w:gridSpan w:val="18"/>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43</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gridSpan w:val="2"/>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Part II.</w:t>
              </w:r>
            </w:hyperlink>
          </w:p>
        </w:tc>
        <w:tc>
          <w:tcPr>
            <w:tcW w:w="620" w:type="dxa"/>
            <w:vAlign w:val="bottom"/>
            <w:gridSpan w:val="2"/>
          </w:tcPr>
          <w:p>
            <w:pPr>
              <w:spacing w:after="0"/>
              <w:rPr>
                <w:sz w:val="24"/>
                <w:szCs w:val="24"/>
                <w:color w:val="auto"/>
              </w:rPr>
            </w:pPr>
          </w:p>
        </w:tc>
        <w:tc>
          <w:tcPr>
            <w:tcW w:w="9420" w:type="dxa"/>
            <w:vAlign w:val="bottom"/>
            <w:gridSpan w:val="18"/>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1.</w:t>
              </w:r>
            </w:hyperlink>
          </w:p>
        </w:tc>
        <w:tc>
          <w:tcPr>
            <w:tcW w:w="62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Legal Proceedings</w:t>
              </w:r>
            </w:hyperlink>
          </w:p>
        </w:tc>
        <w:tc>
          <w:tcPr>
            <w:tcW w:w="7200" w:type="dxa"/>
            <w:vAlign w:val="bottom"/>
            <w:gridSpan w:val="1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43</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720" w:type="dxa"/>
            <w:vAlign w:val="bottom"/>
            <w:tcBorders>
              <w:bottom w:val="single" w:sz="8" w:color="0000EE"/>
            </w:tcBorders>
            <w:gridSpan w:val="3"/>
          </w:tcPr>
          <w:p>
            <w:pPr>
              <w:spacing w:after="0"/>
              <w:rPr>
                <w:rFonts w:ascii="Arial" w:cs="Arial" w:eastAsia="Arial" w:hAnsi="Arial"/>
                <w:sz w:val="20"/>
                <w:szCs w:val="20"/>
                <w:color w:val="0000EE"/>
                <w:w w:val="93"/>
              </w:rPr>
            </w:pPr>
            <w:hyperlink w:anchor="page31">
              <w:r>
                <w:rPr>
                  <w:rFonts w:ascii="Arial" w:cs="Arial" w:eastAsia="Arial" w:hAnsi="Arial"/>
                  <w:sz w:val="20"/>
                  <w:szCs w:val="20"/>
                  <w:color w:val="0000EE"/>
                  <w:w w:val="93"/>
                </w:rPr>
                <w:t>Item 1A.</w:t>
              </w:r>
            </w:hyperlink>
          </w:p>
        </w:tc>
        <w:tc>
          <w:tcPr>
            <w:tcW w:w="540" w:type="dxa"/>
            <w:vAlign w:val="bottom"/>
          </w:tcPr>
          <w:p>
            <w:pPr>
              <w:spacing w:after="0"/>
              <w:rPr>
                <w:sz w:val="24"/>
                <w:szCs w:val="24"/>
                <w:color w:val="auto"/>
              </w:rPr>
            </w:pPr>
          </w:p>
        </w:tc>
        <w:tc>
          <w:tcPr>
            <w:tcW w:w="1000" w:type="dxa"/>
            <w:vAlign w:val="bottom"/>
            <w:tcBorders>
              <w:bottom w:val="single" w:sz="8" w:color="0000EE"/>
            </w:tcBorders>
            <w:gridSpan w:val="4"/>
          </w:tcPr>
          <w:p>
            <w:pPr>
              <w:spacing w:after="0"/>
              <w:rPr>
                <w:rFonts w:ascii="Arial" w:cs="Arial" w:eastAsia="Arial" w:hAnsi="Arial"/>
                <w:sz w:val="20"/>
                <w:szCs w:val="20"/>
                <w:color w:val="0000EE"/>
                <w:w w:val="88"/>
              </w:rPr>
            </w:pPr>
            <w:hyperlink w:anchor="page31">
              <w:r>
                <w:rPr>
                  <w:rFonts w:ascii="Arial" w:cs="Arial" w:eastAsia="Arial" w:hAnsi="Arial"/>
                  <w:sz w:val="20"/>
                  <w:szCs w:val="20"/>
                  <w:color w:val="0000EE"/>
                  <w:w w:val="88"/>
                </w:rPr>
                <w:t>Risk Factors</w:t>
              </w:r>
            </w:hyperlink>
          </w:p>
        </w:tc>
        <w:tc>
          <w:tcPr>
            <w:tcW w:w="842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2.</w:t>
              </w:r>
            </w:hyperlink>
          </w:p>
        </w:tc>
        <w:tc>
          <w:tcPr>
            <w:tcW w:w="9420" w:type="dxa"/>
            <w:vAlign w:val="bottom"/>
            <w:gridSpan w:val="18"/>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r>
      <w:tr>
        <w:trPr>
          <w:trHeight w:val="426"/>
        </w:trPr>
        <w:tc>
          <w:tcPr>
            <w:tcW w:w="1260" w:type="dxa"/>
            <w:vAlign w:val="bottom"/>
            <w:tcBorders>
              <w:top w:val="single" w:sz="8" w:color="0000EE"/>
            </w:tcBorders>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4800" w:type="dxa"/>
            <w:vAlign w:val="bottom"/>
            <w:tcBorders>
              <w:top w:val="single" w:sz="8" w:color="0000EE"/>
            </w:tcBorders>
            <w:gridSpan w:val="12"/>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Defaults Upon Senior Securities</w:t>
              </w:r>
            </w:hyperlink>
          </w:p>
        </w:tc>
        <w:tc>
          <w:tcPr>
            <w:tcW w:w="462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4.</w:t>
              </w:r>
            </w:hyperlink>
          </w:p>
        </w:tc>
        <w:tc>
          <w:tcPr>
            <w:tcW w:w="9420" w:type="dxa"/>
            <w:vAlign w:val="bottom"/>
            <w:gridSpan w:val="18"/>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5.</w:t>
              </w:r>
            </w:hyperlink>
          </w:p>
        </w:tc>
        <w:tc>
          <w:tcPr>
            <w:tcW w:w="9420" w:type="dxa"/>
            <w:vAlign w:val="bottom"/>
            <w:gridSpan w:val="18"/>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6.</w:t>
              </w:r>
            </w:hyperlink>
          </w:p>
        </w:tc>
        <w:tc>
          <w:tcPr>
            <w:tcW w:w="9420" w:type="dxa"/>
            <w:vAlign w:val="bottom"/>
            <w:gridSpan w:val="18"/>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1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20"/>
                <w:szCs w:val="20"/>
                <w:color w:val="0000EE"/>
                <w:w w:val="85"/>
              </w:rPr>
            </w:pPr>
            <w:hyperlink w:anchor="page31">
              <w:r>
                <w:rPr>
                  <w:rFonts w:ascii="Arial" w:cs="Arial" w:eastAsia="Arial" w:hAnsi="Arial"/>
                  <w:sz w:val="20"/>
                  <w:szCs w:val="20"/>
                  <w:color w:val="0000EE"/>
                  <w:w w:val="85"/>
                </w:rPr>
                <w:t>Signatures</w:t>
              </w:r>
            </w:hyperlink>
          </w:p>
        </w:tc>
        <w:tc>
          <w:tcPr>
            <w:tcW w:w="8580" w:type="dxa"/>
            <w:vAlign w:val="bottom"/>
            <w:gridSpan w:val="1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r>
      <w:tr>
        <w:trPr>
          <w:trHeight w:val="46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1"/>
          </w:tcPr>
          <w:p>
            <w:pPr>
              <w:ind w:left="44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MARCH 31, 2016 AND DECEMBER 31, 2015</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72"/>
        </w:trPr>
        <w:tc>
          <w:tcPr>
            <w:tcW w:w="318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020" w:type="dxa"/>
            <w:vAlign w:val="bottom"/>
            <w:gridSpan w:val="3"/>
          </w:tcPr>
          <w:p>
            <w:pPr>
              <w:ind w:left="460"/>
              <w:spacing w:after="0" w:line="172" w:lineRule="exact"/>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1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28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2,528,109</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2,175,417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508,243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744,610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416,704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352,955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165,929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156,121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26,967</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6"/>
                <w:szCs w:val="16"/>
                <w:color w:val="auto"/>
              </w:rPr>
              <w:t>Prepaid income taxes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7"/>
        </w:trPr>
        <w:tc>
          <w:tcPr>
            <w:tcW w:w="31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3,792,872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3,582,602</w:t>
            </w: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0"/>
                <w:szCs w:val="20"/>
                <w:color w:val="auto"/>
              </w:rPr>
            </w:pPr>
            <w:r>
              <w:rPr>
                <w:rFonts w:ascii="Arial" w:cs="Arial" w:eastAsia="Arial" w:hAnsi="Arial"/>
                <w:sz w:val="16"/>
                <w:szCs w:val="16"/>
                <w:color w:val="auto"/>
              </w:rPr>
              <w:t>INVESTMENTS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99,257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97,354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261,297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261,310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1,279,715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1,279,715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428,578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427,986</w:t>
            </w:r>
          </w:p>
        </w:tc>
        <w:tc>
          <w:tcPr>
            <w:tcW w:w="0" w:type="dxa"/>
            <w:vAlign w:val="bottom"/>
          </w:tcPr>
          <w:p>
            <w:pPr>
              <w:spacing w:after="0"/>
              <w:rPr>
                <w:sz w:val="1"/>
                <w:szCs w:val="1"/>
                <w:color w:val="auto"/>
              </w:rPr>
            </w:pPr>
          </w:p>
        </w:tc>
      </w:tr>
    </w:tbl>
    <w:p>
      <w:pPr>
        <w:sectPr>
          <w:pgSz w:w="11900" w:h="16838" w:orient="portrait"/>
          <w:cols w:equalWidth="0" w:num="1">
            <w:col w:w="11460"/>
          </w:cols>
          <w:pgMar w:left="240" w:top="55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14,346</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86"/>
              </w:rPr>
              <w:t>Total Assets</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5,883,484</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5,675,189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8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00" w:type="dxa"/>
            <w:vAlign w:val="bottom"/>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20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183,216</w:t>
            </w:r>
          </w:p>
        </w:tc>
        <w:tc>
          <w:tcPr>
            <w:tcW w:w="280" w:type="dxa"/>
            <w:vAlign w:val="bottom"/>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144,763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96,734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81,786</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131,091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115,530</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8,660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11,018</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32,271</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12,978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22,159</w:t>
            </w:r>
          </w:p>
        </w:tc>
        <w:tc>
          <w:tcPr>
            <w:tcW w:w="0" w:type="dxa"/>
            <w:vAlign w:val="bottom"/>
          </w:tcPr>
          <w:p>
            <w:pPr>
              <w:spacing w:after="0"/>
              <w:rPr>
                <w:sz w:val="1"/>
                <w:szCs w:val="1"/>
                <w:color w:val="auto"/>
              </w:rPr>
            </w:pPr>
          </w:p>
        </w:tc>
      </w:tr>
      <w:tr>
        <w:trPr>
          <w:trHeight w:val="209"/>
        </w:trPr>
        <w:tc>
          <w:tcPr>
            <w:tcW w:w="82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71,750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106,662</w:t>
            </w:r>
          </w:p>
        </w:tc>
        <w:tc>
          <w:tcPr>
            <w:tcW w:w="0" w:type="dxa"/>
            <w:vAlign w:val="bottom"/>
          </w:tcPr>
          <w:p>
            <w:pPr>
              <w:spacing w:after="0"/>
              <w:rPr>
                <w:sz w:val="1"/>
                <w:szCs w:val="1"/>
                <w:color w:val="auto"/>
              </w:rPr>
            </w:pPr>
          </w:p>
        </w:tc>
      </w:tr>
      <w:tr>
        <w:trPr>
          <w:trHeight w:val="217"/>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540,655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514,189</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350,983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351,590</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11)</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207,175 shares issued and 203,041 outstanding as of March 31, 2016;</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207,019 shares issued and 202,900 outstanding as of December 31, 2015</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4,005,996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3,991,857</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1,558,740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1,394,863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(15,443)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(21,878)</w:t>
            </w: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rPr>
              <w:t>Common stock in treasury, at cost; 4,134 shares and 4,119 shares as of March 31, 2016 and December 31, 2015,</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respectively</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(558,483)</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(556,467)</w:t>
            </w:r>
          </w:p>
        </w:tc>
        <w:tc>
          <w:tcPr>
            <w:tcW w:w="0" w:type="dxa"/>
            <w:vAlign w:val="bottom"/>
          </w:tcPr>
          <w:p>
            <w:pPr>
              <w:spacing w:after="0"/>
              <w:rPr>
                <w:sz w:val="1"/>
                <w:szCs w:val="1"/>
                <w:color w:val="auto"/>
              </w:rPr>
            </w:pPr>
          </w:p>
        </w:tc>
      </w:tr>
      <w:tr>
        <w:trPr>
          <w:trHeight w:val="210"/>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4,991,846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4,809,410</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5,883,484</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5,675,189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62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INCOME FOR THE THREE-MONTHS ENDED MARCH 31, 2016 AND 2015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680,186</w:t>
            </w:r>
          </w:p>
        </w:tc>
        <w:tc>
          <w:tcPr>
            <w:tcW w:w="28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626,791</w:t>
            </w: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257,088</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257,834</w:t>
            </w: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423,098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368,957</w:t>
            </w: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168,385</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361,328</w:t>
            </w: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254,713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255,321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91,444</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163,877</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0.79</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STOCK AND COMMON STOCK EQUIVALENTS: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202,946</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169,871</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206,908</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173,778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3" w:name="page4"/>
    <w:bookmarkEnd w:id="3"/>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1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THREE-MONTHS ENDED MARCH 31, 2016 AND 2015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4"/>
          </w:tcPr>
          <w:p>
            <w:pPr>
              <w:jc w:val="right"/>
              <w:ind w:right="54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5200" w:type="dxa"/>
            <w:vAlign w:val="bottom"/>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07" w:lineRule="exact"/>
              <w:rPr>
                <w:sz w:val="20"/>
                <w:szCs w:val="20"/>
                <w:color w:val="auto"/>
              </w:rPr>
            </w:pPr>
            <w:r>
              <w:rPr>
                <w:rFonts w:ascii="Arial" w:cs="Arial" w:eastAsia="Arial" w:hAnsi="Arial"/>
                <w:sz w:val="20"/>
                <w:szCs w:val="20"/>
                <w:color w:val="auto"/>
              </w:rPr>
              <w:t>163,877</w:t>
            </w:r>
          </w:p>
        </w:tc>
        <w:tc>
          <w:tcPr>
            <w:tcW w:w="26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07" w:lineRule="exact"/>
              <w:rPr>
                <w:sz w:val="20"/>
                <w:szCs w:val="20"/>
                <w:color w:val="auto"/>
              </w:rPr>
            </w:pPr>
            <w:r>
              <w:rPr>
                <w:rFonts w:ascii="Arial" w:cs="Arial" w:eastAsia="Arial" w:hAnsi="Arial"/>
                <w:sz w:val="20"/>
                <w:szCs w:val="20"/>
                <w:color w:val="auto"/>
              </w:rPr>
              <w:t>4,414</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6,435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(9,980)</w:t>
            </w: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20"/>
              <w:spacing w:after="0"/>
              <w:rPr>
                <w:sz w:val="20"/>
                <w:szCs w:val="20"/>
                <w:color w:val="auto"/>
              </w:rPr>
            </w:pPr>
            <w:r>
              <w:rPr>
                <w:rFonts w:ascii="Arial" w:cs="Arial" w:eastAsia="Arial" w:hAnsi="Arial"/>
                <w:sz w:val="20"/>
                <w:szCs w:val="20"/>
                <w:color w:val="auto"/>
              </w:rPr>
              <w:t>Change in net unrealized gains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520"/>
              <w:spacing w:after="0"/>
              <w:rPr>
                <w:sz w:val="20"/>
                <w:szCs w:val="20"/>
                <w:color w:val="auto"/>
              </w:rPr>
            </w:pPr>
            <w:r>
              <w:rPr>
                <w:rFonts w:ascii="Arial" w:cs="Arial" w:eastAsia="Arial" w:hAnsi="Arial"/>
                <w:sz w:val="20"/>
                <w:szCs w:val="20"/>
                <w:color w:val="auto"/>
              </w:rPr>
              <w:t>Reclassification adjustment for net gains included in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00" w:type="dxa"/>
            <w:vAlign w:val="bottom"/>
          </w:tcPr>
          <w:p>
            <w:pPr>
              <w:ind w:left="660"/>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52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line="213" w:lineRule="exact"/>
              <w:rPr>
                <w:sz w:val="20"/>
                <w:szCs w:val="20"/>
                <w:color w:val="auto"/>
              </w:rPr>
            </w:pPr>
            <w:r>
              <w:rPr>
                <w:rFonts w:ascii="Arial" w:cs="Arial" w:eastAsia="Arial" w:hAnsi="Arial"/>
                <w:sz w:val="20"/>
                <w:szCs w:val="20"/>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6,435</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(9,980)</w:t>
            </w:r>
          </w:p>
        </w:tc>
        <w:tc>
          <w:tcPr>
            <w:tcW w:w="0" w:type="dxa"/>
            <w:vAlign w:val="bottom"/>
          </w:tcPr>
          <w:p>
            <w:pPr>
              <w:spacing w:after="0"/>
              <w:rPr>
                <w:sz w:val="1"/>
                <w:szCs w:val="1"/>
                <w:color w:val="auto"/>
              </w:rPr>
            </w:pPr>
          </w:p>
        </w:tc>
      </w:tr>
      <w:tr>
        <w:trPr>
          <w:trHeight w:val="230"/>
        </w:trPr>
        <w:tc>
          <w:tcPr>
            <w:tcW w:w="5200" w:type="dxa"/>
            <w:vAlign w:val="bottom"/>
          </w:tcPr>
          <w:p>
            <w:pPr>
              <w:spacing w:after="0" w:line="220" w:lineRule="exact"/>
              <w:rPr>
                <w:sz w:val="20"/>
                <w:szCs w:val="20"/>
                <w:color w:val="auto"/>
              </w:rPr>
            </w:pPr>
            <w:r>
              <w:rPr>
                <w:rFonts w:ascii="Arial" w:cs="Arial" w:eastAsia="Arial" w:hAnsi="Arial"/>
                <w:sz w:val="20"/>
                <w:szCs w:val="20"/>
                <w:color w:val="auto"/>
              </w:rPr>
              <w:t>Comprehensive income (loss)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170,312</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(5,566)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2016 AND 2015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Three-Months Ended</w:t>
            </w:r>
          </w:p>
        </w:tc>
      </w:tr>
      <w:tr>
        <w:trPr>
          <w:trHeight w:val="183"/>
        </w:trPr>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5"/>
                <w:szCs w:val="15"/>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2015</w:t>
            </w:r>
          </w:p>
        </w:tc>
      </w:tr>
      <w:tr>
        <w:trPr>
          <w:trHeight w:val="171"/>
        </w:trPr>
        <w:tc>
          <w:tcPr>
            <w:tcW w:w="79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163,877</w:t>
            </w:r>
          </w:p>
        </w:tc>
        <w:tc>
          <w:tcPr>
            <w:tcW w:w="280" w:type="dxa"/>
            <w:vAlign w:val="bottom"/>
          </w:tcPr>
          <w:p>
            <w:pPr>
              <w:spacing w:after="0"/>
              <w:rPr>
                <w:sz w:val="16"/>
                <w:szCs w:val="16"/>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4,414</w:t>
            </w: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9,024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6,470</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Loss (gain) on disposal of property and equipment</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10,062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6,354</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Effect on cash of changes in operating assets and liabilities: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(58,550)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(68,138)</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Distributor receivables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(1,656)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66</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(7,639)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(26,547)</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(12,841)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(5,895)</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Prepaid income taxes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(10,535)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(13,498)</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36,086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42,742</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12,239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5,387</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Accrued promotional allowances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13,136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(2,160)</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Accrued distributor terminations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(2,853)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205,980</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(9,147)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(7,866)</w:t>
            </w:r>
          </w:p>
        </w:tc>
      </w:tr>
      <w:tr>
        <w:trPr>
          <w:trHeight w:val="189"/>
        </w:trPr>
        <w:tc>
          <w:tcPr>
            <w:tcW w:w="7920" w:type="dxa"/>
            <w:vAlign w:val="bottom"/>
          </w:tcPr>
          <w:p>
            <w:pPr>
              <w:ind w:left="60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(34,791)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(4,298)</w:t>
            </w:r>
          </w:p>
        </w:tc>
      </w:tr>
      <w:tr>
        <w:trPr>
          <w:trHeight w:val="188"/>
        </w:trPr>
        <w:tc>
          <w:tcPr>
            <w:tcW w:w="7920" w:type="dxa"/>
            <w:vAlign w:val="bottom"/>
          </w:tcPr>
          <w:p>
            <w:pPr>
              <w:ind w:left="60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(40,041)</w:t>
            </w:r>
          </w:p>
        </w:tc>
      </w:tr>
      <w:tr>
        <w:trPr>
          <w:trHeight w:val="184"/>
        </w:trPr>
        <w:tc>
          <w:tcPr>
            <w:tcW w:w="7920" w:type="dxa"/>
            <w:vAlign w:val="bottom"/>
          </w:tcPr>
          <w:p>
            <w:pPr>
              <w:ind w:left="88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109,559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102,924</w:t>
            </w:r>
          </w:p>
        </w:tc>
      </w:tr>
      <w:tr>
        <w:trPr>
          <w:trHeight w:val="270"/>
        </w:trPr>
        <w:tc>
          <w:tcPr>
            <w:tcW w:w="79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396,346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253,732</w:t>
            </w: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101</w:t>
            </w: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(152,050)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(118,283)</w:t>
            </w: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(8,205)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(4,687)</w:t>
            </w: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102</w:t>
            </w: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Increase in intangibles</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(2,342)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(1,552)</w:t>
            </w:r>
          </w:p>
        </w:tc>
      </w:tr>
      <w:tr>
        <w:trPr>
          <w:trHeight w:val="188"/>
        </w:trPr>
        <w:tc>
          <w:tcPr>
            <w:tcW w:w="7920" w:type="dxa"/>
            <w:vAlign w:val="bottom"/>
          </w:tcPr>
          <w:p>
            <w:pPr>
              <w:spacing w:after="0"/>
              <w:rPr>
                <w:sz w:val="20"/>
                <w:szCs w:val="20"/>
                <w:color w:val="auto"/>
              </w:rPr>
            </w:pPr>
            <w:r>
              <w:rPr>
                <w:rFonts w:ascii="Arial" w:cs="Arial" w:eastAsia="Arial" w:hAnsi="Arial"/>
                <w:sz w:val="14"/>
                <w:szCs w:val="14"/>
                <w:color w:val="auto"/>
              </w:rPr>
              <w:t>Decrease in other assets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w:t>
            </w:r>
          </w:p>
        </w:tc>
      </w:tr>
    </w:tbl>
    <w:p>
      <w:pPr>
        <w:sectPr>
          <w:pgSz w:w="11900" w:h="16884" w:orient="portrait"/>
          <w:cols w:equalWidth="0" w:num="1">
            <w:col w:w="11420"/>
          </w:cols>
          <w:pgMar w:left="240" w:top="55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ind w:left="880"/>
              <w:spacing w:after="0"/>
              <w:rPr>
                <w:sz w:val="20"/>
                <w:szCs w:val="20"/>
                <w:color w:val="auto"/>
              </w:rPr>
            </w:pPr>
            <w:r>
              <w:rPr>
                <w:rFonts w:ascii="Arial" w:cs="Arial" w:eastAsia="Arial" w:hAnsi="Arial"/>
                <w:sz w:val="14"/>
                <w:szCs w:val="14"/>
                <w:color w:val="auto"/>
              </w:rPr>
              <w:t>Net cash provided by investing activities</w:t>
            </w:r>
          </w:p>
        </w:tc>
        <w:tc>
          <w:tcPr>
            <w:tcW w:w="54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234,272</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129,640</w:t>
            </w:r>
          </w:p>
        </w:tc>
        <w:tc>
          <w:tcPr>
            <w:tcW w:w="0" w:type="dxa"/>
            <w:vAlign w:val="bottom"/>
          </w:tcPr>
          <w:p>
            <w:pPr>
              <w:spacing w:after="0"/>
              <w:rPr>
                <w:sz w:val="1"/>
                <w:szCs w:val="1"/>
                <w:color w:val="auto"/>
              </w:rPr>
            </w:pPr>
          </w:p>
        </w:tc>
      </w:tr>
      <w:tr>
        <w:trPr>
          <w:trHeight w:val="284"/>
        </w:trPr>
        <w:tc>
          <w:tcPr>
            <w:tcW w:w="79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9"/>
        </w:trPr>
        <w:tc>
          <w:tcPr>
            <w:tcW w:w="79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5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4,078</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19,119</w:t>
            </w: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(251,382)</w:t>
            </w:r>
          </w:p>
        </w:tc>
        <w:tc>
          <w:tcPr>
            <w:tcW w:w="0" w:type="dxa"/>
            <w:vAlign w:val="bottom"/>
          </w:tcPr>
          <w:p>
            <w:pPr>
              <w:spacing w:after="0"/>
              <w:rPr>
                <w:sz w:val="1"/>
                <w:szCs w:val="1"/>
                <w:color w:val="auto"/>
              </w:rPr>
            </w:pPr>
          </w:p>
        </w:tc>
      </w:tr>
      <w:tr>
        <w:trPr>
          <w:trHeight w:val="183"/>
        </w:trPr>
        <w:tc>
          <w:tcPr>
            <w:tcW w:w="7920" w:type="dxa"/>
            <w:vAlign w:val="bottom"/>
          </w:tcPr>
          <w:p>
            <w:pPr>
              <w:ind w:left="880"/>
              <w:spacing w:after="0"/>
              <w:rPr>
                <w:sz w:val="20"/>
                <w:szCs w:val="20"/>
                <w:color w:val="auto"/>
              </w:rPr>
            </w:pPr>
            <w:r>
              <w:rPr>
                <w:rFonts w:ascii="Arial" w:cs="Arial" w:eastAsia="Arial" w:hAnsi="Arial"/>
                <w:sz w:val="14"/>
                <w:szCs w:val="14"/>
                <w:color w:val="auto"/>
              </w:rPr>
              <w:t>Net cash provided by (used in) financing activities</w:t>
            </w: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1,540</w:t>
            </w:r>
          </w:p>
        </w:tc>
        <w:tc>
          <w:tcPr>
            <w:tcW w:w="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(232,459)</w:t>
            </w:r>
          </w:p>
        </w:tc>
        <w:tc>
          <w:tcPr>
            <w:tcW w:w="0" w:type="dxa"/>
            <w:vAlign w:val="bottom"/>
          </w:tcPr>
          <w:p>
            <w:pPr>
              <w:spacing w:after="0"/>
              <w:rPr>
                <w:sz w:val="1"/>
                <w:szCs w:val="1"/>
                <w:color w:val="auto"/>
              </w:rPr>
            </w:pPr>
          </w:p>
        </w:tc>
      </w:tr>
      <w:tr>
        <w:trPr>
          <w:trHeight w:val="292"/>
        </w:trPr>
        <w:tc>
          <w:tcPr>
            <w:tcW w:w="79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5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7,321</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(7,641)</w:t>
            </w:r>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5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352,692</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(7,536)</w:t>
            </w: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2,175,417</w:t>
            </w: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370,323</w:t>
            </w:r>
          </w:p>
        </w:tc>
        <w:tc>
          <w:tcPr>
            <w:tcW w:w="0" w:type="dxa"/>
            <w:vAlign w:val="bottom"/>
          </w:tcPr>
          <w:p>
            <w:pPr>
              <w:spacing w:after="0"/>
              <w:rPr>
                <w:sz w:val="1"/>
                <w:szCs w:val="1"/>
                <w:color w:val="auto"/>
              </w:rPr>
            </w:pPr>
          </w:p>
        </w:tc>
      </w:tr>
      <w:tr>
        <w:trPr>
          <w:trHeight w:val="183"/>
        </w:trPr>
        <w:tc>
          <w:tcPr>
            <w:tcW w:w="792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2,528,109</w:t>
            </w:r>
          </w:p>
        </w:tc>
        <w:tc>
          <w:tcPr>
            <w:tcW w:w="280" w:type="dxa"/>
            <w:vAlign w:val="bottom"/>
          </w:tcPr>
          <w:p>
            <w:pPr>
              <w:spacing w:after="0"/>
              <w:rPr>
                <w:sz w:val="15"/>
                <w:szCs w:val="15"/>
                <w:color w:val="auto"/>
              </w:rPr>
            </w:pP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362,787</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7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200"/>
              <w:spacing w:after="0"/>
              <w:rPr>
                <w:sz w:val="20"/>
                <w:szCs w:val="20"/>
                <w:color w:val="auto"/>
              </w:rPr>
            </w:pPr>
            <w:r>
              <w:rPr>
                <w:rFonts w:ascii="Arial" w:cs="Arial" w:eastAsia="Arial" w:hAnsi="Arial"/>
                <w:sz w:val="14"/>
                <w:szCs w:val="14"/>
                <w:color w:val="auto"/>
              </w:rPr>
              <w:t>Cash paid during the period for:</w:t>
            </w: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20" w:type="dxa"/>
            <w:vAlign w:val="bottom"/>
          </w:tcPr>
          <w:p>
            <w:pPr>
              <w:ind w:left="380"/>
              <w:spacing w:after="0"/>
              <w:rPr>
                <w:sz w:val="20"/>
                <w:szCs w:val="20"/>
                <w:color w:val="auto"/>
              </w:rPr>
            </w:pPr>
            <w:r>
              <w:rPr>
                <w:rFonts w:ascii="Arial" w:cs="Arial" w:eastAsia="Arial" w:hAnsi="Arial"/>
                <w:sz w:val="14"/>
                <w:szCs w:val="14"/>
                <w:color w:val="auto"/>
              </w:rPr>
              <w:t>Interest</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380"/>
              <w:spacing w:after="0"/>
              <w:rPr>
                <w:sz w:val="20"/>
                <w:szCs w:val="20"/>
                <w:color w:val="auto"/>
              </w:rPr>
            </w:pPr>
            <w:r>
              <w:rPr>
                <w:rFonts w:ascii="Arial" w:cs="Arial" w:eastAsia="Arial" w:hAnsi="Arial"/>
                <w:sz w:val="14"/>
                <w:szCs w:val="14"/>
                <w:color w:val="auto"/>
              </w:rPr>
              <w:t>Income taxes</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20" w:type="dxa"/>
            <w:vAlign w:val="bottom"/>
            <w:vMerge w:val="continue"/>
          </w:tcPr>
          <w:p>
            <w:pPr>
              <w:spacing w:after="0"/>
              <w:rPr>
                <w:sz w:val="14"/>
                <w:szCs w:val="14"/>
                <w:color w:val="auto"/>
              </w:rPr>
            </w:pP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137,186</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22,703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2016 AND 2015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$1.2 million and $0.2 million for the three-months ended March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2015 (“Form 10-K”) for a summary of significant accounting policies utilized by the Company and its consolidated subsidiaries and other disclosures, which should be read in conjunction with this Quarterly Report on Form 10-Q (“Form 10-Q”).</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2016 and 2015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ACQUISITIONS AND DIVESTITURES</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On June 12, 2015, the Company completed the transactions contemplated by the definitive agreements entered into with The Coca-Cola Company (“TCCC”) on August 14, 2014, which provided for a long-term strategic relationship in the global energy drink category (the “TCCC Transaction”).</w:t>
      </w:r>
    </w:p>
    <w:p>
      <w:pPr>
        <w:sectPr>
          <w:pgSz w:w="11900" w:h="16838" w:orient="portrait"/>
          <w:cols w:equalWidth="0" w:num="1">
            <w:col w:w="11420"/>
          </w:cols>
          <w:pgMar w:left="240" w:top="122" w:right="239" w:bottom="0" w:gutter="0" w:footer="0" w:header="0"/>
        </w:sectPr>
      </w:pPr>
    </w:p>
    <w:bookmarkStart w:id="5" w:name="page6"/>
    <w:bookmarkEnd w:id="5"/>
    <w:p>
      <w:pPr>
        <w:jc w:val="both"/>
        <w:ind w:firstLine="648"/>
        <w:spacing w:after="0" w:line="272" w:lineRule="auto"/>
        <w:rPr>
          <w:sz w:val="20"/>
          <w:szCs w:val="20"/>
          <w:color w:val="auto"/>
        </w:rPr>
      </w:pPr>
      <w:r>
        <w:rPr>
          <w:rFonts w:ascii="Arial" w:cs="Arial" w:eastAsia="Arial" w:hAnsi="Arial"/>
          <w:sz w:val="18"/>
          <w:szCs w:val="18"/>
          <w:color w:val="auto"/>
        </w:rPr>
        <w:t>In consequence of the TCCC Transaction, (1) the Company issued to TCCC 34,040,534 newly issued Company common shares representing approximately 16.7% of the total number of outstanding Company common shares (after giving effect to such issuance) and TCCC appointed two individuals to the Company’s Board of Directors, (2) TCCC transferred all of its rights in and to TCCC’s worldwide energy drink business (“KO Energy”) to the Company, (3) the Company transferred all of its rights in and to its non-energy drink business to TCCC,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is currently held in escrow subject to release upon the achievement of milestones relating to the transition of distribution rights to TCCC’s distribution network.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pro forma condensed combined financial information is presented as if the TCCC Transaction had closed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January 1, 2015:</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jc w:val="right"/>
              <w:spacing w:after="0"/>
              <w:rPr>
                <w:sz w:val="20"/>
                <w:szCs w:val="20"/>
                <w:color w:val="auto"/>
              </w:rPr>
            </w:pPr>
            <w:r>
              <w:rPr>
                <w:rFonts w:ascii="Arial" w:cs="Arial" w:eastAsia="Arial" w:hAnsi="Arial"/>
                <w:sz w:val="19"/>
                <w:szCs w:val="19"/>
                <w:color w:val="auto"/>
              </w:rPr>
              <w:t>Three-Months Ended March 31, 2015</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vMerge w:val="restart"/>
          </w:tcPr>
          <w:p>
            <w:pPr>
              <w:jc w:val="center"/>
              <w:ind w:right="480"/>
              <w:spacing w:after="0"/>
              <w:rPr>
                <w:sz w:val="20"/>
                <w:szCs w:val="20"/>
                <w:color w:val="auto"/>
              </w:rPr>
            </w:pPr>
            <w:r>
              <w:rPr>
                <w:rFonts w:ascii="Arial" w:cs="Arial" w:eastAsia="Arial" w:hAnsi="Arial"/>
                <w:sz w:val="19"/>
                <w:szCs w:val="19"/>
                <w:color w:val="auto"/>
                <w:w w:val="93"/>
              </w:rPr>
              <w:t>Monster</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5"/>
          </w:tcPr>
          <w:p>
            <w:pPr>
              <w:ind w:left="480"/>
              <w:spacing w:after="0" w:line="210" w:lineRule="exact"/>
              <w:rPr>
                <w:sz w:val="20"/>
                <w:szCs w:val="20"/>
                <w:color w:val="auto"/>
              </w:rPr>
            </w:pPr>
            <w:r>
              <w:rPr>
                <w:rFonts w:ascii="Arial" w:cs="Arial" w:eastAsia="Arial" w:hAnsi="Arial"/>
                <w:sz w:val="19"/>
                <w:szCs w:val="19"/>
                <w:color w:val="auto"/>
              </w:rPr>
              <w:t>Pro Forma Adjustments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80"/>
              <w:spacing w:after="0" w:line="216" w:lineRule="exact"/>
              <w:rPr>
                <w:sz w:val="20"/>
                <w:szCs w:val="20"/>
                <w:color w:val="auto"/>
              </w:rPr>
            </w:pPr>
            <w:r>
              <w:rPr>
                <w:rFonts w:ascii="Arial" w:cs="Arial" w:eastAsia="Arial" w:hAnsi="Arial"/>
                <w:sz w:val="19"/>
                <w:szCs w:val="19"/>
                <w:color w:val="auto"/>
                <w:w w:val="88"/>
              </w:rPr>
              <w:t>Beverage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00"/>
              <w:spacing w:after="0" w:line="216" w:lineRule="exact"/>
              <w:rPr>
                <w:sz w:val="20"/>
                <w:szCs w:val="20"/>
                <w:color w:val="auto"/>
              </w:rPr>
            </w:pPr>
            <w:r>
              <w:rPr>
                <w:rFonts w:ascii="Arial" w:cs="Arial" w:eastAsia="Arial" w:hAnsi="Arial"/>
                <w:sz w:val="19"/>
                <w:szCs w:val="19"/>
                <w:color w:val="auto"/>
                <w:w w:val="91"/>
              </w:rPr>
              <w:t>Disposal of</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80"/>
              <w:spacing w:after="0" w:line="216" w:lineRule="exact"/>
              <w:rPr>
                <w:sz w:val="20"/>
                <w:szCs w:val="20"/>
                <w:color w:val="auto"/>
              </w:rPr>
            </w:pPr>
            <w:r>
              <w:rPr>
                <w:rFonts w:ascii="Arial" w:cs="Arial" w:eastAsia="Arial" w:hAnsi="Arial"/>
                <w:sz w:val="19"/>
                <w:szCs w:val="19"/>
                <w:color w:val="auto"/>
                <w:w w:val="92"/>
              </w:rPr>
              <w:t>Corporation</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00"/>
              <w:spacing w:after="0" w:line="216" w:lineRule="exact"/>
              <w:rPr>
                <w:sz w:val="20"/>
                <w:szCs w:val="20"/>
                <w:color w:val="auto"/>
              </w:rPr>
            </w:pPr>
            <w:r>
              <w:rPr>
                <w:rFonts w:ascii="Arial" w:cs="Arial" w:eastAsia="Arial" w:hAnsi="Arial"/>
                <w:sz w:val="19"/>
                <w:szCs w:val="19"/>
                <w:color w:val="auto"/>
                <w:w w:val="92"/>
              </w:rPr>
              <w:t>Monster Non-</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25"/>
              <w:spacing w:after="0" w:line="216" w:lineRule="exact"/>
              <w:rPr>
                <w:sz w:val="20"/>
                <w:szCs w:val="20"/>
                <w:color w:val="auto"/>
              </w:rPr>
            </w:pPr>
            <w:r>
              <w:rPr>
                <w:rFonts w:ascii="Arial" w:cs="Arial" w:eastAsia="Arial" w:hAnsi="Arial"/>
                <w:sz w:val="19"/>
                <w:szCs w:val="19"/>
                <w:color w:val="auto"/>
                <w:w w:val="95"/>
              </w:rPr>
              <w:t>Pro Forma</w:t>
            </w:r>
          </w:p>
        </w:tc>
        <w:tc>
          <w:tcPr>
            <w:tcW w:w="0" w:type="dxa"/>
            <w:vAlign w:val="bottom"/>
          </w:tcPr>
          <w:p>
            <w:pPr>
              <w:spacing w:after="0"/>
              <w:rPr>
                <w:sz w:val="1"/>
                <w:szCs w:val="1"/>
                <w:color w:val="auto"/>
              </w:rPr>
            </w:pPr>
          </w:p>
        </w:tc>
      </w:tr>
      <w:tr>
        <w:trPr>
          <w:trHeight w:val="238"/>
        </w:trPr>
        <w:tc>
          <w:tcPr>
            <w:tcW w:w="200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6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9"/>
                <w:szCs w:val="19"/>
                <w:color w:val="auto"/>
                <w:w w:val="87"/>
              </w:rPr>
              <w:t>as reported</w:t>
            </w:r>
          </w:p>
        </w:tc>
        <w:tc>
          <w:tcPr>
            <w:tcW w:w="260" w:type="dxa"/>
            <w:vAlign w:val="bottom"/>
          </w:tcPr>
          <w:p>
            <w:pPr>
              <w:spacing w:after="0"/>
              <w:rPr>
                <w:sz w:val="20"/>
                <w:szCs w:val="20"/>
                <w:color w:val="auto"/>
              </w:rPr>
            </w:pPr>
          </w:p>
        </w:tc>
        <w:tc>
          <w:tcPr>
            <w:tcW w:w="1240" w:type="dxa"/>
            <w:vAlign w:val="bottom"/>
          </w:tcPr>
          <w:p>
            <w:pPr>
              <w:jc w:val="right"/>
              <w:ind w:right="225"/>
              <w:spacing w:after="0"/>
              <w:rPr>
                <w:sz w:val="20"/>
                <w:szCs w:val="20"/>
                <w:color w:val="auto"/>
              </w:rPr>
            </w:pPr>
            <w:r>
              <w:rPr>
                <w:rFonts w:ascii="Arial" w:cs="Arial" w:eastAsia="Arial" w:hAnsi="Arial"/>
                <w:sz w:val="19"/>
                <w:szCs w:val="19"/>
                <w:color w:val="auto"/>
                <w:w w:val="96"/>
              </w:rPr>
              <w:t>KO Energy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9"/>
                <w:szCs w:val="19"/>
                <w:color w:val="auto"/>
                <w:w w:val="89"/>
              </w:rPr>
              <w:t>Energy</w:t>
            </w:r>
          </w:p>
        </w:tc>
        <w:tc>
          <w:tcPr>
            <w:tcW w:w="4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9"/>
                <w:szCs w:val="19"/>
                <w:color w:val="auto"/>
              </w:rPr>
              <w:t>Other</w:t>
            </w:r>
          </w:p>
        </w:tc>
        <w:tc>
          <w:tcPr>
            <w:tcW w:w="260" w:type="dxa"/>
            <w:vAlign w:val="bottom"/>
          </w:tcPr>
          <w:p>
            <w:pPr>
              <w:spacing w:after="0"/>
              <w:rPr>
                <w:sz w:val="20"/>
                <w:szCs w:val="20"/>
                <w:color w:val="auto"/>
              </w:rPr>
            </w:pPr>
          </w:p>
        </w:tc>
        <w:tc>
          <w:tcPr>
            <w:tcW w:w="1200" w:type="dxa"/>
            <w:vAlign w:val="bottom"/>
          </w:tcPr>
          <w:p>
            <w:pPr>
              <w:jc w:val="right"/>
              <w:ind w:right="245"/>
              <w:spacing w:after="0"/>
              <w:rPr>
                <w:sz w:val="20"/>
                <w:szCs w:val="20"/>
                <w:color w:val="auto"/>
              </w:rPr>
            </w:pPr>
            <w:r>
              <w:rPr>
                <w:rFonts w:ascii="Arial" w:cs="Arial" w:eastAsia="Arial" w:hAnsi="Arial"/>
                <w:sz w:val="19"/>
                <w:szCs w:val="19"/>
                <w:color w:val="auto"/>
                <w:w w:val="96"/>
              </w:rPr>
              <w:t>Combined</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626,791</w:t>
            </w:r>
          </w:p>
        </w:tc>
        <w:tc>
          <w:tcPr>
            <w:tcW w:w="240" w:type="dxa"/>
            <w:vAlign w:val="bottom"/>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80,705</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3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(31,308)</w:t>
            </w:r>
          </w:p>
        </w:tc>
        <w:tc>
          <w:tcPr>
            <w:tcW w:w="200" w:type="dxa"/>
            <w:vAlign w:val="bottom"/>
          </w:tcPr>
          <w:p>
            <w:pPr>
              <w:spacing w:after="0"/>
              <w:rPr>
                <w:sz w:val="16"/>
                <w:szCs w:val="16"/>
                <w:color w:val="auto"/>
              </w:rPr>
            </w:pPr>
          </w:p>
        </w:tc>
        <w:tc>
          <w:tcPr>
            <w:tcW w:w="480" w:type="dxa"/>
            <w:vAlign w:val="bottom"/>
            <w:tcBorders>
              <w:top w:val="single" w:sz="8" w:color="auto"/>
            </w:tcBorders>
          </w:tcPr>
          <w:p>
            <w:pPr>
              <w:jc w:val="right"/>
              <w:ind w:right="185"/>
              <w:spacing w:after="0" w:line="187"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4,923</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681,111</w:t>
            </w:r>
          </w:p>
        </w:tc>
        <w:tc>
          <w:tcPr>
            <w:tcW w:w="0" w:type="dxa"/>
            <w:vAlign w:val="bottom"/>
          </w:tcPr>
          <w:p>
            <w:pPr>
              <w:spacing w:after="0"/>
              <w:rPr>
                <w:sz w:val="1"/>
                <w:szCs w:val="1"/>
                <w:color w:val="auto"/>
              </w:rPr>
            </w:pPr>
          </w:p>
        </w:tc>
      </w:tr>
      <w:tr>
        <w:trPr>
          <w:trHeight w:val="240"/>
        </w:trPr>
        <w:tc>
          <w:tcPr>
            <w:tcW w:w="2000" w:type="dxa"/>
            <w:vAlign w:val="bottom"/>
          </w:tcPr>
          <w:p>
            <w:pPr>
              <w:spacing w:after="0"/>
              <w:rPr>
                <w:sz w:val="20"/>
                <w:szCs w:val="20"/>
                <w:color w:val="auto"/>
              </w:rPr>
            </w:pPr>
            <w:r>
              <w:rPr>
                <w:rFonts w:ascii="Arial" w:cs="Arial" w:eastAsia="Arial" w:hAnsi="Arial"/>
                <w:sz w:val="19"/>
                <w:szCs w:val="19"/>
                <w:color w:val="auto"/>
              </w:rPr>
              <w:t>Net income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4,414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59,439</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(1,229)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(23,159)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39,465</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740" w:hanging="8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$59.4 million of net income for KO Energy for the three-months ended March 31, 2015 is presented before tax. The associated estimated provision for income taxes is included in the “Other” category.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Pro-Forma Adjustments – Other include the following:</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05"/>
              <w:spacing w:after="0"/>
              <w:rPr>
                <w:sz w:val="20"/>
                <w:szCs w:val="20"/>
                <w:color w:val="auto"/>
              </w:rPr>
            </w:pPr>
            <w:r>
              <w:rPr>
                <w:rFonts w:ascii="Arial" w:cs="Arial" w:eastAsia="Arial" w:hAnsi="Arial"/>
                <w:sz w:val="19"/>
                <w:szCs w:val="19"/>
                <w:color w:val="auto"/>
                <w:w w:val="91"/>
              </w:rPr>
              <w:t>Three-Months</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05"/>
              <w:spacing w:after="0" w:line="216" w:lineRule="exact"/>
              <w:rPr>
                <w:sz w:val="20"/>
                <w:szCs w:val="20"/>
                <w:color w:val="auto"/>
              </w:rPr>
            </w:pPr>
            <w:r>
              <w:rPr>
                <w:rFonts w:ascii="Arial" w:cs="Arial" w:eastAsia="Arial" w:hAnsi="Arial"/>
                <w:sz w:val="19"/>
                <w:szCs w:val="19"/>
                <w:color w:val="auto"/>
                <w:w w:val="87"/>
              </w:rPr>
              <w:t>Ended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85"/>
              <w:spacing w:after="0" w:line="216" w:lineRule="exact"/>
              <w:rPr>
                <w:sz w:val="20"/>
                <w:szCs w:val="20"/>
                <w:color w:val="auto"/>
              </w:rPr>
            </w:pPr>
            <w:r>
              <w:rPr>
                <w:rFonts w:ascii="Arial" w:cs="Arial" w:eastAsia="Arial" w:hAnsi="Arial"/>
                <w:sz w:val="19"/>
                <w:szCs w:val="19"/>
                <w:color w:val="auto"/>
                <w:w w:val="92"/>
              </w:rPr>
              <w:t>March 31,</w:t>
            </w:r>
          </w:p>
        </w:tc>
        <w:tc>
          <w:tcPr>
            <w:tcW w:w="0" w:type="dxa"/>
            <w:vAlign w:val="bottom"/>
          </w:tcPr>
          <w:p>
            <w:pPr>
              <w:spacing w:after="0"/>
              <w:rPr>
                <w:sz w:val="1"/>
                <w:szCs w:val="1"/>
                <w:color w:val="auto"/>
              </w:rPr>
            </w:pPr>
          </w:p>
        </w:tc>
      </w:tr>
      <w:tr>
        <w:trPr>
          <w:trHeight w:val="238"/>
        </w:trPr>
        <w:tc>
          <w:tcPr>
            <w:tcW w:w="578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9"/>
                <w:szCs w:val="19"/>
                <w:color w:val="auto"/>
                <w:w w:val="89"/>
              </w:rPr>
              <w:t>2015</w:t>
            </w:r>
          </w:p>
        </w:tc>
        <w:tc>
          <w:tcPr>
            <w:tcW w:w="0" w:type="dxa"/>
            <w:vAlign w:val="bottom"/>
          </w:tcPr>
          <w:p>
            <w:pPr>
              <w:spacing w:after="0"/>
              <w:rPr>
                <w:sz w:val="1"/>
                <w:szCs w:val="1"/>
                <w:color w:val="auto"/>
              </w:rPr>
            </w:pPr>
          </w:p>
        </w:tc>
      </w:tr>
      <w:tr>
        <w:trPr>
          <w:trHeight w:val="174"/>
        </w:trPr>
        <w:tc>
          <w:tcPr>
            <w:tcW w:w="5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780" w:type="dxa"/>
            <w:vAlign w:val="bottom"/>
          </w:tcPr>
          <w:p>
            <w:pPr>
              <w:ind w:left="280"/>
              <w:spacing w:after="0"/>
              <w:rPr>
                <w:sz w:val="20"/>
                <w:szCs w:val="20"/>
                <w:color w:val="auto"/>
              </w:rPr>
            </w:pPr>
            <w:r>
              <w:rPr>
                <w:rFonts w:ascii="Arial" w:cs="Arial" w:eastAsia="Arial" w:hAnsi="Arial"/>
                <w:sz w:val="19"/>
                <w:szCs w:val="19"/>
                <w:color w:val="auto"/>
              </w:rPr>
              <w:t>Amortization of deferred revenue</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4,923</w:t>
            </w:r>
          </w:p>
        </w:tc>
        <w:tc>
          <w:tcPr>
            <w:tcW w:w="0" w:type="dxa"/>
            <w:vAlign w:val="bottom"/>
          </w:tcPr>
          <w:p>
            <w:pPr>
              <w:spacing w:after="0"/>
              <w:rPr>
                <w:sz w:val="1"/>
                <w:szCs w:val="1"/>
                <w:color w:val="auto"/>
              </w:rPr>
            </w:pPr>
          </w:p>
        </w:tc>
      </w:tr>
      <w:tr>
        <w:trPr>
          <w:trHeight w:val="408"/>
        </w:trPr>
        <w:tc>
          <w:tcPr>
            <w:tcW w:w="5780" w:type="dxa"/>
            <w:vAlign w:val="bottom"/>
          </w:tcPr>
          <w:p>
            <w:pPr>
              <w:spacing w:after="0"/>
              <w:rPr>
                <w:sz w:val="20"/>
                <w:szCs w:val="20"/>
                <w:color w:val="auto"/>
              </w:rPr>
            </w:pPr>
            <w:r>
              <w:rPr>
                <w:rFonts w:ascii="Arial" w:cs="Arial" w:eastAsia="Arial" w:hAnsi="Arial"/>
                <w:sz w:val="19"/>
                <w:szCs w:val="19"/>
                <w:color w:val="auto"/>
              </w:rPr>
              <w:t>Net income:</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line="216" w:lineRule="exact"/>
              <w:rPr>
                <w:sz w:val="20"/>
                <w:szCs w:val="20"/>
                <w:color w:val="auto"/>
              </w:rPr>
            </w:pPr>
            <w:r>
              <w:rPr>
                <w:rFonts w:ascii="Arial" w:cs="Arial" w:eastAsia="Arial" w:hAnsi="Arial"/>
                <w:sz w:val="19"/>
                <w:szCs w:val="19"/>
                <w:color w:val="auto"/>
              </w:rPr>
              <w:t>Amortization of deferred revenue</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4,923</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line="216" w:lineRule="exact"/>
              <w:rPr>
                <w:sz w:val="20"/>
                <w:szCs w:val="20"/>
                <w:color w:val="auto"/>
              </w:rPr>
            </w:pPr>
            <w:r>
              <w:rPr>
                <w:rFonts w:ascii="Arial" w:cs="Arial" w:eastAsia="Arial" w:hAnsi="Arial"/>
                <w:sz w:val="19"/>
                <w:szCs w:val="19"/>
                <w:color w:val="auto"/>
              </w:rPr>
              <w:t>To record sales commissions</w:t>
            </w:r>
          </w:p>
        </w:tc>
        <w:tc>
          <w:tcPr>
            <w:tcW w:w="18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(9,043)</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line="216" w:lineRule="exact"/>
              <w:rPr>
                <w:sz w:val="20"/>
                <w:szCs w:val="20"/>
                <w:color w:val="auto"/>
              </w:rPr>
            </w:pPr>
            <w:r>
              <w:rPr>
                <w:rFonts w:ascii="Arial" w:cs="Arial" w:eastAsia="Arial" w:hAnsi="Arial"/>
                <w:sz w:val="19"/>
                <w:szCs w:val="19"/>
                <w:color w:val="auto"/>
              </w:rPr>
              <w:t>To record amortization of definite lived KO Energy intangibles</w:t>
            </w:r>
          </w:p>
        </w:tc>
        <w:tc>
          <w:tcPr>
            <w:tcW w:w="18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(1,726)</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line="216" w:lineRule="exact"/>
              <w:rPr>
                <w:sz w:val="20"/>
                <w:szCs w:val="20"/>
                <w:color w:val="auto"/>
              </w:rPr>
            </w:pPr>
            <w:r>
              <w:rPr>
                <w:rFonts w:ascii="Arial" w:cs="Arial" w:eastAsia="Arial" w:hAnsi="Arial"/>
                <w:sz w:val="19"/>
                <w:szCs w:val="19"/>
                <w:color w:val="auto"/>
              </w:rPr>
              <w:t>To eliminate TCCC Transaction expenses</w:t>
            </w:r>
          </w:p>
        </w:tc>
        <w:tc>
          <w:tcPr>
            <w:tcW w:w="18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3,597</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line="216" w:lineRule="exact"/>
              <w:rPr>
                <w:sz w:val="20"/>
                <w:szCs w:val="20"/>
                <w:color w:val="auto"/>
              </w:rPr>
            </w:pPr>
            <w:r>
              <w:rPr>
                <w:rFonts w:ascii="Arial" w:cs="Arial" w:eastAsia="Arial" w:hAnsi="Arial"/>
                <w:sz w:val="19"/>
                <w:szCs w:val="19"/>
                <w:color w:val="auto"/>
              </w:rPr>
              <w:t>Estimated provision for income taxes on pro forma adjustments</w:t>
            </w:r>
          </w:p>
        </w:tc>
        <w:tc>
          <w:tcPr>
            <w:tcW w:w="18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1,974</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line="216" w:lineRule="exact"/>
              <w:rPr>
                <w:sz w:val="20"/>
                <w:szCs w:val="20"/>
                <w:color w:val="auto"/>
              </w:rPr>
            </w:pPr>
            <w:r>
              <w:rPr>
                <w:rFonts w:ascii="Arial" w:cs="Arial" w:eastAsia="Arial" w:hAnsi="Arial"/>
                <w:sz w:val="19"/>
                <w:szCs w:val="19"/>
                <w:color w:val="auto"/>
              </w:rPr>
              <w:t>Estimated provision for income taxes on KO Energy income</w:t>
            </w:r>
          </w:p>
        </w:tc>
        <w:tc>
          <w:tcPr>
            <w:tcW w:w="18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(22,884)</w:t>
            </w:r>
          </w:p>
        </w:tc>
        <w:tc>
          <w:tcPr>
            <w:tcW w:w="0" w:type="dxa"/>
            <w:vAlign w:val="bottom"/>
          </w:tcPr>
          <w:p>
            <w:pPr>
              <w:spacing w:after="0"/>
              <w:rPr>
                <w:sz w:val="1"/>
                <w:szCs w:val="1"/>
                <w:color w:val="auto"/>
              </w:rPr>
            </w:pPr>
          </w:p>
        </w:tc>
      </w:tr>
      <w:tr>
        <w:trPr>
          <w:trHeight w:val="22"/>
        </w:trPr>
        <w:tc>
          <w:tcPr>
            <w:tcW w:w="5780" w:type="dxa"/>
            <w:vAlign w:val="bottom"/>
            <w:vMerge w:val="restart"/>
          </w:tcPr>
          <w:p>
            <w:pPr>
              <w:ind w:left="28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(23,159)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 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ectPr>
          <w:pgSz w:w="11900" w:h="16838" w:orient="portrait"/>
          <w:cols w:equalWidth="0" w:num="1">
            <w:col w:w="11420"/>
          </w:cols>
          <w:pgMar w:left="240" w:top="352" w:right="239" w:bottom="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March 2016, the FASB issued ASU 2016-09, “Compensation - Stock Compensation: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stock compensation based on estimated forfeitures. For the three-months ended March 31, 2015, net cash provided by operating activities and net cash used in financing activities increased by $184.7 million, respectively, as a result of such retrospective adjustment. The adoption of ASU 2016-09 did not have a material impact on the Company’s financial position, results of operations or liquidity.</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2016-02, “Leases (Topic 842)”. This update will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2016-02 on its financial position, results of operations and liquidity.</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amendments under the new guidance require that deferred tax liabilities and assets be classified as noncurrent in a classified statement of financial position. The guidance is effective for financial statements issued for annual periods beginning after December 15, 2016, and interim periods within those annual periods. Earlier application is permitted for all entities as of the beginning of an interim or annual reporting period. The Company adopted the standards update effective December 31, 2015, electing to apply it retrospectively to all periods presented.</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2015-11 requires entities to measure inventory at the lower of cost or net realizable value. Net realizable value is defined as the estimated selling prices in the ordinary course of business, less reasonably predictable costs of completion, disposal and transportation. ASU 2015-11 is effective for annual periods, and interim periods within those years, beginning after December 15, 2016. Early adoption is permitted. The adoption of ASU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identify the contract(s) with a customer; (ii) identify the performance obligations in the contract; (iii) determine the transaction price;</w:t>
      </w:r>
    </w:p>
    <w:p>
      <w:pPr>
        <w:spacing w:after="0" w:line="11" w:lineRule="exact"/>
        <w:rPr>
          <w:rFonts w:ascii="Arial" w:cs="Arial" w:eastAsia="Arial" w:hAnsi="Arial"/>
          <w:sz w:val="19"/>
          <w:szCs w:val="19"/>
          <w:color w:val="auto"/>
        </w:rPr>
      </w:pPr>
    </w:p>
    <w:p>
      <w:pPr>
        <w:jc w:val="both"/>
        <w:ind w:firstLine="8"/>
        <w:spacing w:after="0" w:line="258" w:lineRule="auto"/>
        <w:tabs>
          <w:tab w:leader="none" w:pos="370" w:val="left"/>
        </w:tabs>
        <w:numPr>
          <w:ilvl w:val="0"/>
          <w:numId w:val="5"/>
        </w:numPr>
        <w:rPr>
          <w:rFonts w:ascii="Arial" w:cs="Arial" w:eastAsia="Arial" w:hAnsi="Arial"/>
          <w:sz w:val="19"/>
          <w:szCs w:val="19"/>
          <w:color w:val="auto"/>
        </w:rPr>
      </w:pPr>
      <w:r>
        <w:rPr>
          <w:rFonts w:ascii="Arial" w:cs="Arial" w:eastAsia="Arial" w:hAnsi="Arial"/>
          <w:sz w:val="19"/>
          <w:szCs w:val="19"/>
          <w:color w:val="auto"/>
        </w:rPr>
        <w:t>allocate the transaction price to the contract’s performance obligations; and (v) recognize revenue when (or as) the entity satisfies a performance obligation. ASU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evaluating the impact of ASU 2014-09 on its financial position, results of operations and liquidity.</w:t>
      </w:r>
    </w:p>
    <w:p>
      <w:pPr>
        <w:spacing w:after="0" w:line="22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Continuous</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Continuous</w:t>
            </w:r>
          </w:p>
        </w:tc>
        <w:tc>
          <w:tcPr>
            <w:tcW w:w="14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84"/>
              </w:rPr>
              <w:t>Gross</w:t>
            </w: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Unrealized</w:t>
            </w:r>
          </w:p>
        </w:tc>
        <w:tc>
          <w:tcPr>
            <w:tcW w:w="1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5"/>
                <w:szCs w:val="15"/>
                <w:color w:val="auto"/>
                <w:w w:val="94"/>
              </w:rPr>
              <w:t>Loss Position</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Loss Position</w:t>
            </w:r>
          </w:p>
        </w:tc>
        <w:tc>
          <w:tcPr>
            <w:tcW w:w="1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8"/>
                <w:szCs w:val="18"/>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5"/>
                <w:szCs w:val="15"/>
                <w:color w:val="auto"/>
              </w:rPr>
              <w:t>Fair</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5"/>
                <w:szCs w:val="15"/>
                <w:color w:val="auto"/>
                <w:w w:val="90"/>
              </w:rPr>
              <w:t>greater than 12</w:t>
            </w: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31, 2016</w:t>
            </w: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6"/>
              </w:rPr>
              <w:t>Gains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5"/>
                <w:szCs w:val="15"/>
                <w:color w:val="auto"/>
                <w:w w:val="88"/>
              </w:rPr>
              <w:t>Value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97"/>
              </w:rPr>
              <w:t>Months</w:t>
            </w:r>
          </w:p>
        </w:tc>
        <w:tc>
          <w:tcPr>
            <w:tcW w:w="98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7"/>
              </w:rPr>
              <w:t>Months</w:t>
            </w:r>
          </w:p>
        </w:tc>
        <w:tc>
          <w:tcPr>
            <w:tcW w:w="140" w:type="dxa"/>
            <w:vAlign w:val="bottom"/>
            <w:tcBorders>
              <w:bottom w:val="single" w:sz="8" w:color="auto"/>
            </w:tcBorders>
          </w:tcPr>
          <w:p>
            <w:pPr>
              <w:spacing w:after="0"/>
              <w:rPr>
                <w:sz w:val="20"/>
                <w:szCs w:val="20"/>
                <w:color w:val="auto"/>
              </w:rPr>
            </w:pPr>
          </w:p>
        </w:tc>
      </w:tr>
      <w:tr>
        <w:trPr>
          <w:trHeight w:val="208"/>
        </w:trPr>
        <w:tc>
          <w:tcPr>
            <w:tcW w:w="334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7,969</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7,969</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743"/>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464,865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464,739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148</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17,316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17,310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Treasuries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18,093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18,094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1"/>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7,419</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7,411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515,662</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24</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163</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515,523</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163</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Continuous</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Continuous</w:t>
            </w:r>
          </w:p>
        </w:tc>
        <w:tc>
          <w:tcPr>
            <w:tcW w:w="14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3"/>
              <w:spacing w:after="0"/>
              <w:rPr>
                <w:sz w:val="20"/>
                <w:szCs w:val="20"/>
                <w:color w:val="auto"/>
              </w:rPr>
            </w:pPr>
            <w:r>
              <w:rPr>
                <w:rFonts w:ascii="Arial" w:cs="Arial" w:eastAsia="Arial" w:hAnsi="Arial"/>
                <w:sz w:val="15"/>
                <w:szCs w:val="15"/>
                <w:color w:val="auto"/>
                <w:w w:val="84"/>
              </w:rPr>
              <w:t>Gross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Unrealized</w:t>
            </w:r>
          </w:p>
        </w:tc>
        <w:tc>
          <w:tcPr>
            <w:tcW w:w="1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3"/>
              <w:spacing w:after="0"/>
              <w:rPr>
                <w:sz w:val="20"/>
                <w:szCs w:val="20"/>
                <w:color w:val="auto"/>
              </w:rPr>
            </w:pPr>
            <w:r>
              <w:rPr>
                <w:rFonts w:ascii="Arial" w:cs="Arial" w:eastAsia="Arial" w:hAnsi="Arial"/>
                <w:sz w:val="15"/>
                <w:szCs w:val="15"/>
                <w:color w:val="auto"/>
                <w:w w:val="91"/>
              </w:rPr>
              <w:t>Unrealized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5"/>
                <w:szCs w:val="15"/>
                <w:color w:val="auto"/>
                <w:w w:val="94"/>
              </w:rPr>
              <w:t>Loss Position</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Loss Position</w:t>
            </w:r>
          </w:p>
        </w:tc>
        <w:tc>
          <w:tcPr>
            <w:tcW w:w="1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3"/>
              <w:spacing w:after="0"/>
              <w:rPr>
                <w:sz w:val="20"/>
                <w:szCs w:val="20"/>
                <w:color w:val="auto"/>
              </w:rPr>
            </w:pPr>
            <w:r>
              <w:rPr>
                <w:rFonts w:ascii="Arial" w:cs="Arial" w:eastAsia="Arial" w:hAnsi="Arial"/>
                <w:sz w:val="15"/>
                <w:szCs w:val="15"/>
                <w:color w:val="auto"/>
                <w:w w:val="98"/>
              </w:rPr>
              <w:t>Holding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8"/>
                <w:szCs w:val="18"/>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5"/>
                <w:szCs w:val="15"/>
                <w:color w:val="auto"/>
              </w:rPr>
              <w:t>Fair</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5"/>
                <w:szCs w:val="15"/>
                <w:color w:val="auto"/>
                <w:w w:val="90"/>
              </w:rPr>
              <w:t>greater than 12</w:t>
            </w: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2015</w:t>
            </w: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940" w:type="dxa"/>
            <w:vAlign w:val="bottom"/>
            <w:tcBorders>
              <w:bottom w:val="single" w:sz="8" w:color="auto"/>
            </w:tcBorders>
          </w:tcPr>
          <w:p>
            <w:pPr>
              <w:jc w:val="center"/>
              <w:ind w:left="163"/>
              <w:spacing w:after="0"/>
              <w:rPr>
                <w:sz w:val="20"/>
                <w:szCs w:val="20"/>
                <w:color w:val="auto"/>
              </w:rPr>
            </w:pPr>
            <w:r>
              <w:rPr>
                <w:rFonts w:ascii="Arial" w:cs="Arial" w:eastAsia="Arial" w:hAnsi="Arial"/>
                <w:sz w:val="15"/>
                <w:szCs w:val="15"/>
                <w:color w:val="auto"/>
                <w:w w:val="86"/>
              </w:rPr>
              <w:t>Gains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5"/>
                <w:szCs w:val="15"/>
                <w:color w:val="auto"/>
                <w:w w:val="88"/>
              </w:rPr>
              <w:t>Value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97"/>
              </w:rPr>
              <w:t>Months</w:t>
            </w:r>
          </w:p>
        </w:tc>
        <w:tc>
          <w:tcPr>
            <w:tcW w:w="98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7"/>
              </w:rPr>
              <w:t>Months</w:t>
            </w:r>
          </w:p>
        </w:tc>
        <w:tc>
          <w:tcPr>
            <w:tcW w:w="140" w:type="dxa"/>
            <w:vAlign w:val="bottom"/>
            <w:tcBorders>
              <w:bottom w:val="single" w:sz="8" w:color="auto"/>
            </w:tcBorders>
          </w:tcPr>
          <w:p>
            <w:pPr>
              <w:spacing w:after="0"/>
              <w:rPr>
                <w:sz w:val="20"/>
                <w:szCs w:val="20"/>
                <w:color w:val="auto"/>
              </w:rPr>
            </w:pPr>
          </w:p>
        </w:tc>
      </w:tr>
      <w:tr>
        <w:trPr>
          <w:trHeight w:val="208"/>
        </w:trPr>
        <w:tc>
          <w:tcPr>
            <w:tcW w:w="334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3,978</w:t>
            </w:r>
          </w:p>
        </w:tc>
        <w:tc>
          <w:tcPr>
            <w:tcW w:w="220" w:type="dxa"/>
            <w:vAlign w:val="bottom"/>
          </w:tcPr>
          <w:p>
            <w:pPr>
              <w:spacing w:after="0"/>
              <w:rPr>
                <w:sz w:val="17"/>
                <w:szCs w:val="17"/>
                <w:color w:val="auto"/>
              </w:rPr>
            </w:pPr>
          </w:p>
        </w:tc>
        <w:tc>
          <w:tcPr>
            <w:tcW w:w="940" w:type="dxa"/>
            <w:vAlign w:val="bottom"/>
          </w:tcPr>
          <w:p>
            <w:pPr>
              <w:jc w:val="right"/>
              <w:ind w:right="70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3,978</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743"/>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709,207</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ind w:right="3"/>
              <w:spacing w:after="0"/>
              <w:rPr>
                <w:sz w:val="20"/>
                <w:szCs w:val="20"/>
                <w:color w:val="auto"/>
              </w:rPr>
            </w:pPr>
            <w:r>
              <w:rPr>
                <w:rFonts w:ascii="Arial" w:cs="Arial" w:eastAsia="Arial" w:hAnsi="Arial"/>
                <w:sz w:val="15"/>
                <w:szCs w:val="15"/>
                <w:color w:val="auto"/>
                <w:w w:val="83"/>
              </w:rPr>
              <w:t>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709,078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192</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23,369</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23,311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Treasuries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8,056</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8,043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11,071</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11,063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r>
      <w:tr>
        <w:trPr>
          <w:trHeight w:val="191"/>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4,277</w:t>
            </w:r>
          </w:p>
        </w:tc>
        <w:tc>
          <w:tcPr>
            <w:tcW w:w="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4,252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759,958</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703"/>
              <w:spacing w:after="0" w:line="162"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83"/>
              </w:rPr>
              <w:t>63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296</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759,725</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296</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March 31, 2016 and 2015, realized gains or losses recognized on the sale of investments were not significant.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investments at March 31, 2016 and December 31, 2015 in commercial paper, U.S. Treasuries, municipal securities and U.S. government agency securities carried investment grade credit ratings.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9"/>
                <w:szCs w:val="19"/>
                <w:color w:val="auto"/>
              </w:rPr>
              <w:t>March 31, 2016</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65"/>
              <w:spacing w:after="0"/>
              <w:rPr>
                <w:sz w:val="20"/>
                <w:szCs w:val="20"/>
                <w:color w:val="auto"/>
              </w:rPr>
            </w:pPr>
            <w:r>
              <w:rPr>
                <w:rFonts w:ascii="Arial" w:cs="Arial" w:eastAsia="Arial" w:hAnsi="Arial"/>
                <w:sz w:val="19"/>
                <w:szCs w:val="19"/>
                <w:color w:val="auto"/>
              </w:rPr>
              <w:t>December 31, 2015</w:t>
            </w:r>
          </w:p>
        </w:tc>
        <w:tc>
          <w:tcPr>
            <w:tcW w:w="0" w:type="dxa"/>
            <w:vAlign w:val="bottom"/>
          </w:tcPr>
          <w:p>
            <w:pPr>
              <w:spacing w:after="0"/>
              <w:rPr>
                <w:sz w:val="1"/>
                <w:szCs w:val="1"/>
                <w:color w:val="auto"/>
              </w:rPr>
            </w:pPr>
          </w:p>
        </w:tc>
      </w:tr>
      <w:tr>
        <w:trPr>
          <w:trHeight w:val="385"/>
        </w:trPr>
        <w:tc>
          <w:tcPr>
            <w:tcW w:w="42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2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9"/>
                <w:szCs w:val="19"/>
                <w:color w:val="auto"/>
              </w:rPr>
              <w:t>Fair Value</w:t>
            </w:r>
          </w:p>
        </w:tc>
        <w:tc>
          <w:tcPr>
            <w:tcW w:w="1840" w:type="dxa"/>
            <w:vAlign w:val="bottom"/>
            <w:gridSpan w:val="3"/>
          </w:tcPr>
          <w:p>
            <w:pPr>
              <w:ind w:left="180"/>
              <w:spacing w:after="0"/>
              <w:rPr>
                <w:sz w:val="20"/>
                <w:szCs w:val="20"/>
                <w:color w:val="auto"/>
              </w:rPr>
            </w:pPr>
            <w:r>
              <w:rPr>
                <w:rFonts w:ascii="Arial" w:cs="Arial" w:eastAsia="Arial" w:hAnsi="Arial"/>
                <w:sz w:val="19"/>
                <w:szCs w:val="19"/>
                <w:color w:val="auto"/>
              </w:rPr>
              <w:t>Amortized Cost</w:t>
            </w:r>
          </w:p>
        </w:tc>
        <w:tc>
          <w:tcPr>
            <w:tcW w:w="22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28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Commercial paper</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7,969</w:t>
            </w:r>
          </w:p>
        </w:tc>
        <w:tc>
          <w:tcPr>
            <w:tcW w:w="2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7,969</w:t>
            </w:r>
          </w:p>
        </w:tc>
        <w:tc>
          <w:tcPr>
            <w:tcW w:w="280" w:type="dxa"/>
            <w:vAlign w:val="bottom"/>
          </w:tcPr>
          <w:p>
            <w:pPr>
              <w:spacing w:after="0"/>
              <w:rPr>
                <w:sz w:val="18"/>
                <w:szCs w:val="18"/>
                <w:color w:val="auto"/>
              </w:rPr>
            </w:pPr>
          </w:p>
        </w:tc>
        <w:tc>
          <w:tcPr>
            <w:tcW w:w="52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3,978</w:t>
            </w:r>
          </w:p>
        </w:tc>
        <w:tc>
          <w:tcPr>
            <w:tcW w:w="2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3,978</w:t>
            </w: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464,865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464,739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709,207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709,078</w:t>
            </w: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U.S. government agency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17,316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17,310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23,369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23,311</w:t>
            </w: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U.S. Treasuries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18,093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18,094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8,056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8,043</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5,334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5,328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11,071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11,063</w:t>
            </w: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U.S. government agency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4,277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4,252</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8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2,085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2,083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
        </w:trPr>
        <w:tc>
          <w:tcPr>
            <w:tcW w:w="4280" w:type="dxa"/>
            <w:vAlign w:val="bottom"/>
            <w:vMerge w:val="restart"/>
          </w:tcPr>
          <w:p>
            <w:pPr>
              <w:ind w:left="14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515,662</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515,523</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759,958</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759,725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19"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right="20" w:hanging="328"/>
        <w:spacing w:after="0" w:line="267" w:lineRule="auto"/>
        <w:tabs>
          <w:tab w:leader="none" w:pos="646"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ectPr>
          <w:pgSz w:w="11900" w:h="16838" w:orient="portrait"/>
          <w:cols w:equalWidth="0" w:num="1">
            <w:col w:w="11420"/>
          </w:cols>
          <w:pgMar w:left="240" w:top="396" w:right="239" w:bottom="0" w:gutter="0" w:footer="0" w:header="0"/>
        </w:sectPr>
      </w:pPr>
    </w:p>
    <w:bookmarkStart w:id="8" w:name="page9"/>
    <w:bookmarkEnd w:id="8"/>
    <w:p>
      <w:pPr>
        <w:jc w:val="both"/>
        <w:ind w:right="20"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and the fair value of the Company’s financial assets and liabilities that are recorded at fair value on a recurring basis, segregated among the appropriate levels within the fair value hierarchy at: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March 31, 2016</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2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280,113</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280,113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1,195,818</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1,195,818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102,315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102,315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244,125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244,125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Treasuries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561,104</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561,104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478,005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478,005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182,291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182,291</w:t>
            </w: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(417)</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(417)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1,475,931</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1,567,423</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3,043,354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1,475,931</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1,052,178</w:t>
            </w:r>
          </w:p>
        </w:tc>
        <w:tc>
          <w:tcPr>
            <w:tcW w:w="124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2,528,109</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508,243</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508,243</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219</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219</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7,419</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7,419</w:t>
            </w:r>
          </w:p>
        </w:tc>
        <w:tc>
          <w:tcPr>
            <w:tcW w:w="0" w:type="dxa"/>
            <w:vAlign w:val="bottom"/>
          </w:tcPr>
          <w:p>
            <w:pPr>
              <w:spacing w:after="0"/>
              <w:rPr>
                <w:sz w:val="1"/>
                <w:szCs w:val="1"/>
                <w:color w:val="auto"/>
              </w:rPr>
            </w:pPr>
          </w:p>
        </w:tc>
      </w:tr>
      <w:tr>
        <w:trPr>
          <w:trHeight w:val="240"/>
        </w:trPr>
        <w:tc>
          <w:tcPr>
            <w:tcW w:w="48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(636)</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(636)</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1,475,931</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1,567,423</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3,043,354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2015</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2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255,723</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255,723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664,005</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664,005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85,007</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85,007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430,605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430,605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Treasuries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260,035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260,035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731,744</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731,744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508,256</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508,256</w:t>
            </w: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(217)</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2,015,430</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1,255,689</w:t>
            </w:r>
          </w:p>
        </w:tc>
        <w:tc>
          <w:tcPr>
            <w:tcW w:w="124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2,175,417</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744,610</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744,610</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371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15,348</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15,348</w:t>
            </w:r>
          </w:p>
        </w:tc>
        <w:tc>
          <w:tcPr>
            <w:tcW w:w="0" w:type="dxa"/>
            <w:vAlign w:val="bottom"/>
          </w:tcPr>
          <w:p>
            <w:pPr>
              <w:spacing w:after="0"/>
              <w:rPr>
                <w:sz w:val="1"/>
                <w:szCs w:val="1"/>
                <w:color w:val="auto"/>
              </w:rPr>
            </w:pPr>
          </w:p>
        </w:tc>
      </w:tr>
      <w:tr>
        <w:trPr>
          <w:trHeight w:val="240"/>
        </w:trPr>
        <w:tc>
          <w:tcPr>
            <w:tcW w:w="48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(588)</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2,015,430</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commercial paper, U.S. Treasuries, certificates of deposit, municipal securities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three-months ended March 31, 2016 or the year ended December 31, 2015, and there were no changes in the Company’s valuation techniques.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ectPr>
          <w:pgSz w:w="11900" w:h="16838" w:orient="portrait"/>
          <w:cols w:equalWidth="0" w:num="1">
            <w:col w:w="11420"/>
          </w:cols>
          <w:pgMar w:left="240" w:top="121" w:right="239" w:bottom="0" w:gutter="0" w:footer="0" w:header="0"/>
        </w:sectPr>
      </w:pPr>
    </w:p>
    <w:bookmarkStart w:id="9" w:name="page10"/>
    <w:bookmarkEnd w:id="9"/>
    <w:p>
      <w:pPr>
        <w:spacing w:after="0" w:line="36"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three-months ended March 31, 2016 and the year ended December 31, 2015,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2016 have terms of one month or less. The Company does not enter into forward currency exchange contracts for speculation or trading purposes.</w:t>
      </w:r>
    </w:p>
    <w:p>
      <w:pPr>
        <w:spacing w:after="0" w:line="21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income and other (expense),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March 31,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4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9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30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c>
          <w:tcPr>
            <w:tcW w:w="40" w:type="dxa"/>
            <w:vAlign w:val="bottom"/>
          </w:tcPr>
          <w:p>
            <w:pPr>
              <w:spacing w:after="0"/>
              <w:rPr>
                <w:sz w:val="21"/>
                <w:szCs w:val="21"/>
                <w:color w:val="auto"/>
              </w:rPr>
            </w:pPr>
          </w:p>
        </w:tc>
      </w:tr>
      <w:tr>
        <w:trPr>
          <w:trHeight w:val="314"/>
        </w:trPr>
        <w:tc>
          <w:tcPr>
            <w:tcW w:w="49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EUR/pay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21,945</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157</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9,606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RUB/pay USD</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1,374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21"/>
                <w:szCs w:val="21"/>
                <w:color w:val="auto"/>
              </w:rPr>
            </w:pPr>
          </w:p>
        </w:tc>
      </w:tr>
      <w:tr>
        <w:trPr>
          <w:trHeight w:val="641"/>
        </w:trPr>
        <w:tc>
          <w:tcPr>
            <w:tcW w:w="49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17,380</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17,588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(104)</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CAD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3,823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6,798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11,655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(335)</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HUF</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1,085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SEK</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1,612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2,722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2,650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(46)</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1,379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21"/>
                <w:szCs w:val="21"/>
                <w:color w:val="auto"/>
              </w:rPr>
            </w:pPr>
          </w:p>
        </w:tc>
      </w:tr>
      <w:tr>
        <w:trPr>
          <w:trHeight w:val="428"/>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64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December 31, 2015</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4140" w:type="dxa"/>
            <w:vAlign w:val="bottom"/>
            <w:tcBorders>
              <w:top w:val="single" w:sz="8" w:color="auto"/>
            </w:tcBorders>
            <w:gridSpan w:val="2"/>
          </w:tcPr>
          <w:p>
            <w:pPr>
              <w:ind w:left="760"/>
              <w:spacing w:after="0" w:line="207" w:lineRule="exact"/>
              <w:rPr>
                <w:sz w:val="20"/>
                <w:szCs w:val="20"/>
                <w:color w:val="auto"/>
              </w:rPr>
            </w:pPr>
            <w:r>
              <w:rPr>
                <w:rFonts w:ascii="Arial" w:cs="Arial" w:eastAsia="Arial" w:hAnsi="Arial"/>
                <w:sz w:val="20"/>
                <w:szCs w:val="20"/>
                <w:color w:val="auto"/>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r>
      <w:tr>
        <w:trPr>
          <w:trHeight w:val="230"/>
        </w:trPr>
        <w:tc>
          <w:tcPr>
            <w:tcW w:w="4140" w:type="dxa"/>
            <w:vAlign w:val="bottom"/>
            <w:gridSpan w:val="2"/>
          </w:tcPr>
          <w:p>
            <w:pPr>
              <w:ind w:left="860"/>
              <w:spacing w:after="0"/>
              <w:rPr>
                <w:sz w:val="20"/>
                <w:szCs w:val="20"/>
                <w:color w:val="auto"/>
              </w:rPr>
            </w:pPr>
            <w:r>
              <w:rPr>
                <w:rFonts w:ascii="Arial" w:cs="Arial" w:eastAsia="Arial" w:hAnsi="Arial"/>
                <w:sz w:val="20"/>
                <w:szCs w:val="20"/>
                <w:color w:val="auto"/>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48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r>
      <w:tr>
        <w:trPr>
          <w:trHeight w:val="246"/>
        </w:trPr>
        <w:tc>
          <w:tcPr>
            <w:tcW w:w="3840" w:type="dxa"/>
            <w:vAlign w:val="bottom"/>
            <w:tcBorders>
              <w:bottom w:val="single" w:sz="8" w:color="auto"/>
            </w:tcBorders>
          </w:tcPr>
          <w:p>
            <w:pPr>
              <w:ind w:left="116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r>
      <w:tr>
        <w:trPr>
          <w:trHeight w:val="314"/>
        </w:trPr>
        <w:tc>
          <w:tcPr>
            <w:tcW w:w="41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18,146</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168</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17,411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RUB</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1,351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641"/>
        </w:trPr>
        <w:tc>
          <w:tcPr>
            <w:tcW w:w="41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EUR/pay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39,578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(429)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14,040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(82)</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CAD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JPY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2,495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8,122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3,837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3,519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bl>
    <w:p>
      <w:pPr>
        <w:sectPr>
          <w:pgSz w:w="11900" w:h="16874" w:orient="portrait"/>
          <w:cols w:equalWidth="0" w:num="1">
            <w:col w:w="11460"/>
          </w:cols>
          <w:pgMar w:left="240" w:top="352" w:right="199" w:bottom="0" w:gutter="0" w:footer="0" w:header="0"/>
        </w:sectPr>
      </w:pPr>
    </w:p>
    <w:bookmarkStart w:id="10" w:name="page11"/>
    <w:bookmarkEnd w:id="10"/>
    <w:p>
      <w:pPr>
        <w:spacing w:after="0" w:line="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gains (losses) on derivative instruments in the condensed consolidated statements of income were as follows:</w:t>
      </w:r>
    </w:p>
    <w:p>
      <w:pPr>
        <w:spacing w:after="0" w:line="229" w:lineRule="exact"/>
        <w:rPr>
          <w:sz w:val="20"/>
          <w:szCs w:val="20"/>
          <w:color w:val="auto"/>
        </w:rPr>
      </w:pPr>
    </w:p>
    <w:p>
      <w:pPr>
        <w:jc w:val="center"/>
        <w:ind w:left="8420"/>
        <w:spacing w:after="0"/>
        <w:rPr>
          <w:sz w:val="20"/>
          <w:szCs w:val="20"/>
          <w:color w:val="auto"/>
        </w:rPr>
      </w:pPr>
      <w:r>
        <w:rPr>
          <w:rFonts w:ascii="Arial" w:cs="Arial" w:eastAsia="Arial" w:hAnsi="Arial"/>
          <w:sz w:val="20"/>
          <w:szCs w:val="20"/>
          <w:color w:val="auto"/>
        </w:rPr>
        <w:t>Amount of gain (loss)</w:t>
      </w:r>
    </w:p>
    <w:p>
      <w:pPr>
        <w:spacing w:after="0" w:line="15" w:lineRule="exact"/>
        <w:rPr>
          <w:sz w:val="20"/>
          <w:szCs w:val="20"/>
          <w:color w:val="auto"/>
        </w:rPr>
      </w:pPr>
    </w:p>
    <w:p>
      <w:pPr>
        <w:jc w:val="center"/>
        <w:ind w:left="8420"/>
        <w:spacing w:after="0"/>
        <w:rPr>
          <w:sz w:val="20"/>
          <w:szCs w:val="20"/>
          <w:color w:val="auto"/>
        </w:rPr>
      </w:pPr>
      <w:r>
        <w:rPr>
          <w:rFonts w:ascii="Arial" w:cs="Arial" w:eastAsia="Arial" w:hAnsi="Arial"/>
          <w:sz w:val="20"/>
          <w:szCs w:val="20"/>
          <w:color w:val="auto"/>
        </w:rPr>
        <w:t>recognized in income on</w:t>
      </w:r>
    </w:p>
    <w:p>
      <w:pPr>
        <w:jc w:val="center"/>
        <w:ind w:left="842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0</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9100"/>
        <w:spacing w:after="0"/>
        <w:rPr>
          <w:sz w:val="20"/>
          <w:szCs w:val="20"/>
          <w:color w:val="auto"/>
        </w:rPr>
      </w:pPr>
      <w:r>
        <w:rPr>
          <w:rFonts w:ascii="Arial" w:cs="Arial" w:eastAsia="Arial" w:hAnsi="Arial"/>
          <w:sz w:val="20"/>
          <w:szCs w:val="20"/>
          <w:color w:val="auto"/>
        </w:rPr>
        <w:t>Three-months ended</w:t>
      </w:r>
    </w:p>
    <w:tbl>
      <w:tblPr>
        <w:tblLayout w:type="fixed"/>
        <w:tblInd w:w="0" w:type="dxa"/>
        <w:tblCellMar>
          <w:top w:w="0" w:type="dxa"/>
          <w:left w:w="0" w:type="dxa"/>
          <w:bottom w:w="0" w:type="dxa"/>
          <w:right w:w="0" w:type="dxa"/>
        </w:tblCellMar>
      </w:tblPr>
      <w:tr>
        <w:trPr>
          <w:trHeight w:val="202"/>
        </w:trPr>
        <w:tc>
          <w:tcPr>
            <w:tcW w:w="4360" w:type="dxa"/>
            <w:vAlign w:val="bottom"/>
            <w:gridSpan w:val="2"/>
          </w:tcPr>
          <w:p>
            <w:pPr>
              <w:ind w:left="880"/>
              <w:spacing w:after="0" w:line="202" w:lineRule="exact"/>
              <w:rPr>
                <w:sz w:val="20"/>
                <w:szCs w:val="20"/>
                <w:color w:val="auto"/>
              </w:rPr>
            </w:pPr>
            <w:r>
              <w:rPr>
                <w:rFonts w:ascii="Arial" w:cs="Arial" w:eastAsia="Arial" w:hAnsi="Arial"/>
                <w:sz w:val="20"/>
                <w:szCs w:val="20"/>
                <w:color w:val="auto"/>
              </w:rPr>
              <w:t>Derivatives not designated as</w:t>
            </w:r>
          </w:p>
        </w:tc>
        <w:tc>
          <w:tcPr>
            <w:tcW w:w="4060" w:type="dxa"/>
            <w:vAlign w:val="bottom"/>
            <w:gridSpan w:val="2"/>
          </w:tcPr>
          <w:p>
            <w:pPr>
              <w:jc w:val="center"/>
              <w:ind w:right="300"/>
              <w:spacing w:after="0" w:line="202" w:lineRule="exact"/>
              <w:rPr>
                <w:sz w:val="20"/>
                <w:szCs w:val="20"/>
                <w:color w:val="auto"/>
              </w:rPr>
            </w:pPr>
            <w:r>
              <w:rPr>
                <w:rFonts w:ascii="Arial" w:cs="Arial" w:eastAsia="Arial" w:hAnsi="Arial"/>
                <w:sz w:val="20"/>
                <w:szCs w:val="20"/>
                <w:color w:val="auto"/>
                <w:w w:val="93"/>
              </w:rPr>
              <w:t>Location of gain</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0"/>
        </w:trPr>
        <w:tc>
          <w:tcPr>
            <w:tcW w:w="436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hedging instruments under</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24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92"/>
              </w:rPr>
              <w:t>March 31,</w:t>
            </w:r>
          </w:p>
        </w:tc>
        <w:tc>
          <w:tcPr>
            <w:tcW w:w="24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92"/>
              </w:rPr>
              <w:t>March 31,</w:t>
            </w:r>
          </w:p>
        </w:tc>
      </w:tr>
      <w:tr>
        <w:trPr>
          <w:trHeight w:val="246"/>
        </w:trPr>
        <w:tc>
          <w:tcPr>
            <w:tcW w:w="40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2015</w:t>
            </w:r>
          </w:p>
        </w:tc>
      </w:tr>
      <w:tr>
        <w:trPr>
          <w:trHeight w:val="331"/>
        </w:trPr>
        <w:tc>
          <w:tcPr>
            <w:tcW w:w="43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income,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w:t>
            </w:r>
          </w:p>
        </w:tc>
        <w:tc>
          <w:tcPr>
            <w:tcW w:w="2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(1,856)</w:t>
            </w: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20"/>
                <w:szCs w:val="20"/>
                <w:color w:val="auto"/>
              </w:rPr>
              <w:t>March 31,</w:t>
            </w:r>
          </w:p>
        </w:tc>
        <w:tc>
          <w:tcPr>
            <w:tcW w:w="146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40" w:type="dxa"/>
            <w:vAlign w:val="bottom"/>
            <w:vMerge w:val="restart"/>
          </w:tcPr>
          <w:p>
            <w:pPr>
              <w:ind w:left="660"/>
              <w:spacing w:after="0"/>
              <w:rPr>
                <w:sz w:val="20"/>
                <w:szCs w:val="20"/>
                <w:color w:val="auto"/>
              </w:rPr>
            </w:pPr>
            <w:r>
              <w:rPr>
                <w:rFonts w:ascii="Arial" w:cs="Arial" w:eastAsia="Arial" w:hAnsi="Arial"/>
                <w:sz w:val="20"/>
                <w:szCs w:val="20"/>
                <w:color w:val="auto"/>
              </w:rPr>
              <w:t>Raw materials</w:t>
            </w:r>
          </w:p>
        </w:tc>
        <w:tc>
          <w:tcPr>
            <w:tcW w:w="3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740" w:type="dxa"/>
            <w:vAlign w:val="bottom"/>
            <w:vMerge w:val="continue"/>
          </w:tcPr>
          <w:p>
            <w:pPr>
              <w:spacing w:after="0"/>
              <w:rPr>
                <w:sz w:val="17"/>
                <w:szCs w:val="17"/>
                <w:color w:val="auto"/>
              </w:rPr>
            </w:pPr>
          </w:p>
        </w:tc>
        <w:tc>
          <w:tcPr>
            <w:tcW w:w="3380" w:type="dxa"/>
            <w:vAlign w:val="bottom"/>
          </w:tcPr>
          <w:p>
            <w:pPr>
              <w:spacing w:after="0"/>
              <w:rPr>
                <w:sz w:val="17"/>
                <w:szCs w:val="17"/>
                <w:color w:val="auto"/>
              </w:rPr>
            </w:pP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55,053</w:t>
            </w:r>
          </w:p>
        </w:tc>
        <w:tc>
          <w:tcPr>
            <w:tcW w:w="28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52,043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740" w:type="dxa"/>
            <w:vAlign w:val="bottom"/>
          </w:tcPr>
          <w:p>
            <w:pPr>
              <w:ind w:left="660"/>
              <w:spacing w:after="0"/>
              <w:rPr>
                <w:sz w:val="20"/>
                <w:szCs w:val="20"/>
                <w:color w:val="auto"/>
              </w:rPr>
            </w:pPr>
            <w:r>
              <w:rPr>
                <w:rFonts w:ascii="Arial" w:cs="Arial" w:eastAsia="Arial" w:hAnsi="Arial"/>
                <w:sz w:val="20"/>
                <w:szCs w:val="20"/>
                <w:color w:val="auto"/>
              </w:rPr>
              <w:t>Finished goods</w:t>
            </w:r>
          </w:p>
        </w:tc>
        <w:tc>
          <w:tcPr>
            <w:tcW w:w="3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110,876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104,078</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165,929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156,121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380" w:type="dxa"/>
            <w:vAlign w:val="bottom"/>
            <w:vMerge w:val="restart"/>
          </w:tcPr>
          <w:p>
            <w:pPr>
              <w:jc w:val="right"/>
              <w:ind w:right="123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20"/>
                <w:szCs w:val="20"/>
                <w:color w:val="auto"/>
              </w:rPr>
              <w:t>March 31,</w:t>
            </w:r>
          </w:p>
        </w:tc>
        <w:tc>
          <w:tcPr>
            <w:tcW w:w="146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646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6460" w:type="dxa"/>
            <w:vAlign w:val="bottom"/>
            <w:vMerge w:val="continue"/>
          </w:tcPr>
          <w:p>
            <w:pPr>
              <w:spacing w:after="0"/>
              <w:rPr>
                <w:sz w:val="17"/>
                <w:szCs w:val="17"/>
                <w:color w:val="auto"/>
              </w:rPr>
            </w:pP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spacing w:after="0" w:line="207" w:lineRule="exact"/>
              <w:rPr>
                <w:sz w:val="20"/>
                <w:szCs w:val="20"/>
                <w:color w:val="auto"/>
              </w:rPr>
            </w:pPr>
            <w:r>
              <w:rPr>
                <w:rFonts w:ascii="Arial" w:cs="Arial" w:eastAsia="Arial" w:hAnsi="Arial"/>
                <w:sz w:val="20"/>
                <w:szCs w:val="20"/>
                <w:color w:val="auto"/>
              </w:rPr>
              <w:t>6,792</w:t>
            </w:r>
          </w:p>
        </w:tc>
        <w:tc>
          <w:tcPr>
            <w:tcW w:w="28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07" w:lineRule="exact"/>
              <w:rPr>
                <w:sz w:val="20"/>
                <w:szCs w:val="20"/>
                <w:color w:val="auto"/>
              </w:rPr>
            </w:pPr>
            <w:r>
              <w:rPr>
                <w:rFonts w:ascii="Arial" w:cs="Arial" w:eastAsia="Arial" w:hAnsi="Arial"/>
                <w:sz w:val="20"/>
                <w:szCs w:val="20"/>
                <w:color w:val="auto"/>
              </w:rPr>
              <w:t>6,792</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Leasehold improvements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2,862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2,804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Furniture and fixtures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3,551</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10,639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11,080</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Computer software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2,672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2,530</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97,124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93,465</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Buildings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40,043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39,848</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0"/>
                <w:szCs w:val="20"/>
                <w:color w:val="auto"/>
              </w:rPr>
            </w:pPr>
            <w:r>
              <w:rPr>
                <w:rFonts w:ascii="Arial" w:cs="Arial" w:eastAsia="Arial" w:hAnsi="Arial"/>
                <w:sz w:val="20"/>
                <w:szCs w:val="20"/>
                <w:color w:val="auto"/>
              </w:rPr>
              <w:t>Vehicles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30,256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29,804</w:t>
            </w:r>
          </w:p>
        </w:tc>
        <w:tc>
          <w:tcPr>
            <w:tcW w:w="0" w:type="dxa"/>
            <w:vAlign w:val="bottom"/>
          </w:tcPr>
          <w:p>
            <w:pPr>
              <w:spacing w:after="0"/>
              <w:rPr>
                <w:sz w:val="1"/>
                <w:szCs w:val="1"/>
                <w:color w:val="auto"/>
              </w:rPr>
            </w:pPr>
          </w:p>
        </w:tc>
      </w:tr>
      <w:tr>
        <w:trPr>
          <w:trHeight w:val="206"/>
        </w:trPr>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207" w:lineRule="exact"/>
              <w:rPr>
                <w:sz w:val="20"/>
                <w:szCs w:val="20"/>
                <w:color w:val="auto"/>
              </w:rPr>
            </w:pPr>
            <w:r>
              <w:rPr>
                <w:rFonts w:ascii="Arial" w:cs="Arial" w:eastAsia="Arial" w:hAnsi="Arial"/>
                <w:sz w:val="20"/>
                <w:szCs w:val="20"/>
                <w:color w:val="auto"/>
              </w:rPr>
              <w:t>193,987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7" w:lineRule="exact"/>
              <w:rPr>
                <w:sz w:val="20"/>
                <w:szCs w:val="20"/>
                <w:color w:val="auto"/>
              </w:rPr>
            </w:pPr>
            <w:r>
              <w:rPr>
                <w:rFonts w:ascii="Arial" w:cs="Arial" w:eastAsia="Arial" w:hAnsi="Arial"/>
                <w:sz w:val="20"/>
                <w:szCs w:val="20"/>
                <w:color w:val="auto"/>
              </w:rPr>
              <w:t>189,874</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(94,730)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(92,520)</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99,257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97,354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three-months ended March 31, 2016 by reportable segment: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Finished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00" w:type="dxa"/>
            <w:vAlign w:val="bottom"/>
            <w:vMerge w:val="restart"/>
          </w:tcPr>
          <w:p>
            <w:pPr>
              <w:spacing w:after="0"/>
              <w:rPr>
                <w:sz w:val="20"/>
                <w:szCs w:val="20"/>
                <w:color w:val="auto"/>
              </w:rPr>
            </w:pPr>
            <w:r>
              <w:rPr>
                <w:rFonts w:ascii="Arial" w:cs="Arial" w:eastAsia="Arial" w:hAnsi="Arial"/>
                <w:sz w:val="20"/>
                <w:szCs w:val="20"/>
                <w:color w:val="auto"/>
              </w:rPr>
              <w:t>Balance at December 31, 2015</w:t>
            </w:r>
          </w:p>
        </w:tc>
        <w:tc>
          <w:tcPr>
            <w:tcW w:w="28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Products</w:t>
            </w:r>
          </w:p>
        </w:tc>
        <w:tc>
          <w:tcPr>
            <w:tcW w:w="80" w:type="dxa"/>
            <w:vAlign w:val="bottom"/>
          </w:tcPr>
          <w:p>
            <w:pPr>
              <w:spacing w:after="0"/>
              <w:rPr>
                <w:sz w:val="21"/>
                <w:szCs w:val="21"/>
                <w:color w:val="auto"/>
              </w:rPr>
            </w:pPr>
          </w:p>
        </w:tc>
        <w:tc>
          <w:tcPr>
            <w:tcW w:w="1540" w:type="dxa"/>
            <w:vAlign w:val="bottom"/>
            <w:gridSpan w:val="4"/>
          </w:tcPr>
          <w:p>
            <w:pPr>
              <w:ind w:left="100"/>
              <w:spacing w:after="0"/>
              <w:rPr>
                <w:sz w:val="20"/>
                <w:szCs w:val="20"/>
                <w:color w:val="auto"/>
              </w:rPr>
            </w:pPr>
            <w:r>
              <w:rPr>
                <w:rFonts w:ascii="Arial" w:cs="Arial" w:eastAsia="Arial" w:hAnsi="Arial"/>
                <w:sz w:val="20"/>
                <w:szCs w:val="20"/>
                <w:color w:val="auto"/>
              </w:rPr>
              <w:t>Concentrate</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20"/>
                <w:szCs w:val="20"/>
                <w:color w:val="auto"/>
                <w:w w:val="89"/>
              </w:rPr>
              <w:t>Total</w:t>
            </w:r>
          </w:p>
        </w:tc>
        <w:tc>
          <w:tcPr>
            <w:tcW w:w="0" w:type="dxa"/>
            <w:vAlign w:val="bottom"/>
          </w:tcPr>
          <w:p>
            <w:pPr>
              <w:spacing w:after="0"/>
              <w:rPr>
                <w:sz w:val="1"/>
                <w:szCs w:val="1"/>
                <w:color w:val="auto"/>
              </w:rPr>
            </w:pPr>
          </w:p>
        </w:tc>
      </w:tr>
      <w:tr>
        <w:trPr>
          <w:trHeight w:val="206"/>
        </w:trPr>
        <w:tc>
          <w:tcPr>
            <w:tcW w:w="470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641,716</w:t>
            </w:r>
          </w:p>
        </w:tc>
        <w:tc>
          <w:tcPr>
            <w:tcW w:w="300" w:type="dxa"/>
            <w:vAlign w:val="bottom"/>
          </w:tcPr>
          <w:p>
            <w:pPr>
              <w:spacing w:after="0"/>
              <w:rPr>
                <w:sz w:val="17"/>
                <w:szCs w:val="17"/>
                <w:color w:val="auto"/>
              </w:rPr>
            </w:pPr>
          </w:p>
        </w:tc>
        <w:tc>
          <w:tcPr>
            <w:tcW w:w="360" w:type="dxa"/>
            <w:vAlign w:val="bottom"/>
            <w:tcBorders>
              <w:top w:val="single" w:sz="8" w:color="auto"/>
            </w:tcBorders>
            <w:gridSpan w:val="2"/>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637,999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89"/>
              </w:rPr>
              <w:t>1,279,715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r>
              <w:rPr>
                <w:rFonts w:ascii="Arial" w:cs="Arial" w:eastAsia="Arial" w:hAnsi="Arial"/>
                <w:sz w:val="20"/>
                <w:szCs w:val="20"/>
                <w:color w:val="auto"/>
              </w:rPr>
              <w:t>Acquisitions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line="220" w:lineRule="exact"/>
              <w:rPr>
                <w:sz w:val="20"/>
                <w:szCs w:val="20"/>
                <w:color w:val="auto"/>
              </w:rPr>
            </w:pPr>
            <w:r>
              <w:rPr>
                <w:rFonts w:ascii="Arial" w:cs="Arial" w:eastAsia="Arial" w:hAnsi="Arial"/>
                <w:sz w:val="20"/>
                <w:szCs w:val="20"/>
                <w:color w:val="auto"/>
              </w:rPr>
              <w:t>Balance at March 31, 2016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641,716</w:t>
            </w:r>
          </w:p>
        </w:tc>
        <w:tc>
          <w:tcPr>
            <w:tcW w:w="3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637,999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1,279,715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20"/>
                <w:szCs w:val="20"/>
                <w:color w:val="auto"/>
              </w:rPr>
              <w:t>March 31,</w:t>
            </w:r>
          </w:p>
        </w:tc>
        <w:tc>
          <w:tcPr>
            <w:tcW w:w="240" w:type="dxa"/>
            <w:vAlign w:val="bottom"/>
          </w:tcPr>
          <w:p>
            <w:pPr>
              <w:spacing w:after="0"/>
              <w:rPr>
                <w:sz w:val="24"/>
                <w:szCs w:val="24"/>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470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2016</w:t>
            </w:r>
          </w:p>
        </w:tc>
        <w:tc>
          <w:tcPr>
            <w:tcW w:w="2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2015</w:t>
            </w:r>
          </w:p>
        </w:tc>
        <w:tc>
          <w:tcPr>
            <w:tcW w:w="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00"/>
              <w:spacing w:after="0" w:line="207" w:lineRule="exact"/>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80"/>
              <w:spacing w:after="0" w:line="207" w:lineRule="exact"/>
              <w:rPr>
                <w:sz w:val="20"/>
                <w:szCs w:val="20"/>
                <w:color w:val="auto"/>
              </w:rPr>
            </w:pPr>
            <w:r>
              <w:rPr>
                <w:rFonts w:ascii="Arial" w:cs="Arial" w:eastAsia="Arial" w:hAnsi="Arial"/>
                <w:sz w:val="20"/>
                <w:szCs w:val="20"/>
                <w:color w:val="auto"/>
              </w:rPr>
              <w:t>35,286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80"/>
              <w:spacing w:after="0" w:line="207" w:lineRule="exact"/>
              <w:rPr>
                <w:sz w:val="20"/>
                <w:szCs w:val="20"/>
                <w:color w:val="auto"/>
              </w:rPr>
            </w:pPr>
            <w:r>
              <w:rPr>
                <w:rFonts w:ascii="Arial" w:cs="Arial" w:eastAsia="Arial" w:hAnsi="Arial"/>
                <w:sz w:val="20"/>
                <w:szCs w:val="20"/>
                <w:color w:val="auto"/>
              </w:rPr>
              <w:t>35,263</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(5,651)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(3,899)</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80"/>
              <w:spacing w:after="0" w:line="207" w:lineRule="exact"/>
              <w:rPr>
                <w:sz w:val="20"/>
                <w:szCs w:val="20"/>
                <w:color w:val="auto"/>
              </w:rPr>
            </w:pPr>
            <w:r>
              <w:rPr>
                <w:rFonts w:ascii="Arial" w:cs="Arial" w:eastAsia="Arial" w:hAnsi="Arial"/>
                <w:sz w:val="20"/>
                <w:szCs w:val="20"/>
                <w:color w:val="auto"/>
              </w:rPr>
              <w:t>29,635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80"/>
              <w:spacing w:after="0" w:line="207" w:lineRule="exact"/>
              <w:rPr>
                <w:sz w:val="20"/>
                <w:szCs w:val="20"/>
                <w:color w:val="auto"/>
              </w:rPr>
            </w:pPr>
            <w:r>
              <w:rPr>
                <w:rFonts w:ascii="Arial" w:cs="Arial" w:eastAsia="Arial" w:hAnsi="Arial"/>
                <w:sz w:val="20"/>
                <w:szCs w:val="20"/>
                <w:color w:val="auto"/>
              </w:rPr>
              <w:t>31,364</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398,943</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396,622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gridSpan w:val="2"/>
          </w:tcPr>
          <w:p>
            <w:pPr>
              <w:jc w:val="right"/>
              <w:ind w:right="80"/>
              <w:spacing w:after="0" w:line="223" w:lineRule="exact"/>
              <w:rPr>
                <w:sz w:val="20"/>
                <w:szCs w:val="20"/>
                <w:color w:val="auto"/>
              </w:rPr>
            </w:pPr>
            <w:r>
              <w:rPr>
                <w:rFonts w:ascii="Arial" w:cs="Arial" w:eastAsia="Arial" w:hAnsi="Arial"/>
                <w:sz w:val="20"/>
                <w:szCs w:val="20"/>
                <w:color w:val="auto"/>
              </w:rPr>
              <w:t>428,578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gridSpan w:val="2"/>
          </w:tcPr>
          <w:p>
            <w:pPr>
              <w:jc w:val="right"/>
              <w:ind w:right="80"/>
              <w:spacing w:after="0" w:line="223" w:lineRule="exact"/>
              <w:rPr>
                <w:sz w:val="20"/>
                <w:szCs w:val="20"/>
                <w:color w:val="auto"/>
              </w:rPr>
            </w:pPr>
            <w:r>
              <w:rPr>
                <w:rFonts w:ascii="Arial" w:cs="Arial" w:eastAsia="Arial" w:hAnsi="Arial"/>
                <w:sz w:val="20"/>
                <w:szCs w:val="20"/>
                <w:color w:val="auto"/>
              </w:rPr>
              <w:t>427,986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60"/>
          </w:cols>
          <w:pgMar w:left="240" w:top="717" w:right="199" w:bottom="0" w:gutter="0" w:footer="0" w:header="0"/>
        </w:sectPr>
      </w:pPr>
    </w:p>
    <w:bookmarkStart w:id="11" w:name="page12"/>
    <w:bookmarkEnd w:id="11"/>
    <w:p>
      <w:pPr>
        <w:jc w:val="both"/>
        <w:ind w:firstLine="648"/>
        <w:spacing w:after="0" w:line="246"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5 years. Total amortization expense recorded was $1.8 million and $0.001 million for the three-months ended March 31, 2016 and 2015, respectively.</w:t>
      </w:r>
    </w:p>
    <w:p>
      <w:pPr>
        <w:spacing w:after="0" w:line="20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Company incurred termination costs of $3.4 million and $206.0 million for the three-months ended March 31, 2016 and 2015,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Such termination costs have been expensed in full and are included in operating expenses for the three-months ended March 31, 2016 and 2015.</w:t>
      </w:r>
    </w:p>
    <w:p>
      <w:pPr>
        <w:spacing w:after="0" w:line="2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$8.2 million and $43.3 million for the three-months ended March 31, 2016 and 2015, respectively. Included in the $43.3 million of revenue recognized for the three-months ended March 31, 2015 was $39.8 million related to the accelerated amortization of the deferred revenue balances associated with certain of the Company’s prior distributors who were sent notices of termination during the first quarter of 2015.</w:t>
      </w:r>
    </w:p>
    <w:p>
      <w:pPr>
        <w:spacing w:after="0" w:line="207"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$33.6 million at March 31, 2016,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$106.3 million at March 31, 2016,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$11.1 million at March 31, 2016, which related primarily to warehouse and office space.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numerous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San Francisco City Attorney Litigation </w:t>
      </w:r>
      <w:r>
        <w:rPr>
          <w:rFonts w:ascii="Arial" w:cs="Arial" w:eastAsia="Arial" w:hAnsi="Arial"/>
          <w:sz w:val="20"/>
          <w:szCs w:val="20"/>
          <w:color w:val="auto"/>
        </w:rPr>
        <w:t>– On October 31, 2012, the Company received a written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2" w:right="239" w:bottom="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8"/>
          <w:szCs w:val="18"/>
          <w:color w:val="auto"/>
        </w:rPr>
        <w:t>request for information from the City 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products to lower the caffeine content to safe levels” - (ii) “Provide adequate warning labels”;</w:t>
      </w:r>
    </w:p>
    <w:p>
      <w:pPr>
        <w:spacing w:after="0" w:line="3" w:lineRule="exact"/>
        <w:rPr>
          <w:sz w:val="20"/>
          <w:szCs w:val="20"/>
          <w:color w:val="auto"/>
        </w:rPr>
      </w:pPr>
    </w:p>
    <w:p>
      <w:pPr>
        <w:ind w:firstLine="8"/>
        <w:spacing w:after="0" w:line="244" w:lineRule="auto"/>
        <w:tabs>
          <w:tab w:leader="none" w:pos="3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“Cease promoting over-consumption in marketing”; (iv) “Cease use of alcohol and drug references in marketing”; and (v) “Cease targeting minors.”</w:t>
      </w:r>
    </w:p>
    <w:p>
      <w:pPr>
        <w:spacing w:after="0" w:line="205" w:lineRule="exact"/>
        <w:rPr>
          <w:rFonts w:ascii="Arial" w:cs="Arial" w:eastAsia="Arial" w:hAnsi="Arial"/>
          <w:sz w:val="20"/>
          <w:szCs w:val="20"/>
          <w:color w:val="auto"/>
        </w:rPr>
      </w:pPr>
    </w:p>
    <w:p>
      <w:pPr>
        <w:jc w:val="both"/>
        <w:ind w:firstLine="656"/>
        <w:spacing w:after="0" w:line="255" w:lineRule="auto"/>
        <w:tabs>
          <w:tab w:leader="none" w:pos="912"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 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The appeal was argued before the Ninth Circuit on April 7, 2016, and taken under submission.</w:t>
      </w:r>
    </w:p>
    <w:p>
      <w:pPr>
        <w:spacing w:after="0" w:line="198" w:lineRule="exact"/>
        <w:rPr>
          <w:rFonts w:ascii="Arial" w:cs="Arial" w:eastAsia="Arial" w:hAnsi="Arial"/>
          <w:sz w:val="19"/>
          <w:szCs w:val="19"/>
          <w:color w:val="auto"/>
        </w:rPr>
      </w:pPr>
    </w:p>
    <w:p>
      <w:pPr>
        <w:jc w:val="both"/>
        <w:ind w:firstLine="656"/>
        <w:spacing w:after="0" w:line="269" w:lineRule="auto"/>
        <w:tabs>
          <w:tab w:leader="none" w:pos="9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3"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brand energy drinks, pending resolution of the ongoing U.S. Food and Drug Administration (“FDA”) investigation of the safety and labeling of food products to which caffeine is added. On May 22, 2014, the Court denied the Company’s motion to strike and motion to bifurcate and/or stay claims relating to safety.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September 5, 2014, the City Attorney filed a second amended complaint, adding Monster Energy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Company as a defendant. The Company and Monster Energy Company filed answers to the second amended complaint on October 4, 2014 and November 10, 2014, respectively. Discovery is ongoing.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bench trial which is scheduled to take place April 10-21, 2017.</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20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w:t>
      </w:r>
    </w:p>
    <w:p>
      <w:pPr>
        <w:sectPr>
          <w:pgSz w:w="11900" w:h="16838" w:orient="portrait"/>
          <w:cols w:equalWidth="0" w:num="1">
            <w:col w:w="11420"/>
          </w:cols>
          <w:pgMar w:left="240" w:top="352" w:right="239" w:bottom="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9"/>
          <w:szCs w:val="19"/>
          <w:color w:val="auto"/>
        </w:rPr>
        <w:t>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March 31, 2016, the Company’s condensed consolidated balance sheet includes accrued loss contingencies of approximately $0.3 million.</w:t>
      </w:r>
    </w:p>
    <w:p>
      <w:pPr>
        <w:spacing w:after="0" w:line="17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3"/>
          <w:szCs w:val="23"/>
          <w:color w:val="auto"/>
        </w:rPr>
      </w:pPr>
      <w:r>
        <w:rPr>
          <w:rFonts w:ascii="Arial" w:cs="Arial" w:eastAsia="Arial" w:hAnsi="Arial"/>
          <w:sz w:val="20"/>
          <w:szCs w:val="20"/>
          <w:color w:val="auto"/>
        </w:rPr>
        <w:t>ACCUMULATED OTHER COMPREHENSIVE LOSS</w:t>
      </w:r>
    </w:p>
    <w:p>
      <w:pPr>
        <w:spacing w:after="0" w:line="222" w:lineRule="exact"/>
        <w:rPr>
          <w:rFonts w:ascii="Arial" w:cs="Arial" w:eastAsia="Arial" w:hAnsi="Arial"/>
          <w:sz w:val="23"/>
          <w:szCs w:val="23"/>
          <w:color w:val="auto"/>
        </w:rPr>
      </w:pPr>
    </w:p>
    <w:p>
      <w:pPr>
        <w:ind w:left="660"/>
        <w:spacing w:after="0"/>
        <w:rPr>
          <w:rFonts w:ascii="Arial" w:cs="Arial" w:eastAsia="Arial" w:hAnsi="Arial"/>
          <w:sz w:val="23"/>
          <w:szCs w:val="23"/>
          <w:color w:val="auto"/>
        </w:rPr>
      </w:pPr>
      <w:r>
        <w:rPr>
          <w:rFonts w:ascii="Arial" w:cs="Arial" w:eastAsia="Arial" w:hAnsi="Arial"/>
          <w:sz w:val="16"/>
          <w:szCs w:val="16"/>
          <w:color w:val="auto"/>
        </w:rPr>
        <w:t>Changes in accumulated other comprehensive loss by component, after tax, for the three-months ended March 31, 2016 are as follows: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ind w:right="142"/>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ind w:right="142"/>
              <w:spacing w:after="0"/>
              <w:rPr>
                <w:sz w:val="20"/>
                <w:szCs w:val="20"/>
                <w:color w:val="auto"/>
              </w:rPr>
            </w:pPr>
            <w:r>
              <w:rPr>
                <w:rFonts w:ascii="Arial" w:cs="Arial" w:eastAsia="Arial" w:hAnsi="Arial"/>
                <w:sz w:val="20"/>
                <w:szCs w:val="20"/>
                <w:color w:val="auto"/>
                <w:w w:val="90"/>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85"/>
              </w:rPr>
              <w:t>Losses</w:t>
            </w:r>
          </w:p>
        </w:tc>
        <w:tc>
          <w:tcPr>
            <w:tcW w:w="0" w:type="dxa"/>
            <w:vAlign w:val="bottom"/>
          </w:tcPr>
          <w:p>
            <w:pPr>
              <w:spacing w:after="0"/>
              <w:rPr>
                <w:sz w:val="1"/>
                <w:szCs w:val="1"/>
                <w:color w:val="auto"/>
              </w:rPr>
            </w:pPr>
          </w:p>
        </w:tc>
      </w:tr>
      <w:tr>
        <w:trPr>
          <w:trHeight w:val="314"/>
        </w:trPr>
        <w:tc>
          <w:tcPr>
            <w:tcW w:w="440" w:type="dxa"/>
            <w:vAlign w:val="bottom"/>
          </w:tcPr>
          <w:p>
            <w:pPr>
              <w:spacing w:after="0"/>
              <w:rPr>
                <w:sz w:val="24"/>
                <w:szCs w:val="24"/>
                <w:color w:val="auto"/>
              </w:rPr>
            </w:pPr>
          </w:p>
        </w:tc>
        <w:tc>
          <w:tcPr>
            <w:tcW w:w="6180" w:type="dxa"/>
            <w:vAlign w:val="bottom"/>
          </w:tcPr>
          <w:p>
            <w:pPr>
              <w:ind w:left="860"/>
              <w:spacing w:after="0"/>
              <w:rPr>
                <w:sz w:val="20"/>
                <w:szCs w:val="20"/>
                <w:color w:val="auto"/>
              </w:rPr>
            </w:pPr>
            <w:r>
              <w:rPr>
                <w:rFonts w:ascii="Arial" w:cs="Arial" w:eastAsia="Arial" w:hAnsi="Arial"/>
                <w:sz w:val="20"/>
                <w:szCs w:val="20"/>
                <w:color w:val="auto"/>
              </w:rPr>
              <w:t>Balance at December 31, 2015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21,878</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180" w:type="dxa"/>
            <w:vAlign w:val="bottom"/>
          </w:tcPr>
          <w:p>
            <w:pPr>
              <w:ind w:left="1040"/>
              <w:spacing w:after="0"/>
              <w:rPr>
                <w:sz w:val="20"/>
                <w:szCs w:val="20"/>
                <w:color w:val="auto"/>
              </w:rPr>
            </w:pPr>
            <w:r>
              <w:rPr>
                <w:rFonts w:ascii="Arial" w:cs="Arial" w:eastAsia="Arial" w:hAnsi="Arial"/>
                <w:sz w:val="20"/>
                <w:szCs w:val="20"/>
                <w:color w:val="auto"/>
              </w:rPr>
              <w:t>Other comprehensive (gain) before reclassifications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180" w:type="dxa"/>
            <w:vAlign w:val="bottom"/>
          </w:tcPr>
          <w:p>
            <w:pPr>
              <w:ind w:left="1040"/>
              <w:spacing w:after="0"/>
              <w:rPr>
                <w:sz w:val="20"/>
                <w:szCs w:val="20"/>
                <w:color w:val="auto"/>
              </w:rPr>
            </w:pPr>
            <w:r>
              <w:rPr>
                <w:rFonts w:ascii="Arial" w:cs="Arial" w:eastAsia="Arial" w:hAnsi="Arial"/>
                <w:sz w:val="20"/>
                <w:szCs w:val="20"/>
                <w:color w:val="auto"/>
              </w:rPr>
              <w:t>Amounts reclassified from accumulated  other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180" w:type="dxa"/>
            <w:vAlign w:val="bottom"/>
          </w:tcPr>
          <w:p>
            <w:pPr>
              <w:ind w:left="1220"/>
              <w:spacing w:after="0"/>
              <w:rPr>
                <w:sz w:val="20"/>
                <w:szCs w:val="20"/>
                <w:color w:val="auto"/>
              </w:rPr>
            </w:pPr>
            <w:r>
              <w:rPr>
                <w:rFonts w:ascii="Arial" w:cs="Arial" w:eastAsia="Arial" w:hAnsi="Arial"/>
                <w:sz w:val="20"/>
                <w:szCs w:val="20"/>
                <w:color w:val="auto"/>
              </w:rPr>
              <w:t>comprehensive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6180" w:type="dxa"/>
            <w:vAlign w:val="bottom"/>
          </w:tcPr>
          <w:p>
            <w:pPr>
              <w:ind w:left="1040"/>
              <w:spacing w:after="0"/>
              <w:rPr>
                <w:sz w:val="20"/>
                <w:szCs w:val="20"/>
                <w:color w:val="auto"/>
              </w:rPr>
            </w:pPr>
            <w:r>
              <w:rPr>
                <w:rFonts w:ascii="Arial" w:cs="Arial" w:eastAsia="Arial" w:hAnsi="Arial"/>
                <w:sz w:val="20"/>
                <w:szCs w:val="20"/>
                <w:color w:val="auto"/>
              </w:rPr>
              <w:t>Net current-period other comprehensive (gain)</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180" w:type="dxa"/>
            <w:vAlign w:val="bottom"/>
          </w:tcPr>
          <w:p>
            <w:pPr>
              <w:ind w:left="860"/>
              <w:spacing w:after="0" w:line="220" w:lineRule="exact"/>
              <w:rPr>
                <w:sz w:val="20"/>
                <w:szCs w:val="20"/>
                <w:color w:val="auto"/>
              </w:rPr>
            </w:pPr>
            <w:r>
              <w:rPr>
                <w:rFonts w:ascii="Arial" w:cs="Arial" w:eastAsia="Arial" w:hAnsi="Arial"/>
                <w:sz w:val="20"/>
                <w:szCs w:val="20"/>
                <w:color w:val="auto"/>
              </w:rPr>
              <w:t>Balance at March 31, 2016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15,443</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13.</w:t>
            </w:r>
          </w:p>
        </w:tc>
        <w:tc>
          <w:tcPr>
            <w:tcW w:w="6180" w:type="dxa"/>
            <w:vAlign w:val="bottom"/>
            <w:vMerge w:val="restart"/>
          </w:tcPr>
          <w:p>
            <w:pPr>
              <w:ind w:left="200"/>
              <w:spacing w:after="0"/>
              <w:rPr>
                <w:sz w:val="20"/>
                <w:szCs w:val="20"/>
                <w:color w:val="auto"/>
              </w:rPr>
            </w:pPr>
            <w:r>
              <w:rPr>
                <w:rFonts w:ascii="Arial" w:cs="Arial" w:eastAsia="Arial" w:hAnsi="Arial"/>
                <w:sz w:val="20"/>
                <w:szCs w:val="20"/>
                <w:color w:val="auto"/>
              </w:rPr>
              <w:t>TREASURY STOCK</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6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24, 2016, the Company’s Board of Directors authorized a repurchase program of up to $1.75 billion of the Company’s outstanding common stock (the “February 2016 Repurchase Plan”). During the three-months ended March 31, 2016, no shares were purchased under the February 2016 Repurchase Plan.</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September 11, 2015, the Company’s Board of Directors authorized a share repurchase program for the repurchase of up to $500.0 million of the Company’s outstanding common stock (the “September 2015 Repurchase Plan”). As of March 31, 2016, $250.0 million remained available under the September 2015 Repurchase Plan. During the three-months ended March 31, 2016, no shares were purchased under the September 2015 Repurchase Plan. During the year ended December 31, 2015, the Company purchased 1.9 million shares of common stock at an average purchase price of $134.26 per share, for a total amount of $250.0 million (excluding broker commissions), under the September 2015 Repurchase Plan.</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three-months ended March 31, 2016, 15,277 shares were purchased from employees in lieu of cash payments for options exercised or withholding taxes due for a total amount of $2.0 million. While such purchases are considered common stock repurchases, they are not counted as purchases against the Company’s authorized share repurchase programs, including the September 2015 Repurchase Plan or the February 2016 Repurchase Plan. Such shares are included in common stock in treasury in the accompanying condensed consolidated balance sheet at March 31, 2016.</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April 28, 2016, the Board of Directors authorized the Company to commence a “modified Dutch auction” tender offer to repurchase up to $2.0 billion of its outstanding shares of common stock. The repurchase of these shares is authorized under the Company’s existing share repurchase authority and will be funded with cash on hand. The Company anticipates commencing the tender offer in May 2016. Details of the tender offer, including the offer price, conditions, potential participation by management and other terms, will be set forth in the offering materials to be distributed to shareholders upon commencement of the tender offer.</w:t>
      </w:r>
    </w:p>
    <w:p>
      <w:pPr>
        <w:spacing w:after="0" w:line="194"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STOCK-BASED COMPENSATION</w:t>
      </w:r>
    </w:p>
    <w:p>
      <w:pPr>
        <w:sectPr>
          <w:pgSz w:w="11900" w:h="16838" w:orient="portrait"/>
          <w:cols w:equalWidth="0" w:num="1">
            <w:col w:w="11420"/>
          </w:cols>
          <w:pgMar w:left="240" w:top="122" w:right="239" w:bottom="268" w:gutter="0" w:footer="0" w:header="0"/>
        </w:sectPr>
      </w:pPr>
    </w:p>
    <w:bookmarkStart w:id="14" w:name="page15"/>
    <w:bookmarkEnd w:id="14"/>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March 31, 2016: the Monster Beverage Corporation 2011 Omnibus Incentive Plan (the “2011 Omnibus Incentive Plan”) and the 2009 Monster Beverage Corporation Stock Incentive Plan for Non-Employee Directors (the “2009 Directors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 recorded $10.1 million and $6.4 million of compensation expense relating to outstanding options, restricted stock awards, stock appreciation rights and restricted stock units during the three-months ended March 31, 2016 and 2015, respectively.</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vesting of restricted stock units and restricted stock awards for the three-months ended March 31, 2016 and 2015 was $1.6 million and $184.7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March 31, 2016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00" w:lineRule="exact"/>
        <w:rPr>
          <w:sz w:val="20"/>
          <w:szCs w:val="20"/>
          <w:color w:val="auto"/>
        </w:rPr>
      </w:pP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3260" w:type="dxa"/>
            <w:vAlign w:val="bottom"/>
          </w:tcPr>
          <w:p>
            <w:pPr>
              <w:spacing w:after="0"/>
              <w:rPr>
                <w:sz w:val="21"/>
                <w:szCs w:val="21"/>
                <w:color w:val="auto"/>
              </w:rPr>
            </w:pPr>
          </w:p>
        </w:tc>
        <w:tc>
          <w:tcPr>
            <w:tcW w:w="348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20"/>
                <w:szCs w:val="20"/>
                <w:color w:val="auto"/>
              </w:rPr>
              <w:t>Three-Months Ended March 31,</w:t>
            </w:r>
          </w:p>
        </w:tc>
        <w:tc>
          <w:tcPr>
            <w:tcW w:w="0" w:type="dxa"/>
            <w:vAlign w:val="bottom"/>
          </w:tcPr>
          <w:p>
            <w:pPr>
              <w:spacing w:after="0"/>
              <w:rPr>
                <w:sz w:val="1"/>
                <w:szCs w:val="1"/>
                <w:color w:val="auto"/>
              </w:rPr>
            </w:pPr>
          </w:p>
        </w:tc>
      </w:tr>
      <w:tr>
        <w:trPr>
          <w:trHeight w:val="223"/>
        </w:trPr>
        <w:tc>
          <w:tcPr>
            <w:tcW w:w="326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6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3260" w:type="dxa"/>
            <w:vAlign w:val="bottom"/>
            <w:vMerge w:val="continue"/>
          </w:tcPr>
          <w:p>
            <w:pPr>
              <w:spacing w:after="0"/>
              <w:rPr>
                <w:sz w:val="17"/>
                <w:szCs w:val="17"/>
                <w:color w:val="auto"/>
              </w:rPr>
            </w:pPr>
          </w:p>
        </w:tc>
        <w:tc>
          <w:tcPr>
            <w:tcW w:w="160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0.0%</w:t>
            </w:r>
          </w:p>
        </w:tc>
        <w:tc>
          <w:tcPr>
            <w:tcW w:w="300" w:type="dxa"/>
            <w:vAlign w:val="bottom"/>
          </w:tcPr>
          <w:p>
            <w:pPr>
              <w:spacing w:after="0"/>
              <w:rPr>
                <w:sz w:val="17"/>
                <w:szCs w:val="17"/>
                <w:color w:val="auto"/>
              </w:rPr>
            </w:pPr>
          </w:p>
        </w:tc>
        <w:tc>
          <w:tcPr>
            <w:tcW w:w="1580" w:type="dxa"/>
            <w:vAlign w:val="bottom"/>
          </w:tcPr>
          <w:p>
            <w:pPr>
              <w:jc w:val="right"/>
              <w:ind w:right="28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Expected volatility</w:t>
            </w:r>
          </w:p>
        </w:tc>
        <w:tc>
          <w:tcPr>
            <w:tcW w:w="1600" w:type="dxa"/>
            <w:vAlign w:val="bottom"/>
          </w:tcPr>
          <w:p>
            <w:pPr>
              <w:jc w:val="right"/>
              <w:ind w:right="241"/>
              <w:spacing w:after="0"/>
              <w:rPr>
                <w:sz w:val="20"/>
                <w:szCs w:val="20"/>
                <w:color w:val="auto"/>
              </w:rPr>
            </w:pPr>
            <w:r>
              <w:rPr>
                <w:rFonts w:ascii="Arial" w:cs="Arial" w:eastAsia="Arial" w:hAnsi="Arial"/>
                <w:sz w:val="20"/>
                <w:szCs w:val="20"/>
                <w:color w:val="auto"/>
              </w:rPr>
              <w:t>36.2%</w:t>
            </w:r>
          </w:p>
        </w:tc>
        <w:tc>
          <w:tcPr>
            <w:tcW w:w="300" w:type="dxa"/>
            <w:vAlign w:val="bottom"/>
          </w:tcPr>
          <w:p>
            <w:pPr>
              <w:spacing w:after="0"/>
              <w:rPr>
                <w:sz w:val="19"/>
                <w:szCs w:val="19"/>
                <w:color w:val="auto"/>
              </w:rPr>
            </w:pP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600" w:type="dxa"/>
            <w:vAlign w:val="bottom"/>
          </w:tcPr>
          <w:p>
            <w:pPr>
              <w:jc w:val="right"/>
              <w:ind w:right="241"/>
              <w:spacing w:after="0"/>
              <w:rPr>
                <w:sz w:val="20"/>
                <w:szCs w:val="20"/>
                <w:color w:val="auto"/>
              </w:rPr>
            </w:pPr>
            <w:r>
              <w:rPr>
                <w:rFonts w:ascii="Arial" w:cs="Arial" w:eastAsia="Arial" w:hAnsi="Arial"/>
                <w:sz w:val="20"/>
                <w:szCs w:val="20"/>
                <w:color w:val="auto"/>
              </w:rPr>
              <w:t>1.5%</w:t>
            </w:r>
          </w:p>
        </w:tc>
        <w:tc>
          <w:tcPr>
            <w:tcW w:w="300" w:type="dxa"/>
            <w:vAlign w:val="bottom"/>
          </w:tcPr>
          <w:p>
            <w:pPr>
              <w:spacing w:after="0"/>
              <w:rPr>
                <w:sz w:val="19"/>
                <w:szCs w:val="19"/>
                <w:color w:val="auto"/>
              </w:rPr>
            </w:pP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20"/>
                <w:szCs w:val="20"/>
                <w:color w:val="auto"/>
              </w:rPr>
              <w:t>Expected term</w:t>
            </w:r>
          </w:p>
        </w:tc>
        <w:tc>
          <w:tcPr>
            <w:tcW w:w="1900" w:type="dxa"/>
            <w:vAlign w:val="bottom"/>
            <w:gridSpan w:val="2"/>
          </w:tcPr>
          <w:p>
            <w:pPr>
              <w:ind w:left="540"/>
              <w:spacing w:after="0"/>
              <w:rPr>
                <w:sz w:val="20"/>
                <w:szCs w:val="20"/>
                <w:color w:val="auto"/>
              </w:rPr>
            </w:pPr>
            <w:r>
              <w:rPr>
                <w:rFonts w:ascii="Arial" w:cs="Arial" w:eastAsia="Arial" w:hAnsi="Arial"/>
                <w:sz w:val="20"/>
                <w:szCs w:val="20"/>
                <w:color w:val="auto"/>
              </w:rPr>
              <w:t>5.7 years</w:t>
            </w: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5.8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Weighted-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9"/>
              </w:rPr>
              <w:t>Weighted-</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Average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Average</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Remaining</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Number of</w:t>
            </w: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Exercise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Shares (In</w:t>
            </w: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00" w:type="dxa"/>
            <w:vAlign w:val="bottom"/>
          </w:tcPr>
          <w:p>
            <w:pPr>
              <w:spacing w:after="0"/>
              <w:rPr>
                <w:sz w:val="19"/>
                <w:szCs w:val="19"/>
                <w:color w:val="auto"/>
              </w:rPr>
            </w:pPr>
          </w:p>
        </w:tc>
        <w:tc>
          <w:tcPr>
            <w:tcW w:w="1380" w:type="dxa"/>
            <w:vAlign w:val="bottom"/>
          </w:tcPr>
          <w:p>
            <w:pPr>
              <w:jc w:val="center"/>
              <w:ind w:right="101"/>
              <w:spacing w:after="0"/>
              <w:rPr>
                <w:sz w:val="20"/>
                <w:szCs w:val="20"/>
                <w:color w:val="auto"/>
              </w:rPr>
            </w:pPr>
            <w:r>
              <w:rPr>
                <w:rFonts w:ascii="Arial" w:cs="Arial" w:eastAsia="Arial" w:hAnsi="Arial"/>
                <w:sz w:val="20"/>
                <w:szCs w:val="20"/>
                <w:color w:val="auto"/>
                <w:w w:val="88"/>
              </w:rPr>
              <w:t>Aggregate</w:t>
            </w:r>
          </w:p>
        </w:tc>
      </w:tr>
      <w:tr>
        <w:trPr>
          <w:trHeight w:val="246"/>
        </w:trPr>
        <w:tc>
          <w:tcPr>
            <w:tcW w:w="20" w:type="dxa"/>
            <w:vAlign w:val="bottom"/>
          </w:tcPr>
          <w:p>
            <w:pPr>
              <w:spacing w:after="0"/>
              <w:rPr>
                <w:sz w:val="21"/>
                <w:szCs w:val="21"/>
                <w:color w:val="auto"/>
              </w:rPr>
            </w:pPr>
          </w:p>
        </w:tc>
        <w:tc>
          <w:tcPr>
            <w:tcW w:w="4860" w:type="dxa"/>
            <w:vAlign w:val="bottom"/>
            <w:gridSpan w:val="2"/>
          </w:tcPr>
          <w:p>
            <w:pPr>
              <w:ind w:left="1960"/>
              <w:spacing w:after="0"/>
              <w:rPr>
                <w:sz w:val="20"/>
                <w:szCs w:val="20"/>
                <w:color w:val="auto"/>
              </w:rPr>
            </w:pPr>
            <w:r>
              <w:rPr>
                <w:rFonts w:ascii="Arial" w:cs="Arial" w:eastAsia="Arial" w:hAnsi="Arial"/>
                <w:sz w:val="20"/>
                <w:szCs w:val="20"/>
                <w:color w:val="auto"/>
              </w:rPr>
              <w:t>Options</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thousands)</w:t>
            </w: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6"/>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200" w:type="dxa"/>
            <w:vAlign w:val="bottom"/>
          </w:tcPr>
          <w:p>
            <w:pPr>
              <w:spacing w:after="0"/>
              <w:rPr>
                <w:sz w:val="21"/>
                <w:szCs w:val="21"/>
                <w:color w:val="auto"/>
              </w:rPr>
            </w:pPr>
          </w:p>
        </w:tc>
        <w:tc>
          <w:tcPr>
            <w:tcW w:w="1380" w:type="dxa"/>
            <w:vAlign w:val="bottom"/>
          </w:tcPr>
          <w:p>
            <w:pPr>
              <w:jc w:val="center"/>
              <w:ind w:right="10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2016</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6,590</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50.85</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5.6</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646,497</w:t>
            </w:r>
          </w:p>
        </w:tc>
      </w:tr>
      <w:tr>
        <w:trPr>
          <w:trHeight w:val="250"/>
        </w:trPr>
        <w:tc>
          <w:tcPr>
            <w:tcW w:w="20" w:type="dxa"/>
            <w:vAlign w:val="bottom"/>
          </w:tcPr>
          <w:p>
            <w:pPr>
              <w:spacing w:after="0"/>
              <w:rPr>
                <w:sz w:val="21"/>
                <w:szCs w:val="21"/>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Granted 01/01/16 - 03/31/16</w:t>
            </w:r>
          </w:p>
        </w:tc>
        <w:tc>
          <w:tcPr>
            <w:tcW w:w="1380" w:type="dxa"/>
            <w:vAlign w:val="bottom"/>
          </w:tcPr>
          <w:p>
            <w:pPr>
              <w:jc w:val="right"/>
              <w:spacing w:after="0"/>
              <w:rPr>
                <w:sz w:val="20"/>
                <w:szCs w:val="20"/>
                <w:color w:val="auto"/>
              </w:rPr>
            </w:pPr>
            <w:r>
              <w:rPr>
                <w:rFonts w:ascii="Arial" w:cs="Arial" w:eastAsia="Arial" w:hAnsi="Arial"/>
                <w:sz w:val="20"/>
                <w:szCs w:val="20"/>
                <w:color w:val="auto"/>
              </w:rPr>
              <w:t>961</w:t>
            </w:r>
          </w:p>
        </w:tc>
        <w:tc>
          <w:tcPr>
            <w:tcW w:w="2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132.06</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ectPr>
          <w:pgSz w:w="11900" w:h="16838" w:orient="portrait"/>
          <w:cols w:equalWidth="0" w:num="1">
            <w:col w:w="11420"/>
          </w:cols>
          <w:pgMar w:left="240" w:top="122" w:right="239" w:bottom="0" w:gutter="0" w:footer="0" w:header="0"/>
        </w:sectPr>
      </w:pPr>
    </w:p>
    <w:bookmarkStart w:id="15" w:name="page16"/>
    <w:bookmarkEnd w:id="15"/>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ind w:left="40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(110)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01"/>
              <w:spacing w:after="0"/>
              <w:rPr>
                <w:sz w:val="20"/>
                <w:szCs w:val="20"/>
                <w:color w:val="auto"/>
              </w:rPr>
            </w:pPr>
            <w:r>
              <w:rPr>
                <w:rFonts w:ascii="Arial" w:cs="Arial" w:eastAsia="Arial" w:hAnsi="Arial"/>
                <w:sz w:val="20"/>
                <w:szCs w:val="20"/>
                <w:color w:val="auto"/>
              </w:rPr>
              <w:t>37.18</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4880" w:type="dxa"/>
            <w:vAlign w:val="bottom"/>
          </w:tcPr>
          <w:p>
            <w:pPr>
              <w:ind w:left="40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01"/>
              <w:spacing w:after="0"/>
              <w:rPr>
                <w:sz w:val="20"/>
                <w:szCs w:val="20"/>
                <w:color w:val="auto"/>
              </w:rPr>
            </w:pPr>
            <w:r>
              <w:rPr>
                <w:rFonts w:ascii="Arial" w:cs="Arial" w:eastAsia="Arial" w:hAnsi="Arial"/>
                <w:sz w:val="20"/>
                <w:szCs w:val="20"/>
                <w:color w:val="auto"/>
              </w:rPr>
              <w:t>93.05</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3"/>
        </w:trPr>
        <w:tc>
          <w:tcPr>
            <w:tcW w:w="4880" w:type="dxa"/>
            <w:vAlign w:val="bottom"/>
          </w:tcPr>
          <w:p>
            <w:pPr>
              <w:spacing w:after="0" w:line="213" w:lineRule="exact"/>
              <w:rPr>
                <w:sz w:val="20"/>
                <w:szCs w:val="20"/>
                <w:color w:val="auto"/>
              </w:rPr>
            </w:pPr>
            <w:r>
              <w:rPr>
                <w:rFonts w:ascii="Arial" w:cs="Arial" w:eastAsia="Arial" w:hAnsi="Arial"/>
                <w:sz w:val="20"/>
                <w:szCs w:val="20"/>
                <w:color w:val="auto"/>
              </w:rPr>
              <w:t>Outstanding at March 31, 2016</w:t>
            </w:r>
          </w:p>
        </w:tc>
        <w:tc>
          <w:tcPr>
            <w:tcW w:w="1380" w:type="dxa"/>
            <w:vAlign w:val="bottom"/>
          </w:tcPr>
          <w:p>
            <w:pPr>
              <w:jc w:val="right"/>
              <w:spacing w:after="0" w:line="213" w:lineRule="exact"/>
              <w:rPr>
                <w:sz w:val="20"/>
                <w:szCs w:val="20"/>
                <w:color w:val="auto"/>
              </w:rPr>
            </w:pPr>
            <w:r>
              <w:rPr>
                <w:rFonts w:ascii="Arial" w:cs="Arial" w:eastAsia="Arial" w:hAnsi="Arial"/>
                <w:sz w:val="20"/>
                <w:szCs w:val="20"/>
                <w:color w:val="auto"/>
              </w:rPr>
              <w:t>7,433</w:t>
            </w:r>
          </w:p>
        </w:tc>
        <w:tc>
          <w:tcPr>
            <w:tcW w:w="800" w:type="dxa"/>
            <w:vAlign w:val="bottom"/>
          </w:tcPr>
          <w:p>
            <w:pPr>
              <w:jc w:val="right"/>
              <w:ind w:right="221"/>
              <w:spacing w:after="0" w:line="213"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601"/>
              <w:spacing w:after="0" w:line="213" w:lineRule="exact"/>
              <w:rPr>
                <w:sz w:val="20"/>
                <w:szCs w:val="20"/>
                <w:color w:val="auto"/>
              </w:rPr>
            </w:pPr>
            <w:r>
              <w:rPr>
                <w:rFonts w:ascii="Arial" w:cs="Arial" w:eastAsia="Arial" w:hAnsi="Arial"/>
                <w:sz w:val="20"/>
                <w:szCs w:val="20"/>
                <w:color w:val="auto"/>
              </w:rPr>
              <w:t>61.50</w:t>
            </w:r>
          </w:p>
        </w:tc>
        <w:tc>
          <w:tcPr>
            <w:tcW w:w="1160" w:type="dxa"/>
            <w:vAlign w:val="bottom"/>
          </w:tcPr>
          <w:p>
            <w:pPr>
              <w:jc w:val="right"/>
              <w:ind w:right="121"/>
              <w:spacing w:after="0" w:line="213" w:lineRule="exact"/>
              <w:rPr>
                <w:sz w:val="20"/>
                <w:szCs w:val="20"/>
                <w:color w:val="auto"/>
              </w:rPr>
            </w:pPr>
            <w:r>
              <w:rPr>
                <w:rFonts w:ascii="Arial" w:cs="Arial" w:eastAsia="Arial" w:hAnsi="Arial"/>
                <w:sz w:val="20"/>
                <w:szCs w:val="20"/>
                <w:color w:val="auto"/>
              </w:rPr>
              <w:t>5.7</w:t>
            </w:r>
          </w:p>
        </w:tc>
        <w:tc>
          <w:tcPr>
            <w:tcW w:w="660" w:type="dxa"/>
            <w:vAlign w:val="bottom"/>
          </w:tcPr>
          <w:p>
            <w:pPr>
              <w:jc w:val="right"/>
              <w:ind w:right="221"/>
              <w:spacing w:after="0" w:line="213"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13" w:lineRule="exact"/>
              <w:rPr>
                <w:sz w:val="20"/>
                <w:szCs w:val="20"/>
                <w:color w:val="auto"/>
              </w:rPr>
            </w:pPr>
            <w:r>
              <w:rPr>
                <w:rFonts w:ascii="Arial" w:cs="Arial" w:eastAsia="Arial" w:hAnsi="Arial"/>
                <w:sz w:val="20"/>
                <w:szCs w:val="20"/>
                <w:color w:val="auto"/>
              </w:rPr>
              <w:t>536,196</w:t>
            </w: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Vested and expected to vest in the future at March 31,</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880" w:type="dxa"/>
            <w:vAlign w:val="bottom"/>
          </w:tcPr>
          <w:p>
            <w:pPr>
              <w:ind w:left="400"/>
              <w:spacing w:after="0"/>
              <w:rPr>
                <w:sz w:val="20"/>
                <w:szCs w:val="20"/>
                <w:color w:val="auto"/>
              </w:rPr>
            </w:pPr>
            <w:r>
              <w:rPr>
                <w:rFonts w:ascii="Arial" w:cs="Arial" w:eastAsia="Arial" w:hAnsi="Arial"/>
                <w:sz w:val="20"/>
                <w:szCs w:val="20"/>
                <w:color w:val="auto"/>
              </w:rPr>
              <w:t>2016</w:t>
            </w:r>
          </w:p>
        </w:tc>
        <w:tc>
          <w:tcPr>
            <w:tcW w:w="1380" w:type="dxa"/>
            <w:vAlign w:val="bottom"/>
          </w:tcPr>
          <w:p>
            <w:pPr>
              <w:jc w:val="right"/>
              <w:spacing w:after="0"/>
              <w:rPr>
                <w:sz w:val="20"/>
                <w:szCs w:val="20"/>
                <w:color w:val="auto"/>
              </w:rPr>
            </w:pPr>
            <w:r>
              <w:rPr>
                <w:rFonts w:ascii="Arial" w:cs="Arial" w:eastAsia="Arial" w:hAnsi="Arial"/>
                <w:sz w:val="20"/>
                <w:szCs w:val="20"/>
                <w:color w:val="auto"/>
              </w:rPr>
              <w:t>6,969</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01"/>
              <w:spacing w:after="0"/>
              <w:rPr>
                <w:sz w:val="20"/>
                <w:szCs w:val="20"/>
                <w:color w:val="auto"/>
              </w:rPr>
            </w:pPr>
            <w:r>
              <w:rPr>
                <w:rFonts w:ascii="Arial" w:cs="Arial" w:eastAsia="Arial" w:hAnsi="Arial"/>
                <w:sz w:val="20"/>
                <w:szCs w:val="20"/>
                <w:color w:val="auto"/>
              </w:rPr>
              <w:t>57.97</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5.5</w:t>
            </w:r>
          </w:p>
        </w:tc>
        <w:tc>
          <w:tcPr>
            <w:tcW w:w="6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527,253</w:t>
            </w: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Exercisable at March 31, 2016</w:t>
            </w:r>
          </w:p>
        </w:tc>
        <w:tc>
          <w:tcPr>
            <w:tcW w:w="1380" w:type="dxa"/>
            <w:vAlign w:val="bottom"/>
          </w:tcPr>
          <w:p>
            <w:pPr>
              <w:jc w:val="right"/>
              <w:spacing w:after="0"/>
              <w:rPr>
                <w:sz w:val="20"/>
                <w:szCs w:val="20"/>
                <w:color w:val="auto"/>
              </w:rPr>
            </w:pPr>
            <w:r>
              <w:rPr>
                <w:rFonts w:ascii="Arial" w:cs="Arial" w:eastAsia="Arial" w:hAnsi="Arial"/>
                <w:sz w:val="20"/>
                <w:szCs w:val="20"/>
                <w:color w:val="auto"/>
              </w:rPr>
              <w:t>4,257</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01"/>
              <w:spacing w:after="0"/>
              <w:rPr>
                <w:sz w:val="20"/>
                <w:szCs w:val="20"/>
                <w:color w:val="auto"/>
              </w:rPr>
            </w:pPr>
            <w:r>
              <w:rPr>
                <w:rFonts w:ascii="Arial" w:cs="Arial" w:eastAsia="Arial" w:hAnsi="Arial"/>
                <w:sz w:val="20"/>
                <w:szCs w:val="20"/>
                <w:color w:val="auto"/>
              </w:rPr>
              <w:t>30.38</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4.0</w:t>
            </w:r>
          </w:p>
        </w:tc>
        <w:tc>
          <w:tcPr>
            <w:tcW w:w="6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438,805</w:t>
            </w: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three-months ended March 31, 2016 and 2015 was $47.65 per share and $50.16 per share, respectively. The total intrinsic value of options exercised during the three-months ended March 31, 2016 and 2015 was $10.5 million and $515.7 million, respectively.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three-months ended March 31, 2016 and 2015 was approximately $4.0 million and $19.0 million, respectively.</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March 31, 2016, there was $107.1 million of total unrecognized compensation expense related to non-vested options granted to employees under the Company’s share-based payment plans. That cost is expected to be recognized over a weighted-average period of 3.2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87"/>
              </w:rPr>
              <w:t>Weighted</w:t>
            </w:r>
          </w:p>
        </w:tc>
      </w:tr>
      <w:tr>
        <w:trPr>
          <w:trHeight w:val="230"/>
        </w:trPr>
        <w:tc>
          <w:tcPr>
            <w:tcW w:w="5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88"/>
              </w:rPr>
              <w:t>Average</w:t>
            </w:r>
          </w:p>
        </w:tc>
      </w:tr>
      <w:tr>
        <w:trPr>
          <w:trHeight w:val="230"/>
        </w:trPr>
        <w:tc>
          <w:tcPr>
            <w:tcW w:w="5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5"/>
              </w:rPr>
              <w:t>Shares (in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90"/>
              </w:rPr>
              <w:t>Grant-Date</w:t>
            </w:r>
          </w:p>
        </w:tc>
      </w:tr>
      <w:tr>
        <w:trPr>
          <w:trHeight w:val="246"/>
        </w:trPr>
        <w:tc>
          <w:tcPr>
            <w:tcW w:w="5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Fair Value</w:t>
            </w:r>
          </w:p>
        </w:tc>
      </w:tr>
      <w:tr>
        <w:trPr>
          <w:trHeight w:val="281"/>
        </w:trPr>
        <w:tc>
          <w:tcPr>
            <w:tcW w:w="5200" w:type="dxa"/>
            <w:vAlign w:val="bottom"/>
          </w:tcPr>
          <w:p>
            <w:pPr>
              <w:spacing w:after="0"/>
              <w:rPr>
                <w:sz w:val="20"/>
                <w:szCs w:val="20"/>
                <w:color w:val="auto"/>
              </w:rPr>
            </w:pPr>
            <w:r>
              <w:rPr>
                <w:rFonts w:ascii="Arial" w:cs="Arial" w:eastAsia="Arial" w:hAnsi="Arial"/>
                <w:sz w:val="20"/>
                <w:szCs w:val="20"/>
                <w:color w:val="auto"/>
              </w:rPr>
              <w:t>Non-vested at January 1, 2016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178</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99.58</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Granted 01/01/16- 03/31/16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82</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131.96</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(46)</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109.44</w:t>
            </w:r>
          </w:p>
        </w:tc>
      </w:tr>
      <w:tr>
        <w:trPr>
          <w:trHeight w:val="280"/>
        </w:trPr>
        <w:tc>
          <w:tcPr>
            <w:tcW w:w="5200" w:type="dxa"/>
            <w:vAlign w:val="bottom"/>
          </w:tcPr>
          <w:p>
            <w:pPr>
              <w:ind w:left="180"/>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5200" w:type="dxa"/>
            <w:vAlign w:val="bottom"/>
          </w:tcPr>
          <w:p>
            <w:pPr>
              <w:spacing w:after="0"/>
              <w:rPr>
                <w:sz w:val="20"/>
                <w:szCs w:val="20"/>
                <w:color w:val="auto"/>
              </w:rPr>
            </w:pPr>
            <w:r>
              <w:rPr>
                <w:rFonts w:ascii="Arial" w:cs="Arial" w:eastAsia="Arial" w:hAnsi="Arial"/>
                <w:sz w:val="20"/>
                <w:szCs w:val="20"/>
                <w:color w:val="auto"/>
              </w:rPr>
              <w:t>Non-vested at March 31, 2016</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214</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109.84</w:t>
            </w:r>
          </w:p>
        </w:tc>
      </w:tr>
      <w:tr>
        <w:trPr>
          <w:trHeight w:val="20"/>
        </w:trPr>
        <w:tc>
          <w:tcPr>
            <w:tcW w:w="5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three-months ended March 31, 2016 and 2015 was $131.96 per share and $135.48 per share, respectively. As of March 31, 2016, 0.2 million of restricted stock units and restricted stock awards are expected to vest over their respective terms.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March 31, 2016, total unrecognized compensation expense relating to non-vested restricted stock awards and non-vested restricted stock units was $20.0 million, which is expected to be recognized over a weighted-average period of 2.0 years.</w:t>
      </w:r>
    </w:p>
    <w:p>
      <w:pPr>
        <w:spacing w:after="0" w:line="19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three-months ended March 31, 2016:</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jc w:val="right"/>
              <w:ind w:right="321"/>
              <w:spacing w:after="0"/>
              <w:rPr>
                <w:sz w:val="20"/>
                <w:szCs w:val="20"/>
                <w:color w:val="auto"/>
              </w:rPr>
            </w:pPr>
            <w:r>
              <w:rPr>
                <w:rFonts w:ascii="Arial" w:cs="Arial" w:eastAsia="Arial" w:hAnsi="Arial"/>
                <w:sz w:val="20"/>
                <w:szCs w:val="20"/>
                <w:color w:val="auto"/>
                <w:w w:val="92"/>
              </w:rPr>
              <w:t>Gross Unrecognized Tax</w:t>
            </w:r>
          </w:p>
        </w:tc>
        <w:tc>
          <w:tcPr>
            <w:tcW w:w="0" w:type="dxa"/>
            <w:vAlign w:val="bottom"/>
          </w:tcPr>
          <w:p>
            <w:pPr>
              <w:spacing w:after="0"/>
              <w:rPr>
                <w:sz w:val="1"/>
                <w:szCs w:val="1"/>
                <w:color w:val="auto"/>
              </w:rPr>
            </w:pPr>
          </w:p>
        </w:tc>
      </w:tr>
      <w:tr>
        <w:trPr>
          <w:trHeight w:val="246"/>
        </w:trPr>
        <w:tc>
          <w:tcPr>
            <w:tcW w:w="4640" w:type="dxa"/>
            <w:vAlign w:val="bottom"/>
            <w:vMerge w:val="restart"/>
          </w:tcPr>
          <w:p>
            <w:pPr>
              <w:spacing w:after="0"/>
              <w:rPr>
                <w:sz w:val="20"/>
                <w:szCs w:val="20"/>
                <w:color w:val="auto"/>
              </w:rPr>
            </w:pPr>
            <w:r>
              <w:rPr>
                <w:rFonts w:ascii="Arial" w:cs="Arial" w:eastAsia="Arial" w:hAnsi="Arial"/>
                <w:sz w:val="20"/>
                <w:szCs w:val="20"/>
                <w:color w:val="auto"/>
              </w:rPr>
              <w:t>Balance at December 31, 2015</w:t>
            </w:r>
          </w:p>
        </w:tc>
        <w:tc>
          <w:tcPr>
            <w:tcW w:w="3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640" w:type="dxa"/>
            <w:vAlign w:val="bottom"/>
            <w:vMerge w:val="continue"/>
          </w:tcPr>
          <w:p>
            <w:pPr>
              <w:spacing w:after="0"/>
              <w:rPr>
                <w:sz w:val="17"/>
                <w:szCs w:val="17"/>
                <w:color w:val="auto"/>
              </w:rPr>
            </w:pP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20"/>
                <w:szCs w:val="20"/>
                <w:color w:val="auto"/>
                <w:w w:val="99"/>
              </w:rPr>
              <w:t>Additions for tax positions related to the current year</w:t>
            </w:r>
          </w:p>
        </w:tc>
        <w:tc>
          <w:tcPr>
            <w:tcW w:w="300" w:type="dxa"/>
            <w:vAlign w:val="bottom"/>
          </w:tcPr>
          <w:p>
            <w:pPr>
              <w:spacing w:after="0"/>
              <w:rPr>
                <w:sz w:val="19"/>
                <w:szCs w:val="19"/>
                <w:color w:val="auto"/>
              </w:rPr>
            </w:pPr>
          </w:p>
        </w:tc>
        <w:tc>
          <w:tcPr>
            <w:tcW w:w="24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300" w:type="dxa"/>
            <w:vAlign w:val="bottom"/>
          </w:tcPr>
          <w:p>
            <w:pPr>
              <w:spacing w:after="0"/>
              <w:rPr>
                <w:sz w:val="19"/>
                <w:szCs w:val="19"/>
                <w:color w:val="auto"/>
              </w:rPr>
            </w:pPr>
          </w:p>
        </w:tc>
        <w:tc>
          <w:tcPr>
            <w:tcW w:w="24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r>
              <w:rPr>
                <w:rFonts w:ascii="Arial" w:cs="Arial" w:eastAsia="Arial" w:hAnsi="Arial"/>
                <w:sz w:val="20"/>
                <w:szCs w:val="20"/>
                <w:color w:val="auto"/>
                <w:w w:val="99"/>
              </w:rPr>
              <w:t>Decreases related to settlement with taxing authority</w:t>
            </w: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line="220" w:lineRule="exact"/>
              <w:rPr>
                <w:sz w:val="20"/>
                <w:szCs w:val="20"/>
                <w:color w:val="auto"/>
              </w:rPr>
            </w:pPr>
            <w:r>
              <w:rPr>
                <w:rFonts w:ascii="Arial" w:cs="Arial" w:eastAsia="Arial" w:hAnsi="Arial"/>
                <w:sz w:val="20"/>
                <w:szCs w:val="20"/>
                <w:color w:val="auto"/>
              </w:rPr>
              <w:t>Balance at March 31, 2016</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condensed consolidated financial statements. As of March 31, 2016, the Company had accrued approximately $0.2 million in</w:t>
      </w:r>
    </w:p>
    <w:p>
      <w:pPr>
        <w:sectPr>
          <w:pgSz w:w="11900" w:h="16953" w:orient="portrait"/>
          <w:cols w:equalWidth="0" w:num="1">
            <w:col w:w="11420"/>
          </w:cols>
          <w:pgMar w:left="240" w:top="122" w:right="239" w:bottom="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0"/>
          <w:szCs w:val="20"/>
          <w:color w:val="auto"/>
        </w:rPr>
        <w:t>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August 7, 2015, the Internal Revenue Service (the “IRS”) began its examination of the Company’s U.S. federal income tax returns for the years ended December 31, 2012 and 2013.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2012 through 2015 U.S. federal income tax returns are subject to examination by the IRS. State income tax returns are subject to examination for the 2011 through 2015 tax years.</w:t>
      </w:r>
    </w:p>
    <w:p>
      <w:pPr>
        <w:spacing w:after="0" w:line="20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344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r>
      <w:tr>
        <w:trPr>
          <w:trHeight w:val="246"/>
        </w:trPr>
        <w:tc>
          <w:tcPr>
            <w:tcW w:w="4660" w:type="dxa"/>
            <w:vAlign w:val="bottom"/>
          </w:tcPr>
          <w:p>
            <w:pPr>
              <w:spacing w:after="0"/>
              <w:rPr>
                <w:sz w:val="21"/>
                <w:szCs w:val="21"/>
                <w:color w:val="auto"/>
              </w:rPr>
            </w:pPr>
          </w:p>
        </w:tc>
        <w:tc>
          <w:tcPr>
            <w:tcW w:w="2300" w:type="dxa"/>
            <w:vAlign w:val="bottom"/>
            <w:tcBorders>
              <w:bottom w:val="single" w:sz="8" w:color="auto"/>
            </w:tcBorders>
            <w:gridSpan w:val="3"/>
          </w:tcPr>
          <w:p>
            <w:pPr>
              <w:jc w:val="center"/>
              <w:ind w:left="1061"/>
              <w:spacing w:after="0"/>
              <w:rPr>
                <w:sz w:val="20"/>
                <w:szCs w:val="20"/>
                <w:color w:val="auto"/>
              </w:rPr>
            </w:pPr>
            <w:r>
              <w:rPr>
                <w:rFonts w:ascii="Arial" w:cs="Arial" w:eastAsia="Arial" w:hAnsi="Arial"/>
                <w:sz w:val="20"/>
                <w:szCs w:val="20"/>
                <w:color w:val="auto"/>
                <w:w w:val="92"/>
              </w:rPr>
              <w:t>March 31,</w:t>
            </w:r>
          </w:p>
        </w:tc>
        <w:tc>
          <w:tcPr>
            <w:tcW w:w="1140" w:type="dxa"/>
            <w:vAlign w:val="bottom"/>
            <w:tcBorders>
              <w:bottom w:val="single" w:sz="8" w:color="auto"/>
            </w:tcBorders>
          </w:tcPr>
          <w:p>
            <w:pPr>
              <w:spacing w:after="0"/>
              <w:rPr>
                <w:sz w:val="21"/>
                <w:szCs w:val="21"/>
                <w:color w:val="auto"/>
              </w:rPr>
            </w:pPr>
          </w:p>
        </w:tc>
      </w:tr>
      <w:tr>
        <w:trPr>
          <w:trHeight w:val="223"/>
        </w:trPr>
        <w:tc>
          <w:tcPr>
            <w:tcW w:w="4660" w:type="dxa"/>
            <w:vAlign w:val="bottom"/>
          </w:tcPr>
          <w:p>
            <w:pPr>
              <w:spacing w:after="0"/>
              <w:rPr>
                <w:sz w:val="19"/>
                <w:szCs w:val="19"/>
                <w:color w:val="auto"/>
              </w:rPr>
            </w:pPr>
          </w:p>
        </w:tc>
        <w:tc>
          <w:tcPr>
            <w:tcW w:w="16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2016</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2015</w:t>
            </w:r>
          </w:p>
        </w:tc>
      </w:tr>
      <w:tr>
        <w:trPr>
          <w:trHeight w:val="260"/>
        </w:trPr>
        <w:tc>
          <w:tcPr>
            <w:tcW w:w="4660" w:type="dxa"/>
            <w:vAlign w:val="bottom"/>
          </w:tcPr>
          <w:p>
            <w:pPr>
              <w:spacing w:after="0"/>
              <w:rPr>
                <w:sz w:val="20"/>
                <w:szCs w:val="20"/>
                <w:color w:val="auto"/>
              </w:rPr>
            </w:pPr>
            <w:r>
              <w:rPr>
                <w:rFonts w:ascii="Arial" w:cs="Arial" w:eastAsia="Arial" w:hAnsi="Arial"/>
                <w:sz w:val="20"/>
                <w:szCs w:val="20"/>
                <w:color w:val="auto"/>
              </w:rPr>
              <w:t>Weighted-average shares outstanding:</w:t>
            </w: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20"/>
                <w:szCs w:val="20"/>
                <w:color w:val="auto"/>
              </w:rPr>
              <w:t>Basic</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202,946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169,871</w:t>
            </w:r>
          </w:p>
        </w:tc>
      </w:tr>
      <w:tr>
        <w:trPr>
          <w:trHeight w:val="240"/>
        </w:trPr>
        <w:tc>
          <w:tcPr>
            <w:tcW w:w="4660" w:type="dxa"/>
            <w:vAlign w:val="bottom"/>
          </w:tcPr>
          <w:p>
            <w:pPr>
              <w:ind w:left="140"/>
              <w:spacing w:after="0"/>
              <w:rPr>
                <w:sz w:val="20"/>
                <w:szCs w:val="20"/>
                <w:color w:val="auto"/>
              </w:rPr>
            </w:pPr>
            <w:r>
              <w:rPr>
                <w:rFonts w:ascii="Arial" w:cs="Arial" w:eastAsia="Arial" w:hAnsi="Arial"/>
                <w:sz w:val="20"/>
                <w:szCs w:val="20"/>
                <w:color w:val="auto"/>
              </w:rPr>
              <w:t>Dilutive securities</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3,962</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3,907</w:t>
            </w:r>
          </w:p>
        </w:tc>
      </w:tr>
      <w:tr>
        <w:trPr>
          <w:trHeight w:val="230"/>
        </w:trPr>
        <w:tc>
          <w:tcPr>
            <w:tcW w:w="4660" w:type="dxa"/>
            <w:vAlign w:val="bottom"/>
          </w:tcPr>
          <w:p>
            <w:pPr>
              <w:ind w:left="140"/>
              <w:spacing w:after="0" w:line="220" w:lineRule="exact"/>
              <w:rPr>
                <w:sz w:val="20"/>
                <w:szCs w:val="20"/>
                <w:color w:val="auto"/>
              </w:rPr>
            </w:pPr>
            <w:r>
              <w:rPr>
                <w:rFonts w:ascii="Arial" w:cs="Arial" w:eastAsia="Arial" w:hAnsi="Arial"/>
                <w:sz w:val="20"/>
                <w:szCs w:val="20"/>
                <w:color w:val="auto"/>
              </w:rPr>
              <w:t>Diluted</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206,908</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173,778</w:t>
            </w:r>
          </w:p>
        </w:tc>
      </w:tr>
      <w:tr>
        <w:trPr>
          <w:trHeight w:val="20"/>
        </w:trPr>
        <w:tc>
          <w:tcPr>
            <w:tcW w:w="4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three-months ended March 31, 2016 and 2015, options and awards outstanding totaling 1.4 million shares and 0.4 million shares, respectively, were excluded from the calculations as their effect would have been antidilutive.</w:t>
      </w:r>
    </w:p>
    <w:p>
      <w:pPr>
        <w:spacing w:after="0" w:line="19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Company has three operating and reportable segments, (i) Finished Products, which is comprised primarily of the Company’s Monster Energy® drink products (previously comprising the majority of the former Direct Store Delivery segment) (“Finished Products”),</w:t>
      </w:r>
    </w:p>
    <w:p>
      <w:pPr>
        <w:spacing w:after="0" w:line="1" w:lineRule="exact"/>
        <w:rPr>
          <w:sz w:val="20"/>
          <w:szCs w:val="20"/>
          <w:color w:val="auto"/>
        </w:rPr>
      </w:pPr>
    </w:p>
    <w:p>
      <w:pPr>
        <w:jc w:val="both"/>
        <w:ind w:firstLine="8"/>
        <w:spacing w:after="0" w:line="260" w:lineRule="auto"/>
        <w:tabs>
          <w:tab w:leader="none" w:pos="327"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Concentrate, the principal products of which include the various energy drink brands acquired from TCCC as a result of the TCCC Transaction (“Concentrate”) and (iii) Other, the principal products of which include the brands disposed of as a result of the TCCC Transaction (previously comprising the majority of the former Warehouse segment and the Peace Tea® brand) (“Other”).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Finished Products segment generates net operating revenues 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200" w:lineRule="exact"/>
        <w:rPr>
          <w:sz w:val="20"/>
          <w:szCs w:val="20"/>
          <w:color w:val="auto"/>
        </w:rPr>
      </w:pPr>
    </w:p>
    <w:p>
      <w:pPr>
        <w:jc w:val="both"/>
        <w:ind w:firstLine="689"/>
        <w:spacing w:after="0" w:line="246" w:lineRule="auto"/>
        <w:rPr>
          <w:sz w:val="20"/>
          <w:szCs w:val="20"/>
          <w:color w:val="auto"/>
        </w:rPr>
      </w:pPr>
      <w:r>
        <w:rPr>
          <w:rFonts w:ascii="Arial" w:cs="Arial" w:eastAsia="Arial" w:hAnsi="Arial"/>
          <w:sz w:val="20"/>
          <w:szCs w:val="20"/>
          <w:color w:val="auto"/>
        </w:rPr>
        <w:t>The Company’s Concentrate segment generates net operating revenues by selling “concentrates” and/or “beverage bases” to authorized bottling and canning operations. Such bottlers generally combine the concentrates and/or beverage bases with sweeteners and water, which are then filled in authorized containers bearing the Company’s respective trademarks and sold to customers directly (or in some cases through wholesalers or other bottlers).</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Generally, the Finished Products segment generates higher per case net operating revenues, but lower per case gross profit margins than the Concentrate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17" w:name="page18"/>
    <w:bookmarkEnd w:id="17"/>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a segment basis.</w:t>
      </w:r>
    </w:p>
    <w:p>
      <w:pPr>
        <w:spacing w:after="0" w:line="2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three-months ended March 31, 2016 and 2015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gridSpan w:val="4"/>
          </w:tcPr>
          <w:p>
            <w:pPr>
              <w:jc w:val="center"/>
              <w:ind w:right="26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9"/>
              </w:rPr>
              <w:t>March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624,292</w:t>
            </w:r>
          </w:p>
        </w:tc>
        <w:tc>
          <w:tcPr>
            <w:tcW w:w="30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595,482</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55,894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31,309</w:t>
            </w:r>
          </w:p>
        </w:tc>
        <w:tc>
          <w:tcPr>
            <w:tcW w:w="0" w:type="dxa"/>
            <w:vAlign w:val="bottom"/>
          </w:tcPr>
          <w:p>
            <w:pPr>
              <w:spacing w:after="0"/>
              <w:rPr>
                <w:sz w:val="1"/>
                <w:szCs w:val="1"/>
                <w:color w:val="auto"/>
              </w:rPr>
            </w:pPr>
          </w:p>
        </w:tc>
      </w:tr>
      <w:tr>
        <w:trPr>
          <w:trHeight w:val="246"/>
        </w:trPr>
        <w:tc>
          <w:tcPr>
            <w:tcW w:w="388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680,186</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626,791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center"/>
              <w:ind w:right="26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9"/>
              </w:rPr>
              <w:t>March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 (2)</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267,996</w:t>
            </w:r>
          </w:p>
        </w:tc>
        <w:tc>
          <w:tcPr>
            <w:tcW w:w="30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55,621</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38,122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1,999</w:t>
            </w:r>
          </w:p>
        </w:tc>
        <w:tc>
          <w:tcPr>
            <w:tcW w:w="0" w:type="dxa"/>
            <w:vAlign w:val="bottom"/>
          </w:tcPr>
          <w:p>
            <w:pPr>
              <w:spacing w:after="0"/>
              <w:rPr>
                <w:sz w:val="1"/>
                <w:szCs w:val="1"/>
                <w:color w:val="auto"/>
              </w:rPr>
            </w:pPr>
          </w:p>
        </w:tc>
      </w:tr>
      <w:tr>
        <w:trPr>
          <w:trHeight w:val="246"/>
        </w:trPr>
        <w:tc>
          <w:tcPr>
            <w:tcW w:w="388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(51,405)</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(49,991)</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254,713</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7,629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center"/>
              <w:ind w:right="26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9"/>
              </w:rPr>
              <w:t>March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 (2)</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268,047</w:t>
            </w:r>
          </w:p>
        </w:tc>
        <w:tc>
          <w:tcPr>
            <w:tcW w:w="30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55,695</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38,107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1,999</w:t>
            </w:r>
          </w:p>
        </w:tc>
        <w:tc>
          <w:tcPr>
            <w:tcW w:w="0" w:type="dxa"/>
            <w:vAlign w:val="bottom"/>
          </w:tcPr>
          <w:p>
            <w:pPr>
              <w:spacing w:after="0"/>
              <w:rPr>
                <w:sz w:val="1"/>
                <w:szCs w:val="1"/>
                <w:color w:val="auto"/>
              </w:rPr>
            </w:pPr>
          </w:p>
        </w:tc>
      </w:tr>
      <w:tr>
        <w:trPr>
          <w:trHeight w:val="246"/>
        </w:trPr>
        <w:tc>
          <w:tcPr>
            <w:tcW w:w="388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(50,833)</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(48,832)</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255,321</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8,862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$8.2 million and $43.3 million for the three-months ended March 31, 2016 and 2015, respectively, related to the recognition of deferred revenue.</w:t>
      </w:r>
    </w:p>
    <w:p>
      <w:pPr>
        <w:spacing w:after="0" w:line="109" w:lineRule="exact"/>
        <w:rPr>
          <w:rFonts w:ascii="Arial" w:cs="Arial" w:eastAsia="Arial" w:hAnsi="Arial"/>
          <w:sz w:val="14"/>
          <w:szCs w:val="14"/>
          <w:i w:val="1"/>
          <w:iCs w:val="1"/>
          <w:color w:val="auto"/>
        </w:rPr>
      </w:pPr>
    </w:p>
    <w:p>
      <w:pPr>
        <w:ind w:left="640" w:hanging="308"/>
        <w:spacing w:after="0"/>
        <w:tabs>
          <w:tab w:leader="none" w:pos="6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$3.4 million and $206.0 million for the three-months ended March 31, 2016 and 2015, respectively, related to distributor termination costs.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jc w:val="right"/>
              <w:ind w:right="68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46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March 31,</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4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4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20"/>
                <w:szCs w:val="20"/>
                <w:color w:val="auto"/>
              </w:rPr>
              <w:t>Finished Products</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5,779</w:t>
            </w:r>
          </w:p>
        </w:tc>
        <w:tc>
          <w:tcPr>
            <w:tcW w:w="28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5,055</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1,770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20"/>
                <w:szCs w:val="20"/>
                <w:color w:val="auto"/>
              </w:rPr>
              <w:t>Other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46"/>
        </w:trPr>
        <w:tc>
          <w:tcPr>
            <w:tcW w:w="464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1,475</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8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9,024</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6,470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auto"/>
              </w:rPr>
              <w:t>March 31,</w:t>
            </w:r>
          </w:p>
        </w:tc>
        <w:tc>
          <w:tcPr>
            <w:tcW w:w="148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464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4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20"/>
                <w:szCs w:val="20"/>
                <w:color w:val="auto"/>
              </w:rPr>
              <w:t>Finished Products</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701,651</w:t>
            </w:r>
          </w:p>
        </w:tc>
        <w:tc>
          <w:tcPr>
            <w:tcW w:w="28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699,346</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1,006,642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1,008,355</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20"/>
                <w:szCs w:val="20"/>
                <w:color w:val="auto"/>
              </w:rPr>
              <w:t>Other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464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1,708,293</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1,707,701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Corporate and unallocated expenses for the three-months ended March 31, 2016 include $28.4 million of payroll costs, of which $10.1 million was attributable to stock-based compensation expense (see Note 14, “Stock-Based Compensation”), as well as $16.0 million attributable to professional service expenses, including accounting and legal costs, and $7.0 million of other operating expenses. Corporate and unallocated expenses for the three-months ended March 31, 2015 include $28.5 million of payroll costs, of which $6.4 million was attributable</w:t>
      </w:r>
    </w:p>
    <w:p>
      <w:pPr>
        <w:sectPr>
          <w:pgSz w:w="11900" w:h="16968" w:orient="portrait"/>
          <w:cols w:equalWidth="0" w:num="1">
            <w:col w:w="11420"/>
          </w:cols>
          <w:pgMar w:left="240" w:top="122" w:right="239" w:bottom="0" w:gutter="0" w:footer="0" w:header="0"/>
        </w:sectPr>
      </w:pPr>
    </w:p>
    <w:bookmarkStart w:id="18" w:name="page19"/>
    <w:bookmarkEnd w:id="18"/>
    <w:p>
      <w:pPr>
        <w:spacing w:after="0" w:line="262" w:lineRule="auto"/>
        <w:rPr>
          <w:sz w:val="20"/>
          <w:szCs w:val="20"/>
          <w:color w:val="auto"/>
        </w:rPr>
      </w:pPr>
      <w:r>
        <w:rPr>
          <w:rFonts w:ascii="Arial" w:cs="Arial" w:eastAsia="Arial" w:hAnsi="Arial"/>
          <w:sz w:val="20"/>
          <w:szCs w:val="20"/>
          <w:color w:val="auto"/>
        </w:rPr>
        <w:t>to stock-based compensation expense (see Note 14, “Stock-Based Compensation”), as well as $14.5 million attributable to professional service expenses, including accounting and legal costs, and $7.0 million attributable to other operating expenses.</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Coca-Cola Refreshments USA Inc. (“CCR”) accounted for approximately 46% and 35% of the Company’s net sales for the three-months ended March 31, 2016 and 2015,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$149.1 million and $113.0 million for the three-months ended March 31, 2016 and 2015, respectively.</w:t>
      </w:r>
    </w:p>
    <w:p>
      <w:pPr>
        <w:spacing w:after="0" w:line="190"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As a result of the TCCC Transaction, TCCC controls more than 10% of the voting interests of the Company. TCCC, through certain wholly-owned subsidiaries (the “TCCC Subsidiaries”) and through certain affiliated companies (the “TCCC Affiliates”) purchases and distributes certain of the Company’s products both domestically and in certain international territories. The Company also pays TCCC a sales commission based on certain sales within the TCCC bottling network. TCCC commissions, based on sales to the TCCC Affiliates for the three-months ended March 31, 2016, were $1.9 million. TCCC commissions, based on sales to the TCCC Subsidiaries, are accounted for as a reduction to revenue and are reported in net sales to the TCCC Subsidiaries. Net sales to the TCCC Subsidiaries for the three-months ended March 31, 2016 and 2015 were $310.1 million and $218.9 million, respectively. The Company also purchases concentrates from TCCC which are then sold to both the TCCC Affiliates and the TCCC Subsidiaries. Concentrate purchases from TCCC were $6.7 million for the three-months ended March 31, 2016. A certain TCCC Subsidiary also contract manufactures certain of the Company’s Monster Energy® brand energy drinks. Contract manufacturing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expenses were $1.6 million and $1.8 million for the three-months ended March 31, 2016 and 2015, respectively. Accounts receivable, accounts payable and accrued promotional allowances related to the TCCC Subsidiaries are as follows at:</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20"/>
                <w:szCs w:val="20"/>
                <w:color w:val="auto"/>
              </w:rPr>
              <w:t>March 31,</w:t>
            </w:r>
          </w:p>
        </w:tc>
        <w:tc>
          <w:tcPr>
            <w:tcW w:w="1460" w:type="dxa"/>
            <w:vAlign w:val="bottom"/>
            <w:gridSpan w:val="2"/>
          </w:tcPr>
          <w:p>
            <w:pPr>
              <w:jc w:val="right"/>
              <w:ind w:right="61"/>
              <w:spacing w:after="0"/>
              <w:rPr>
                <w:sz w:val="20"/>
                <w:szCs w:val="20"/>
                <w:color w:val="auto"/>
              </w:rPr>
            </w:pPr>
            <w:r>
              <w:rPr>
                <w:rFonts w:ascii="Arial" w:cs="Arial" w:eastAsia="Arial" w:hAnsi="Arial"/>
                <w:sz w:val="20"/>
                <w:szCs w:val="20"/>
                <w:color w:val="auto"/>
              </w:rPr>
              <w:t>December 31,</w:t>
            </w:r>
          </w:p>
        </w:tc>
      </w:tr>
      <w:tr>
        <w:trPr>
          <w:trHeight w:val="246"/>
        </w:trPr>
        <w:tc>
          <w:tcPr>
            <w:tcW w:w="4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2015</w:t>
            </w:r>
          </w:p>
        </w:tc>
      </w:tr>
      <w:tr>
        <w:trPr>
          <w:trHeight w:val="422"/>
        </w:trPr>
        <w:tc>
          <w:tcPr>
            <w:tcW w:w="498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217,708</w:t>
            </w:r>
          </w:p>
        </w:tc>
        <w:tc>
          <w:tcPr>
            <w:tcW w:w="28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172,201</w:t>
            </w:r>
          </w:p>
        </w:tc>
      </w:tr>
      <w:tr>
        <w:trPr>
          <w:trHeight w:val="230"/>
        </w:trPr>
        <w:tc>
          <w:tcPr>
            <w:tcW w:w="4980" w:type="dxa"/>
            <w:vAlign w:val="bottom"/>
          </w:tcPr>
          <w:p>
            <w:pPr>
              <w:spacing w:after="0"/>
              <w:rPr>
                <w:sz w:val="20"/>
                <w:szCs w:val="20"/>
                <w:color w:val="auto"/>
              </w:rPr>
            </w:pPr>
            <w:r>
              <w:rPr>
                <w:rFonts w:ascii="Arial" w:cs="Arial" w:eastAsia="Arial" w:hAnsi="Arial"/>
                <w:sz w:val="20"/>
                <w:szCs w:val="20"/>
                <w:color w:val="auto"/>
              </w:rPr>
              <w:t>Accounts payable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59,347</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58,579</w:t>
            </w:r>
          </w:p>
        </w:tc>
      </w:tr>
      <w:tr>
        <w:trPr>
          <w:trHeight w:val="250"/>
        </w:trPr>
        <w:tc>
          <w:tcPr>
            <w:tcW w:w="498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41,752</w:t>
            </w:r>
          </w:p>
        </w:tc>
        <w:tc>
          <w:tcPr>
            <w:tcW w:w="280" w:type="dxa"/>
            <w:vAlign w:val="bottom"/>
          </w:tcPr>
          <w:p>
            <w:pPr>
              <w:spacing w:after="0"/>
              <w:rPr>
                <w:sz w:val="21"/>
                <w:szCs w:val="21"/>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27,544</w:t>
            </w: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2016 and 2015 were $0.1 million and $0.9 million, respectively.</w:t>
      </w:r>
    </w:p>
    <w:p>
      <w:pPr>
        <w:spacing w:after="0" w:line="200"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SUBSEQUENT EVENTS</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April 1, 2016, the Company completed its acquisition of flavor supplier and long-time business partner American Fruits &amp; Flavors (“AFF”), in a transaction that brings the Company’s primary flavor supplier in-house, secures the intellectual property of the Company’s most important flavors in perpetuity and further enhances its flavor development and global flavor footprint capabilities. Pursuant to the terms of the transaction, the Company purchased AFF for $690 million in cash, subject to adjustments. As of April 29, 2016, the fair value analysis has yet to progress to a stage where there is sufficient information for a preliminary or definitive measurement of the transactions respective fair values.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April 28, 2016, the Board of Directors authorized the Company to commence a “modified Dutch auction” tender offer to repurchase up to $2.0 billion of its outstanding shares of common stock under its existing share repurchase authority. The Company anticipates commencing the tender offer in May 2016. Details of the tender offer, including the offer price, conditions, potential participation by management and other terms, will be set forth in the offering materials to be distributed to shareholders upon commencement of the tender offer.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Monster Beverage Corporation was incorporated in Delaware on April 25, 1990. Our principal place of business is located at 1 Monster Way, Corona, California 92879 and our telephone number is (951) 739-6200. When this report uses the words “the Company” “we”, “us”, and</w:t>
      </w:r>
    </w:p>
    <w:p>
      <w:pPr>
        <w:sectPr>
          <w:pgSz w:w="11900" w:h="16838" w:orient="portrait"/>
          <w:cols w:equalWidth="0" w:num="1">
            <w:col w:w="11420"/>
          </w:cols>
          <w:pgMar w:left="240" w:top="122" w:right="239" w:bottom="0" w:gutter="0" w:footer="0" w:header="0"/>
        </w:sectPr>
      </w:pPr>
    </w:p>
    <w:bookmarkStart w:id="19" w:name="page20"/>
    <w:bookmarkEnd w:id="19"/>
    <w:p>
      <w:pPr>
        <w:spacing w:after="0" w:line="36"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“our”, these words refer to Monster Beverage Corporation and its subsidiaries, unless the context otherwise requires. We are a holding company and conduct no operating business except through our consolidated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June 12, 2015, we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200"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In accordance with ASC No. 420 “Exit or Disposal Cost Obligations”, we expense distributor termination costs in the period in which the written notification of termination occurs. As a result, we incurred termination amounts of $3.4 million and $206.0 million for the three-months ended March 31, 2016 and 2015, respectively, related to the distribution rights transferred to TCCC’s distribution network. Such termination amounts have been expensed in full and are included in operating expenses for the three-months ended March 31, 2016 and 2015. In addition, the Company recognized as income $39.8 million in the first quarter of 2015, related to the accelerated amortization of the deferred revenue balances associated with certain of the Company’s prior distributors who were sent notices of termination during the first quarter of 2015.</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incurred $3.6 million in TCCC Transaction related expenses for the three-months ended March 31,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the selected items discussed above for the three-months ended March 31, 2016 and 2015:</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21"/>
                <w:szCs w:val="21"/>
                <w:color w:val="auto"/>
                <w:w w:val="90"/>
              </w:rPr>
              <w:t>Three-Months</w:t>
            </w:r>
          </w:p>
        </w:tc>
        <w:tc>
          <w:tcPr>
            <w:tcW w:w="1600" w:type="dxa"/>
            <w:vAlign w:val="bottom"/>
            <w:gridSpan w:val="2"/>
          </w:tcPr>
          <w:p>
            <w:pPr>
              <w:jc w:val="center"/>
              <w:spacing w:after="0"/>
              <w:rPr>
                <w:sz w:val="20"/>
                <w:szCs w:val="20"/>
                <w:color w:val="auto"/>
              </w:rPr>
            </w:pPr>
            <w:r>
              <w:rPr>
                <w:rFonts w:ascii="Arial" w:cs="Arial" w:eastAsia="Arial" w:hAnsi="Arial"/>
                <w:sz w:val="21"/>
                <w:szCs w:val="21"/>
                <w:color w:val="auto"/>
                <w:w w:val="91"/>
              </w:rPr>
              <w:t>Three-Months</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21"/>
                <w:szCs w:val="21"/>
                <w:color w:val="auto"/>
                <w:w w:val="88"/>
              </w:rPr>
              <w:t>Ended</w:t>
            </w:r>
          </w:p>
        </w:tc>
        <w:tc>
          <w:tcPr>
            <w:tcW w:w="300" w:type="dxa"/>
            <w:vAlign w:val="bottom"/>
          </w:tcPr>
          <w:p>
            <w:pPr>
              <w:spacing w:after="0"/>
              <w:rPr>
                <w:sz w:val="21"/>
                <w:szCs w:val="21"/>
                <w:color w:val="auto"/>
              </w:rPr>
            </w:pPr>
          </w:p>
        </w:tc>
        <w:tc>
          <w:tcPr>
            <w:tcW w:w="1300" w:type="dxa"/>
            <w:vAlign w:val="bottom"/>
          </w:tcPr>
          <w:p>
            <w:pPr>
              <w:jc w:val="center"/>
              <w:ind w:right="196"/>
              <w:spacing w:after="0"/>
              <w:rPr>
                <w:sz w:val="20"/>
                <w:szCs w:val="20"/>
                <w:color w:val="auto"/>
              </w:rPr>
            </w:pPr>
            <w:r>
              <w:rPr>
                <w:rFonts w:ascii="Arial" w:cs="Arial" w:eastAsia="Arial" w:hAnsi="Arial"/>
                <w:sz w:val="21"/>
                <w:szCs w:val="21"/>
                <w:color w:val="auto"/>
                <w:w w:val="85"/>
              </w:rPr>
              <w:t>Ended</w:t>
            </w:r>
          </w:p>
        </w:tc>
        <w:tc>
          <w:tcPr>
            <w:tcW w:w="0" w:type="dxa"/>
            <w:vAlign w:val="bottom"/>
          </w:tcPr>
          <w:p>
            <w:pPr>
              <w:spacing w:after="0"/>
              <w:rPr>
                <w:sz w:val="1"/>
                <w:szCs w:val="1"/>
                <w:color w:val="auto"/>
              </w:rPr>
            </w:pPr>
          </w:p>
        </w:tc>
      </w:tr>
      <w:tr>
        <w:trPr>
          <w:trHeight w:val="243"/>
        </w:trPr>
        <w:tc>
          <w:tcPr>
            <w:tcW w:w="556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Income Statement Items (in thousands):</w:t>
            </w:r>
          </w:p>
        </w:tc>
        <w:tc>
          <w:tcPr>
            <w:tcW w:w="280" w:type="dxa"/>
            <w:vAlign w:val="bottom"/>
          </w:tcPr>
          <w:p>
            <w:pPr>
              <w:spacing w:after="0"/>
              <w:rPr>
                <w:sz w:val="21"/>
                <w:szCs w:val="21"/>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21"/>
                <w:szCs w:val="21"/>
                <w:color w:val="auto"/>
                <w:w w:val="92"/>
              </w:rPr>
              <w:t>March 31,</w:t>
            </w:r>
          </w:p>
        </w:tc>
        <w:tc>
          <w:tcPr>
            <w:tcW w:w="300" w:type="dxa"/>
            <w:vAlign w:val="bottom"/>
          </w:tcPr>
          <w:p>
            <w:pPr>
              <w:spacing w:after="0"/>
              <w:rPr>
                <w:sz w:val="21"/>
                <w:szCs w:val="21"/>
                <w:color w:val="auto"/>
              </w:rPr>
            </w:pPr>
          </w:p>
        </w:tc>
        <w:tc>
          <w:tcPr>
            <w:tcW w:w="1300" w:type="dxa"/>
            <w:vAlign w:val="bottom"/>
          </w:tcPr>
          <w:p>
            <w:pPr>
              <w:jc w:val="center"/>
              <w:ind w:right="196"/>
              <w:spacing w:after="0"/>
              <w:rPr>
                <w:sz w:val="20"/>
                <w:szCs w:val="20"/>
                <w:color w:val="auto"/>
              </w:rPr>
            </w:pPr>
            <w:r>
              <w:rPr>
                <w:rFonts w:ascii="Arial" w:cs="Arial" w:eastAsia="Arial" w:hAnsi="Arial"/>
                <w:sz w:val="21"/>
                <w:szCs w:val="21"/>
                <w:color w:val="auto"/>
                <w:w w:val="89"/>
              </w:rPr>
              <w:t>March 31,</w:t>
            </w: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76"/>
              <w:spacing w:after="0" w:line="216" w:lineRule="exact"/>
              <w:rPr>
                <w:sz w:val="20"/>
                <w:szCs w:val="20"/>
                <w:color w:val="auto"/>
              </w:rPr>
            </w:pPr>
            <w:r>
              <w:rPr>
                <w:rFonts w:ascii="Arial" w:cs="Arial" w:eastAsia="Arial" w:hAnsi="Arial"/>
                <w:sz w:val="21"/>
                <w:szCs w:val="21"/>
                <w:color w:val="auto"/>
                <w:w w:val="89"/>
              </w:rPr>
              <w:t>2016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196"/>
              <w:spacing w:after="0" w:line="216" w:lineRule="exact"/>
              <w:rPr>
                <w:sz w:val="20"/>
                <w:szCs w:val="20"/>
                <w:color w:val="auto"/>
              </w:rPr>
            </w:pPr>
            <w:r>
              <w:rPr>
                <w:rFonts w:ascii="Arial" w:cs="Arial" w:eastAsia="Arial" w:hAnsi="Arial"/>
                <w:sz w:val="21"/>
                <w:szCs w:val="21"/>
                <w:color w:val="auto"/>
                <w:w w:val="85"/>
              </w:rPr>
              <w:t>2015</w:t>
            </w:r>
          </w:p>
        </w:tc>
        <w:tc>
          <w:tcPr>
            <w:tcW w:w="0" w:type="dxa"/>
            <w:vAlign w:val="bottom"/>
          </w:tcPr>
          <w:p>
            <w:pPr>
              <w:spacing w:after="0"/>
              <w:rPr>
                <w:sz w:val="1"/>
                <w:szCs w:val="1"/>
                <w:color w:val="auto"/>
              </w:rPr>
            </w:pPr>
          </w:p>
        </w:tc>
      </w:tr>
      <w:tr>
        <w:trPr>
          <w:trHeight w:val="21"/>
        </w:trPr>
        <w:tc>
          <w:tcPr>
            <w:tcW w:w="35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1"/>
                <w:szCs w:val="21"/>
                <w:color w:val="auto"/>
              </w:rPr>
              <w:t>Included in Net Sales:</w:t>
            </w:r>
          </w:p>
        </w:tc>
        <w:tc>
          <w:tcPr>
            <w:tcW w:w="20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5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60" w:type="dxa"/>
            <w:vAlign w:val="bottom"/>
            <w:gridSpan w:val="2"/>
          </w:tcPr>
          <w:p>
            <w:pPr>
              <w:ind w:left="320"/>
              <w:spacing w:after="0"/>
              <w:rPr>
                <w:sz w:val="20"/>
                <w:szCs w:val="20"/>
                <w:color w:val="auto"/>
              </w:rPr>
            </w:pPr>
            <w:r>
              <w:rPr>
                <w:rFonts w:ascii="Arial" w:cs="Arial" w:eastAsia="Arial" w:hAnsi="Arial"/>
                <w:sz w:val="21"/>
                <w:szCs w:val="21"/>
                <w:color w:val="auto"/>
              </w:rPr>
              <w:t>Accelerated recognition of deferred revenue</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spacing w:after="0"/>
              <w:rPr>
                <w:sz w:val="20"/>
                <w:szCs w:val="20"/>
                <w:color w:val="auto"/>
              </w:rPr>
            </w:pPr>
            <w:r>
              <w:rPr>
                <w:rFonts w:ascii="Arial" w:cs="Arial" w:eastAsia="Arial" w:hAnsi="Arial"/>
                <w:sz w:val="21"/>
                <w:szCs w:val="21"/>
                <w:color w:val="auto"/>
              </w:rPr>
              <w:t>39,761</w:t>
            </w:r>
          </w:p>
        </w:tc>
        <w:tc>
          <w:tcPr>
            <w:tcW w:w="0" w:type="dxa"/>
            <w:vAlign w:val="bottom"/>
          </w:tcPr>
          <w:p>
            <w:pPr>
              <w:spacing w:after="0"/>
              <w:rPr>
                <w:sz w:val="1"/>
                <w:szCs w:val="1"/>
                <w:color w:val="auto"/>
              </w:rPr>
            </w:pPr>
          </w:p>
        </w:tc>
      </w:tr>
      <w:tr>
        <w:trPr>
          <w:trHeight w:val="465"/>
        </w:trPr>
        <w:tc>
          <w:tcPr>
            <w:tcW w:w="5560" w:type="dxa"/>
            <w:vAlign w:val="bottom"/>
            <w:gridSpan w:val="2"/>
          </w:tcPr>
          <w:p>
            <w:pPr>
              <w:spacing w:after="0"/>
              <w:rPr>
                <w:sz w:val="20"/>
                <w:szCs w:val="20"/>
                <w:color w:val="auto"/>
              </w:rPr>
            </w:pPr>
            <w:r>
              <w:rPr>
                <w:rFonts w:ascii="Arial" w:cs="Arial" w:eastAsia="Arial" w:hAnsi="Arial"/>
                <w:sz w:val="21"/>
                <w:szCs w:val="21"/>
                <w:color w:val="auto"/>
              </w:rPr>
              <w:t>Included in Operating Expenses: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320"/>
              <w:spacing w:after="0"/>
              <w:rPr>
                <w:sz w:val="20"/>
                <w:szCs w:val="20"/>
                <w:color w:val="auto"/>
              </w:rPr>
            </w:pPr>
            <w:r>
              <w:rPr>
                <w:rFonts w:ascii="Arial" w:cs="Arial" w:eastAsia="Arial" w:hAnsi="Arial"/>
                <w:sz w:val="21"/>
                <w:szCs w:val="21"/>
                <w:color w:val="auto"/>
              </w:rPr>
              <w:t>Distributor termination costs</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spacing w:after="0"/>
              <w:rPr>
                <w:sz w:val="20"/>
                <w:szCs w:val="20"/>
                <w:color w:val="auto"/>
              </w:rPr>
            </w:pPr>
            <w:r>
              <w:rPr>
                <w:rFonts w:ascii="Arial" w:cs="Arial" w:eastAsia="Arial" w:hAnsi="Arial"/>
                <w:sz w:val="21"/>
                <w:szCs w:val="21"/>
                <w:color w:val="auto"/>
              </w:rPr>
              <w:t>3,440</w:t>
            </w:r>
          </w:p>
        </w:tc>
        <w:tc>
          <w:tcPr>
            <w:tcW w:w="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spacing w:after="0"/>
              <w:rPr>
                <w:sz w:val="20"/>
                <w:szCs w:val="20"/>
                <w:color w:val="auto"/>
              </w:rPr>
            </w:pPr>
            <w:r>
              <w:rPr>
                <w:rFonts w:ascii="Arial" w:cs="Arial" w:eastAsia="Arial" w:hAnsi="Arial"/>
                <w:sz w:val="21"/>
                <w:szCs w:val="21"/>
                <w:color w:val="auto"/>
              </w:rPr>
              <w:t>205,980</w:t>
            </w:r>
          </w:p>
        </w:tc>
        <w:tc>
          <w:tcPr>
            <w:tcW w:w="0" w:type="dxa"/>
            <w:vAlign w:val="bottom"/>
          </w:tcPr>
          <w:p>
            <w:pPr>
              <w:spacing w:after="0"/>
              <w:rPr>
                <w:sz w:val="1"/>
                <w:szCs w:val="1"/>
                <w:color w:val="auto"/>
              </w:rPr>
            </w:pPr>
          </w:p>
        </w:tc>
      </w:tr>
      <w:tr>
        <w:trPr>
          <w:trHeight w:val="264"/>
        </w:trPr>
        <w:tc>
          <w:tcPr>
            <w:tcW w:w="5560" w:type="dxa"/>
            <w:vAlign w:val="bottom"/>
            <w:gridSpan w:val="2"/>
          </w:tcPr>
          <w:p>
            <w:pPr>
              <w:ind w:left="320"/>
              <w:spacing w:after="0"/>
              <w:rPr>
                <w:sz w:val="20"/>
                <w:szCs w:val="20"/>
                <w:color w:val="auto"/>
              </w:rPr>
            </w:pPr>
            <w:r>
              <w:rPr>
                <w:rFonts w:ascii="Arial" w:cs="Arial" w:eastAsia="Arial" w:hAnsi="Arial"/>
                <w:sz w:val="21"/>
                <w:szCs w:val="21"/>
                <w:color w:val="auto"/>
              </w:rPr>
              <w:t>TCCC Transaction expenses</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spacing w:after="0"/>
              <w:rPr>
                <w:sz w:val="20"/>
                <w:szCs w:val="20"/>
                <w:color w:val="auto"/>
              </w:rPr>
            </w:pPr>
            <w:r>
              <w:rPr>
                <w:rFonts w:ascii="Arial" w:cs="Arial" w:eastAsia="Arial" w:hAnsi="Arial"/>
                <w:sz w:val="21"/>
                <w:szCs w:val="21"/>
                <w:color w:val="auto"/>
              </w:rPr>
              <w:t>3,597</w:t>
            </w:r>
          </w:p>
        </w:tc>
        <w:tc>
          <w:tcPr>
            <w:tcW w:w="0" w:type="dxa"/>
            <w:vAlign w:val="bottom"/>
          </w:tcPr>
          <w:p>
            <w:pPr>
              <w:spacing w:after="0"/>
              <w:rPr>
                <w:sz w:val="1"/>
                <w:szCs w:val="1"/>
                <w:color w:val="auto"/>
              </w:rPr>
            </w:pPr>
          </w:p>
        </w:tc>
      </w:tr>
      <w:tr>
        <w:trPr>
          <w:trHeight w:val="235"/>
        </w:trPr>
        <w:tc>
          <w:tcPr>
            <w:tcW w:w="5560" w:type="dxa"/>
            <w:vAlign w:val="bottom"/>
            <w:gridSpan w:val="2"/>
            <w:vMerge w:val="restart"/>
          </w:tcPr>
          <w:p>
            <w:pPr>
              <w:spacing w:after="0"/>
              <w:rPr>
                <w:sz w:val="20"/>
                <w:szCs w:val="20"/>
                <w:color w:val="auto"/>
              </w:rPr>
            </w:pPr>
            <w:r>
              <w:rPr>
                <w:rFonts w:ascii="Arial" w:cs="Arial" w:eastAsia="Arial" w:hAnsi="Arial"/>
                <w:sz w:val="21"/>
                <w:szCs w:val="21"/>
                <w:color w:val="auto"/>
              </w:rPr>
              <w:t>Net Impact on Operating Income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60" w:type="dxa"/>
            <w:vAlign w:val="bottom"/>
            <w:gridSpan w:val="2"/>
            <w:vMerge w:val="continue"/>
          </w:tcPr>
          <w:p>
            <w:pPr>
              <w:spacing w:after="0"/>
              <w:rPr>
                <w:sz w:val="20"/>
                <w:szCs w:val="20"/>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(3,440)</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(169,816)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and/or concentrates for energy drink beverages, primarily under the following brand names: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Monster Energy®</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5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Monster Rehab®</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428"/>
        </w:trPr>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18"/>
                <w:szCs w:val="18"/>
                <w:color w:val="auto"/>
              </w:rPr>
              <w:t>28</w:t>
            </w:r>
          </w:p>
        </w:tc>
        <w:tc>
          <w:tcPr>
            <w:tcW w:w="402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r>
      <w:tr>
        <w:trPr>
          <w:trHeight w:val="523"/>
        </w:trPr>
        <w:tc>
          <w:tcPr>
            <w:tcW w:w="53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1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49"/>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w w:val="96"/>
              </w:rPr>
              <w:t>Monster Energy Extra Strength Nitrous Technology®</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Java Monster®</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Muscle Monster®</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Mega Monster Energy®</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Ultra®</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Punch Monster®</w:t>
            </w:r>
          </w:p>
        </w:tc>
        <w:tc>
          <w:tcPr>
            <w:tcW w:w="6120" w:type="dxa"/>
            <w:vAlign w:val="bottom"/>
            <w:gridSpan w:val="2"/>
          </w:tcPr>
          <w:p>
            <w:pPr>
              <w:ind w:left="1940"/>
              <w:spacing w:after="0"/>
              <w:rPr>
                <w:sz w:val="20"/>
                <w:szCs w:val="20"/>
                <w:color w:val="auto"/>
              </w:rPr>
            </w:pPr>
            <w:r>
              <w:rPr>
                <w:rFonts w:ascii="Arial" w:cs="Arial" w:eastAsia="Arial" w:hAnsi="Arial"/>
                <w:sz w:val="20"/>
                <w:szCs w:val="20"/>
                <w:color w:val="auto"/>
              </w:rPr>
              <w:t>·  Play® and Power Play®</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Juice Monster®</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M3®</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Übermonster®</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50"/>
        </w:trPr>
        <w:tc>
          <w:tcPr>
            <w:tcW w:w="5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4820" w:type="dxa"/>
            <w:vAlign w:val="bottom"/>
            <w:gridSpan w:val="2"/>
          </w:tcPr>
          <w:p>
            <w:pPr>
              <w:ind w:left="280"/>
              <w:spacing w:after="0"/>
              <w:rPr>
                <w:sz w:val="20"/>
                <w:szCs w:val="20"/>
                <w:color w:val="auto"/>
              </w:rPr>
            </w:pPr>
            <w:r>
              <w:rPr>
                <w:rFonts w:ascii="Arial" w:cs="Arial" w:eastAsia="Arial" w:hAnsi="Arial"/>
                <w:sz w:val="20"/>
                <w:szCs w:val="20"/>
                <w:color w:val="auto"/>
              </w:rPr>
              <w:t>BU®</w:t>
            </w:r>
          </w:p>
        </w:tc>
        <w:tc>
          <w:tcPr>
            <w:tcW w:w="2100" w:type="dxa"/>
            <w:vAlign w:val="bottom"/>
          </w:tcPr>
          <w:p>
            <w:pPr>
              <w:ind w:left="1940"/>
              <w:spacing w:after="0"/>
              <w:rPr>
                <w:sz w:val="20"/>
                <w:szCs w:val="20"/>
                <w:color w:val="auto"/>
              </w:rPr>
            </w:pPr>
            <w:r>
              <w:rPr>
                <w:rFonts w:ascii="Arial" w:cs="Arial" w:eastAsia="Arial" w:hAnsi="Arial"/>
                <w:sz w:val="20"/>
                <w:szCs w:val="20"/>
                <w:color w:val="auto"/>
              </w:rPr>
              <w:t>·</w:t>
            </w:r>
          </w:p>
        </w:tc>
        <w:tc>
          <w:tcPr>
            <w:tcW w:w="4020" w:type="dxa"/>
            <w:vAlign w:val="bottom"/>
          </w:tcPr>
          <w:p>
            <w:pPr>
              <w:ind w:left="120"/>
              <w:spacing w:after="0"/>
              <w:rPr>
                <w:sz w:val="20"/>
                <w:szCs w:val="20"/>
                <w:color w:val="auto"/>
              </w:rPr>
            </w:pPr>
            <w:r>
              <w:rPr>
                <w:rFonts w:ascii="Arial" w:cs="Arial" w:eastAsia="Arial" w:hAnsi="Arial"/>
                <w:sz w:val="20"/>
                <w:szCs w:val="20"/>
                <w:color w:val="auto"/>
              </w:rPr>
              <w:t>BPM®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-1838960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-1838960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Our Monster Energy® brand energy drinks, which represented 90.2% and 88.1% of our net sales for the three-months ended March 31, 2016 and 2015, respectively, primarily include the following:</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Java Monster® Kona Blend</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Lo-Carb Monster Energy®</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Java Monster® Loca Moca®</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Monster Assault®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Java Monster® Mean Bean®</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Juice Monster® Khaos®</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Java Monster® Vanilla Light</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Juice Monster® Ripper®</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Java Monster® Irish Blend®</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Juice Monster® Pipeline Punch™</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Java Monster® Cappuccino</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Monster Energy® Absolutely Zero</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rPr>
              <w:t>Mega Monster Energy®</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Monster Energy® Import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340" w:type="dxa"/>
            <w:vAlign w:val="bottom"/>
          </w:tcPr>
          <w:p>
            <w:pPr>
              <w:ind w:left="220"/>
              <w:spacing w:after="0"/>
              <w:rPr>
                <w:sz w:val="20"/>
                <w:szCs w:val="20"/>
                <w:color w:val="auto"/>
              </w:rPr>
            </w:pPr>
            <w:r>
              <w:rPr>
                <w:rFonts w:ascii="Arial" w:cs="Arial" w:eastAsia="Arial" w:hAnsi="Arial"/>
                <w:sz w:val="20"/>
                <w:szCs w:val="20"/>
                <w:color w:val="auto"/>
                <w:w w:val="90"/>
              </w:rPr>
              <w:t>Monster Energy Extra Strength Nitrous</w:t>
            </w:r>
          </w:p>
        </w:tc>
      </w:tr>
      <w:tr>
        <w:trPr>
          <w:trHeight w:val="25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60" w:type="dxa"/>
            <w:vAlign w:val="bottom"/>
          </w:tcPr>
          <w:p>
            <w:pPr>
              <w:ind w:left="280"/>
              <w:spacing w:after="0"/>
              <w:rPr>
                <w:sz w:val="20"/>
                <w:szCs w:val="20"/>
                <w:color w:val="auto"/>
              </w:rPr>
            </w:pPr>
            <w:r>
              <w:rPr>
                <w:rFonts w:ascii="Arial" w:cs="Arial" w:eastAsia="Arial" w:hAnsi="Arial"/>
                <w:sz w:val="20"/>
                <w:szCs w:val="20"/>
                <w:color w:val="auto"/>
              </w:rPr>
              <w:t>Punch Monster® Baller’s Blend® (formerly Dub Edition)</w:t>
            </w:r>
          </w:p>
        </w:tc>
        <w:tc>
          <w:tcPr>
            <w:tcW w:w="11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20"/>
                <w:szCs w:val="20"/>
                <w:color w:val="auto"/>
              </w:rPr>
              <w:t>Technology® Super Dry™</w:t>
            </w:r>
          </w:p>
        </w:tc>
      </w:tr>
    </w:tbl>
    <w:p>
      <w:pPr>
        <w:sectPr>
          <w:pgSz w:w="11900" w:h="16874" w:orient="portrait"/>
          <w:cols w:equalWidth="0" w:num="1">
            <w:col w:w="11460"/>
          </w:cols>
          <w:pgMar w:left="240" w:top="121" w:right="199" w:bottom="0" w:gutter="0" w:footer="0" w:header="0"/>
        </w:sectPr>
      </w:pPr>
    </w:p>
    <w:bookmarkStart w:id="20" w:name="page21"/>
    <w:bookmarkEnd w:id="2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1"/>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Punch Monster® Mad Dog (formerly Dub Edition)</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w w:val="98"/>
              </w:rPr>
              <w:t>Monster Energy Extra Strength Nitrous</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Rehab® Tea + Lemonade + Energy</w:t>
            </w:r>
          </w:p>
        </w:tc>
        <w:tc>
          <w:tcPr>
            <w:tcW w:w="1100" w:type="dxa"/>
            <w:vAlign w:val="bottom"/>
          </w:tcPr>
          <w:p>
            <w:pPr>
              <w:spacing w:after="0"/>
              <w:rPr>
                <w:sz w:val="19"/>
                <w:szCs w:val="19"/>
                <w:color w:val="auto"/>
              </w:rPr>
            </w:pPr>
          </w:p>
        </w:tc>
        <w:tc>
          <w:tcPr>
            <w:tcW w:w="3640" w:type="dxa"/>
            <w:vAlign w:val="bottom"/>
          </w:tcPr>
          <w:p>
            <w:pPr>
              <w:ind w:left="260"/>
              <w:spacing w:after="0"/>
              <w:rPr>
                <w:sz w:val="20"/>
                <w:szCs w:val="20"/>
                <w:color w:val="auto"/>
              </w:rPr>
            </w:pPr>
            <w:r>
              <w:rPr>
                <w:rFonts w:ascii="Arial" w:cs="Arial" w:eastAsia="Arial" w:hAnsi="Arial"/>
                <w:sz w:val="20"/>
                <w:szCs w:val="20"/>
                <w:color w:val="auto"/>
              </w:rPr>
              <w:t>Technology® Anti-Gravity®</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Rehab® Raspberry Tea + Energy (formerly Rojo)</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w w:val="90"/>
              </w:rPr>
              <w:t>M3® Monster Energy® Super Concentrate</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Rehab® Green Tea + Energy</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Zero Ultra</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Rehab® Tea + Orangeade + Energy</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Ultra Blue™</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Rehab® Tea + Pink Lemonade + Energy</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Ultra Red™</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Rehab® Peach Tea + Energy</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Ultra Black™</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Muscle Monster® Vanilla</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Ultra Sunrise®</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Muscle Monster® Chocolate</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Ultra Citron™</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Muscle Monster® Strawberry</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Unleaded®</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Muscle Monster® Banana</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Übermonster® Energy Brew™</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Ghost™ M-100™</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Valentino Rossi</w:t>
            </w:r>
          </w:p>
        </w:tc>
      </w:tr>
      <w:tr>
        <w:trPr>
          <w:trHeight w:val="246"/>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80" w:type="dxa"/>
            <w:vAlign w:val="bottom"/>
          </w:tcPr>
          <w:p>
            <w:pPr>
              <w:ind w:left="280"/>
              <w:spacing w:after="0"/>
              <w:rPr>
                <w:sz w:val="20"/>
                <w:szCs w:val="20"/>
                <w:color w:val="auto"/>
              </w:rPr>
            </w:pPr>
            <w:r>
              <w:rPr>
                <w:rFonts w:ascii="Arial" w:cs="Arial" w:eastAsia="Arial" w:hAnsi="Arial"/>
                <w:sz w:val="20"/>
                <w:szCs w:val="20"/>
                <w:color w:val="auto"/>
              </w:rPr>
              <w:t>Monster Phantom™ M-100™</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40" w:type="dxa"/>
            <w:vAlign w:val="bottom"/>
          </w:tcPr>
          <w:p>
            <w:pPr>
              <w:ind w:left="220"/>
              <w:spacing w:after="0"/>
              <w:rPr>
                <w:sz w:val="20"/>
                <w:szCs w:val="20"/>
                <w:color w:val="auto"/>
              </w:rPr>
            </w:pPr>
            <w:r>
              <w:rPr>
                <w:rFonts w:ascii="Arial" w:cs="Arial" w:eastAsia="Arial" w:hAnsi="Arial"/>
                <w:sz w:val="20"/>
                <w:szCs w:val="20"/>
                <w:color w:val="auto"/>
              </w:rPr>
              <w:t>Monster Energy® Gronk</w:t>
            </w:r>
          </w:p>
        </w:tc>
      </w:tr>
    </w:tbl>
    <w:p>
      <w:pPr>
        <w:ind w:left="740" w:hanging="602"/>
        <w:spacing w:after="0"/>
        <w:tabs>
          <w:tab w:leader="none" w:pos="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Java Monster® Salted Caramel</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have three operating and reportable segments, (i) Finished Products, which is comprised primarily of our Monster Energy® drink products (previously comprising the majority of the former Direct Store Delivery segment) (“Finished Products”), (ii) Concentrate, the principal products of which include the supply of concentrates for the brands of energy drinks acquired from TCCC (the “Strategic Brands”) (“Concentrate”) and (iii) Other, the principal products of which include the brands disposed of as a result of the TCCC Transaction (previously comprising the majority of the former Warehouse segment and the Peace Tea® brand).</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March 31, 2016, we continued to expand our existing energy drink portfolio and further develop our distribution markets. During the three-months ended March 31, 2016, we introduced the following products:</w:t>
      </w:r>
    </w:p>
    <w:p>
      <w:pPr>
        <w:spacing w:after="0" w:line="190" w:lineRule="exact"/>
        <w:rPr>
          <w:sz w:val="20"/>
          <w:szCs w:val="20"/>
          <w:color w:val="auto"/>
        </w:rPr>
      </w:pPr>
    </w:p>
    <w:p>
      <w:pPr>
        <w:ind w:left="700" w:hanging="459"/>
        <w:spacing w:after="0"/>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Java Monster® Salted Caramel (January 2016).</w:t>
      </w:r>
    </w:p>
    <w:p>
      <w:pPr>
        <w:spacing w:after="0" w:line="15" w:lineRule="exact"/>
        <w:rPr>
          <w:rFonts w:ascii="Arial" w:cs="Arial" w:eastAsia="Arial" w:hAnsi="Arial"/>
          <w:sz w:val="20"/>
          <w:szCs w:val="20"/>
          <w:color w:val="auto"/>
        </w:rPr>
      </w:pPr>
    </w:p>
    <w:p>
      <w:pPr>
        <w:ind w:left="700" w:hanging="459"/>
        <w:spacing w:after="0"/>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Monster Energy® Gronk, a carbonated energy drink (February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three-months ended March 31, 2016,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net sales of $680.2 million for the three-months ended March 31, 2016 represented record sales for our first fiscal quarter. The vast majority of our net sales are derived from our Monster Energy® brand energy drinks. Net sales of our Monster Energy® brand energy drinks were $613.8 million for the three-months ended March 31, 2016. Net sales of our Strategic Brands acquired as part of the TCCC Transaction were $58.5 million for the three-months ended March 31, 2016.</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Finished Products segment of approximately $10.3 million for the three-months ended March 31, 2016, which was primarily due to a stronger U.S. dollar compared to certain local currencies in which we conduct certain of our international business. Changes in foreign currency exchange rates had an unfavorable impact on net sales in the Concentrate segment of approximately $2.0 million for the three-months ended March 31, 2016,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Finished Products segment represented 91.8% and 95.0% of our consolidated net sales for the three-months ended March 31, 2016 and 2015, respectively. Our Concentrate segment represented 8.2% of our consolidated net sales for the three-months ended March 31, 2016. There were no net sales for the Concentrate segment for the three-months ended March 31, 2015. Our Other segment represented 5.0% of our consolidated net sales for the three-months ended March 31, 2015. As a result of the TCCC Transaction, there were no net sales for the Other segment during the three-months ended March 31, 2016.</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 sponsorships and endorsements) and coupons may also be used to promote our brands. We are currently evaluating our future strategy for the positioning of our Strategic Brands.</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ectPr>
          <w:pgSz w:w="11900" w:h="16838" w:orient="portrait"/>
          <w:cols w:equalWidth="0" w:num="1">
            <w:col w:w="11420"/>
          </w:cols>
          <w:pgMar w:left="240" w:top="121" w:right="239" w:bottom="27"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8"/>
          <w:szCs w:val="18"/>
          <w:color w:val="auto"/>
        </w:rPr>
        <w:t>Our growth strategy includes expanding our international business. Gross sales to customers outside the United States amounted to $184.4 million and $141.0 million for the three-months ended March 31, 2016 and 2015, respectively. Such sales were approximately 24% and 21% of gross sales for the three-months ended March 31, 2016 and 2015, respectively. Changes in foreign currency exchange rates had an unfavorable impact on gross sales to customers outside the United States of approximately 8% and 11% for the three-months ended March 31, 2016 and 2015, respectively, which was primarily due to a stronger U.S. dollar compared to certain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local currencies in which we conduct certain of our international business.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drug chains, mass merchandisers, convenience chains, health food distributors, food service customers and the military. Gross sales to our various customer types for the three-months ended March 31, 2016 and 2015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distributors’ sales to their own customers.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c>
          <w:tcPr>
            <w:tcW w:w="0" w:type="dxa"/>
            <w:vAlign w:val="bottom"/>
          </w:tcPr>
          <w:p>
            <w:pPr>
              <w:spacing w:after="0"/>
              <w:rPr>
                <w:sz w:val="1"/>
                <w:szCs w:val="1"/>
                <w:color w:val="auto"/>
              </w:rPr>
            </w:pPr>
          </w:p>
        </w:tc>
      </w:tr>
      <w:tr>
        <w:trPr>
          <w:trHeight w:val="246"/>
        </w:trPr>
        <w:tc>
          <w:tcPr>
            <w:tcW w:w="55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right="901"/>
              <w:spacing w:after="0"/>
              <w:rPr>
                <w:sz w:val="20"/>
                <w:szCs w:val="20"/>
                <w:color w:val="auto"/>
              </w:rPr>
            </w:pPr>
            <w:r>
              <w:rPr>
                <w:rFonts w:ascii="Arial" w:cs="Arial" w:eastAsia="Arial" w:hAnsi="Arial"/>
                <w:sz w:val="20"/>
                <w:szCs w:val="20"/>
                <w:color w:val="auto"/>
                <w:w w:val="92"/>
              </w:rPr>
              <w:t>March 31,</w:t>
            </w:r>
          </w:p>
        </w:tc>
        <w:tc>
          <w:tcPr>
            <w:tcW w:w="0" w:type="dxa"/>
            <w:vAlign w:val="bottom"/>
          </w:tcPr>
          <w:p>
            <w:pPr>
              <w:spacing w:after="0"/>
              <w:rPr>
                <w:sz w:val="1"/>
                <w:szCs w:val="1"/>
                <w:color w:val="auto"/>
              </w:rPr>
            </w:pPr>
          </w:p>
        </w:tc>
      </w:tr>
      <w:tr>
        <w:trPr>
          <w:trHeight w:val="223"/>
        </w:trPr>
        <w:tc>
          <w:tcPr>
            <w:tcW w:w="558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980" w:type="dxa"/>
            <w:vAlign w:val="bottom"/>
          </w:tcPr>
          <w:p>
            <w:pPr>
              <w:jc w:val="center"/>
              <w:ind w:left="281"/>
              <w:spacing w:after="0" w:line="223" w:lineRule="exact"/>
              <w:rPr>
                <w:sz w:val="20"/>
                <w:szCs w:val="20"/>
                <w:color w:val="auto"/>
              </w:rPr>
            </w:pPr>
            <w:r>
              <w:rPr>
                <w:rFonts w:ascii="Arial" w:cs="Arial" w:eastAsia="Arial" w:hAnsi="Arial"/>
                <w:sz w:val="20"/>
                <w:szCs w:val="20"/>
                <w:color w:val="auto"/>
                <w:w w:val="89"/>
              </w:rPr>
              <w:t>2016</w:t>
            </w:r>
          </w:p>
        </w:tc>
        <w:tc>
          <w:tcPr>
            <w:tcW w:w="2020" w:type="dxa"/>
            <w:vAlign w:val="bottom"/>
            <w:gridSpan w:val="3"/>
          </w:tcPr>
          <w:p>
            <w:pPr>
              <w:jc w:val="center"/>
              <w:ind w:left="561"/>
              <w:spacing w:after="0" w:line="223" w:lineRule="exact"/>
              <w:rPr>
                <w:sz w:val="20"/>
                <w:szCs w:val="20"/>
                <w:color w:val="auto"/>
              </w:rPr>
            </w:pPr>
            <w:r>
              <w:rPr>
                <w:rFonts w:ascii="Arial" w:cs="Arial" w:eastAsia="Arial" w:hAnsi="Arial"/>
                <w:sz w:val="20"/>
                <w:szCs w:val="20"/>
                <w:color w:val="auto"/>
                <w:w w:val="89"/>
              </w:rPr>
              <w:t>2015</w:t>
            </w:r>
          </w:p>
        </w:tc>
        <w:tc>
          <w:tcPr>
            <w:tcW w:w="0" w:type="dxa"/>
            <w:vAlign w:val="bottom"/>
          </w:tcPr>
          <w:p>
            <w:pPr>
              <w:spacing w:after="0"/>
              <w:rPr>
                <w:sz w:val="1"/>
                <w:szCs w:val="1"/>
                <w:color w:val="auto"/>
              </w:rPr>
            </w:pPr>
          </w:p>
        </w:tc>
      </w:tr>
      <w:tr>
        <w:trPr>
          <w:trHeight w:val="206"/>
        </w:trPr>
        <w:tc>
          <w:tcPr>
            <w:tcW w:w="5580" w:type="dxa"/>
            <w:vAlign w:val="bottom"/>
            <w:vMerge w:val="continue"/>
          </w:tcPr>
          <w:p>
            <w:pPr>
              <w:spacing w:after="0"/>
              <w:rPr>
                <w:sz w:val="17"/>
                <w:szCs w:val="17"/>
                <w:color w:val="auto"/>
              </w:rPr>
            </w:pPr>
          </w:p>
        </w:tc>
        <w:tc>
          <w:tcPr>
            <w:tcW w:w="980" w:type="dxa"/>
            <w:vAlign w:val="bottom"/>
            <w:tcBorders>
              <w:top w:val="single" w:sz="8" w:color="auto"/>
            </w:tcBorders>
          </w:tcPr>
          <w:p>
            <w:pPr>
              <w:jc w:val="center"/>
              <w:ind w:left="281"/>
              <w:spacing w:after="0" w:line="207" w:lineRule="exact"/>
              <w:rPr>
                <w:sz w:val="20"/>
                <w:szCs w:val="20"/>
                <w:color w:val="auto"/>
              </w:rPr>
            </w:pPr>
            <w:r>
              <w:rPr>
                <w:rFonts w:ascii="Arial" w:cs="Arial" w:eastAsia="Arial" w:hAnsi="Arial"/>
                <w:sz w:val="20"/>
                <w:szCs w:val="20"/>
                <w:color w:val="auto"/>
                <w:w w:val="89"/>
              </w:rPr>
              <w:t>66%</w:t>
            </w: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65%</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980" w:type="dxa"/>
            <w:vAlign w:val="bottom"/>
          </w:tcPr>
          <w:p>
            <w:pPr>
              <w:jc w:val="center"/>
              <w:ind w:left="261"/>
              <w:spacing w:after="0"/>
              <w:rPr>
                <w:sz w:val="20"/>
                <w:szCs w:val="20"/>
                <w:color w:val="auto"/>
              </w:rPr>
            </w:pPr>
            <w:r>
              <w:rPr>
                <w:rFonts w:ascii="Arial" w:cs="Arial" w:eastAsia="Arial" w:hAnsi="Arial"/>
                <w:sz w:val="20"/>
                <w:szCs w:val="20"/>
                <w:color w:val="auto"/>
                <w:w w:val="89"/>
              </w:rPr>
              <w:t>9%</w:t>
            </w:r>
          </w:p>
        </w:tc>
        <w:tc>
          <w:tcPr>
            <w:tcW w:w="202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89"/>
              </w:rPr>
              <w:t>24%</w:t>
            </w:r>
          </w:p>
        </w:tc>
        <w:tc>
          <w:tcPr>
            <w:tcW w:w="2020" w:type="dxa"/>
            <w:vAlign w:val="bottom"/>
            <w:gridSpan w:val="3"/>
          </w:tcPr>
          <w:p>
            <w:pPr>
              <w:jc w:val="center"/>
              <w:ind w:left="561"/>
              <w:spacing w:after="0"/>
              <w:rPr>
                <w:sz w:val="20"/>
                <w:szCs w:val="20"/>
                <w:color w:val="auto"/>
              </w:rPr>
            </w:pPr>
            <w:r>
              <w:rPr>
                <w:rFonts w:ascii="Arial" w:cs="Arial" w:eastAsia="Arial" w:hAnsi="Arial"/>
                <w:sz w:val="20"/>
                <w:szCs w:val="20"/>
                <w:color w:val="auto"/>
                <w:w w:val="89"/>
              </w:rPr>
              <w:t>21%</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980" w:type="dxa"/>
            <w:vAlign w:val="bottom"/>
          </w:tcPr>
          <w:p>
            <w:pPr>
              <w:jc w:val="center"/>
              <w:ind w:left="261"/>
              <w:spacing w:after="0"/>
              <w:rPr>
                <w:sz w:val="20"/>
                <w:szCs w:val="20"/>
                <w:color w:val="auto"/>
              </w:rPr>
            </w:pPr>
            <w:r>
              <w:rPr>
                <w:rFonts w:ascii="Arial" w:cs="Arial" w:eastAsia="Arial" w:hAnsi="Arial"/>
                <w:sz w:val="20"/>
                <w:szCs w:val="20"/>
                <w:color w:val="auto"/>
                <w:w w:val="89"/>
              </w:rPr>
              <w:t>1%</w:t>
            </w:r>
          </w:p>
        </w:tc>
        <w:tc>
          <w:tcPr>
            <w:tcW w:w="202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Other</w:t>
            </w:r>
          </w:p>
        </w:tc>
        <w:tc>
          <w:tcPr>
            <w:tcW w:w="980" w:type="dxa"/>
            <w:vAlign w:val="bottom"/>
          </w:tcPr>
          <w:p>
            <w:pPr>
              <w:jc w:val="center"/>
              <w:ind w:left="261"/>
              <w:spacing w:after="0"/>
              <w:rPr>
                <w:sz w:val="20"/>
                <w:szCs w:val="20"/>
                <w:color w:val="auto"/>
              </w:rPr>
            </w:pPr>
            <w:r>
              <w:rPr>
                <w:rFonts w:ascii="Arial" w:cs="Arial" w:eastAsia="Arial" w:hAnsi="Arial"/>
                <w:sz w:val="20"/>
                <w:szCs w:val="20"/>
                <w:color w:val="auto"/>
                <w:w w:val="89"/>
              </w:rPr>
              <w:t>0%</w:t>
            </w:r>
          </w:p>
        </w:tc>
        <w:tc>
          <w:tcPr>
            <w:tcW w:w="202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customers include Coca-Cola Refreshments USA, Inc., Coca-Cola Bottling Company, CCBCC Operations, LLC, United Bottling Contracts Company, LLC, Swire Coca-Cola, USA and certain other TCCC independent bottlers, Coca-Cola Enterprises, Inc., Coca-Cola Hellenic, Asahi, Kalil Bottling Group, Wal-Mart, Inc. (including Sam’s Club), Costco and Anheuser Busch (“AB”) select independent AB distributors (“AB Distributors”). In February 2015, in accordance with our then existing agreements with the applicable AB Distributors, we sent notices of termination to the majority of the AB Distributors in the U.S. for the termination of their respective distribution agreements. The associated distribution rights relating to such terminated distribution agreements have been transitioned to TCCC’s network of owned or controlled bottlers/distributors and independent bottlers/distributors as of the effective date of termination of the affected AB Distributors’ rights in the applicable territories. As of April 29, 2016, distribution rights in the U.S. representing approximately 89% of the target case sales have been transitioned to TCCC’s distribution network. A decision by any large customer to decrease amounts purchased from us or to cease carrying our products could have a material negative effect on our financial condition and consolidated results of operations. TCCC, through certain wholly-owned subsidiaries (the “TCCC Subsidiaries”), accounted for approximately 46% and 35% of our net sales for the three-months ended March 31, 2016 and 2015,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three-months ended March 31, 2016 and 2015,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1"/>
              </w:rPr>
              <w:t>Three-Months Ended</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r>
      <w:tr>
        <w:trPr>
          <w:trHeight w:val="234"/>
        </w:trPr>
        <w:tc>
          <w:tcPr>
            <w:tcW w:w="500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6"/>
              </w:rPr>
              <w:t>March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5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16 vs. 15</w:t>
            </w:r>
          </w:p>
        </w:tc>
      </w:tr>
      <w:tr>
        <w:trPr>
          <w:trHeight w:val="276"/>
        </w:trPr>
        <w:tc>
          <w:tcPr>
            <w:tcW w:w="50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680,186</w:t>
            </w:r>
          </w:p>
        </w:tc>
        <w:tc>
          <w:tcPr>
            <w:tcW w:w="16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626,791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257,088</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257,834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6"/>
        </w:trPr>
        <w:tc>
          <w:tcPr>
            <w:tcW w:w="5000" w:type="dxa"/>
            <w:vAlign w:val="bottom"/>
          </w:tcPr>
          <w:p>
            <w:pPr>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423,098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368,957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profit as a</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3"/>
        </w:trPr>
        <w:tc>
          <w:tcPr>
            <w:tcW w:w="5000" w:type="dxa"/>
            <w:vAlign w:val="bottom"/>
          </w:tcPr>
          <w:p>
            <w:pPr>
              <w:ind w:left="180"/>
              <w:spacing w:after="0"/>
              <w:rPr>
                <w:sz w:val="20"/>
                <w:szCs w:val="20"/>
                <w:color w:val="auto"/>
              </w:rPr>
            </w:pPr>
            <w:r>
              <w:rPr>
                <w:rFonts w:ascii="Arial" w:cs="Arial" w:eastAsia="Arial" w:hAnsi="Arial"/>
                <w:sz w:val="18"/>
                <w:szCs w:val="18"/>
                <w:color w:val="auto"/>
              </w:rPr>
              <w:t>percentage of net sales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3"/>
        </w:trPr>
        <w:tc>
          <w:tcPr>
            <w:tcW w:w="50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perscript"/>
              </w:rPr>
              <w:t>3</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168,385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361,328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8"/>
        </w:trPr>
        <w:tc>
          <w:tcPr>
            <w:tcW w:w="500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perscript"/>
              </w:rPr>
              <w:t>3</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254,713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7,629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3,238.7%</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9"/>
        </w:trPr>
        <w:tc>
          <w:tcPr>
            <w:tcW w:w="50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(50.7%)</w:t>
            </w:r>
          </w:p>
        </w:tc>
      </w:tr>
      <w:tr>
        <w:trPr>
          <w:trHeight w:val="494"/>
        </w:trPr>
        <w:tc>
          <w:tcPr>
            <w:tcW w:w="5000" w:type="dxa"/>
            <w:vAlign w:val="bottom"/>
          </w:tcPr>
          <w:p>
            <w:pPr>
              <w:spacing w:after="0"/>
              <w:rPr>
                <w:sz w:val="20"/>
                <w:szCs w:val="20"/>
                <w:color w:val="auto"/>
              </w:rPr>
            </w:pPr>
            <w:r>
              <w:rPr>
                <w:rFonts w:ascii="Arial" w:cs="Arial" w:eastAsia="Arial" w:hAnsi="Arial"/>
                <w:sz w:val="18"/>
                <w:szCs w:val="18"/>
                <w:color w:val="auto"/>
              </w:rPr>
              <w:t>Income before provision for income taxes</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perscript"/>
              </w:rPr>
              <w:t>3</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255,321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2,781.1%</w:t>
            </w: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91,444</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4,448</w:t>
            </w:r>
          </w:p>
        </w:tc>
        <w:tc>
          <w:tcPr>
            <w:tcW w:w="1340" w:type="dxa"/>
            <w:vAlign w:val="bottom"/>
          </w:tcPr>
          <w:p>
            <w:pPr>
              <w:jc w:val="right"/>
              <w:spacing w:after="0"/>
              <w:rPr>
                <w:sz w:val="20"/>
                <w:szCs w:val="20"/>
                <w:color w:val="auto"/>
              </w:rPr>
            </w:pPr>
            <w:r>
              <w:rPr>
                <w:rFonts w:ascii="Arial" w:cs="Arial" w:eastAsia="Arial" w:hAnsi="Arial"/>
                <w:sz w:val="18"/>
                <w:szCs w:val="18"/>
                <w:color w:val="auto"/>
              </w:rPr>
              <w:t>1,955.8%</w:t>
            </w:r>
          </w:p>
        </w:tc>
      </w:tr>
      <w:tr>
        <w:trPr>
          <w:trHeight w:val="412"/>
        </w:trPr>
        <w:tc>
          <w:tcPr>
            <w:tcW w:w="500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1340" w:type="dxa"/>
            <w:vAlign w:val="bottom"/>
          </w:tcPr>
          <w:p>
            <w:pPr>
              <w:spacing w:after="0"/>
              <w:rPr>
                <w:sz w:val="24"/>
                <w:szCs w:val="24"/>
                <w:color w:val="auto"/>
              </w:rPr>
            </w:pPr>
          </w:p>
        </w:tc>
      </w:tr>
      <w:tr>
        <w:trPr>
          <w:trHeight w:val="419"/>
        </w:trPr>
        <w:tc>
          <w:tcPr>
            <w:tcW w:w="500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perscript"/>
              </w:rPr>
              <w:t>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163,877</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4,414</w:t>
            </w:r>
          </w:p>
        </w:tc>
        <w:tc>
          <w:tcPr>
            <w:tcW w:w="1340" w:type="dxa"/>
            <w:vAlign w:val="bottom"/>
          </w:tcPr>
          <w:p>
            <w:pPr>
              <w:jc w:val="right"/>
              <w:spacing w:after="0"/>
              <w:rPr>
                <w:sz w:val="20"/>
                <w:szCs w:val="20"/>
                <w:color w:val="auto"/>
              </w:rPr>
            </w:pPr>
            <w:r>
              <w:rPr>
                <w:rFonts w:ascii="Arial" w:cs="Arial" w:eastAsia="Arial" w:hAnsi="Arial"/>
                <w:sz w:val="18"/>
                <w:szCs w:val="18"/>
                <w:color w:val="auto"/>
              </w:rPr>
              <w:t>3,612.7%</w:t>
            </w:r>
          </w:p>
        </w:tc>
      </w:tr>
      <w:tr>
        <w:trPr>
          <w:trHeight w:val="20"/>
        </w:trPr>
        <w:tc>
          <w:tcPr>
            <w:tcW w:w="5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Net income as a percentage of net sales</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340" w:type="dxa"/>
            <w:vAlign w:val="bottom"/>
          </w:tcPr>
          <w:p>
            <w:pPr>
              <w:spacing w:after="0"/>
              <w:rPr>
                <w:sz w:val="20"/>
                <w:szCs w:val="20"/>
                <w:color w:val="auto"/>
              </w:rPr>
            </w:pPr>
          </w:p>
        </w:tc>
      </w:tr>
      <w:tr>
        <w:trPr>
          <w:trHeight w:val="419"/>
        </w:trPr>
        <w:tc>
          <w:tcPr>
            <w:tcW w:w="50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5000" w:type="dxa"/>
            <w:vAlign w:val="bottom"/>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22"/>
                <w:szCs w:val="22"/>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340" w:type="dxa"/>
            <w:vAlign w:val="bottom"/>
          </w:tcPr>
          <w:p>
            <w:pPr>
              <w:jc w:val="right"/>
              <w:spacing w:after="0"/>
              <w:rPr>
                <w:sz w:val="20"/>
                <w:szCs w:val="20"/>
                <w:color w:val="auto"/>
              </w:rPr>
            </w:pPr>
            <w:r>
              <w:rPr>
                <w:rFonts w:ascii="Arial" w:cs="Arial" w:eastAsia="Arial" w:hAnsi="Arial"/>
                <w:sz w:val="18"/>
                <w:szCs w:val="18"/>
                <w:color w:val="auto"/>
              </w:rPr>
              <w:t>3,007.6%</w:t>
            </w:r>
          </w:p>
        </w:tc>
      </w:tr>
      <w:tr>
        <w:trPr>
          <w:trHeight w:val="257"/>
        </w:trPr>
        <w:tc>
          <w:tcPr>
            <w:tcW w:w="5000" w:type="dxa"/>
            <w:vAlign w:val="bottom"/>
          </w:tcPr>
          <w:p>
            <w:pPr>
              <w:ind w:left="14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22"/>
                <w:szCs w:val="22"/>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340" w:type="dxa"/>
            <w:vAlign w:val="bottom"/>
          </w:tcPr>
          <w:p>
            <w:pPr>
              <w:jc w:val="right"/>
              <w:spacing w:after="0"/>
              <w:rPr>
                <w:sz w:val="20"/>
                <w:szCs w:val="20"/>
                <w:color w:val="auto"/>
              </w:rPr>
            </w:pPr>
            <w:r>
              <w:rPr>
                <w:rFonts w:ascii="Arial" w:cs="Arial" w:eastAsia="Arial" w:hAnsi="Arial"/>
                <w:sz w:val="18"/>
                <w:szCs w:val="18"/>
                <w:color w:val="auto"/>
              </w:rPr>
              <w:t>3,018.2%</w:t>
            </w:r>
          </w:p>
        </w:tc>
      </w:tr>
      <w:tr>
        <w:trPr>
          <w:trHeight w:val="419"/>
        </w:trPr>
        <w:tc>
          <w:tcPr>
            <w:tcW w:w="500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18"/>
                <w:szCs w:val="18"/>
                <w:color w:val="auto"/>
              </w:rPr>
              <w:t>(in 192-ounce case equivalents)</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72,653</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57,779</w:t>
            </w:r>
          </w:p>
        </w:tc>
        <w:tc>
          <w:tcPr>
            <w:tcW w:w="1340" w:type="dxa"/>
            <w:vAlign w:val="bottom"/>
          </w:tcPr>
          <w:p>
            <w:pPr>
              <w:jc w:val="right"/>
              <w:spacing w:after="0"/>
              <w:rPr>
                <w:sz w:val="20"/>
                <w:szCs w:val="20"/>
                <w:color w:val="auto"/>
              </w:rPr>
            </w:pPr>
            <w:r>
              <w:rPr>
                <w:rFonts w:ascii="Arial" w:cs="Arial" w:eastAsia="Arial" w:hAnsi="Arial"/>
                <w:sz w:val="18"/>
                <w:szCs w:val="18"/>
                <w:color w:val="auto"/>
              </w:rPr>
              <w:t>25.7%</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$8.2 million and $43.3 million for the three-months ended March 31, 2016 and 2015, respectively, related to the recognition of deferred revenue. Included in the $43.3 million recognition of deferred revenue for the three-months ended March 31, 2015, is $39.8 million related to the accelerated amortization of the deferred revenue balances associated with certain of the Company’s prior distributors who were sent notices of termination during the first quarter of 2015.</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Includes $3.4 million and $206.0 million for the three-months ended March 31, 2016 and 2015, respectively, related to distributor termination costs.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Includes $3.6 million for the three-months ended March 31, 2015 related to TCCC Transaction related expenses.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2016 Compared to the Three-Months Ended March 31, 2015.</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$680.2 million for the three-months ended March 31, 2016, an increase of approximately $53.4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8.5% higher than net sales of $626.8 million for the three-months ended March 31, 2015. The increase in net sales of our Monster Energy® brand energy drinks represented approximately $61.6 million of the overall increase in net sales. Net sales of our Monster Energy® brand energy drinks increased partially due to increased sales by volume as a result of increased domestic and international consumer demand. Our net sales of $680.2 million for the three-months ended March 31, 2016 were enhanced by a pre-announced price increase that became effective on August 31, 2015 on certain of our Monster Energy® brand energy drinks. We estimate that net sales for the three-months ended March 31, 2016 were increased by approximately $25.8 million as a result of such price increase. Net sales of our Strategic Brands were $58.5 million for the three-months ended March 31, 2016. There were no net sales for the Other segment, the principal products of which include the brands disposed of as a result of the TCCC Transaction on June 12, 2015 (previously comprising the majority of the former Warehouse segment and the Peace Tea® brand), which resulted in a decrease in net sales for the Other segment of $31.3 million for the three-months ended March 31, 2016 from the three-months ended March 31, 2015. No other individual product line contributed either a material increase or decrease to net sales for the three-months ended March 31, 2016.</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Finished Products segment of approximately $10.3 million for the three-months ended March 31, 2016, which was primarily due to a stronger U.S. dollar compared to certain local currencies in which we conduct certain of our international business. Changes in foreign currency exchange rates had an unfavorable impact on net sales in the Concentrate segment of approximately $2.0 million for the three-months ended March 31, 2016,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 sales, in 192-ounce case equivalents, were 72.7 million cases for the three-months ended March 31, 2016, an increase of approximately 14.9 million cases or 25.7% higher than case sales of 57.8 million cases for the three-months ended March 31, 2015. The overall average net sales per case decreased to $9.36 for the three-months ended March 31, 2016, which was 13.7% lower than the average net sales per case of $10.85 for the three-months ended March 31, 2015. The lower net sales per case was primarily attributable to sales of concentrates and/or beverage bases in the Concentrate segment, which generally generate lower net operating revenues than those products within the Finished Products segment.</w:t>
      </w:r>
    </w:p>
    <w:p>
      <w:pPr>
        <w:spacing w:after="0" w:line="21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Net sales for the Finished Products segment were $624.3 million for the three-months ended March 31, 2016, an increase of approximately $28.8 million, or 4.8% higher than net sales of $595.5 million for the three-months ended March 31, 2015. Our net sales for the Finished Products segment of $624.3 million for the three-months ended March 31, 2016 were enhanced by a pre-announced price increase that became effective on August 31, 2015 on certain of our Monster Energy® brand energy drinks. We estimate that net sales of the Finished Products segment for the three-months ended March 31, 2016 were increased by approximately $25.8 million as a result of such price increase. No other individual product line contributed either a material increase or decrease to net sales for the three-months ended March 31, 2016.</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Concentrate segment were $55.9 million for the three-months ended March 31, 2016. There were no net sales for the Concentrate segment for the three-months ended March 31, 2015.</w:t>
      </w:r>
    </w:p>
    <w:p>
      <w:pPr>
        <w:sectPr>
          <w:pgSz w:w="11900" w:h="16838" w:orient="portrait"/>
          <w:cols w:equalWidth="0" w:num="1">
            <w:col w:w="11420"/>
          </w:cols>
          <w:pgMar w:left="240" w:top="125" w:right="239" w:bottom="176" w:gutter="0" w:footer="0" w:header="0"/>
        </w:sectPr>
      </w:pPr>
    </w:p>
    <w:bookmarkStart w:id="23" w:name="page24"/>
    <w:bookmarkEnd w:id="23"/>
    <w:p>
      <w:pPr>
        <w:spacing w:after="0" w:line="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$423.1 million for the three-months ended March 31, 2016, an increase of approximately $54.1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or 14.7% higher than the gross profit of $369.0 million for the three-months ended March 31, 2015. Gross profit as a percentage of net sales increased to 62.2% for the three-months ended March 31, 2016 from 58.9% for the three-months ended March 31, 2015. The increase in gross profit dollars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was primarily the result of the $61.6 million increase in net sales of our Monster Energy® brand energy drinks as well as the $58.5 million of net sales of our Strategic Brands. The increase in gross profit as a percentage of net sales was primarily attributable to the Concentrate segment, which generally has higher gross margins than the Finished Products segment, as well as to the disposal of the Other segment, which generally has lower gross margins than the Finished Products segment, lower costs of certain raw materials, the price increase described above and changes in product sales mix.</w:t>
      </w:r>
    </w:p>
    <w:p>
      <w:pPr>
        <w:spacing w:after="0" w:line="20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$168.4 million for the three-months ended March 31, 2016,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$192.9 million, or 53.4% lower than total operating expenses of $361.3 million for the three-months ended March 31, 2015. The decrease in operating expenses was primarily due to the $202.5 million decrease in costs associated with distributor terminations. To a lesser extent, the decrease in operating expenses was also due to decreased expenditures of $3.5 million of professional service costs and transaction expenses related to the TCCC Transaction. The decrease in operating expenses was partially offset by increased expenditures of $4.6 million for sponsorships and endorsements, increased expenditures of $5.0 million for professional service costs (exclusive of expenditures related to the TCCC Transaction), including legal and accounting fees and increased expenditures of $2.7 million for merchandise displays.</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Finished Products segment was $268.0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 an increase of approximately $212.4 million, or 381.8% higher than contribution margin of $55.6 million for the three-months ended March 31, 2015. The increase in contribution margin for the Finished Products segment was primarily the result of the $202.5 million decrease in costs associated with distributor terminations as well as the $61.6 million increase in net sales of our Monster Energy® brand energy drinks. The increase in contribution margin for the Finished Products segment was partially offset by the $39.8 million of accelerated amortization of deferred revenue during the three-months ended March 31, 2015 related to distributor terminations. Contribution margin for the Concentrate segment was $38.1 million for the three-months ended March 31, 2016. There was no contribution margin for the Concentrate segment for the three-months ended March 31, 2015. Contribution margin for the Other segment was $2.0 million for the three-months ended March 31, 2015. There was no contribution margin for the Other segment for the three-months ended March 31, 2016.</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$254.7 million for the three-months ended March 31, 2016, an increase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$247.1 million, or 3,238.7% higher than operating income of $7.6 million for the three-months ended March 31, 2015. Operating income as a percentage of net sales increased to 37.4% for the three-months ended March 31, 2016 from 1.2% for the three-months ended March 31, 2015. The increase in operating income in dollars was primarily due to the $202.5 million decrease in costs associated with distributor terminations as well as the $54.1 million increase in gross profit. Operating income was $24.6 million and $8.1 million for the three-months ended March 31, 2016 and 2015, respectively, in relation to our operations in Africa, Asia, Australia, Europe, the Middle East and South America.</w:t>
      </w:r>
    </w:p>
    <w:p>
      <w:pPr>
        <w:spacing w:after="0" w:line="1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Income, net</w:t>
      </w:r>
      <w:r>
        <w:rPr>
          <w:rFonts w:ascii="Arial" w:cs="Arial" w:eastAsia="Arial" w:hAnsi="Arial"/>
          <w:sz w:val="19"/>
          <w:szCs w:val="19"/>
          <w:color w:val="auto"/>
        </w:rPr>
        <w:t>. Interest and other income, net was $0.6 million for the three-months ended March 31, 2016, as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interest and other income, net of $1.2 million for the three-months ended March 31, 2015. Foreign currency transaction gains (losses) were ($1.4) million and $0.8 million for the three-months ended March 31, 2016 and 2015, respectively. Interest income was $2.0 million and $0.3 million for the three-months ended March 31, 2016 and 2015, respectively.</w:t>
      </w:r>
    </w:p>
    <w:p>
      <w:pPr>
        <w:spacing w:after="0" w:line="1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$91.4 million for the three-months ended March 31, 2016,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$87.0 million or 1,955.8% higher than the provision for income taxes of $4.4 million for the three-months ended March 31, 2015. The effective combined federal, state and foreign tax rate decreased to 35.8% from 50.2% for the three-months ended March 31, 2016 and 2015, respectively. The decrease in the effective tax rate was primarily due to the domestic production deduction. In addition, the effective tax rate for the three months ended March 31, 2015 was high due to (i) the non-deductibility of certain TCCC Transaction costs, and (ii) the ratio between: (a) net losses earned in certain foreign subsidiaries that have no related income tax expense as a result of the prior establishment of valuation allowance on their deferred tax assets, and (b) the overall lower net income of the Company due primarily to distributor termination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$163.9 million for the three-months ended March 31, 2016, an increase of $159.5 million or 3,612.7%</w:t>
      </w:r>
      <w:r>
        <w:rPr>
          <w:rFonts w:ascii="Arial" w:cs="Arial" w:eastAsia="Arial" w:hAnsi="Arial"/>
          <w:sz w:val="19"/>
          <w:szCs w:val="19"/>
          <w:i w:val="1"/>
          <w:iCs w:val="1"/>
          <w:color w:val="auto"/>
        </w:rPr>
        <w:t xml:space="preserve"> </w:t>
      </w:r>
      <w:r>
        <w:rPr>
          <w:rFonts w:ascii="Arial" w:cs="Arial" w:eastAsia="Arial" w:hAnsi="Arial"/>
          <w:sz w:val="19"/>
          <w:szCs w:val="19"/>
          <w:color w:val="auto"/>
        </w:rPr>
        <w:t>higher than net income of $4.4 million for the three-months ended March 31, 2015. The increase in net income was primarily attributable to the $202.5 million decrease in costs associated with distributor terminations as well as the increase in gross profit of $54.1 million. The increase in net income was partially offset by an increase in the provision of income taxes of $87.0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$777.5 million for the three-months ended March 31, 2016, an increase of approximately $67.3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9.5% higher than gross sales of $710.2 million for the three-months ended March 31, 2015. The increase in gross sales of our Monster Energy® brand energy drinks represented approximately $73.7 million of the overall increase in gross sales. Gross sales of our Monster Energy® brand energy drinks increased partially due to increased sales by volume as a result of increased domestic and international consumer demand. Our gross sales of $777.5 million for the three-months ended March 31, 2016 were enhanced by a pre-announced price</w:t>
      </w:r>
    </w:p>
    <w:p>
      <w:pPr>
        <w:sectPr>
          <w:pgSz w:w="11900" w:h="16931" w:orient="portrait"/>
          <w:cols w:equalWidth="0" w:num="1">
            <w:col w:w="11420"/>
          </w:cols>
          <w:pgMar w:left="240" w:top="121" w:right="239" w:bottom="0" w:gutter="0" w:footer="0" w:header="0"/>
        </w:sectPr>
      </w:pPr>
    </w:p>
    <w:bookmarkStart w:id="24" w:name="page25"/>
    <w:bookmarkEnd w:id="24"/>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increase that became effective on August 31, 2015 on certain of our Monster Energy® brand energy drinks. We estimate that gross sales for the three-months ended March 31, 2016 were increased by approximately $25.8 million as a result of such price increase. Gross sales of our Strategic Brands were $64.0 million for the three-months ended March 31, 2016. There were no gross sales for the Other segment, the principal products of which include the brands disposed of as a result of the TCCC Transaction on June 12, 2015 (previously comprising the majority of the former Warehouse segment and the Peace Tea® brand), which resulted in a decrease in gross sales for the Other segment of $35.3 million for the three-months ended March 31, 2016 from the three-months ended March 31, 2015. Promotional and other allowances, as described in the footnote below, were $97.3 million for the three-months ended March 31, 2016, an increase of $13.9 million, or 16.7% higher than promotional and other allowances of $83.4 million for the three-months ended March 31, 2015. Promotional and other allowances as a percentage of gross sales increased to 12.5% from 11.7% for the three-months ended March 31, 2016 and 2015, respectively. No other individual product line contributed either a material increase or decrease to gross sales for the three-months ended March 31, 2016.</w:t>
      </w:r>
    </w:p>
    <w:p>
      <w:pPr>
        <w:spacing w:after="0" w:line="189" w:lineRule="exact"/>
        <w:rPr>
          <w:sz w:val="20"/>
          <w:szCs w:val="20"/>
          <w:color w:val="auto"/>
        </w:rPr>
      </w:pPr>
    </w:p>
    <w:p>
      <w:pPr>
        <w:jc w:val="both"/>
        <w:ind w:firstLine="689"/>
        <w:spacing w:after="0" w:line="278" w:lineRule="auto"/>
        <w:rPr>
          <w:sz w:val="20"/>
          <w:szCs w:val="20"/>
          <w:color w:val="auto"/>
        </w:rPr>
      </w:pPr>
      <w:r>
        <w:rPr>
          <w:rFonts w:ascii="Arial" w:cs="Arial" w:eastAsia="Arial" w:hAnsi="Arial"/>
          <w:sz w:val="18"/>
          <w:szCs w:val="18"/>
          <w:color w:val="auto"/>
        </w:rPr>
        <w:t>Changes in foreign currency exchange rates had an unfavorable impact on gross sales in the Finished Products segment of approximately $13.0 million for the three-months ended March 31, 2016, which was primarily due to a stronger U.S. dollar compared to certain local currencies in which we conduct certain of our international business. Changes in foreign currency exchange rates had an unfavorable impact on gross sales in the Concentrate segment of approximately $2.1 million for the three-months ended March 31, 2016, which was primarily due to a stronger U.S. dollar compared to certain local currencies in which we conduct certain of our international business.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931" w:orient="portrait"/>
          <w:cols w:equalWidth="0" w:num="1">
            <w:col w:w="11420"/>
          </w:cols>
          <w:pgMar w:left="240" w:top="121" w:right="239" w:bottom="0" w:gutter="0" w:footer="0" w:header="0"/>
        </w:sectPr>
      </w:pPr>
    </w:p>
    <w:p>
      <w:pPr>
        <w:spacing w:after="0" w:line="236" w:lineRule="exact"/>
        <w:rPr>
          <w:sz w:val="20"/>
          <w:szCs w:val="20"/>
          <w:color w:val="auto"/>
        </w:rPr>
      </w:pPr>
    </w:p>
    <w:p>
      <w:pPr>
        <w:ind w:left="660" w:right="1000"/>
        <w:spacing w:after="0" w:line="260" w:lineRule="auto"/>
        <w:rPr>
          <w:sz w:val="20"/>
          <w:szCs w:val="20"/>
          <w:color w:val="auto"/>
        </w:rPr>
      </w:pPr>
      <w:r>
        <w:rPr>
          <w:rFonts w:ascii="Arial" w:cs="Arial" w:eastAsia="Arial" w:hAnsi="Arial"/>
          <w:sz w:val="20"/>
          <w:szCs w:val="20"/>
          <w:color w:val="auto"/>
        </w:rPr>
        <w:t>(In thousands, except per share amounts)</w:t>
      </w:r>
    </w:p>
    <w:p>
      <w:pPr>
        <w:spacing w:after="0" w:line="245" w:lineRule="exact"/>
        <w:rPr>
          <w:sz w:val="20"/>
          <w:szCs w:val="20"/>
          <w:color w:val="auto"/>
        </w:rPr>
      </w:pPr>
    </w:p>
    <w:p>
      <w:pPr>
        <w:ind w:left="660"/>
        <w:spacing w:after="0" w:line="257" w:lineRule="auto"/>
        <w:rPr>
          <w:sz w:val="20"/>
          <w:szCs w:val="20"/>
          <w:color w:val="auto"/>
        </w:rPr>
      </w:pPr>
      <w:r>
        <w:rPr>
          <w:rFonts w:ascii="Arial" w:cs="Arial" w:eastAsia="Arial" w:hAnsi="Arial"/>
          <w:sz w:val="20"/>
          <w:szCs w:val="20"/>
          <w:color w:val="auto"/>
        </w:rPr>
        <w:t>Gross sales, net of discounts and returns Less: Promotional and other allowances*** Net Sales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2540" w:type="dxa"/>
            <w:vAlign w:val="bottom"/>
            <w:gridSpan w:val="4"/>
          </w:tcPr>
          <w:p>
            <w:pPr>
              <w:jc w:val="right"/>
              <w:ind w:right="501"/>
              <w:spacing w:after="0"/>
              <w:rPr>
                <w:sz w:val="20"/>
                <w:szCs w:val="20"/>
                <w:color w:val="auto"/>
              </w:rPr>
            </w:pPr>
            <w:r>
              <w:rPr>
                <w:rFonts w:ascii="Arial" w:cs="Arial" w:eastAsia="Arial" w:hAnsi="Arial"/>
                <w:sz w:val="20"/>
                <w:szCs w:val="20"/>
                <w:color w:val="auto"/>
              </w:rPr>
              <w:t>Three-Months Ended</w:t>
            </w:r>
          </w:p>
        </w:tc>
        <w:tc>
          <w:tcPr>
            <w:tcW w:w="1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4"/>
              </w:rPr>
              <w:t>Percentage</w:t>
            </w:r>
          </w:p>
        </w:tc>
      </w:tr>
      <w:tr>
        <w:trPr>
          <w:trHeight w:val="246"/>
        </w:trPr>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Change</w:t>
            </w:r>
          </w:p>
        </w:tc>
      </w:tr>
      <w:tr>
        <w:trPr>
          <w:trHeight w:val="223"/>
        </w:trPr>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160" w:type="dxa"/>
            <w:vAlign w:val="bottom"/>
          </w:tcPr>
          <w:p>
            <w:pPr>
              <w:spacing w:after="0"/>
              <w:rPr>
                <w:sz w:val="19"/>
                <w:szCs w:val="19"/>
                <w:color w:val="auto"/>
              </w:rPr>
            </w:pPr>
          </w:p>
        </w:tc>
        <w:tc>
          <w:tcPr>
            <w:tcW w:w="13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16 vs. 15</w:t>
            </w:r>
          </w:p>
        </w:tc>
      </w:tr>
      <w:tr>
        <w:trPr>
          <w:trHeight w:val="247"/>
        </w:trPr>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777,508</w:t>
            </w:r>
          </w:p>
        </w:tc>
        <w:tc>
          <w:tcPr>
            <w:tcW w:w="160" w:type="dxa"/>
            <w:vAlign w:val="bottom"/>
          </w:tcPr>
          <w:p>
            <w:pPr>
              <w:spacing w:after="0"/>
              <w:rPr>
                <w:sz w:val="21"/>
                <w:szCs w:val="21"/>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710,193</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9.5%</w:t>
            </w:r>
          </w:p>
        </w:tc>
      </w:tr>
      <w:tr>
        <w:trPr>
          <w:trHeight w:val="246"/>
        </w:trPr>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97,322</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83,402</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16.7%</w:t>
            </w:r>
          </w:p>
        </w:tc>
      </w:tr>
      <w:tr>
        <w:trPr>
          <w:trHeight w:val="223"/>
        </w:trPr>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680,186</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626,791</w:t>
            </w:r>
          </w:p>
        </w:tc>
        <w:tc>
          <w:tcPr>
            <w:tcW w:w="152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8.5%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31" w:orient="portrait"/>
          <w:cols w:equalWidth="0" w:num="2">
            <w:col w:w="4120" w:space="340"/>
            <w:col w:w="6960"/>
          </w:cols>
          <w:pgMar w:left="240" w:top="121" w:right="239" w:bottom="0" w:gutter="0" w:footer="0" w:header="0"/>
          <w:type w:val="continuous"/>
        </w:sectPr>
      </w:pPr>
    </w:p>
    <w:p>
      <w:pPr>
        <w:spacing w:after="0" w:line="2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firstLine="8"/>
        <w:spacing w:after="0" w:line="286" w:lineRule="auto"/>
        <w:tabs>
          <w:tab w:leader="none" w:pos="211" w:val="left"/>
        </w:tabs>
        <w:numPr>
          <w:ilvl w:val="0"/>
          <w:numId w:val="27"/>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2016 and 2015 were (i) to increase sales volume and trial, (ii) to address market conditions, and (iii) to secure shelf and display space at retail.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$109.6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 as compared with net cash provided by operating activities of $102.9 million for the three-months ended March 31, 2015.</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the three-months ended March 31, 2016, cash provided by operating activities was primarily attributable to net income earned of $163.9 million and adjustments for certain non-cash expenses, consisting of $10.1 million of stock-based compensation and $9.0 million of depreciation and other amortization. For the three-months ended March 31, 2016, cash provided by operating activities also increased due to a $36.1 million increase in accounts payable, a $12.2 million increase in accrued liabilities, a $13.1 million increase in accrued promotional allowances and a $3.1 million increase in deferred revenue. For the three-months ended March 31, 2016, cash used in operating activities was due to a $58.6 million increase in accounts receivable, a $34.8 million decrease in income taxes payable, a $10.5 million increase in prepaid income taxes, a $7.6 million increase in inventories, a $12.8 million increase in prepaid expenses and other current assets, a $9.1 million decrease in accrued compensation and a $2.9 million decrease in accrued distributor terminations.</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the three-months ended March 31, 2015, cash provided by operating activities was primarily attributable to a $206.0 million increase in accrued distributor terminations, a $42.7 million increase in accounts payable and a $5.4 million increase in accrued liabilities as well as net income earned of $4.4 million and adjustments for certain non-cash expenses consisting of $6.5 million of depreciation and amortization and $6.4 million of stock-based compensation. For the three-months ended March 31, 2015, cash used in operating activities was due to a $68.1 million increase in accounts receivable, a $40.0 million decrease in deferred revenue, a $26.5 million increase in inventories, a</w:t>
      </w:r>
    </w:p>
    <w:p>
      <w:pPr>
        <w:sectPr>
          <w:pgSz w:w="11900" w:h="16931" w:orient="portrait"/>
          <w:cols w:equalWidth="0" w:num="1">
            <w:col w:w="11420"/>
          </w:cols>
          <w:pgMar w:left="240" w:top="121" w:right="239" w:bottom="0" w:gutter="0" w:footer="0" w:header="0"/>
          <w:type w:val="continuous"/>
        </w:sectPr>
      </w:pPr>
    </w:p>
    <w:bookmarkStart w:id="25" w:name="page26"/>
    <w:bookmarkEnd w:id="25"/>
    <w:p>
      <w:pPr>
        <w:spacing w:after="0" w:line="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$13.5 million increase in prepaid income taxes, a $7.9 million decrease in accrued compensation, a $4.3 million decrease in income tax payable and a $2.2 million decrease in accrued promotional allowances.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Cash flows provided by investing activities. </w:t>
      </w:r>
      <w:r>
        <w:rPr>
          <w:rFonts w:ascii="Arial" w:cs="Arial" w:eastAsia="Arial" w:hAnsi="Arial"/>
          <w:sz w:val="20"/>
          <w:szCs w:val="20"/>
          <w:color w:val="auto"/>
        </w:rPr>
        <w:t>We generated $234.3 million of cash from investing activities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March 31, 2016 as compared to $129.6 million for the three-months ended March 31, 2015.</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Net cash provided by investing activities was $234.3 million for the three-months ended March 31, 2016, as compared to net cash provided by investing activities of $129.6 million for the three-months ended March 31, 2015. For the three-months ended March 31, 2016 and 2015, cash used in investing activities was primarily attributable to purchases of held-to-maturity investments, purchases of property and equipment, and additions to intangibles. For both the three-months ended March 31, 2016 and 2015, cash provided by investing activities was primarily attributable to maturities of held-to-maturity investments. For both the three-months ended March 31, 2016 and 2015,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Cash flows provided by (used in) financing activities. </w:t>
      </w:r>
      <w:r>
        <w:rPr>
          <w:rFonts w:ascii="Arial" w:cs="Arial" w:eastAsia="Arial" w:hAnsi="Arial"/>
          <w:sz w:val="20"/>
          <w:szCs w:val="20"/>
          <w:color w:val="auto"/>
        </w:rPr>
        <w:t>We generated $1.5 million of cash in financing activities for the three-months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March 31, 2016 as compared to cash used in financing activities of ($232.5) million for the three-months ended March 31, 2015. The cash flows used in financing activities for the three-months ended March 31, 2015 was primarily the result of the repurchases of our common stock (2.2 million shares were purchased from employees in lieu of cash payments for options exercised or withholding taxes due for a total amount of $251.4 million).</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At March 31, 2016, we had $2,528.1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$515.7 million in short-term and long-term investments. We have historically invested these amounts in U.S. Treasury bills, U.S. government agency securities and municipal securities, commercial paper, certificates of deposit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$2,528.1 million of cash and cash equivalents held at March 31, 2016, $211.7 million was held by our foreign subsidiaries. No short-term or long-term investments were held by our foreign subsidiaries at March 31, 2016.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approximately $2.1 billion (after disbursement of the $690 million for the acquisition of AFF) through March 31, 2017, including additional share repurchases authorized by our Board of Directors on February 24, 2016 (see note 13 “Treasury Stock” in the notes to the condensed consolidated financial statements). However, future business opportunities may cause a change in this estimate.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680" w:type="dxa"/>
            <w:vAlign w:val="bottom"/>
            <w:tcBorders>
              <w:bottom w:val="single" w:sz="8" w:color="auto"/>
            </w:tcBorders>
            <w:gridSpan w:val="8"/>
          </w:tcPr>
          <w:p>
            <w:pPr>
              <w:ind w:left="440"/>
              <w:spacing w:after="0"/>
              <w:rPr>
                <w:sz w:val="20"/>
                <w:szCs w:val="20"/>
                <w:color w:val="auto"/>
              </w:rPr>
            </w:pPr>
            <w:r>
              <w:rPr>
                <w:rFonts w:ascii="Arial" w:cs="Arial" w:eastAsia="Arial" w:hAnsi="Arial"/>
                <w:sz w:val="22"/>
                <w:szCs w:val="22"/>
                <w:color w:val="auto"/>
              </w:rPr>
              <w:t>Payments due by period (in thousands)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15"/>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20"/>
              <w:spacing w:after="0" w:line="216" w:lineRule="exact"/>
              <w:rPr>
                <w:sz w:val="20"/>
                <w:szCs w:val="20"/>
                <w:color w:val="auto"/>
              </w:rPr>
            </w:pPr>
            <w:r>
              <w:rPr>
                <w:rFonts w:ascii="Arial" w:cs="Arial" w:eastAsia="Arial" w:hAnsi="Arial"/>
                <w:sz w:val="22"/>
                <w:szCs w:val="22"/>
                <w:color w:val="auto"/>
                <w:w w:val="85"/>
              </w:rPr>
              <w:t>Less than</w:t>
            </w:r>
          </w:p>
        </w:tc>
        <w:tc>
          <w:tcPr>
            <w:tcW w:w="380" w:type="dxa"/>
            <w:vAlign w:val="bottom"/>
          </w:tcPr>
          <w:p>
            <w:pPr>
              <w:spacing w:after="0"/>
              <w:rPr>
                <w:sz w:val="18"/>
                <w:szCs w:val="18"/>
                <w:color w:val="auto"/>
              </w:rPr>
            </w:pPr>
          </w:p>
        </w:tc>
        <w:tc>
          <w:tcPr>
            <w:tcW w:w="1120" w:type="dxa"/>
            <w:vAlign w:val="bottom"/>
          </w:tcPr>
          <w:p>
            <w:pPr>
              <w:jc w:val="right"/>
              <w:ind w:right="492"/>
              <w:spacing w:after="0" w:line="216" w:lineRule="exact"/>
              <w:rPr>
                <w:sz w:val="20"/>
                <w:szCs w:val="20"/>
                <w:color w:val="auto"/>
              </w:rPr>
            </w:pPr>
            <w:r>
              <w:rPr>
                <w:rFonts w:ascii="Arial" w:cs="Arial" w:eastAsia="Arial" w:hAnsi="Arial"/>
                <w:sz w:val="22"/>
                <w:szCs w:val="22"/>
                <w:color w:val="auto"/>
              </w:rPr>
              <w:t>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72"/>
              <w:spacing w:after="0" w:line="216" w:lineRule="exact"/>
              <w:rPr>
                <w:sz w:val="20"/>
                <w:szCs w:val="20"/>
                <w:color w:val="auto"/>
              </w:rPr>
            </w:pPr>
            <w:r>
              <w:rPr>
                <w:rFonts w:ascii="Arial" w:cs="Arial" w:eastAsia="Arial" w:hAnsi="Arial"/>
                <w:sz w:val="22"/>
                <w:szCs w:val="22"/>
                <w:color w:val="auto"/>
              </w:rPr>
              <w:t>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32"/>
              <w:spacing w:after="0" w:line="216" w:lineRule="exact"/>
              <w:rPr>
                <w:sz w:val="20"/>
                <w:szCs w:val="20"/>
                <w:color w:val="auto"/>
              </w:rPr>
            </w:pPr>
            <w:r>
              <w:rPr>
                <w:rFonts w:ascii="Arial" w:cs="Arial" w:eastAsia="Arial" w:hAnsi="Arial"/>
                <w:sz w:val="22"/>
                <w:szCs w:val="22"/>
                <w:color w:val="auto"/>
                <w:w w:val="90"/>
              </w:rPr>
              <w:t>More than</w:t>
            </w:r>
          </w:p>
        </w:tc>
      </w:tr>
      <w:tr>
        <w:trPr>
          <w:trHeight w:val="265"/>
        </w:trPr>
        <w:tc>
          <w:tcPr>
            <w:tcW w:w="316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Obligations</w:t>
            </w:r>
          </w:p>
        </w:tc>
        <w:tc>
          <w:tcPr>
            <w:tcW w:w="1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Total</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22"/>
                <w:szCs w:val="22"/>
                <w:color w:val="auto"/>
                <w:w w:val="84"/>
              </w:rPr>
              <w:t>1 year</w:t>
            </w:r>
          </w:p>
        </w:tc>
        <w:tc>
          <w:tcPr>
            <w:tcW w:w="1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22"/>
                <w:szCs w:val="22"/>
                <w:color w:val="auto"/>
                <w:w w:val="85"/>
              </w:rPr>
              <w:t>years</w:t>
            </w: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22"/>
                <w:szCs w:val="22"/>
                <w:color w:val="auto"/>
                <w:w w:val="85"/>
              </w:rPr>
              <w:t>years</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5"/>
              </w:rPr>
              <w:t>5 years</w:t>
            </w:r>
          </w:p>
        </w:tc>
      </w:tr>
      <w:tr>
        <w:trPr>
          <w:trHeight w:val="593"/>
        </w:trPr>
        <w:tc>
          <w:tcPr>
            <w:tcW w:w="3340" w:type="dxa"/>
            <w:vAlign w:val="bottom"/>
            <w:gridSpan w:val="2"/>
          </w:tcPr>
          <w:p>
            <w:pPr>
              <w:spacing w:after="0"/>
              <w:rPr>
                <w:sz w:val="20"/>
                <w:szCs w:val="20"/>
                <w:color w:val="auto"/>
              </w:rPr>
            </w:pPr>
            <w:r>
              <w:rPr>
                <w:rFonts w:ascii="Arial" w:cs="Arial" w:eastAsia="Arial" w:hAnsi="Arial"/>
                <w:sz w:val="22"/>
                <w:szCs w:val="22"/>
                <w:color w:val="auto"/>
              </w:rPr>
              <w:t>Contractual Obligations</w:t>
            </w:r>
            <w:r>
              <w:rPr>
                <w:rFonts w:ascii="Arial" w:cs="Arial" w:eastAsia="Arial" w:hAnsi="Arial"/>
                <w:sz w:val="28"/>
                <w:szCs w:val="28"/>
                <w:color w:val="auto"/>
                <w:vertAlign w:val="superscript"/>
              </w:rPr>
              <w:t>1</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106,316</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63,891</w:t>
            </w:r>
          </w:p>
        </w:tc>
        <w:tc>
          <w:tcPr>
            <w:tcW w:w="16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42,380</w:t>
            </w:r>
          </w:p>
        </w:tc>
        <w:tc>
          <w:tcPr>
            <w:tcW w:w="160" w:type="dxa"/>
            <w:vAlign w:val="bottom"/>
          </w:tcPr>
          <w:p>
            <w:pPr>
              <w:spacing w:after="0"/>
              <w:rPr>
                <w:sz w:val="24"/>
                <w:szCs w:val="24"/>
                <w:color w:val="auto"/>
              </w:rPr>
            </w:pP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45</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bl>
    <w:p>
      <w:pPr>
        <w:sectPr>
          <w:pgSz w:w="11900" w:h="16875" w:orient="portrait"/>
          <w:cols w:equalWidth="0" w:num="1">
            <w:col w:w="11420"/>
          </w:cols>
          <w:pgMar w:left="240" w:top="121" w:right="239" w:bottom="0" w:gutter="0" w:footer="0" w:header="0"/>
        </w:sectPr>
      </w:pPr>
    </w:p>
    <w:bookmarkStart w:id="26" w:name="page27"/>
    <w:bookmarkEnd w:id="26"/>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0" w:type="dxa"/>
            <w:vAlign w:val="bottom"/>
            <w:gridSpan w:val="2"/>
          </w:tcPr>
          <w:p>
            <w:pPr>
              <w:spacing w:after="0"/>
              <w:rPr>
                <w:sz w:val="20"/>
                <w:szCs w:val="20"/>
                <w:color w:val="auto"/>
              </w:rPr>
            </w:pPr>
            <w:r>
              <w:rPr>
                <w:rFonts w:ascii="Arial" w:cs="Arial" w:eastAsia="Arial" w:hAnsi="Arial"/>
                <w:sz w:val="22"/>
                <w:szCs w:val="22"/>
                <w:color w:val="auto"/>
              </w:rPr>
              <w:t>Capital Leases</w:t>
            </w:r>
          </w:p>
        </w:tc>
        <w:tc>
          <w:tcPr>
            <w:tcW w:w="1020" w:type="dxa"/>
            <w:vAlign w:val="bottom"/>
          </w:tcPr>
          <w:p>
            <w:pPr>
              <w:jc w:val="right"/>
              <w:spacing w:after="0"/>
              <w:rPr>
                <w:sz w:val="20"/>
                <w:szCs w:val="20"/>
                <w:color w:val="auto"/>
              </w:rPr>
            </w:pPr>
            <w:r>
              <w:rPr>
                <w:rFonts w:ascii="Arial" w:cs="Arial" w:eastAsia="Arial" w:hAnsi="Arial"/>
                <w:sz w:val="22"/>
                <w:szCs w:val="22"/>
                <w:color w:val="auto"/>
              </w:rPr>
              <w:t>1,455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1,455</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80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11,076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6,745</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2,892</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789</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650</w:t>
            </w:r>
          </w:p>
        </w:tc>
      </w:tr>
      <w:tr>
        <w:trPr>
          <w:trHeight w:val="265"/>
        </w:trPr>
        <w:tc>
          <w:tcPr>
            <w:tcW w:w="3800" w:type="dxa"/>
            <w:vAlign w:val="bottom"/>
            <w:gridSpan w:val="2"/>
          </w:tcPr>
          <w:p>
            <w:pPr>
              <w:spacing w:after="0" w:line="265" w:lineRule="exact"/>
              <w:rPr>
                <w:sz w:val="20"/>
                <w:szCs w:val="20"/>
                <w:color w:val="auto"/>
              </w:rPr>
            </w:pPr>
            <w:r>
              <w:rPr>
                <w:rFonts w:ascii="Arial" w:cs="Arial" w:eastAsia="Arial" w:hAnsi="Arial"/>
                <w:sz w:val="22"/>
                <w:szCs w:val="22"/>
                <w:color w:val="auto"/>
              </w:rPr>
              <w:t>Purchase Commitments</w:t>
            </w:r>
            <w:r>
              <w:rPr>
                <w:rFonts w:ascii="Arial" w:cs="Arial" w:eastAsia="Arial" w:hAnsi="Arial"/>
                <w:sz w:val="28"/>
                <w:szCs w:val="28"/>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22"/>
                <w:szCs w:val="22"/>
                <w:color w:val="auto"/>
              </w:rPr>
              <w:t>33,621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33,621</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15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152,468</w:t>
            </w: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15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105,712</w:t>
            </w:r>
          </w:p>
        </w:tc>
        <w:tc>
          <w:tcPr>
            <w:tcW w:w="1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19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45,272</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rPr>
              <w:t>$</w:t>
            </w:r>
          </w:p>
        </w:tc>
        <w:tc>
          <w:tcPr>
            <w:tcW w:w="8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834</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332"/>
              <w:spacing w:after="0" w:line="237" w:lineRule="exact"/>
              <w:rPr>
                <w:sz w:val="20"/>
                <w:szCs w:val="20"/>
                <w:color w:val="auto"/>
              </w:rPr>
            </w:pPr>
            <w:r>
              <w:rPr>
                <w:rFonts w:ascii="Arial" w:cs="Arial" w:eastAsia="Arial" w:hAnsi="Arial"/>
                <w:sz w:val="22"/>
                <w:szCs w:val="22"/>
                <w:color w:val="auto"/>
              </w:rPr>
              <w:t>$</w:t>
            </w:r>
          </w:p>
        </w:tc>
        <w:tc>
          <w:tcPr>
            <w:tcW w:w="8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650</w:t>
            </w: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Contractual obligations include our obligations related to sponsorships and other commitments.</w:t>
      </w:r>
    </w:p>
    <w:p>
      <w:pPr>
        <w:spacing w:after="0" w:line="48" w:lineRule="exact"/>
        <w:rPr>
          <w:sz w:val="20"/>
          <w:szCs w:val="20"/>
          <w:color w:val="auto"/>
        </w:rPr>
      </w:pPr>
    </w:p>
    <w:p>
      <w:pPr>
        <w:ind w:left="660" w:right="60"/>
        <w:spacing w:after="0" w:line="22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1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In addition, approximately $0.5 million of unrecognized tax benefits have been recorded as liabilities as of March 31, 2016. It is expected that the amount of unrecognized tax benefits will not significantly change within the next 12 months. We have also recorded a liability for potential penalties and interest of $0.2 million as of March 31, 2016.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discloses selected quarterly data regarding sales for the three-months ended March 31, 2016 and 2015,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Data from any one or more quarters or periods is not necessarily indicative of annual results or continuing trends.</w:t>
      </w:r>
    </w:p>
    <w:p>
      <w:pPr>
        <w:spacing w:after="0" w:line="21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expected from traditional beverages. In addition, our continued growth in countries located in the southern hemisphere may further reduce the impact of seasonality.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842"/>
              <w:spacing w:after="0"/>
              <w:rPr>
                <w:sz w:val="20"/>
                <w:szCs w:val="20"/>
                <w:color w:val="auto"/>
              </w:rPr>
            </w:pPr>
            <w:r>
              <w:rPr>
                <w:rFonts w:ascii="Arial" w:cs="Arial" w:eastAsia="Arial" w:hAnsi="Arial"/>
                <w:sz w:val="18"/>
                <w:szCs w:val="18"/>
                <w:color w:val="auto"/>
                <w:w w:val="99"/>
              </w:rPr>
              <w:t>38</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500" w:type="dxa"/>
            <w:vAlign w:val="bottom"/>
            <w:gridSpan w:val="3"/>
          </w:tcPr>
          <w:p>
            <w:pPr>
              <w:spacing w:after="0"/>
              <w:rPr>
                <w:sz w:val="20"/>
                <w:szCs w:val="20"/>
                <w:color w:val="auto"/>
              </w:rPr>
            </w:pPr>
            <w:r>
              <w:rPr>
                <w:rFonts w:ascii="Arial" w:cs="Arial" w:eastAsia="Arial" w:hAnsi="Arial"/>
                <w:sz w:val="20"/>
                <w:szCs w:val="20"/>
                <w:color w:val="auto"/>
              </w:rPr>
              <w:t>(In thousands, except average</w:t>
            </w:r>
          </w:p>
        </w:tc>
        <w:tc>
          <w:tcPr>
            <w:tcW w:w="380" w:type="dxa"/>
            <w:vAlign w:val="bottom"/>
          </w:tcPr>
          <w:p>
            <w:pPr>
              <w:spacing w:after="0"/>
              <w:rPr>
                <w:sz w:val="24"/>
                <w:szCs w:val="24"/>
                <w:color w:val="auto"/>
              </w:rPr>
            </w:pPr>
          </w:p>
        </w:tc>
        <w:tc>
          <w:tcPr>
            <w:tcW w:w="7580" w:type="dxa"/>
            <w:vAlign w:val="bottom"/>
            <w:gridSpan w:val="5"/>
          </w:tcPr>
          <w:p>
            <w:pPr>
              <w:ind w:left="400"/>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320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net sales per case)</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1160" w:type="dxa"/>
            <w:vAlign w:val="bottom"/>
            <w:tcBorders>
              <w:bottom w:val="single" w:sz="8" w:color="auto"/>
            </w:tcBorders>
          </w:tcPr>
          <w:p>
            <w:pPr>
              <w:spacing w:after="0"/>
              <w:rPr>
                <w:sz w:val="21"/>
                <w:szCs w:val="21"/>
                <w:color w:val="auto"/>
              </w:rPr>
            </w:pPr>
          </w:p>
        </w:tc>
        <w:tc>
          <w:tcPr>
            <w:tcW w:w="4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gridSpan w:val="3"/>
            <w:vMerge w:val="restart"/>
          </w:tcPr>
          <w:p>
            <w:pPr>
              <w:spacing w:after="0"/>
              <w:rPr>
                <w:sz w:val="20"/>
                <w:szCs w:val="20"/>
                <w:color w:val="auto"/>
              </w:rPr>
            </w:pPr>
            <w:r>
              <w:rPr>
                <w:rFonts w:ascii="Arial" w:cs="Arial" w:eastAsia="Arial" w:hAnsi="Arial"/>
                <w:sz w:val="20"/>
                <w:szCs w:val="20"/>
                <w:color w:val="auto"/>
              </w:rPr>
              <w:t>Net sales</w:t>
            </w:r>
            <w:r>
              <w:rPr>
                <w:rFonts w:ascii="Arial" w:cs="Arial" w:eastAsia="Arial" w:hAnsi="Arial"/>
                <w:sz w:val="12"/>
                <w:szCs w:val="12"/>
                <w:color w:val="auto"/>
              </w:rPr>
              <w:t>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42"/>
              <w:spacing w:after="0" w:line="223" w:lineRule="exact"/>
              <w:rPr>
                <w:sz w:val="20"/>
                <w:szCs w:val="20"/>
                <w:color w:val="auto"/>
              </w:rPr>
            </w:pPr>
            <w:r>
              <w:rPr>
                <w:rFonts w:ascii="Arial" w:cs="Arial" w:eastAsia="Arial" w:hAnsi="Arial"/>
                <w:sz w:val="20"/>
                <w:szCs w:val="20"/>
                <w:color w:val="auto"/>
              </w:rPr>
              <w:t>2015</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3"/>
            <w:vMerge w:val="continue"/>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07" w:lineRule="exact"/>
              <w:rPr>
                <w:sz w:val="20"/>
                <w:szCs w:val="20"/>
                <w:color w:val="auto"/>
              </w:rPr>
            </w:pPr>
            <w:r>
              <w:rPr>
                <w:rFonts w:ascii="Arial" w:cs="Arial" w:eastAsia="Arial" w:hAnsi="Arial"/>
                <w:sz w:val="20"/>
                <w:szCs w:val="20"/>
                <w:color w:val="auto"/>
              </w:rPr>
              <w:t>680,186</w:t>
            </w:r>
          </w:p>
        </w:tc>
        <w:tc>
          <w:tcPr>
            <w:tcW w:w="280" w:type="dxa"/>
            <w:vAlign w:val="bottom"/>
          </w:tcPr>
          <w:p>
            <w:pPr>
              <w:spacing w:after="0"/>
              <w:rPr>
                <w:sz w:val="17"/>
                <w:szCs w:val="17"/>
                <w:color w:val="auto"/>
              </w:rPr>
            </w:pP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07" w:lineRule="exact"/>
              <w:rPr>
                <w:sz w:val="20"/>
                <w:szCs w:val="20"/>
                <w:color w:val="auto"/>
              </w:rPr>
            </w:pPr>
            <w:r>
              <w:rPr>
                <w:rFonts w:ascii="Arial" w:cs="Arial" w:eastAsia="Arial" w:hAnsi="Arial"/>
                <w:sz w:val="20"/>
                <w:szCs w:val="20"/>
                <w:color w:val="auto"/>
              </w:rPr>
              <w:t>626,791</w:t>
            </w: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20"/>
                <w:szCs w:val="20"/>
                <w:color w:val="auto"/>
              </w:rPr>
              <w:t>Case sales by segment: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200"/>
              <w:spacing w:after="0"/>
              <w:rPr>
                <w:sz w:val="20"/>
                <w:szCs w:val="20"/>
                <w:color w:val="auto"/>
              </w:rPr>
            </w:pPr>
            <w:r>
              <w:rPr>
                <w:rFonts w:ascii="Arial" w:cs="Arial" w:eastAsia="Arial" w:hAnsi="Arial"/>
                <w:sz w:val="20"/>
                <w:szCs w:val="20"/>
                <w:color w:val="auto"/>
              </w:rPr>
              <w:t>Finished Products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57,877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51,847</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200"/>
              <w:spacing w:after="0"/>
              <w:rPr>
                <w:sz w:val="20"/>
                <w:szCs w:val="20"/>
                <w:color w:val="auto"/>
              </w:rPr>
            </w:pPr>
            <w:r>
              <w:rPr>
                <w:rFonts w:ascii="Arial" w:cs="Arial" w:eastAsia="Arial" w:hAnsi="Arial"/>
                <w:sz w:val="20"/>
                <w:szCs w:val="20"/>
                <w:color w:val="auto"/>
              </w:rPr>
              <w:t>Concentrate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14,776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500" w:type="dxa"/>
            <w:vAlign w:val="bottom"/>
            <w:gridSpan w:val="3"/>
          </w:tcPr>
          <w:p>
            <w:pPr>
              <w:ind w:left="200"/>
              <w:spacing w:after="0"/>
              <w:rPr>
                <w:sz w:val="20"/>
                <w:szCs w:val="20"/>
                <w:color w:val="auto"/>
              </w:rPr>
            </w:pPr>
            <w:r>
              <w:rPr>
                <w:rFonts w:ascii="Arial" w:cs="Arial" w:eastAsia="Arial" w:hAnsi="Arial"/>
                <w:sz w:val="20"/>
                <w:szCs w:val="20"/>
                <w:color w:val="auto"/>
              </w:rPr>
              <w:t>Other</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5,932</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line="213" w:lineRule="exact"/>
              <w:rPr>
                <w:sz w:val="20"/>
                <w:szCs w:val="20"/>
                <w:color w:val="auto"/>
              </w:rPr>
            </w:pPr>
            <w:r>
              <w:rPr>
                <w:rFonts w:ascii="Arial" w:cs="Arial" w:eastAsia="Arial" w:hAnsi="Arial"/>
                <w:sz w:val="20"/>
                <w:szCs w:val="20"/>
                <w:color w:val="auto"/>
              </w:rPr>
              <w:t>Total case sales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72,653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57,779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line="220" w:lineRule="exact"/>
              <w:rPr>
                <w:sz w:val="20"/>
                <w:szCs w:val="20"/>
                <w:color w:val="auto"/>
              </w:rPr>
            </w:pPr>
            <w:r>
              <w:rPr>
                <w:rFonts w:ascii="Arial" w:cs="Arial" w:eastAsia="Arial" w:hAnsi="Arial"/>
                <w:sz w:val="20"/>
                <w:szCs w:val="20"/>
                <w:color w:val="auto"/>
              </w:rPr>
              <w:t>Average net sales per case</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10.85</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-2042160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-2042160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jc w:val="both"/>
        <w:ind w:right="40" w:firstLine="648"/>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$39.8 million for the three-months ended March 31, 2015, related to the accelerated amortization of the deferred revenue balances associated with certain of the Company’s prior distributors who were sent notices of termination during the first quarter of 2015.</w:t>
      </w:r>
    </w:p>
    <w:p>
      <w:pPr>
        <w:spacing w:after="0" w:line="220"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2015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9"/>
          <w:szCs w:val="19"/>
          <w:color w:val="auto"/>
        </w:rPr>
        <w:t>In March 2016, the FASB issued ASU 2016-09, “Compensation - Stock Compensation: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stock compensation based on estimated forfeitures. For the three-months ended March 31, 2015, net cash provided by operating activities and net cash used in financing activities increased by $184.7 million, respectively, as a result of such retrospective adjustment. The adoption of ASU 2016-09 did not have a material impact on the Company’s financial position, results of operations or liquidity.</w:t>
      </w:r>
    </w:p>
    <w:p>
      <w:pPr>
        <w:sectPr>
          <w:pgSz w:w="11900" w:h="16855" w:orient="portrait"/>
          <w:cols w:equalWidth="0" w:num="1">
            <w:col w:w="11460"/>
          </w:cols>
          <w:pgMar w:left="240" w:top="108" w:right="199" w:bottom="0" w:gutter="0" w:footer="0" w:header="0"/>
        </w:sectPr>
      </w:pPr>
    </w:p>
    <w:bookmarkStart w:id="27" w:name="page28"/>
    <w:bookmarkEnd w:id="27"/>
    <w:p>
      <w:pPr>
        <w:spacing w:after="0" w:line="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2016-02, “Leases (Topic 842)”. This update will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2016-02 on its financial position, results of operations and liquidity.</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amendments under the new guidance require that deferred tax liabilities and assets be classified as noncurrent in a classified statement of financial position. The guidance is effective for financial statements issued for annual periods beginning after December 15, 2016, and interim periods within those annual periods. Earlier application is permitted for all entities as of the beginning of an interim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annual reporting period. The Company adopted the standards update effective December 31, 2015, electing to apply it retrospectively to all periods presented.</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2015-11 requires entities to measure inventory at the lower of cost or net realizable value. Net realizable value is defined as the estimated selling prices in the ordinary course of business, less reasonably predictable costs of completion, disposal and transportation. ASU 2015-11 is effective for annual periods, and interim periods within those years, beginning after December 15, 2016. Early adoption is permitted. The adoption of ASU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tabs>
          <w:tab w:leader="none" w:pos="317"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2014-09 on its financial position, results of operations and liquidity.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intended commencement of the $2.0 billion tender offer;</w:t>
      </w:r>
    </w:p>
    <w:p>
      <w:pPr>
        <w:spacing w:after="0" w:line="15" w:lineRule="exact"/>
        <w:rPr>
          <w:rFonts w:ascii="Arial" w:cs="Arial" w:eastAsia="Arial" w:hAnsi="Arial"/>
          <w:sz w:val="20"/>
          <w:szCs w:val="20"/>
          <w:color w:val="auto"/>
        </w:rPr>
      </w:pPr>
    </w:p>
    <w:p>
      <w:pPr>
        <w:ind w:left="420" w:hanging="412"/>
        <w:spacing w:after="0"/>
        <w:tabs>
          <w:tab w:leader="none" w:pos="4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ind w:left="420" w:hanging="412"/>
        <w:spacing w:after="0"/>
        <w:tabs>
          <w:tab w:leader="none" w:pos="4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420" w:hanging="412"/>
        <w:spacing w:after="0" w:line="244" w:lineRule="auto"/>
        <w:tabs>
          <w:tab w:leader="none" w:pos="4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420" w:hanging="412"/>
        <w:spacing w:after="0" w:line="247" w:lineRule="auto"/>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in distribution or sales and/or decline in sales due to the termination and/or appointment of existing and/or new domestic and/or</w:t>
      </w:r>
    </w:p>
    <w:p>
      <w:pPr>
        <w:sectPr>
          <w:pgSz w:w="11900" w:h="16847" w:orient="portrait"/>
          <w:cols w:equalWidth="0" w:num="1">
            <w:col w:w="11420"/>
          </w:cols>
          <w:pgMar w:left="240" w:top="352" w:right="239" w:bottom="0" w:gutter="0" w:footer="0" w:header="0"/>
        </w:sectPr>
      </w:pPr>
    </w:p>
    <w:bookmarkStart w:id="28" w:name="page29"/>
    <w:bookmarkEnd w:id="28"/>
    <w:p>
      <w:pPr>
        <w:spacing w:after="0" w:line="2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international distributors;</w:t>
      </w:r>
    </w:p>
    <w:p>
      <w:pPr>
        <w:spacing w:after="0" w:line="16"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420" w:right="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420" w:right="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demand that are weather related;</w:t>
      </w: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420" w:hanging="412"/>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420" w:hanging="412"/>
        <w:spacing w:after="0" w:line="239"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ind w:left="420" w:right="20" w:hanging="412"/>
        <w:spacing w:after="0" w:line="244" w:lineRule="auto"/>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 the sale of energy drinks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420"/>
        <w:spacing w:after="0" w:line="245" w:lineRule="auto"/>
        <w:rPr>
          <w:sz w:val="20"/>
          <w:szCs w:val="20"/>
          <w:color w:val="auto"/>
        </w:rPr>
      </w:pPr>
      <w:r>
        <w:rPr>
          <w:rFonts w:ascii="Arial" w:cs="Arial" w:eastAsia="Arial" w:hAnsi="Arial"/>
          <w:sz w:val="20"/>
          <w:szCs w:val="20"/>
          <w:color w:val="auto"/>
        </w:rPr>
        <w:t>(including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420" w:hanging="412"/>
        <w:spacing w:after="0" w:line="266"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&amp;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FTC;</w:t>
      </w:r>
    </w:p>
    <w:p>
      <w:pPr>
        <w:spacing w:after="0" w:line="1" w:lineRule="exact"/>
        <w:rPr>
          <w:rFonts w:ascii="Arial" w:cs="Arial" w:eastAsia="Arial" w:hAnsi="Arial"/>
          <w:sz w:val="18"/>
          <w:szCs w:val="18"/>
          <w:color w:val="auto"/>
        </w:rPr>
      </w:pPr>
    </w:p>
    <w:p>
      <w:pPr>
        <w:jc w:val="both"/>
        <w:ind w:left="420" w:right="20" w:hanging="412"/>
        <w:spacing w:after="0" w:line="239" w:lineRule="auto"/>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420" w:hanging="412"/>
        <w:spacing w:after="0"/>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and/or press and/or articles, comments and/or media attention;</w:t>
      </w:r>
    </w:p>
    <w:p>
      <w:pPr>
        <w:jc w:val="both"/>
        <w:ind w:left="420" w:hanging="412"/>
        <w:spacing w:after="0" w:line="252"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420" w:right="20" w:hanging="412"/>
        <w:spacing w:after="0" w:line="239" w:lineRule="auto"/>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impact of corporate activity among the limited number of suppliers from whom we purchase certain raw materials on our cost of sales;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and/or ingredients and/or commodities and/or other cost inputs affecting our business;</w:t>
      </w:r>
    </w:p>
    <w:p>
      <w:pPr>
        <w:spacing w:after="0" w:line="1" w:lineRule="exact"/>
        <w:rPr>
          <w:rFonts w:ascii="Arial" w:cs="Arial" w:eastAsia="Arial" w:hAnsi="Arial"/>
          <w:sz w:val="20"/>
          <w:szCs w:val="20"/>
          <w:color w:val="auto"/>
        </w:rPr>
      </w:pPr>
    </w:p>
    <w:p>
      <w:pPr>
        <w:jc w:val="both"/>
        <w:ind w:left="420" w:hanging="412"/>
        <w:spacing w:after="0" w:line="241" w:lineRule="auto"/>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ectPr>
          <w:pgSz w:w="11900" w:h="16860" w:orient="portrait"/>
          <w:cols w:equalWidth="0" w:num="1">
            <w:col w:w="11420"/>
          </w:cols>
          <w:pgMar w:left="240" w:top="121" w:right="239" w:bottom="0" w:gutter="0" w:footer="0" w:header="0"/>
        </w:sectPr>
      </w:pPr>
    </w:p>
    <w:bookmarkStart w:id="29" w:name="page30"/>
    <w:bookmarkEnd w:id="29"/>
    <w:p>
      <w:pPr>
        <w:spacing w:after="0" w:line="13" w:lineRule="exact"/>
        <w:rPr>
          <w:sz w:val="20"/>
          <w:szCs w:val="20"/>
          <w:color w:val="auto"/>
        </w:rPr>
      </w:pPr>
    </w:p>
    <w:p>
      <w:pPr>
        <w:ind w:left="420" w:hanging="412"/>
        <w:spacing w:after="0" w:line="248" w:lineRule="auto"/>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420" w:hanging="412"/>
        <w:spacing w:after="0" w:line="239" w:lineRule="auto"/>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the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420" w:right="20" w:hanging="412"/>
        <w:spacing w:after="0" w:line="239" w:lineRule="auto"/>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420" w:hanging="412"/>
        <w:spacing w:after="0"/>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internationally and/or the timely replacement of discontinued co-packing arrangements;</w:t>
      </w:r>
    </w:p>
    <w:p>
      <w:pPr>
        <w:spacing w:after="0" w:line="15"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420" w:right="20" w:hanging="412"/>
        <w:spacing w:after="0" w:line="239"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420" w:right="20" w:hanging="412"/>
        <w:spacing w:after="0" w:line="239"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420" w:hanging="412"/>
        <w:spacing w:after="0"/>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420" w:hanging="412"/>
        <w:spacing w:after="0" w:line="239"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March 31, 2016 compared with the disclosures in Part II, Item 7A of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March 31, 2016,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1" w:right="239" w:bottom="0" w:gutter="0" w:footer="0" w:header="0"/>
          <w:type w:val="continuous"/>
        </w:sectPr>
      </w:pPr>
    </w:p>
    <w:bookmarkStart w:id="30" w:name="page31"/>
    <w:bookmarkEnd w:id="30"/>
    <w:p>
      <w:pPr>
        <w:jc w:val="both"/>
        <w:ind w:right="40"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Statements-Note 11.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During the three-months ended March 31, 2016, 15,277 shares were purchased from employees in lieu of cash payments for options exercised or withholding taxes due for a total amount of $2.0 million. While such purchases are considered common stock repurchases, they are not counted as purchases against the Company’s authorized share repurchase programs.</w:t>
      </w:r>
    </w:p>
    <w:p>
      <w:pPr>
        <w:spacing w:after="0" w:line="19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060" w:type="dxa"/>
            <w:vAlign w:val="bottom"/>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1006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060" w:type="dxa"/>
            <w:vAlign w:val="bottom"/>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10060" w:type="dxa"/>
            <w:vAlign w:val="bottom"/>
          </w:tcPr>
          <w:p>
            <w:pPr>
              <w:ind w:left="360"/>
              <w:spacing w:after="0"/>
              <w:rPr>
                <w:sz w:val="20"/>
                <w:szCs w:val="20"/>
                <w:color w:val="auto"/>
              </w:rPr>
            </w:pPr>
            <w:r>
              <w:rPr>
                <w:rFonts w:ascii="Arial" w:cs="Arial" w:eastAsia="Arial" w:hAnsi="Arial"/>
                <w:sz w:val="20"/>
                <w:szCs w:val="20"/>
                <w:color w:val="auto"/>
              </w:rPr>
              <w:t>Certification of Chief Executive Officer Pursuant to Section 302 of the Sarbanes- Oxley Act of 2002</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10060" w:type="dxa"/>
            <w:vAlign w:val="bottom"/>
          </w:tcPr>
          <w:p>
            <w:pPr>
              <w:ind w:left="360"/>
              <w:spacing w:after="0"/>
              <w:rPr>
                <w:sz w:val="20"/>
                <w:szCs w:val="20"/>
                <w:color w:val="auto"/>
              </w:rPr>
            </w:pPr>
            <w:r>
              <w:rPr>
                <w:rFonts w:ascii="Arial" w:cs="Arial" w:eastAsia="Arial" w:hAnsi="Arial"/>
                <w:sz w:val="20"/>
                <w:szCs w:val="20"/>
                <w:color w:val="auto"/>
              </w:rPr>
              <w:t>Certification of Chief Financial Officer Pursuant to Section 302 of the Sarbanes- Oxley Act of 2002</w:t>
            </w:r>
          </w:p>
        </w:tc>
      </w:tr>
      <w:tr>
        <w:trPr>
          <w:trHeight w:val="425"/>
        </w:trPr>
        <w:tc>
          <w:tcPr>
            <w:tcW w:w="1200" w:type="dxa"/>
            <w:vAlign w:val="bottom"/>
          </w:tcPr>
          <w:p>
            <w:pPr>
              <w:spacing w:after="0"/>
              <w:rPr>
                <w:sz w:val="20"/>
                <w:szCs w:val="20"/>
                <w:color w:val="auto"/>
              </w:rPr>
            </w:pPr>
            <w:r>
              <w:rPr>
                <w:rFonts w:ascii="Arial" w:cs="Arial" w:eastAsia="Arial" w:hAnsi="Arial"/>
                <w:sz w:val="20"/>
                <w:szCs w:val="20"/>
                <w:color w:val="auto"/>
              </w:rPr>
              <w:t>32.1*</w:t>
            </w:r>
          </w:p>
        </w:tc>
        <w:tc>
          <w:tcPr>
            <w:tcW w:w="10060" w:type="dxa"/>
            <w:vAlign w:val="bottom"/>
          </w:tcPr>
          <w:p>
            <w:pPr>
              <w:ind w:left="360"/>
              <w:spacing w:after="0"/>
              <w:rPr>
                <w:sz w:val="20"/>
                <w:szCs w:val="20"/>
                <w:color w:val="auto"/>
              </w:rPr>
            </w:pPr>
            <w:r>
              <w:rPr>
                <w:rFonts w:ascii="Arial" w:cs="Arial" w:eastAsia="Arial" w:hAnsi="Arial"/>
                <w:sz w:val="20"/>
                <w:szCs w:val="20"/>
                <w:color w:val="auto"/>
                <w:w w:val="92"/>
              </w:rPr>
              <w:t>Certification of Chief Executive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060" w:type="dxa"/>
            <w:vAlign w:val="bottom"/>
          </w:tcPr>
          <w:p>
            <w:pPr>
              <w:ind w:left="360"/>
              <w:spacing w:after="0"/>
              <w:rPr>
                <w:sz w:val="20"/>
                <w:szCs w:val="20"/>
                <w:color w:val="auto"/>
              </w:rPr>
            </w:pPr>
            <w:r>
              <w:rPr>
                <w:rFonts w:ascii="Arial" w:cs="Arial" w:eastAsia="Arial" w:hAnsi="Arial"/>
                <w:sz w:val="20"/>
                <w:szCs w:val="20"/>
                <w:color w:val="auto"/>
              </w:rPr>
              <w:t>Sarbanes-Oxley Act of 2002</w:t>
            </w:r>
          </w:p>
        </w:tc>
      </w:tr>
      <w:tr>
        <w:trPr>
          <w:trHeight w:val="425"/>
        </w:trPr>
        <w:tc>
          <w:tcPr>
            <w:tcW w:w="1200" w:type="dxa"/>
            <w:vAlign w:val="bottom"/>
          </w:tcPr>
          <w:p>
            <w:pPr>
              <w:spacing w:after="0"/>
              <w:rPr>
                <w:sz w:val="20"/>
                <w:szCs w:val="20"/>
                <w:color w:val="auto"/>
              </w:rPr>
            </w:pPr>
            <w:r>
              <w:rPr>
                <w:rFonts w:ascii="Arial" w:cs="Arial" w:eastAsia="Arial" w:hAnsi="Arial"/>
                <w:sz w:val="20"/>
                <w:szCs w:val="20"/>
                <w:color w:val="auto"/>
              </w:rPr>
              <w:t>32.2*</w:t>
            </w:r>
          </w:p>
        </w:tc>
        <w:tc>
          <w:tcPr>
            <w:tcW w:w="10060" w:type="dxa"/>
            <w:vAlign w:val="bottom"/>
          </w:tcPr>
          <w:p>
            <w:pPr>
              <w:ind w:left="360"/>
              <w:spacing w:after="0"/>
              <w:rPr>
                <w:sz w:val="20"/>
                <w:szCs w:val="20"/>
                <w:color w:val="auto"/>
              </w:rPr>
            </w:pPr>
            <w:r>
              <w:rPr>
                <w:rFonts w:ascii="Arial" w:cs="Arial" w:eastAsia="Arial" w:hAnsi="Arial"/>
                <w:sz w:val="20"/>
                <w:szCs w:val="20"/>
                <w:color w:val="auto"/>
                <w:w w:val="92"/>
              </w:rPr>
              <w:t>Certification by Chief Financial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060" w:type="dxa"/>
            <w:vAlign w:val="bottom"/>
          </w:tcPr>
          <w:p>
            <w:pPr>
              <w:ind w:left="360"/>
              <w:spacing w:after="0"/>
              <w:rPr>
                <w:sz w:val="20"/>
                <w:szCs w:val="20"/>
                <w:color w:val="auto"/>
              </w:rPr>
            </w:pPr>
            <w:r>
              <w:rPr>
                <w:rFonts w:ascii="Arial" w:cs="Arial" w:eastAsia="Arial" w:hAnsi="Arial"/>
                <w:sz w:val="20"/>
                <w:szCs w:val="20"/>
                <w:color w:val="auto"/>
              </w:rPr>
              <w:t>Sarbanes-Oxley Act of 2002</w:t>
            </w:r>
          </w:p>
        </w:tc>
      </w:tr>
      <w:tr>
        <w:trPr>
          <w:trHeight w:val="425"/>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10060" w:type="dxa"/>
            <w:vAlign w:val="bottom"/>
          </w:tcPr>
          <w:p>
            <w:pPr>
              <w:ind w:left="360"/>
              <w:spacing w:after="0"/>
              <w:rPr>
                <w:sz w:val="20"/>
                <w:szCs w:val="20"/>
                <w:color w:val="auto"/>
              </w:rPr>
            </w:pPr>
            <w:r>
              <w:rPr>
                <w:rFonts w:ascii="Arial" w:cs="Arial" w:eastAsia="Arial" w:hAnsi="Arial"/>
                <w:sz w:val="20"/>
                <w:szCs w:val="20"/>
                <w:color w:val="auto"/>
                <w:w w:val="91"/>
              </w:rPr>
              <w:t>The following financial information from Monster Beverage Corporation’s Quarterly Report on Form 10-Q for the quarter</w:t>
            </w:r>
          </w:p>
        </w:tc>
      </w:tr>
      <w:tr>
        <w:trPr>
          <w:trHeight w:val="246"/>
        </w:trPr>
        <w:tc>
          <w:tcPr>
            <w:tcW w:w="1200" w:type="dxa"/>
            <w:vAlign w:val="bottom"/>
          </w:tcPr>
          <w:p>
            <w:pPr>
              <w:spacing w:after="0"/>
              <w:rPr>
                <w:sz w:val="21"/>
                <w:szCs w:val="21"/>
                <w:color w:val="auto"/>
              </w:rPr>
            </w:pPr>
          </w:p>
        </w:tc>
        <w:tc>
          <w:tcPr>
            <w:tcW w:w="10060" w:type="dxa"/>
            <w:vAlign w:val="bottom"/>
          </w:tcPr>
          <w:p>
            <w:pPr>
              <w:ind w:left="360"/>
              <w:spacing w:after="0"/>
              <w:rPr>
                <w:sz w:val="20"/>
                <w:szCs w:val="20"/>
                <w:color w:val="auto"/>
              </w:rPr>
            </w:pPr>
            <w:r>
              <w:rPr>
                <w:rFonts w:ascii="Arial" w:cs="Arial" w:eastAsia="Arial" w:hAnsi="Arial"/>
                <w:sz w:val="20"/>
                <w:szCs w:val="20"/>
                <w:color w:val="auto"/>
                <w:w w:val="94"/>
              </w:rPr>
              <w:t>ended March 31, 2016, formatted in XBRL (eXtensible Business Reporting Language): (i) Condensed Consolidated</w:t>
            </w:r>
          </w:p>
        </w:tc>
      </w:tr>
    </w:tbl>
    <w:p>
      <w:pPr>
        <w:ind w:left="1560" w:right="60"/>
        <w:spacing w:after="0" w:line="276" w:lineRule="auto"/>
        <w:rPr>
          <w:sz w:val="20"/>
          <w:szCs w:val="20"/>
          <w:color w:val="auto"/>
        </w:rPr>
      </w:pPr>
      <w:r>
        <w:rPr>
          <w:rFonts w:ascii="Arial" w:cs="Arial" w:eastAsia="Arial" w:hAnsi="Arial"/>
          <w:sz w:val="18"/>
          <w:szCs w:val="18"/>
          <w:color w:val="auto"/>
        </w:rPr>
        <w:t>Balance Sheets as of March 31, 2016 and December 31, 2015, (ii) Condensed Consolidated Statements of Income for the three-months ended March 31, 2016 and 2015, (iii) Condensed Consolidated Statements of Comprehensive Income for the three-months ended March 31, 2016 and 2015, (iv) Condensed Consolidated Statements of Cash Flows for the three-months ended March 31, 2016 and 2015, and (v) the Notes to Condensed Consolidated Financial Statements.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6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660" w:type="dxa"/>
            <w:vAlign w:val="bottom"/>
          </w:tcPr>
          <w:p>
            <w:pPr>
              <w:spacing w:after="0"/>
              <w:rPr>
                <w:sz w:val="20"/>
                <w:szCs w:val="20"/>
                <w:color w:val="auto"/>
              </w:rPr>
            </w:pPr>
            <w:r>
              <w:rPr>
                <w:rFonts w:ascii="Arial" w:cs="Arial" w:eastAsia="Arial" w:hAnsi="Arial"/>
                <w:sz w:val="20"/>
                <w:szCs w:val="20"/>
                <w:color w:val="auto"/>
              </w:rPr>
              <w:t>Date: April 29, 2016</w:t>
            </w:r>
          </w:p>
        </w:tc>
        <w:tc>
          <w:tcPr>
            <w:tcW w:w="20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60" w:type="dxa"/>
            <w:vAlign w:val="bottom"/>
          </w:tcPr>
          <w:p>
            <w:pPr>
              <w:spacing w:after="0"/>
              <w:rPr>
                <w:sz w:val="20"/>
                <w:szCs w:val="20"/>
                <w:color w:val="auto"/>
              </w:rPr>
            </w:pPr>
          </w:p>
        </w:tc>
      </w:tr>
      <w:tr>
        <w:trPr>
          <w:trHeight w:val="230"/>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6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42"/>
        </w:trPr>
        <w:tc>
          <w:tcPr>
            <w:tcW w:w="3660" w:type="dxa"/>
            <w:vAlign w:val="bottom"/>
          </w:tcPr>
          <w:p>
            <w:pPr>
              <w:spacing w:after="0"/>
              <w:rPr>
                <w:sz w:val="24"/>
                <w:szCs w:val="24"/>
                <w:color w:val="auto"/>
              </w:rPr>
            </w:pPr>
          </w:p>
        </w:tc>
        <w:tc>
          <w:tcPr>
            <w:tcW w:w="4040" w:type="dxa"/>
            <w:vAlign w:val="bottom"/>
            <w:gridSpan w:val="2"/>
          </w:tcPr>
          <w:p>
            <w:pPr>
              <w:jc w:val="right"/>
              <w:ind w:right="1801"/>
              <w:spacing w:after="0"/>
              <w:rPr>
                <w:sz w:val="20"/>
                <w:szCs w:val="20"/>
                <w:color w:val="auto"/>
              </w:rPr>
            </w:pPr>
            <w:r>
              <w:rPr>
                <w:rFonts w:ascii="Arial" w:cs="Arial" w:eastAsia="Arial" w:hAnsi="Arial"/>
                <w:sz w:val="18"/>
                <w:szCs w:val="18"/>
                <w:color w:val="auto"/>
              </w:rPr>
              <w:t>45</w:t>
            </w:r>
          </w:p>
        </w:tc>
        <w:tc>
          <w:tcPr>
            <w:tcW w:w="376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2" w:right="199" w:bottom="181" w:gutter="0" w:footer="0" w:header="0"/>
        </w:sectPr>
      </w:pPr>
    </w:p>
    <w:bookmarkStart w:id="31" w:name="page32"/>
    <w:bookmarkEnd w:id="31"/>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-1284605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900" w:type="dxa"/>
            <w:vAlign w:val="bottom"/>
          </w:tcPr>
          <w:p>
            <w:pPr>
              <w:ind w:left="440"/>
              <w:spacing w:after="0"/>
              <w:rPr>
                <w:sz w:val="20"/>
                <w:szCs w:val="20"/>
                <w:color w:val="auto"/>
              </w:rPr>
            </w:pPr>
            <w:r>
              <w:rPr>
                <w:rFonts w:ascii="Arial" w:cs="Arial" w:eastAsia="Arial" w:hAnsi="Arial"/>
                <w:sz w:val="20"/>
                <w:szCs w:val="20"/>
                <w:color w:val="auto"/>
              </w:rPr>
              <w:t>April 29, 2016</w:t>
            </w:r>
          </w:p>
        </w:tc>
        <w:tc>
          <w:tcPr>
            <w:tcW w:w="5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62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90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-701675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920" w:type="dxa"/>
            <w:vAlign w:val="bottom"/>
          </w:tcPr>
          <w:p>
            <w:pPr>
              <w:ind w:left="440"/>
              <w:spacing w:after="0"/>
              <w:rPr>
                <w:sz w:val="20"/>
                <w:szCs w:val="20"/>
                <w:color w:val="auto"/>
              </w:rPr>
            </w:pPr>
            <w:r>
              <w:rPr>
                <w:rFonts w:ascii="Arial" w:cs="Arial" w:eastAsia="Arial" w:hAnsi="Arial"/>
                <w:sz w:val="20"/>
                <w:szCs w:val="20"/>
                <w:color w:val="auto"/>
              </w:rPr>
              <w:t>April 29, 2016</w:t>
            </w:r>
          </w:p>
        </w:tc>
        <w:tc>
          <w:tcPr>
            <w:tcW w:w="5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62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2016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840" w:type="dxa"/>
            <w:vAlign w:val="bottom"/>
          </w:tcPr>
          <w:p>
            <w:pPr>
              <w:ind w:left="420"/>
              <w:spacing w:after="0"/>
              <w:rPr>
                <w:sz w:val="20"/>
                <w:szCs w:val="20"/>
                <w:color w:val="auto"/>
              </w:rPr>
            </w:pPr>
            <w:r>
              <w:rPr>
                <w:rFonts w:ascii="Arial" w:cs="Arial" w:eastAsia="Arial" w:hAnsi="Arial"/>
                <w:sz w:val="20"/>
                <w:szCs w:val="20"/>
                <w:color w:val="auto"/>
              </w:rPr>
              <w:t>April 29,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2016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5120" w:type="dxa"/>
            <w:vAlign w:val="bottom"/>
          </w:tcPr>
          <w:p>
            <w:pPr>
              <w:ind w:left="200"/>
              <w:spacing w:after="0"/>
              <w:rPr>
                <w:sz w:val="20"/>
                <w:szCs w:val="20"/>
                <w:color w:val="auto"/>
              </w:rPr>
            </w:pPr>
            <w:r>
              <w:rPr>
                <w:rFonts w:ascii="Arial" w:cs="Arial" w:eastAsia="Arial" w:hAnsi="Arial"/>
                <w:sz w:val="20"/>
                <w:szCs w:val="20"/>
                <w:color w:val="auto"/>
              </w:rPr>
              <w:t>April 29, 2016</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6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568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62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decimal"/>
      <w:start w:val="3"/>
    </w:lvl>
  </w:abstractNum>
  <w:abstractNum w:abstractNumId="3">
    <w:nsid w:val="333AB105"/>
    <w:multiLevelType w:val="hybridMultilevel"/>
    <w:lvl w:ilvl="0">
      <w:lvlJc w:val="left"/>
      <w:lvlText w:val="(%1)"/>
      <w:numFmt w:val="lowerRoman"/>
      <w:start w:val="1"/>
    </w:lvl>
  </w:abstractNum>
  <w:abstractNum w:abstractNumId="4">
    <w:nsid w:val="721DA317"/>
    <w:multiLevelType w:val="hybridMultilevel"/>
    <w:lvl w:ilvl="0">
      <w:lvlJc w:val="left"/>
      <w:lvlText w:val="(%1)"/>
      <w:numFmt w:val="lowerRoman"/>
      <w:start w:val="4"/>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1."/>
      <w:numFmt w:val="decimal"/>
      <w:start w:val="11"/>
    </w:lvl>
  </w:abstractNum>
  <w:abstractNum w:abstractNumId="14">
    <w:nsid w:val="54E49EB4"/>
    <w:multiLevelType w:val="hybridMultilevel"/>
    <w:lvl w:ilvl="0">
      <w:lvlJc w:val="left"/>
      <w:lvlText w:val="(%1)"/>
      <w:numFmt w:val="lowerRoman"/>
      <w:start w:val="3"/>
    </w:lvl>
    <w:lvl w:ilvl="1">
      <w:lvlJc w:val="left"/>
      <w:lvlText w:val="(%2)"/>
      <w:numFmt w:val="lowerRoman"/>
      <w:start w:val="1"/>
    </w:lvl>
  </w:abstractNum>
  <w:abstractNum w:abstractNumId="15">
    <w:nsid w:val="71F32454"/>
    <w:multiLevelType w:val="hybridMultilevel"/>
    <w:lvl w:ilvl="0">
      <w:lvlJc w:val="left"/>
      <w:lvlText w:val="%1."/>
      <w:numFmt w:val="decimal"/>
      <w:start w:val="12"/>
    </w:lvl>
  </w:abstractNum>
  <w:abstractNum w:abstractNumId="16">
    <w:nsid w:val="2CA88611"/>
    <w:multiLevelType w:val="hybridMultilevel"/>
    <w:lvl w:ilvl="0">
      <w:lvlJc w:val="left"/>
      <w:lvlText w:val="%1."/>
      <w:numFmt w:val="decimal"/>
      <w:start w:val="14"/>
    </w:lvl>
  </w:abstractNum>
  <w:abstractNum w:abstractNumId="17">
    <w:nsid w:val="836C40E"/>
    <w:multiLevelType w:val="hybridMultilevel"/>
    <w:lvl w:ilvl="0">
      <w:lvlJc w:val="left"/>
      <w:lvlText w:val="%1."/>
      <w:numFmt w:val="decimal"/>
      <w:start w:val="15"/>
    </w:lvl>
  </w:abstractNum>
  <w:abstractNum w:abstractNumId="18">
    <w:nsid w:val="2901D82"/>
    <w:multiLevelType w:val="hybridMultilevel"/>
    <w:lvl w:ilvl="0">
      <w:lvlJc w:val="left"/>
      <w:lvlText w:val="%1."/>
      <w:numFmt w:val="decimal"/>
      <w:start w:val="16"/>
    </w:lvl>
  </w:abstractNum>
  <w:abstractNum w:abstractNumId="19">
    <w:nsid w:val="3A95F874"/>
    <w:multiLevelType w:val="hybridMultilevel"/>
    <w:lvl w:ilvl="0">
      <w:lvlJc w:val="left"/>
      <w:lvlText w:val="%1."/>
      <w:numFmt w:val="decimal"/>
      <w:start w:val="17"/>
    </w:lvl>
  </w:abstractNum>
  <w:abstractNum w:abstractNumId="20">
    <w:nsid w:val="8138641"/>
    <w:multiLevelType w:val="hybridMultilevel"/>
    <w:lvl w:ilvl="0">
      <w:lvlJc w:val="left"/>
      <w:lvlText w:val="(%1)"/>
      <w:numFmt w:val="lowerRoman"/>
      <w:start w:val="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8"/>
    </w:lvl>
  </w:abstractNum>
  <w:abstractNum w:abstractNumId="23">
    <w:nsid w:val="737B8DDC"/>
    <w:multiLevelType w:val="hybridMultilevel"/>
    <w:lvl w:ilvl="0">
      <w:lvlJc w:val="left"/>
      <w:lvlText w:val="%1."/>
      <w:numFmt w:val="decimal"/>
      <w:start w:val="19"/>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Roman"/>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4"/>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2019-12-29T12:55:27Z</dcterms:created>
  <dcterms:modified xsi:type="dcterms:W3CDTF">2019-12-29T12:55:27Z</dcterms:modified>
</cp:coreProperties>
</file>