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spacing w:after="0"/>
        <w:tabs>
          <w:tab w:leader="none" w:pos="7700" w:val="left"/>
        </w:tabs>
        <w:rPr>
          <w:sz w:val="20"/>
          <w:szCs w:val="20"/>
          <w:color w:val="auto"/>
        </w:rPr>
      </w:pPr>
      <w:r>
        <w:rPr>
          <w:rFonts w:ascii="Arial" w:cs="Arial" w:eastAsia="Arial" w:hAnsi="Arial"/>
          <w:sz w:val="20"/>
          <w:szCs w:val="20"/>
          <w:color w:val="auto"/>
        </w:rPr>
        <w:t>For the quarterly period ended March 31, 2018</w:t>
      </w:r>
      <w:r>
        <w:rPr>
          <w:sz w:val="20"/>
          <w:szCs w:val="20"/>
          <w:color w:val="auto"/>
        </w:rPr>
        <w:tab/>
      </w:r>
      <w:r>
        <w:rPr>
          <w:rFonts w:ascii="Arial" w:cs="Arial" w:eastAsia="Arial" w:hAnsi="Arial"/>
          <w:sz w:val="18"/>
          <w:szCs w:val="18"/>
          <w:color w:val="auto"/>
        </w:rPr>
        <w:t xml:space="preserve">Commission File Number </w:t>
      </w:r>
      <w:r>
        <w:rPr>
          <w:rFonts w:ascii="Arial" w:cs="Arial" w:eastAsia="Arial" w:hAnsi="Arial"/>
          <w:sz w:val="19"/>
          <w:szCs w:val="19"/>
          <w:color w:val="auto"/>
        </w:rPr>
        <w:t>001-18761</w:t>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MONSTER BEVERAGE CORPORATION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p>
      <w:pPr>
        <w:ind w:left="2940"/>
        <w:spacing w:after="0"/>
        <w:tabs>
          <w:tab w:leader="none" w:pos="6600" w:val="left"/>
        </w:tabs>
        <w:rPr>
          <w:sz w:val="20"/>
          <w:szCs w:val="20"/>
          <w:color w:val="auto"/>
        </w:rPr>
      </w:pPr>
      <w:r>
        <w:rPr>
          <w:rFonts w:ascii="Arial" w:cs="Arial" w:eastAsia="Arial" w:hAnsi="Arial"/>
          <w:sz w:val="20"/>
          <w:szCs w:val="20"/>
          <w:color w:val="auto"/>
        </w:rPr>
        <w:t>Delaware</w:t>
      </w:r>
      <w:r>
        <w:rPr>
          <w:sz w:val="20"/>
          <w:szCs w:val="20"/>
          <w:color w:val="auto"/>
        </w:rPr>
        <w:tab/>
      </w:r>
      <w:r>
        <w:rPr>
          <w:rFonts w:ascii="Arial" w:cs="Arial" w:eastAsia="Arial" w:hAnsi="Arial"/>
          <w:sz w:val="20"/>
          <w:szCs w:val="20"/>
          <w:color w:val="auto"/>
        </w:rPr>
        <w:t>47-1809393</w:t>
      </w:r>
    </w:p>
    <w:p>
      <w:pPr>
        <w:ind w:left="2940"/>
        <w:spacing w:after="0"/>
        <w:tabs>
          <w:tab w:leader="none" w:pos="6600" w:val="left"/>
        </w:tabs>
        <w:rPr>
          <w:sz w:val="20"/>
          <w:szCs w:val="20"/>
          <w:color w:val="auto"/>
        </w:rPr>
      </w:pPr>
      <w:r>
        <w:rPr>
          <w:rFonts w:ascii="Arial" w:cs="Arial" w:eastAsia="Arial" w:hAnsi="Arial"/>
          <w:sz w:val="14"/>
          <w:szCs w:val="14"/>
          <w:color w:val="auto"/>
        </w:rPr>
        <w:t>(State or other jurisdiction of</w:t>
      </w:r>
      <w:r>
        <w:rPr>
          <w:sz w:val="20"/>
          <w:szCs w:val="20"/>
          <w:color w:val="auto"/>
        </w:rPr>
        <w:tab/>
      </w:r>
      <w:r>
        <w:rPr>
          <w:rFonts w:ascii="Arial" w:cs="Arial" w:eastAsia="Arial" w:hAnsi="Arial"/>
          <w:sz w:val="13"/>
          <w:szCs w:val="13"/>
          <w:color w:val="auto"/>
        </w:rPr>
        <w:t>(I.R.S. Employer</w:t>
      </w:r>
    </w:p>
    <w:p>
      <w:pPr>
        <w:ind w:left="2940"/>
        <w:spacing w:after="0"/>
        <w:tabs>
          <w:tab w:leader="none" w:pos="6600" w:val="left"/>
        </w:tabs>
        <w:rPr>
          <w:sz w:val="20"/>
          <w:szCs w:val="20"/>
          <w:color w:val="auto"/>
        </w:rPr>
      </w:pPr>
      <w:r>
        <w:rPr>
          <w:rFonts w:ascii="Arial" w:cs="Arial" w:eastAsia="Arial" w:hAnsi="Arial"/>
          <w:sz w:val="14"/>
          <w:szCs w:val="14"/>
          <w:color w:val="auto"/>
        </w:rPr>
        <w:t>incorporation or organization)</w:t>
      </w:r>
      <w:r>
        <w:rPr>
          <w:sz w:val="20"/>
          <w:szCs w:val="20"/>
          <w:color w:val="auto"/>
        </w:rPr>
        <w:tab/>
      </w:r>
      <w:r>
        <w:rPr>
          <w:rFonts w:ascii="Arial" w:cs="Arial" w:eastAsia="Arial" w:hAnsi="Arial"/>
          <w:sz w:val="13"/>
          <w:szCs w:val="13"/>
          <w:color w:val="auto"/>
        </w:rPr>
        <w:t>Identification No.)</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1 Monster 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Corona, California 92879</w:t>
      </w:r>
    </w:p>
    <w:p>
      <w:pPr>
        <w:jc w:val="center"/>
        <w:spacing w:after="0"/>
        <w:rPr>
          <w:sz w:val="20"/>
          <w:szCs w:val="20"/>
          <w:color w:val="auto"/>
        </w:rPr>
      </w:pPr>
      <w:r>
        <w:rPr>
          <w:rFonts w:ascii="Arial" w:cs="Arial" w:eastAsia="Arial" w:hAnsi="Arial"/>
          <w:sz w:val="14"/>
          <w:szCs w:val="14"/>
          <w:color w:val="auto"/>
        </w:rPr>
        <w:t>(Address of principal executive offices) (Zip code)</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(951) 739 – 6200</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200" w:lineRule="exact"/>
        <w:rPr>
          <w:sz w:val="24"/>
          <w:szCs w:val="24"/>
          <w:color w:val="auto"/>
        </w:rPr>
      </w:pPr>
    </w:p>
    <w:p>
      <w:pPr>
        <w:spacing w:after="0" w:line="210"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0" w:lineRule="exact"/>
        <w:rPr>
          <w:sz w:val="24"/>
          <w:szCs w:val="24"/>
          <w:color w:val="auto"/>
        </w:rPr>
      </w:pPr>
    </w:p>
    <w:p>
      <w:pPr>
        <w:jc w:val="center"/>
        <w:spacing w:after="0"/>
        <w:tabs>
          <w:tab w:leader="none" w:pos="180" w:val="left"/>
        </w:tabs>
        <w:rPr>
          <w:sz w:val="20"/>
          <w:szCs w:val="20"/>
          <w:color w:val="auto"/>
        </w:rPr>
      </w:pPr>
      <w:r>
        <w:rPr>
          <w:rFonts w:ascii="Arial" w:cs="Arial" w:eastAsia="Arial" w:hAnsi="Arial"/>
          <w:sz w:val="20"/>
          <w:szCs w:val="20"/>
          <w:color w:val="auto"/>
        </w:rPr>
        <w:t xml:space="preserve">Yes </w:t>
      </w:r>
      <w:r>
        <w:rPr>
          <w:rFonts w:ascii="Arial" w:cs="Arial" w:eastAsia="Arial" w:hAnsi="Arial"/>
          <w:sz w:val="20"/>
          <w:szCs w:val="20"/>
          <w:u w:val="single" w:color="auto"/>
          <w:color w:val="auto"/>
        </w:rPr>
        <w:t>X</w:t>
      </w:r>
      <w:r>
        <w:rPr>
          <w:sz w:val="20"/>
          <w:szCs w:val="20"/>
          <w:color w:val="auto"/>
        </w:rPr>
        <w:tab/>
      </w:r>
      <w:r>
        <w:rPr>
          <w:rFonts w:ascii="Arial" w:cs="Arial" w:eastAsia="Arial" w:hAnsi="Arial"/>
          <w:sz w:val="16"/>
          <w:szCs w:val="16"/>
          <w:color w:val="auto"/>
        </w:rPr>
        <w:t>No __</w:t>
      </w:r>
    </w:p>
    <w:p>
      <w:pPr>
        <w:spacing w:after="0" w:line="229"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200"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20"/>
          <w:szCs w:val="20"/>
          <w:color w:val="auto"/>
        </w:rPr>
        <w:t xml:space="preserve">Yes </w:t>
      </w:r>
      <w:r>
        <w:rPr>
          <w:rFonts w:ascii="Arial" w:cs="Arial" w:eastAsia="Arial" w:hAnsi="Arial"/>
          <w:sz w:val="20"/>
          <w:szCs w:val="20"/>
          <w:u w:val="single" w:color="auto"/>
          <w:color w:val="auto"/>
        </w:rPr>
        <w:t>X</w:t>
      </w:r>
      <w:r>
        <w:rPr>
          <w:sz w:val="20"/>
          <w:szCs w:val="20"/>
          <w:color w:val="auto"/>
        </w:rPr>
        <w:tab/>
      </w:r>
      <w:r>
        <w:rPr>
          <w:rFonts w:ascii="Arial" w:cs="Arial" w:eastAsia="Arial" w:hAnsi="Arial"/>
          <w:sz w:val="18"/>
          <w:szCs w:val="18"/>
          <w:color w:val="auto"/>
        </w:rPr>
        <w:t>No __</w:t>
      </w:r>
    </w:p>
    <w:p>
      <w:pPr>
        <w:spacing w:after="0" w:line="200" w:lineRule="exact"/>
        <w:rPr>
          <w:sz w:val="24"/>
          <w:szCs w:val="24"/>
          <w:color w:val="auto"/>
        </w:rPr>
      </w:pPr>
    </w:p>
    <w:p>
      <w:pPr>
        <w:spacing w:after="0" w:line="259"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200" w:lineRule="exact"/>
        <w:rPr>
          <w:sz w:val="24"/>
          <w:szCs w:val="24"/>
          <w:color w:val="auto"/>
        </w:rPr>
      </w:pPr>
    </w:p>
    <w:p>
      <w:pPr>
        <w:spacing w:after="0"/>
        <w:tabs>
          <w:tab w:leader="none" w:pos="7380" w:val="left"/>
        </w:tabs>
        <w:rPr>
          <w:sz w:val="20"/>
          <w:szCs w:val="20"/>
          <w:color w:val="auto"/>
        </w:rPr>
      </w:pPr>
      <w:r>
        <w:rPr>
          <w:rFonts w:ascii="Arial" w:cs="Arial" w:eastAsia="Arial" w:hAnsi="Arial"/>
          <w:sz w:val="20"/>
          <w:szCs w:val="20"/>
          <w:color w:val="auto"/>
        </w:rPr>
        <w:t>Large Accelerated Filer x</w:t>
      </w:r>
      <w:r>
        <w:rPr>
          <w:sz w:val="20"/>
          <w:szCs w:val="20"/>
          <w:color w:val="auto"/>
        </w:rPr>
        <w:tab/>
      </w:r>
      <w:r>
        <w:rPr>
          <w:rFonts w:ascii="Arial" w:cs="Arial" w:eastAsia="Arial" w:hAnsi="Arial"/>
          <w:sz w:val="18"/>
          <w:szCs w:val="18"/>
          <w:color w:val="auto"/>
        </w:rPr>
        <w:t>Accelerated filer o</w:t>
      </w:r>
    </w:p>
    <w:p>
      <w:pPr>
        <w:spacing w:after="0" w:line="94" w:lineRule="exact"/>
        <w:rPr>
          <w:sz w:val="24"/>
          <w:szCs w:val="24"/>
          <w:color w:val="auto"/>
        </w:rPr>
      </w:pPr>
    </w:p>
    <w:p>
      <w:pPr>
        <w:spacing w:after="0"/>
        <w:tabs>
          <w:tab w:leader="none" w:pos="7380" w:val="left"/>
        </w:tabs>
        <w:rPr>
          <w:sz w:val="20"/>
          <w:szCs w:val="20"/>
          <w:color w:val="auto"/>
        </w:rPr>
      </w:pPr>
      <w:r>
        <w:rPr>
          <w:rFonts w:ascii="Arial" w:cs="Arial" w:eastAsia="Arial" w:hAnsi="Arial"/>
          <w:sz w:val="20"/>
          <w:szCs w:val="20"/>
          <w:color w:val="auto"/>
        </w:rPr>
        <w:t>Non-accelerated filer o (Do not check if smaller reporting</w:t>
      </w:r>
      <w:r>
        <w:rPr>
          <w:sz w:val="20"/>
          <w:szCs w:val="20"/>
          <w:color w:val="auto"/>
        </w:rPr>
        <w:tab/>
      </w:r>
      <w:r>
        <w:rPr>
          <w:rFonts w:ascii="Arial" w:cs="Arial" w:eastAsia="Arial" w:hAnsi="Arial"/>
          <w:sz w:val="16"/>
          <w:szCs w:val="16"/>
          <w:color w:val="auto"/>
        </w:rPr>
        <w:t>Smaller reporting company o</w:t>
      </w:r>
    </w:p>
    <w:p>
      <w:pPr>
        <w:spacing w:after="0" w:line="16" w:lineRule="exact"/>
        <w:rPr>
          <w:sz w:val="24"/>
          <w:szCs w:val="24"/>
          <w:color w:val="auto"/>
        </w:rPr>
      </w:pPr>
    </w:p>
    <w:p>
      <w:pPr>
        <w:spacing w:after="0"/>
        <w:rPr>
          <w:sz w:val="20"/>
          <w:szCs w:val="20"/>
          <w:color w:val="auto"/>
        </w:rPr>
      </w:pPr>
      <w:r>
        <w:rPr>
          <w:rFonts w:ascii="Arial" w:cs="Arial" w:eastAsia="Arial" w:hAnsi="Arial"/>
          <w:sz w:val="20"/>
          <w:szCs w:val="20"/>
          <w:color w:val="auto"/>
        </w:rPr>
        <w:t>company)</w:t>
      </w:r>
    </w:p>
    <w:p>
      <w:pPr>
        <w:spacing w:after="0" w:line="213" w:lineRule="exact"/>
        <w:rPr>
          <w:sz w:val="24"/>
          <w:szCs w:val="24"/>
          <w:color w:val="auto"/>
        </w:rPr>
      </w:pPr>
    </w:p>
    <w:p>
      <w:pPr>
        <w:spacing w:after="0"/>
        <w:rPr>
          <w:sz w:val="20"/>
          <w:szCs w:val="20"/>
          <w:color w:val="auto"/>
        </w:rPr>
      </w:pPr>
      <w:r>
        <w:rPr>
          <w:rFonts w:ascii="Arial" w:cs="Arial" w:eastAsia="Arial" w:hAnsi="Arial"/>
          <w:sz w:val="20"/>
          <w:szCs w:val="20"/>
          <w:color w:val="auto"/>
        </w:rPr>
        <w:t>Emerging growth company o</w:t>
      </w:r>
    </w:p>
    <w:p>
      <w:pPr>
        <w:spacing w:after="0" w:line="229" w:lineRule="exact"/>
        <w:rPr>
          <w:sz w:val="24"/>
          <w:szCs w:val="24"/>
          <w:color w:val="auto"/>
        </w:rPr>
      </w:pPr>
    </w:p>
    <w:p>
      <w:pPr>
        <w:jc w:val="both"/>
        <w:ind w:firstLine="648"/>
        <w:spacing w:after="0" w:line="287"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6" w:lineRule="exact"/>
        <w:rPr>
          <w:sz w:val="24"/>
          <w:szCs w:val="24"/>
          <w:color w:val="auto"/>
        </w:rPr>
      </w:pPr>
    </w:p>
    <w:p>
      <w:pPr>
        <w:ind w:left="660"/>
        <w:spacing w:after="0"/>
        <w:rPr>
          <w:sz w:val="20"/>
          <w:szCs w:val="20"/>
          <w:color w:val="auto"/>
        </w:rPr>
      </w:pPr>
      <w:r>
        <w:rPr>
          <w:rFonts w:ascii="Arial" w:cs="Arial" w:eastAsia="Arial" w:hAnsi="Arial"/>
          <w:sz w:val="20"/>
          <w:szCs w:val="20"/>
          <w:color w:val="auto"/>
        </w:rPr>
        <w:t>Indicate by check mark whether the Registrant is a shell company (as defined by Rule 12b-2 of the Exchange Act).</w:t>
      </w:r>
    </w:p>
    <w:p>
      <w:pPr>
        <w:spacing w:after="0" w:line="229"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20"/>
          <w:szCs w:val="20"/>
          <w:color w:val="auto"/>
        </w:rPr>
        <w:t>Yes ___</w:t>
        <w:tab/>
        <w:t xml:space="preserve">No </w:t>
      </w:r>
      <w:r>
        <w:rPr>
          <w:rFonts w:ascii="Arial" w:cs="Arial" w:eastAsia="Arial" w:hAnsi="Arial"/>
          <w:sz w:val="20"/>
          <w:szCs w:val="20"/>
          <w:u w:val="single" w:color="auto"/>
          <w:color w:val="auto"/>
        </w:rPr>
        <w:t>X</w:t>
      </w:r>
    </w:p>
    <w:p>
      <w:pPr>
        <w:spacing w:after="0" w:line="229" w:lineRule="exact"/>
        <w:rPr>
          <w:sz w:val="24"/>
          <w:szCs w:val="24"/>
          <w:color w:val="auto"/>
        </w:rPr>
      </w:pPr>
    </w:p>
    <w:p>
      <w:pPr>
        <w:ind w:left="660"/>
        <w:spacing w:after="0"/>
        <w:rPr>
          <w:sz w:val="20"/>
          <w:szCs w:val="20"/>
          <w:color w:val="auto"/>
        </w:rPr>
      </w:pPr>
      <w:r>
        <w:rPr>
          <w:rFonts w:ascii="Arial" w:cs="Arial" w:eastAsia="Arial" w:hAnsi="Arial"/>
          <w:sz w:val="20"/>
          <w:szCs w:val="20"/>
          <w:color w:val="auto"/>
        </w:rPr>
        <w:t>The Registrant had 562,681,834 shares of common stock, par value $0.005 per share, outstanding as of April 26,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213995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233"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233" w:right="23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20"/>
          <w:szCs w:val="20"/>
          <w:b w:val="1"/>
          <w:bCs w:val="1"/>
          <w:u w:val="single" w:color="auto"/>
          <w:color w:val="auto"/>
        </w:rPr>
        <w:t>MONSTER BEVERAGE CORPORATION AND SUBSIDIARIES</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u w:val="single" w:color="auto"/>
          <w:color w:val="auto"/>
        </w:rPr>
        <w:t>MARCH 31, 2018</w:t>
      </w: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u w:val="single" w:color="auto"/>
          <w:color w:val="auto"/>
        </w:rPr>
        <w:t>INDEX</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rFonts w:ascii="Arial" w:cs="Arial" w:eastAsia="Arial" w:hAnsi="Arial"/>
                <w:sz w:val="20"/>
                <w:szCs w:val="20"/>
                <w:b w:val="1"/>
                <w:bCs w:val="1"/>
                <w:color w:val="0000EE"/>
                <w:w w:val="97"/>
              </w:rPr>
            </w:pPr>
            <w:hyperlink w:anchor="page2">
              <w:r>
                <w:rPr>
                  <w:rFonts w:ascii="Arial" w:cs="Arial" w:eastAsia="Arial" w:hAnsi="Arial"/>
                  <w:sz w:val="20"/>
                  <w:szCs w:val="20"/>
                  <w:b w:val="1"/>
                  <w:bCs w:val="1"/>
                  <w:color w:val="0000EE"/>
                  <w:w w:val="97"/>
                </w:rPr>
                <w:t>Part I.</w:t>
              </w:r>
            </w:hyperlink>
          </w:p>
        </w:tc>
        <w:tc>
          <w:tcPr>
            <w:tcW w:w="780" w:type="dxa"/>
            <w:vAlign w:val="bottom"/>
            <w:gridSpan w:val="3"/>
          </w:tcPr>
          <w:p>
            <w:pPr>
              <w:spacing w:after="0"/>
              <w:rPr>
                <w:sz w:val="19"/>
                <w:szCs w:val="19"/>
                <w:color w:val="auto"/>
              </w:rPr>
            </w:pPr>
          </w:p>
        </w:tc>
        <w:tc>
          <w:tcPr>
            <w:tcW w:w="2640" w:type="dxa"/>
            <w:vAlign w:val="bottom"/>
            <w:gridSpan w:val="9"/>
          </w:tcPr>
          <w:p>
            <w:pPr>
              <w:spacing w:after="0"/>
              <w:rPr>
                <w:rFonts w:ascii="Arial" w:cs="Arial" w:eastAsia="Arial" w:hAnsi="Arial"/>
                <w:sz w:val="20"/>
                <w:szCs w:val="20"/>
                <w:b w:val="1"/>
                <w:bCs w:val="1"/>
                <w:color w:val="0000EE"/>
              </w:rPr>
            </w:pPr>
            <w:hyperlink w:anchor="page2">
              <w:r>
                <w:rPr>
                  <w:rFonts w:ascii="Arial" w:cs="Arial" w:eastAsia="Arial" w:hAnsi="Arial"/>
                  <w:sz w:val="20"/>
                  <w:szCs w:val="20"/>
                  <w:b w:val="1"/>
                  <w:bCs w:val="1"/>
                  <w:color w:val="0000EE"/>
                </w:rPr>
                <w:t>FINANCIAL INFORMATION</w:t>
              </w:r>
            </w:hyperlink>
          </w:p>
        </w:tc>
        <w:tc>
          <w:tcPr>
            <w:tcW w:w="6700" w:type="dxa"/>
            <w:vAlign w:val="bottom"/>
            <w:gridSpan w:val="10"/>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w w:val="84"/>
              </w:rPr>
              <w:t>Page No.</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340" w:type="dxa"/>
            <w:vAlign w:val="bottom"/>
            <w:gridSpan w:val="4"/>
          </w:tcPr>
          <w:p>
            <w:pPr>
              <w:spacing w:after="0"/>
              <w:rPr>
                <w:rFonts w:ascii="Arial" w:cs="Arial" w:eastAsia="Arial" w:hAnsi="Arial"/>
                <w:sz w:val="20"/>
                <w:szCs w:val="20"/>
                <w:color w:val="0000EE"/>
              </w:rPr>
            </w:pPr>
            <w:hyperlink w:anchor="page2">
              <w:r>
                <w:rPr>
                  <w:rFonts w:ascii="Arial" w:cs="Arial" w:eastAsia="Arial" w:hAnsi="Arial"/>
                  <w:sz w:val="20"/>
                  <w:szCs w:val="20"/>
                  <w:color w:val="0000EE"/>
                </w:rPr>
                <w:t>Item 1.</w:t>
              </w:r>
            </w:hyperlink>
          </w:p>
        </w:tc>
        <w:tc>
          <w:tcPr>
            <w:tcW w:w="9340" w:type="dxa"/>
            <w:vAlign w:val="bottom"/>
            <w:gridSpan w:val="19"/>
          </w:tcPr>
          <w:p>
            <w:pPr>
              <w:spacing w:after="0"/>
              <w:rPr>
                <w:rFonts w:ascii="Arial" w:cs="Arial" w:eastAsia="Arial" w:hAnsi="Arial"/>
                <w:sz w:val="20"/>
                <w:szCs w:val="20"/>
                <w:color w:val="0000EE"/>
              </w:rPr>
            </w:pPr>
            <w:hyperlink w:anchor="page2">
              <w:r>
                <w:rPr>
                  <w:rFonts w:ascii="Arial" w:cs="Arial" w:eastAsia="Arial" w:hAnsi="Arial"/>
                  <w:sz w:val="20"/>
                  <w:szCs w:val="20"/>
                  <w:color w:val="0000EE"/>
                </w:rPr>
                <w:t>Condensed Consolidated Financial Statements (Unaudited)</w:t>
              </w:r>
            </w:hyperlink>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340" w:type="dxa"/>
            <w:vAlign w:val="bottom"/>
            <w:gridSpan w:val="19"/>
          </w:tcPr>
          <w:p>
            <w:pPr>
              <w:spacing w:after="0"/>
              <w:rPr>
                <w:rFonts w:ascii="Arial" w:cs="Arial" w:eastAsia="Arial" w:hAnsi="Arial"/>
                <w:sz w:val="20"/>
                <w:szCs w:val="20"/>
                <w:color w:val="0000EE"/>
              </w:rPr>
            </w:pPr>
            <w:hyperlink w:anchor="page2">
              <w:r>
                <w:rPr>
                  <w:rFonts w:ascii="Arial" w:cs="Arial" w:eastAsia="Arial" w:hAnsi="Arial"/>
                  <w:sz w:val="20"/>
                  <w:szCs w:val="20"/>
                  <w:color w:val="0000EE"/>
                </w:rPr>
                <w:t>Condensed Consolidated Balance Sheets as of March 31, 2018 and December 31, 2017</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3</w:t>
            </w: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160" w:type="dxa"/>
            <w:vAlign w:val="bottom"/>
            <w:tcBorders>
              <w:bottom w:val="single" w:sz="8" w:color="0000EE"/>
            </w:tcBorders>
            <w:gridSpan w:val="16"/>
          </w:tcPr>
          <w:p>
            <w:pPr>
              <w:spacing w:after="0"/>
              <w:rPr>
                <w:rFonts w:ascii="Arial" w:cs="Arial" w:eastAsia="Arial" w:hAnsi="Arial"/>
                <w:sz w:val="20"/>
                <w:szCs w:val="20"/>
                <w:color w:val="0000EE"/>
                <w:w w:val="89"/>
              </w:rPr>
            </w:pPr>
            <w:hyperlink w:anchor="page3">
              <w:r>
                <w:rPr>
                  <w:rFonts w:ascii="Arial" w:cs="Arial" w:eastAsia="Arial" w:hAnsi="Arial"/>
                  <w:sz w:val="20"/>
                  <w:szCs w:val="20"/>
                  <w:color w:val="0000EE"/>
                  <w:w w:val="89"/>
                </w:rPr>
                <w:t>Condensed Consolidated Statements of Income for the Three-Months Ended March 31, 2018 and 2017</w:t>
              </w:r>
            </w:hyperlink>
          </w:p>
        </w:tc>
        <w:tc>
          <w:tcPr>
            <w:tcW w:w="1180" w:type="dxa"/>
            <w:vAlign w:val="bottom"/>
            <w:gridSpan w:val="3"/>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w:t>
            </w: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340" w:type="dxa"/>
            <w:vAlign w:val="bottom"/>
            <w:gridSpan w:val="19"/>
          </w:tcPr>
          <w:p>
            <w:pPr>
              <w:spacing w:after="0"/>
              <w:rPr>
                <w:rFonts w:ascii="Arial" w:cs="Arial" w:eastAsia="Arial" w:hAnsi="Arial"/>
                <w:sz w:val="20"/>
                <w:szCs w:val="20"/>
                <w:color w:val="0000EE"/>
                <w:w w:val="96"/>
              </w:rPr>
            </w:pPr>
            <w:hyperlink w:anchor="page4">
              <w:r>
                <w:rPr>
                  <w:rFonts w:ascii="Arial" w:cs="Arial" w:eastAsia="Arial" w:hAnsi="Arial"/>
                  <w:sz w:val="20"/>
                  <w:szCs w:val="20"/>
                  <w:color w:val="0000EE"/>
                  <w:w w:val="96"/>
                </w:rPr>
                <w:t>Condensed Consolidated Statements of Comprehensive Income for the Three-Months Ended March 31, 2018</w:t>
              </w:r>
            </w:hyperlink>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Borders>
              <w:top w:val="single" w:sz="8" w:color="0000EE"/>
              <w:bottom w:val="single" w:sz="8" w:color="0000EE"/>
            </w:tcBorders>
            <w:gridSpan w:val="2"/>
          </w:tcPr>
          <w:p>
            <w:pPr>
              <w:spacing w:after="0" w:line="209" w:lineRule="exact"/>
              <w:rPr>
                <w:rFonts w:ascii="Arial" w:cs="Arial" w:eastAsia="Arial" w:hAnsi="Arial"/>
                <w:sz w:val="20"/>
                <w:szCs w:val="20"/>
                <w:color w:val="0000EE"/>
                <w:w w:val="86"/>
              </w:rPr>
            </w:pPr>
            <w:hyperlink w:anchor="page4">
              <w:r>
                <w:rPr>
                  <w:rFonts w:ascii="Arial" w:cs="Arial" w:eastAsia="Arial" w:hAnsi="Arial"/>
                  <w:sz w:val="20"/>
                  <w:szCs w:val="20"/>
                  <w:color w:val="0000EE"/>
                  <w:w w:val="86"/>
                </w:rPr>
                <w:t>and 2017</w:t>
              </w:r>
            </w:hyperlink>
          </w:p>
        </w:tc>
        <w:tc>
          <w:tcPr>
            <w:tcW w:w="7920" w:type="dxa"/>
            <w:vAlign w:val="bottom"/>
            <w:tcBorders>
              <w:top w:val="single" w:sz="8" w:color="0000EE"/>
            </w:tcBorders>
            <w:gridSpan w:val="16"/>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gridSpan w:val="2"/>
          </w:tcPr>
          <w:p>
            <w:pPr>
              <w:jc w:val="right"/>
              <w:ind w:right="40"/>
              <w:spacing w:after="0" w:line="209" w:lineRule="exact"/>
              <w:rPr>
                <w:sz w:val="20"/>
                <w:szCs w:val="20"/>
                <w:color w:val="auto"/>
              </w:rPr>
            </w:pPr>
            <w:r>
              <w:rPr>
                <w:rFonts w:ascii="Arial" w:cs="Arial" w:eastAsia="Arial" w:hAnsi="Arial"/>
                <w:sz w:val="20"/>
                <w:szCs w:val="20"/>
                <w:color w:val="auto"/>
              </w:rPr>
              <w:t>5</w:t>
            </w: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340" w:type="dxa"/>
            <w:vAlign w:val="bottom"/>
            <w:gridSpan w:val="19"/>
          </w:tcPr>
          <w:p>
            <w:pPr>
              <w:spacing w:after="0"/>
              <w:rPr>
                <w:rFonts w:ascii="Arial" w:cs="Arial" w:eastAsia="Arial" w:hAnsi="Arial"/>
                <w:sz w:val="20"/>
                <w:szCs w:val="20"/>
                <w:color w:val="0000EE"/>
                <w:w w:val="97"/>
              </w:rPr>
            </w:pPr>
            <w:hyperlink w:anchor="page4">
              <w:r>
                <w:rPr>
                  <w:rFonts w:ascii="Arial" w:cs="Arial" w:eastAsia="Arial" w:hAnsi="Arial"/>
                  <w:sz w:val="20"/>
                  <w:szCs w:val="20"/>
                  <w:color w:val="0000EE"/>
                  <w:w w:val="97"/>
                </w:rPr>
                <w:t>Condensed Consolidated Statements of Cash Flows for the Three-Months Ended March 31, 2018 and 2017</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6</w:t>
            </w: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0" w:type="dxa"/>
            <w:vAlign w:val="bottom"/>
            <w:tcBorders>
              <w:top w:val="single" w:sz="8" w:color="0000EE"/>
              <w:bottom w:val="single" w:sz="8" w:color="0000EE"/>
            </w:tcBorders>
            <w:gridSpan w:val="10"/>
          </w:tcPr>
          <w:p>
            <w:pPr>
              <w:spacing w:after="0"/>
              <w:rPr>
                <w:rFonts w:ascii="Arial" w:cs="Arial" w:eastAsia="Arial" w:hAnsi="Arial"/>
                <w:sz w:val="20"/>
                <w:szCs w:val="20"/>
                <w:color w:val="0000EE"/>
                <w:w w:val="88"/>
              </w:rPr>
            </w:pPr>
            <w:hyperlink w:anchor="page5">
              <w:r>
                <w:rPr>
                  <w:rFonts w:ascii="Arial" w:cs="Arial" w:eastAsia="Arial" w:hAnsi="Arial"/>
                  <w:sz w:val="20"/>
                  <w:szCs w:val="20"/>
                  <w:color w:val="0000EE"/>
                  <w:w w:val="88"/>
                </w:rPr>
                <w:t>Notes to Condensed Consolidated Financial Statements</w:t>
              </w:r>
            </w:hyperlink>
          </w:p>
        </w:tc>
        <w:tc>
          <w:tcPr>
            <w:tcW w:w="4080" w:type="dxa"/>
            <w:vAlign w:val="bottom"/>
            <w:tcBorders>
              <w:top w:val="single" w:sz="8" w:color="0000EE"/>
            </w:tcBorders>
            <w:gridSpan w:val="7"/>
          </w:tcPr>
          <w:p>
            <w:pPr>
              <w:spacing w:after="0"/>
              <w:rPr>
                <w:sz w:val="24"/>
                <w:szCs w:val="24"/>
                <w:color w:val="auto"/>
              </w:rPr>
            </w:pPr>
          </w:p>
        </w:tc>
        <w:tc>
          <w:tcPr>
            <w:tcW w:w="860" w:type="dxa"/>
            <w:vAlign w:val="bottom"/>
            <w:gridSpan w:val="2"/>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8</w:t>
            </w:r>
          </w:p>
        </w:tc>
      </w:tr>
      <w:tr>
        <w:trPr>
          <w:trHeight w:val="439"/>
        </w:trPr>
        <w:tc>
          <w:tcPr>
            <w:tcW w:w="640" w:type="dxa"/>
            <w:vAlign w:val="bottom"/>
            <w:gridSpan w:val="2"/>
          </w:tcPr>
          <w:p>
            <w:pPr>
              <w:spacing w:after="0"/>
              <w:rPr>
                <w:rFonts w:ascii="Arial" w:cs="Arial" w:eastAsia="Arial" w:hAnsi="Arial"/>
                <w:sz w:val="20"/>
                <w:szCs w:val="20"/>
                <w:color w:val="0000EE"/>
              </w:rPr>
            </w:pPr>
            <w:hyperlink w:anchor="page20">
              <w:r>
                <w:rPr>
                  <w:rFonts w:ascii="Arial" w:cs="Arial" w:eastAsia="Arial" w:hAnsi="Arial"/>
                  <w:sz w:val="20"/>
                  <w:szCs w:val="20"/>
                  <w:color w:val="0000EE"/>
                </w:rPr>
                <w:t>Item 2.</w:t>
              </w:r>
            </w:hyperlink>
          </w:p>
        </w:tc>
        <w:tc>
          <w:tcPr>
            <w:tcW w:w="700" w:type="dxa"/>
            <w:vAlign w:val="bottom"/>
            <w:gridSpan w:val="2"/>
          </w:tcPr>
          <w:p>
            <w:pPr>
              <w:spacing w:after="0"/>
              <w:rPr>
                <w:sz w:val="24"/>
                <w:szCs w:val="24"/>
                <w:color w:val="auto"/>
              </w:rPr>
            </w:pPr>
          </w:p>
        </w:tc>
        <w:tc>
          <w:tcPr>
            <w:tcW w:w="9340" w:type="dxa"/>
            <w:vAlign w:val="bottom"/>
            <w:gridSpan w:val="19"/>
          </w:tcPr>
          <w:p>
            <w:pPr>
              <w:spacing w:after="0"/>
              <w:rPr>
                <w:rFonts w:ascii="Arial" w:cs="Arial" w:eastAsia="Arial" w:hAnsi="Arial"/>
                <w:sz w:val="20"/>
                <w:szCs w:val="20"/>
                <w:color w:val="0000EE"/>
              </w:rPr>
            </w:pPr>
            <w:hyperlink w:anchor="page20">
              <w:r>
                <w:rPr>
                  <w:rFonts w:ascii="Arial" w:cs="Arial" w:eastAsia="Arial" w:hAnsi="Arial"/>
                  <w:sz w:val="20"/>
                  <w:szCs w:val="20"/>
                  <w:color w:val="0000EE"/>
                </w:rPr>
                <w:t>Management’s Discussion and Analysis of Financial Condition and Results of Operations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31</w:t>
            </w:r>
          </w:p>
        </w:tc>
      </w:tr>
      <w:tr>
        <w:trPr>
          <w:trHeight w:val="439"/>
        </w:trPr>
        <w:tc>
          <w:tcPr>
            <w:tcW w:w="640" w:type="dxa"/>
            <w:vAlign w:val="bottom"/>
            <w:tcBorders>
              <w:top w:val="single" w:sz="8" w:color="0000EE"/>
              <w:bottom w:val="single" w:sz="8" w:color="0000EE"/>
            </w:tcBorders>
            <w:gridSpan w:val="2"/>
          </w:tcPr>
          <w:p>
            <w:pPr>
              <w:spacing w:after="0"/>
              <w:rPr>
                <w:rFonts w:ascii="Arial" w:cs="Arial" w:eastAsia="Arial" w:hAnsi="Arial"/>
                <w:sz w:val="20"/>
                <w:szCs w:val="20"/>
                <w:color w:val="0000EE"/>
              </w:rPr>
            </w:pPr>
            <w:hyperlink w:anchor="page30">
              <w:r>
                <w:rPr>
                  <w:rFonts w:ascii="Arial" w:cs="Arial" w:eastAsia="Arial" w:hAnsi="Arial"/>
                  <w:sz w:val="20"/>
                  <w:szCs w:val="20"/>
                  <w:color w:val="0000EE"/>
                </w:rPr>
                <w:t>Item 3.</w:t>
              </w:r>
            </w:hyperlink>
          </w:p>
        </w:tc>
        <w:tc>
          <w:tcPr>
            <w:tcW w:w="700" w:type="dxa"/>
            <w:vAlign w:val="bottom"/>
            <w:gridSpan w:val="2"/>
          </w:tcPr>
          <w:p>
            <w:pPr>
              <w:spacing w:after="0"/>
              <w:rPr>
                <w:sz w:val="24"/>
                <w:szCs w:val="24"/>
                <w:color w:val="auto"/>
              </w:rPr>
            </w:pPr>
          </w:p>
        </w:tc>
        <w:tc>
          <w:tcPr>
            <w:tcW w:w="4800" w:type="dxa"/>
            <w:vAlign w:val="bottom"/>
            <w:tcBorders>
              <w:top w:val="single" w:sz="8" w:color="0000EE"/>
              <w:bottom w:val="single" w:sz="8" w:color="0000EE"/>
            </w:tcBorders>
            <w:gridSpan w:val="13"/>
          </w:tcPr>
          <w:p>
            <w:pPr>
              <w:spacing w:after="0"/>
              <w:rPr>
                <w:rFonts w:ascii="Arial" w:cs="Arial" w:eastAsia="Arial" w:hAnsi="Arial"/>
                <w:sz w:val="20"/>
                <w:szCs w:val="20"/>
                <w:color w:val="0000EE"/>
                <w:w w:val="91"/>
              </w:rPr>
            </w:pPr>
            <w:hyperlink w:anchor="page30">
              <w:r>
                <w:rPr>
                  <w:rFonts w:ascii="Arial" w:cs="Arial" w:eastAsia="Arial" w:hAnsi="Arial"/>
                  <w:sz w:val="20"/>
                  <w:szCs w:val="20"/>
                  <w:color w:val="0000EE"/>
                  <w:w w:val="91"/>
                </w:rPr>
                <w:t>Quantitative and Qualitative Disclosures About Market Risk</w:t>
              </w:r>
            </w:hyperlink>
          </w:p>
        </w:tc>
        <w:tc>
          <w:tcPr>
            <w:tcW w:w="2300" w:type="dxa"/>
            <w:vAlign w:val="bottom"/>
            <w:tcBorders>
              <w:top w:val="single" w:sz="8" w:color="0000EE"/>
            </w:tcBorders>
            <w:gridSpan w:val="2"/>
          </w:tcPr>
          <w:p>
            <w:pPr>
              <w:spacing w:after="0"/>
              <w:rPr>
                <w:sz w:val="24"/>
                <w:szCs w:val="24"/>
                <w:color w:val="auto"/>
              </w:rPr>
            </w:pPr>
          </w:p>
        </w:tc>
        <w:tc>
          <w:tcPr>
            <w:tcW w:w="2240" w:type="dxa"/>
            <w:vAlign w:val="bottom"/>
            <w:gridSpan w:val="4"/>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46</w:t>
            </w:r>
          </w:p>
        </w:tc>
      </w:tr>
      <w:tr>
        <w:trPr>
          <w:trHeight w:val="439"/>
        </w:trPr>
        <w:tc>
          <w:tcPr>
            <w:tcW w:w="1340" w:type="dxa"/>
            <w:vAlign w:val="bottom"/>
            <w:gridSpan w:val="4"/>
          </w:tcPr>
          <w:p>
            <w:pPr>
              <w:spacing w:after="0"/>
              <w:rPr>
                <w:rFonts w:ascii="Arial" w:cs="Arial" w:eastAsia="Arial" w:hAnsi="Arial"/>
                <w:sz w:val="20"/>
                <w:szCs w:val="20"/>
                <w:color w:val="0000EE"/>
              </w:rPr>
            </w:pPr>
            <w:hyperlink w:anchor="page30">
              <w:r>
                <w:rPr>
                  <w:rFonts w:ascii="Arial" w:cs="Arial" w:eastAsia="Arial" w:hAnsi="Arial"/>
                  <w:sz w:val="20"/>
                  <w:szCs w:val="20"/>
                  <w:color w:val="0000EE"/>
                </w:rPr>
                <w:t>Item 4.</w:t>
              </w:r>
            </w:hyperlink>
          </w:p>
        </w:tc>
        <w:tc>
          <w:tcPr>
            <w:tcW w:w="9340" w:type="dxa"/>
            <w:vAlign w:val="bottom"/>
            <w:gridSpan w:val="19"/>
          </w:tcPr>
          <w:p>
            <w:pPr>
              <w:spacing w:after="0"/>
              <w:rPr>
                <w:rFonts w:ascii="Arial" w:cs="Arial" w:eastAsia="Arial" w:hAnsi="Arial"/>
                <w:sz w:val="20"/>
                <w:szCs w:val="20"/>
                <w:color w:val="0000EE"/>
              </w:rPr>
            </w:pPr>
            <w:hyperlink w:anchor="page30">
              <w:r>
                <w:rPr>
                  <w:rFonts w:ascii="Arial" w:cs="Arial" w:eastAsia="Arial" w:hAnsi="Arial"/>
                  <w:sz w:val="20"/>
                  <w:szCs w:val="20"/>
                  <w:color w:val="0000EE"/>
                </w:rPr>
                <w:t>Controls and Procedures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46</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640" w:type="dxa"/>
            <w:vAlign w:val="bottom"/>
            <w:gridSpan w:val="2"/>
          </w:tcPr>
          <w:p>
            <w:pPr>
              <w:spacing w:after="0"/>
              <w:rPr>
                <w:rFonts w:ascii="Arial" w:cs="Arial" w:eastAsia="Arial" w:hAnsi="Arial"/>
                <w:sz w:val="20"/>
                <w:szCs w:val="20"/>
                <w:b w:val="1"/>
                <w:bCs w:val="1"/>
                <w:color w:val="0000EE"/>
              </w:rPr>
            </w:pPr>
            <w:hyperlink w:anchor="page31">
              <w:r>
                <w:rPr>
                  <w:rFonts w:ascii="Arial" w:cs="Arial" w:eastAsia="Arial" w:hAnsi="Arial"/>
                  <w:sz w:val="20"/>
                  <w:szCs w:val="20"/>
                  <w:b w:val="1"/>
                  <w:bCs w:val="1"/>
                  <w:color w:val="0000EE"/>
                </w:rPr>
                <w:t>Part II.</w:t>
              </w:r>
            </w:hyperlink>
          </w:p>
        </w:tc>
        <w:tc>
          <w:tcPr>
            <w:tcW w:w="700" w:type="dxa"/>
            <w:vAlign w:val="bottom"/>
            <w:gridSpan w:val="2"/>
          </w:tcPr>
          <w:p>
            <w:pPr>
              <w:spacing w:after="0"/>
              <w:rPr>
                <w:sz w:val="24"/>
                <w:szCs w:val="24"/>
                <w:color w:val="auto"/>
              </w:rPr>
            </w:pPr>
          </w:p>
        </w:tc>
        <w:tc>
          <w:tcPr>
            <w:tcW w:w="9340" w:type="dxa"/>
            <w:vAlign w:val="bottom"/>
            <w:gridSpan w:val="19"/>
          </w:tcPr>
          <w:p>
            <w:pPr>
              <w:spacing w:after="0"/>
              <w:rPr>
                <w:rFonts w:ascii="Arial" w:cs="Arial" w:eastAsia="Arial" w:hAnsi="Arial"/>
                <w:sz w:val="20"/>
                <w:szCs w:val="20"/>
                <w:b w:val="1"/>
                <w:bCs w:val="1"/>
                <w:color w:val="0000EE"/>
              </w:rPr>
            </w:pPr>
            <w:hyperlink w:anchor="page31">
              <w:r>
                <w:rPr>
                  <w:rFonts w:ascii="Arial" w:cs="Arial" w:eastAsia="Arial" w:hAnsi="Arial"/>
                  <w:sz w:val="20"/>
                  <w:szCs w:val="20"/>
                  <w:b w:val="1"/>
                  <w:bCs w:val="1"/>
                  <w:color w:val="0000EE"/>
                </w:rPr>
                <w:t>OTHER INFORMATION</w:t>
              </w:r>
            </w:hyperlink>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9"/>
        </w:trPr>
        <w:tc>
          <w:tcPr>
            <w:tcW w:w="640" w:type="dxa"/>
            <w:vAlign w:val="bottom"/>
            <w:tcBorders>
              <w:top w:val="single" w:sz="8" w:color="0000EE"/>
            </w:tcBorders>
            <w:gridSpan w:val="2"/>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Item 1.</w:t>
              </w:r>
            </w:hyperlink>
          </w:p>
        </w:tc>
        <w:tc>
          <w:tcPr>
            <w:tcW w:w="700" w:type="dxa"/>
            <w:vAlign w:val="bottom"/>
            <w:gridSpan w:val="2"/>
          </w:tcPr>
          <w:p>
            <w:pPr>
              <w:spacing w:after="0"/>
              <w:rPr>
                <w:sz w:val="24"/>
                <w:szCs w:val="24"/>
                <w:color w:val="auto"/>
              </w:rPr>
            </w:pPr>
          </w:p>
        </w:tc>
        <w:tc>
          <w:tcPr>
            <w:tcW w:w="2220" w:type="dxa"/>
            <w:vAlign w:val="bottom"/>
            <w:tcBorders>
              <w:top w:val="single" w:sz="8" w:color="0000EE"/>
            </w:tcBorders>
            <w:gridSpan w:val="7"/>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Legal Proceedings</w:t>
              </w:r>
            </w:hyperlink>
          </w:p>
        </w:tc>
        <w:tc>
          <w:tcPr>
            <w:tcW w:w="7120" w:type="dxa"/>
            <w:vAlign w:val="bottom"/>
            <w:gridSpan w:val="12"/>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47</w:t>
            </w:r>
          </w:p>
        </w:tc>
      </w:tr>
      <w:tr>
        <w:trPr>
          <w:trHeight w:val="20"/>
        </w:trPr>
        <w:tc>
          <w:tcPr>
            <w:tcW w:w="5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720" w:type="dxa"/>
            <w:vAlign w:val="bottom"/>
            <w:gridSpan w:val="3"/>
          </w:tcPr>
          <w:p>
            <w:pPr>
              <w:spacing w:after="0"/>
              <w:rPr>
                <w:rFonts w:ascii="Arial" w:cs="Arial" w:eastAsia="Arial" w:hAnsi="Arial"/>
                <w:sz w:val="20"/>
                <w:szCs w:val="20"/>
                <w:color w:val="0000EE"/>
                <w:w w:val="93"/>
              </w:rPr>
            </w:pPr>
            <w:hyperlink w:anchor="page31">
              <w:r>
                <w:rPr>
                  <w:rFonts w:ascii="Arial" w:cs="Arial" w:eastAsia="Arial" w:hAnsi="Arial"/>
                  <w:sz w:val="20"/>
                  <w:szCs w:val="20"/>
                  <w:color w:val="0000EE"/>
                  <w:w w:val="93"/>
                </w:rPr>
                <w:t>Item 1A.</w:t>
              </w:r>
            </w:hyperlink>
          </w:p>
        </w:tc>
        <w:tc>
          <w:tcPr>
            <w:tcW w:w="620" w:type="dxa"/>
            <w:vAlign w:val="bottom"/>
          </w:tcPr>
          <w:p>
            <w:pPr>
              <w:spacing w:after="0"/>
              <w:rPr>
                <w:sz w:val="24"/>
                <w:szCs w:val="24"/>
                <w:color w:val="auto"/>
              </w:rPr>
            </w:pPr>
          </w:p>
        </w:tc>
        <w:tc>
          <w:tcPr>
            <w:tcW w:w="9340" w:type="dxa"/>
            <w:vAlign w:val="bottom"/>
            <w:gridSpan w:val="19"/>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Risk Factors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47</w:t>
            </w: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720" w:type="dxa"/>
            <w:vAlign w:val="bottom"/>
            <w:gridSpan w:val="3"/>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Item 2.</w:t>
              </w:r>
            </w:hyperlink>
          </w:p>
        </w:tc>
        <w:tc>
          <w:tcPr>
            <w:tcW w:w="620" w:type="dxa"/>
            <w:vAlign w:val="bottom"/>
          </w:tcPr>
          <w:p>
            <w:pPr>
              <w:spacing w:after="0"/>
              <w:rPr>
                <w:sz w:val="24"/>
                <w:szCs w:val="24"/>
                <w:color w:val="auto"/>
              </w:rPr>
            </w:pPr>
          </w:p>
        </w:tc>
        <w:tc>
          <w:tcPr>
            <w:tcW w:w="9340" w:type="dxa"/>
            <w:vAlign w:val="bottom"/>
            <w:gridSpan w:val="19"/>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Unregistered Sales of Equity Securities and Use of Proceeds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47</w:t>
            </w:r>
          </w:p>
        </w:tc>
      </w:tr>
      <w:tr>
        <w:trPr>
          <w:trHeight w:val="20"/>
        </w:trPr>
        <w:tc>
          <w:tcPr>
            <w:tcW w:w="560" w:type="dxa"/>
            <w:vAlign w:val="bottom"/>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1340" w:type="dxa"/>
            <w:vAlign w:val="bottom"/>
            <w:gridSpan w:val="4"/>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Item 3.</w:t>
              </w:r>
            </w:hyperlink>
          </w:p>
        </w:tc>
        <w:tc>
          <w:tcPr>
            <w:tcW w:w="9340" w:type="dxa"/>
            <w:vAlign w:val="bottom"/>
            <w:gridSpan w:val="19"/>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Defaults Upon Senior Securities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48</w:t>
            </w:r>
          </w:p>
        </w:tc>
      </w:tr>
      <w:tr>
        <w:trPr>
          <w:trHeight w:val="439"/>
        </w:trPr>
        <w:tc>
          <w:tcPr>
            <w:tcW w:w="1340" w:type="dxa"/>
            <w:vAlign w:val="bottom"/>
            <w:tcBorders>
              <w:top w:val="single" w:sz="8" w:color="0000EE"/>
              <w:bottom w:val="single" w:sz="8" w:color="0000EE"/>
            </w:tcBorders>
            <w:gridSpan w:val="4"/>
          </w:tcPr>
          <w:p>
            <w:pPr>
              <w:spacing w:after="0"/>
              <w:rPr>
                <w:rFonts w:ascii="Arial" w:cs="Arial" w:eastAsia="Arial" w:hAnsi="Arial"/>
                <w:sz w:val="20"/>
                <w:szCs w:val="20"/>
                <w:color w:val="0000EE"/>
              </w:rPr>
            </w:pPr>
            <w:hyperlink w:anchor="page32">
              <w:r>
                <w:rPr>
                  <w:rFonts w:ascii="Arial" w:cs="Arial" w:eastAsia="Arial" w:hAnsi="Arial"/>
                  <w:sz w:val="20"/>
                  <w:szCs w:val="20"/>
                  <w:color w:val="0000EE"/>
                </w:rPr>
                <w:t>Item 4.</w:t>
              </w:r>
            </w:hyperlink>
          </w:p>
        </w:tc>
        <w:tc>
          <w:tcPr>
            <w:tcW w:w="1960" w:type="dxa"/>
            <w:vAlign w:val="bottom"/>
            <w:tcBorders>
              <w:top w:val="single" w:sz="8" w:color="0000EE"/>
              <w:bottom w:val="single" w:sz="8" w:color="0000EE"/>
            </w:tcBorders>
            <w:gridSpan w:val="6"/>
          </w:tcPr>
          <w:p>
            <w:pPr>
              <w:spacing w:after="0"/>
              <w:rPr>
                <w:rFonts w:ascii="Arial" w:cs="Arial" w:eastAsia="Arial" w:hAnsi="Arial"/>
                <w:sz w:val="20"/>
                <w:szCs w:val="20"/>
                <w:color w:val="0000EE"/>
                <w:w w:val="90"/>
              </w:rPr>
            </w:pPr>
            <w:hyperlink w:anchor="page32">
              <w:r>
                <w:rPr>
                  <w:rFonts w:ascii="Arial" w:cs="Arial" w:eastAsia="Arial" w:hAnsi="Arial"/>
                  <w:sz w:val="20"/>
                  <w:szCs w:val="20"/>
                  <w:color w:val="0000EE"/>
                  <w:w w:val="90"/>
                </w:rPr>
                <w:t>Mine Safety Disclosures</w:t>
              </w:r>
            </w:hyperlink>
          </w:p>
        </w:tc>
        <w:tc>
          <w:tcPr>
            <w:tcW w:w="600" w:type="dxa"/>
            <w:vAlign w:val="bottom"/>
            <w:tcBorders>
              <w:top w:val="single" w:sz="8" w:color="0000EE"/>
            </w:tcBorders>
            <w:gridSpan w:val="2"/>
          </w:tcPr>
          <w:p>
            <w:pPr>
              <w:spacing w:after="0"/>
              <w:rPr>
                <w:sz w:val="24"/>
                <w:szCs w:val="24"/>
                <w:color w:val="auto"/>
              </w:rPr>
            </w:pPr>
          </w:p>
        </w:tc>
        <w:tc>
          <w:tcPr>
            <w:tcW w:w="6780" w:type="dxa"/>
            <w:vAlign w:val="bottom"/>
            <w:gridSpan w:val="11"/>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48</w:t>
            </w:r>
          </w:p>
        </w:tc>
      </w:tr>
      <w:tr>
        <w:trPr>
          <w:trHeight w:val="439"/>
        </w:trPr>
        <w:tc>
          <w:tcPr>
            <w:tcW w:w="1340" w:type="dxa"/>
            <w:vAlign w:val="bottom"/>
            <w:gridSpan w:val="4"/>
          </w:tcPr>
          <w:p>
            <w:pPr>
              <w:spacing w:after="0"/>
              <w:rPr>
                <w:rFonts w:ascii="Arial" w:cs="Arial" w:eastAsia="Arial" w:hAnsi="Arial"/>
                <w:sz w:val="20"/>
                <w:szCs w:val="20"/>
                <w:color w:val="0000EE"/>
              </w:rPr>
            </w:pPr>
            <w:hyperlink w:anchor="page32">
              <w:r>
                <w:rPr>
                  <w:rFonts w:ascii="Arial" w:cs="Arial" w:eastAsia="Arial" w:hAnsi="Arial"/>
                  <w:sz w:val="20"/>
                  <w:szCs w:val="20"/>
                  <w:color w:val="0000EE"/>
                </w:rPr>
                <w:t>Item 5.</w:t>
              </w:r>
            </w:hyperlink>
          </w:p>
        </w:tc>
        <w:tc>
          <w:tcPr>
            <w:tcW w:w="9340" w:type="dxa"/>
            <w:vAlign w:val="bottom"/>
            <w:gridSpan w:val="19"/>
          </w:tcPr>
          <w:p>
            <w:pPr>
              <w:spacing w:after="0"/>
              <w:rPr>
                <w:rFonts w:ascii="Arial" w:cs="Arial" w:eastAsia="Arial" w:hAnsi="Arial"/>
                <w:sz w:val="20"/>
                <w:szCs w:val="20"/>
                <w:color w:val="0000EE"/>
              </w:rPr>
            </w:pPr>
            <w:hyperlink w:anchor="page32">
              <w:r>
                <w:rPr>
                  <w:rFonts w:ascii="Arial" w:cs="Arial" w:eastAsia="Arial" w:hAnsi="Arial"/>
                  <w:sz w:val="20"/>
                  <w:szCs w:val="20"/>
                  <w:color w:val="0000EE"/>
                </w:rPr>
                <w:t>Other Information</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48</w:t>
            </w:r>
          </w:p>
        </w:tc>
      </w:tr>
      <w:tr>
        <w:trPr>
          <w:trHeight w:val="20"/>
        </w:trPr>
        <w:tc>
          <w:tcPr>
            <w:tcW w:w="560" w:type="dxa"/>
            <w:vAlign w:val="bottom"/>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880" w:type="dxa"/>
            <w:vAlign w:val="bottom"/>
            <w:gridSpan w:val="1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1340" w:type="dxa"/>
            <w:vAlign w:val="bottom"/>
            <w:gridSpan w:val="4"/>
          </w:tcPr>
          <w:p>
            <w:pPr>
              <w:spacing w:after="0"/>
              <w:rPr>
                <w:rFonts w:ascii="Arial" w:cs="Arial" w:eastAsia="Arial" w:hAnsi="Arial"/>
                <w:sz w:val="20"/>
                <w:szCs w:val="20"/>
                <w:color w:val="0000EE"/>
              </w:rPr>
            </w:pPr>
            <w:hyperlink w:anchor="page32">
              <w:r>
                <w:rPr>
                  <w:rFonts w:ascii="Arial" w:cs="Arial" w:eastAsia="Arial" w:hAnsi="Arial"/>
                  <w:sz w:val="20"/>
                  <w:szCs w:val="20"/>
                  <w:color w:val="0000EE"/>
                </w:rPr>
                <w:t>Item 6.</w:t>
              </w:r>
            </w:hyperlink>
          </w:p>
        </w:tc>
        <w:tc>
          <w:tcPr>
            <w:tcW w:w="9340" w:type="dxa"/>
            <w:vAlign w:val="bottom"/>
            <w:gridSpan w:val="19"/>
          </w:tcPr>
          <w:p>
            <w:pPr>
              <w:spacing w:after="0"/>
              <w:rPr>
                <w:rFonts w:ascii="Arial" w:cs="Arial" w:eastAsia="Arial" w:hAnsi="Arial"/>
                <w:sz w:val="20"/>
                <w:szCs w:val="20"/>
                <w:color w:val="0000EE"/>
              </w:rPr>
            </w:pPr>
            <w:hyperlink w:anchor="page32">
              <w:r>
                <w:rPr>
                  <w:rFonts w:ascii="Arial" w:cs="Arial" w:eastAsia="Arial" w:hAnsi="Arial"/>
                  <w:sz w:val="20"/>
                  <w:szCs w:val="20"/>
                  <w:color w:val="0000EE"/>
                </w:rPr>
                <w:t>Exhibits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48</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500" w:type="dxa"/>
            <w:vAlign w:val="bottom"/>
            <w:gridSpan w:val="16"/>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340" w:type="dxa"/>
            <w:vAlign w:val="bottom"/>
            <w:gridSpan w:val="19"/>
          </w:tcPr>
          <w:p>
            <w:pPr>
              <w:spacing w:after="0"/>
              <w:rPr>
                <w:rFonts w:ascii="Arial" w:cs="Arial" w:eastAsia="Arial" w:hAnsi="Arial"/>
                <w:sz w:val="20"/>
                <w:szCs w:val="20"/>
                <w:color w:val="0000EE"/>
              </w:rPr>
            </w:pPr>
            <w:hyperlink w:anchor="page32">
              <w:r>
                <w:rPr>
                  <w:rFonts w:ascii="Arial" w:cs="Arial" w:eastAsia="Arial" w:hAnsi="Arial"/>
                  <w:sz w:val="20"/>
                  <w:szCs w:val="20"/>
                  <w:color w:val="0000EE"/>
                </w:rPr>
                <w:t>Signatures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49</w:t>
            </w:r>
          </w:p>
        </w:tc>
      </w:tr>
      <w:tr>
        <w:trPr>
          <w:trHeight w:val="453"/>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Borders>
              <w:top w:val="single" w:sz="8" w:color="0000EE"/>
            </w:tcBorders>
            <w:gridSpan w:val="3"/>
          </w:tcPr>
          <w:p>
            <w:pPr>
              <w:spacing w:after="0"/>
              <w:rPr>
                <w:sz w:val="24"/>
                <w:szCs w:val="24"/>
                <w:color w:val="auto"/>
              </w:rPr>
            </w:pPr>
          </w:p>
        </w:tc>
        <w:tc>
          <w:tcPr>
            <w:tcW w:w="3840" w:type="dxa"/>
            <w:vAlign w:val="bottom"/>
            <w:gridSpan w:val="8"/>
          </w:tcPr>
          <w:p>
            <w:pPr>
              <w:jc w:val="right"/>
              <w:ind w:right="2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7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1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 –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CONDENSED CONSOLIDATED FINANCIAL STATEMENTS (UNAUDITED)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CONDENSED CONSOLIDATED BALANCE SHEETS</w:t>
      </w:r>
    </w:p>
    <w:p>
      <w:pPr>
        <w:spacing w:after="0"/>
        <w:rPr>
          <w:sz w:val="20"/>
          <w:szCs w:val="20"/>
          <w:color w:val="auto"/>
        </w:rPr>
      </w:pPr>
      <w:r>
        <w:rPr>
          <w:rFonts w:ascii="Arial" w:cs="Arial" w:eastAsia="Arial" w:hAnsi="Arial"/>
          <w:sz w:val="20"/>
          <w:szCs w:val="20"/>
          <w:b w:val="1"/>
          <w:bCs w:val="1"/>
          <w:color w:val="auto"/>
        </w:rPr>
        <w:t>AS OF MARCH 31, 2018 AND DECEMBER 31, 2017</w:t>
      </w:r>
    </w:p>
    <w:p>
      <w:pPr>
        <w:spacing w:after="0"/>
        <w:rPr>
          <w:sz w:val="20"/>
          <w:szCs w:val="20"/>
          <w:color w:val="auto"/>
        </w:rPr>
      </w:pPr>
      <w:r>
        <w:rPr>
          <w:rFonts w:ascii="Arial" w:cs="Arial" w:eastAsia="Arial" w:hAnsi="Arial"/>
          <w:sz w:val="20"/>
          <w:szCs w:val="20"/>
          <w:b w:val="1"/>
          <w:bCs w:val="1"/>
          <w:color w:val="auto"/>
        </w:rPr>
        <w:t>(In Thousands, Except Par Value)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ind w:left="8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7"/>
                <w:szCs w:val="17"/>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162"/>
        </w:trPr>
        <w:tc>
          <w:tcPr>
            <w:tcW w:w="3200" w:type="dxa"/>
            <w:vAlign w:val="bottom"/>
            <w:vMerge w:val="restart"/>
          </w:tcPr>
          <w:p>
            <w:pPr>
              <w:spacing w:after="0"/>
              <w:rPr>
                <w:sz w:val="20"/>
                <w:szCs w:val="20"/>
                <w:color w:val="auto"/>
              </w:rPr>
            </w:pPr>
            <w:r>
              <w:rPr>
                <w:rFonts w:ascii="Arial" w:cs="Arial" w:eastAsia="Arial" w:hAnsi="Arial"/>
                <w:sz w:val="16"/>
                <w:szCs w:val="16"/>
                <w:color w:val="auto"/>
              </w:rPr>
              <w:t>CURRENT ASSETS:</w:t>
            </w:r>
          </w:p>
        </w:tc>
        <w:tc>
          <w:tcPr>
            <w:tcW w:w="5100" w:type="dxa"/>
            <w:vAlign w:val="bottom"/>
            <w:gridSpan w:val="3"/>
          </w:tcPr>
          <w:p>
            <w:pPr>
              <w:ind w:left="500"/>
              <w:spacing w:after="0" w:line="161" w:lineRule="exact"/>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320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5340" w:type="dxa"/>
            <w:vAlign w:val="bottom"/>
            <w:gridSpan w:val="4"/>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511,360</w:t>
            </w:r>
          </w:p>
        </w:tc>
        <w:tc>
          <w:tcPr>
            <w:tcW w:w="2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528,622</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6"/>
                <w:szCs w:val="16"/>
                <w:color w:val="auto"/>
              </w:rPr>
              <w:t>Short-term investments</w:t>
            </w: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585,222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672,933</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6"/>
                <w:szCs w:val="16"/>
                <w:color w:val="auto"/>
              </w:rPr>
              <w:t>Accounts receivable, net</w:t>
            </w: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525,463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449,476</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6"/>
                <w:szCs w:val="16"/>
                <w:color w:val="auto"/>
              </w:rPr>
              <w:t>Inventories</w:t>
            </w: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268,607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255,745</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6"/>
                <w:szCs w:val="16"/>
                <w:color w:val="auto"/>
              </w:rPr>
              <w:t>Prepaid expenses and other current assets</w:t>
            </w: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61,639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40,877</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6"/>
                <w:szCs w:val="16"/>
                <w:color w:val="auto"/>
              </w:rPr>
              <w:t>Prepaid income taxes</w:t>
            </w: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86,257</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138,724</w:t>
            </w:r>
          </w:p>
        </w:tc>
        <w:tc>
          <w:tcPr>
            <w:tcW w:w="0" w:type="dxa"/>
            <w:vAlign w:val="bottom"/>
          </w:tcPr>
          <w:p>
            <w:pPr>
              <w:spacing w:after="0"/>
              <w:rPr>
                <w:sz w:val="1"/>
                <w:szCs w:val="1"/>
                <w:color w:val="auto"/>
              </w:rPr>
            </w:pPr>
          </w:p>
        </w:tc>
      </w:tr>
      <w:tr>
        <w:trPr>
          <w:trHeight w:val="206"/>
        </w:trPr>
        <w:tc>
          <w:tcPr>
            <w:tcW w:w="320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2,038,548</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2,086,377</w:t>
            </w:r>
          </w:p>
        </w:tc>
        <w:tc>
          <w:tcPr>
            <w:tcW w:w="0" w:type="dxa"/>
            <w:vAlign w:val="bottom"/>
          </w:tcPr>
          <w:p>
            <w:pPr>
              <w:spacing w:after="0"/>
              <w:rPr>
                <w:sz w:val="1"/>
                <w:szCs w:val="1"/>
                <w:color w:val="auto"/>
              </w:rPr>
            </w:pPr>
          </w:p>
        </w:tc>
      </w:tr>
    </w:tbl>
    <w:p>
      <w:pPr>
        <w:sectPr>
          <w:pgSz w:w="11900" w:h="16838" w:orient="portrait"/>
          <w:cols w:equalWidth="0" w:num="1">
            <w:col w:w="11460"/>
          </w:cols>
          <w:pgMar w:left="240" w:top="333" w:right="19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INVESTMENTS</w:t>
            </w: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3,497</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2,366</w:t>
            </w:r>
          </w:p>
        </w:tc>
        <w:tc>
          <w:tcPr>
            <w:tcW w:w="0" w:type="dxa"/>
            <w:vAlign w:val="bottom"/>
          </w:tcPr>
          <w:p>
            <w:pPr>
              <w:spacing w:after="0"/>
              <w:rPr>
                <w:sz w:val="1"/>
                <w:szCs w:val="1"/>
                <w:color w:val="auto"/>
              </w:rPr>
            </w:pP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PROPERTY AND EQUIPMENT, net</w:t>
            </w: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231,199</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230,276</w:t>
            </w:r>
          </w:p>
        </w:tc>
        <w:tc>
          <w:tcPr>
            <w:tcW w:w="0" w:type="dxa"/>
            <w:vAlign w:val="bottom"/>
          </w:tcPr>
          <w:p>
            <w:pPr>
              <w:spacing w:after="0"/>
              <w:rPr>
                <w:sz w:val="1"/>
                <w:szCs w:val="1"/>
                <w:color w:val="auto"/>
              </w:rPr>
            </w:pP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DEFERRED INCOME TAXES</w:t>
            </w: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85,748</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92,333</w:t>
            </w:r>
          </w:p>
        </w:tc>
        <w:tc>
          <w:tcPr>
            <w:tcW w:w="0" w:type="dxa"/>
            <w:vAlign w:val="bottom"/>
          </w:tcPr>
          <w:p>
            <w:pPr>
              <w:spacing w:after="0"/>
              <w:rPr>
                <w:sz w:val="1"/>
                <w:szCs w:val="1"/>
                <w:color w:val="auto"/>
              </w:rPr>
            </w:pP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GOODWILL</w:t>
            </w: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1,331,643</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1,331,643</w:t>
            </w:r>
          </w:p>
        </w:tc>
        <w:tc>
          <w:tcPr>
            <w:tcW w:w="0" w:type="dxa"/>
            <w:vAlign w:val="bottom"/>
          </w:tcPr>
          <w:p>
            <w:pPr>
              <w:spacing w:after="0"/>
              <w:rPr>
                <w:sz w:val="1"/>
                <w:szCs w:val="1"/>
                <w:color w:val="auto"/>
              </w:rPr>
            </w:pP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OTHER INTANGIBLE ASSETS, net</w:t>
            </w: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1,036,661</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1,034,085</w:t>
            </w:r>
          </w:p>
        </w:tc>
        <w:tc>
          <w:tcPr>
            <w:tcW w:w="0" w:type="dxa"/>
            <w:vAlign w:val="bottom"/>
          </w:tcPr>
          <w:p>
            <w:pPr>
              <w:spacing w:after="0"/>
              <w:rPr>
                <w:sz w:val="1"/>
                <w:szCs w:val="1"/>
                <w:color w:val="auto"/>
              </w:rPr>
            </w:pPr>
          </w:p>
        </w:tc>
      </w:tr>
      <w:tr>
        <w:trPr>
          <w:trHeight w:val="206"/>
        </w:trPr>
        <w:tc>
          <w:tcPr>
            <w:tcW w:w="8300" w:type="dxa"/>
            <w:vAlign w:val="bottom"/>
            <w:gridSpan w:val="3"/>
          </w:tcPr>
          <w:p>
            <w:pPr>
              <w:spacing w:after="0"/>
              <w:rPr>
                <w:sz w:val="20"/>
                <w:szCs w:val="20"/>
                <w:color w:val="auto"/>
              </w:rPr>
            </w:pPr>
            <w:r>
              <w:rPr>
                <w:rFonts w:ascii="Arial" w:cs="Arial" w:eastAsia="Arial" w:hAnsi="Arial"/>
                <w:sz w:val="16"/>
                <w:szCs w:val="16"/>
                <w:color w:val="auto"/>
              </w:rPr>
              <w:t>OTHER ASSETS</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12,836</w:t>
            </w:r>
          </w:p>
        </w:tc>
        <w:tc>
          <w:tcPr>
            <w:tcW w:w="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13,932</w:t>
            </w: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6060" w:type="dxa"/>
            <w:vAlign w:val="bottom"/>
            <w:gridSpan w:val="2"/>
          </w:tcPr>
          <w:p>
            <w:pPr>
              <w:jc w:val="center"/>
              <w:ind w:right="2520"/>
              <w:spacing w:after="0"/>
              <w:rPr>
                <w:sz w:val="20"/>
                <w:szCs w:val="20"/>
                <w:color w:val="auto"/>
              </w:rPr>
            </w:pPr>
            <w:r>
              <w:rPr>
                <w:rFonts w:ascii="Arial" w:cs="Arial" w:eastAsia="Arial" w:hAnsi="Arial"/>
                <w:sz w:val="16"/>
                <w:szCs w:val="16"/>
                <w:b w:val="1"/>
                <w:bCs w:val="1"/>
                <w:color w:val="auto"/>
                <w:w w:val="86"/>
              </w:rPr>
              <w:t>Total Assets</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4,740,132</w:t>
            </w:r>
          </w:p>
        </w:tc>
        <w:tc>
          <w:tcPr>
            <w:tcW w:w="280" w:type="dxa"/>
            <w:vAlign w:val="bottom"/>
          </w:tcPr>
          <w:p>
            <w:pPr>
              <w:spacing w:after="0"/>
              <w:rPr>
                <w:sz w:val="18"/>
                <w:szCs w:val="18"/>
                <w:color w:val="auto"/>
              </w:rPr>
            </w:pP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4,791,012</w:t>
            </w:r>
          </w:p>
        </w:tc>
        <w:tc>
          <w:tcPr>
            <w:tcW w:w="0" w:type="dxa"/>
            <w:vAlign w:val="bottom"/>
          </w:tcPr>
          <w:p>
            <w:pPr>
              <w:spacing w:after="0"/>
              <w:rPr>
                <w:sz w:val="1"/>
                <w:szCs w:val="1"/>
                <w:color w:val="auto"/>
              </w:rPr>
            </w:pPr>
          </w:p>
        </w:tc>
      </w:tr>
      <w:tr>
        <w:trPr>
          <w:trHeight w:val="20"/>
        </w:trPr>
        <w:tc>
          <w:tcPr>
            <w:tcW w:w="2240" w:type="dxa"/>
            <w:vAlign w:val="bottom"/>
            <w:vMerge w:val="restart"/>
          </w:tcPr>
          <w:p>
            <w:pPr>
              <w:spacing w:after="0" w:line="20" w:lineRule="exact"/>
              <w:rPr>
                <w:sz w:val="1"/>
                <w:szCs w:val="1"/>
                <w:color w:val="auto"/>
              </w:rPr>
            </w:pPr>
          </w:p>
        </w:tc>
        <w:tc>
          <w:tcPr>
            <w:tcW w:w="6060" w:type="dxa"/>
            <w:vAlign w:val="bottom"/>
            <w:gridSpan w:val="2"/>
            <w:vMerge w:val="restart"/>
          </w:tcPr>
          <w:p>
            <w:pPr>
              <w:jc w:val="center"/>
              <w:ind w:right="2540"/>
              <w:spacing w:after="0"/>
              <w:rPr>
                <w:sz w:val="20"/>
                <w:szCs w:val="20"/>
                <w:color w:val="auto"/>
              </w:rPr>
            </w:pPr>
            <w:r>
              <w:rPr>
                <w:rFonts w:ascii="Arial" w:cs="Arial" w:eastAsia="Arial" w:hAnsi="Arial"/>
                <w:sz w:val="16"/>
                <w:szCs w:val="16"/>
                <w:b w:val="1"/>
                <w:bCs w:val="1"/>
                <w:color w:val="auto"/>
              </w:rPr>
              <w:t>LIABILITIES AND STOCKHOLDERS’ EQUITY</w:t>
            </w: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2240" w:type="dxa"/>
            <w:vAlign w:val="bottom"/>
            <w:vMerge w:val="continue"/>
          </w:tcPr>
          <w:p>
            <w:pPr>
              <w:spacing w:after="0"/>
              <w:rPr>
                <w:sz w:val="24"/>
                <w:szCs w:val="24"/>
                <w:color w:val="auto"/>
              </w:rPr>
            </w:pPr>
          </w:p>
        </w:tc>
        <w:tc>
          <w:tcPr>
            <w:tcW w:w="606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240" w:type="dxa"/>
            <w:vAlign w:val="bottom"/>
          </w:tcPr>
          <w:p>
            <w:pPr>
              <w:spacing w:after="0"/>
              <w:rPr>
                <w:sz w:val="20"/>
                <w:szCs w:val="20"/>
                <w:color w:val="auto"/>
              </w:rPr>
            </w:pPr>
            <w:r>
              <w:rPr>
                <w:rFonts w:ascii="Arial" w:cs="Arial" w:eastAsia="Arial" w:hAnsi="Arial"/>
                <w:sz w:val="16"/>
                <w:szCs w:val="16"/>
                <w:color w:val="auto"/>
              </w:rPr>
              <w:t>CURRENT LIABILITIES:</w:t>
            </w:r>
          </w:p>
        </w:tc>
        <w:tc>
          <w:tcPr>
            <w:tcW w:w="3520" w:type="dxa"/>
            <w:vAlign w:val="bottom"/>
            <w:tcBorders>
              <w:top w:val="single" w:sz="8" w:color="auto"/>
            </w:tcBorders>
          </w:tcPr>
          <w:p>
            <w:pPr>
              <w:spacing w:after="0"/>
              <w:rPr>
                <w:sz w:val="18"/>
                <w:szCs w:val="18"/>
                <w:color w:val="auto"/>
              </w:rPr>
            </w:pPr>
          </w:p>
        </w:tc>
        <w:tc>
          <w:tcPr>
            <w:tcW w:w="2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3"/>
          </w:tcPr>
          <w:p>
            <w:pPr>
              <w:spacing w:after="0"/>
              <w:rPr>
                <w:sz w:val="20"/>
                <w:szCs w:val="20"/>
                <w:color w:val="auto"/>
              </w:rPr>
            </w:pPr>
            <w:r>
              <w:rPr>
                <w:rFonts w:ascii="Arial" w:cs="Arial" w:eastAsia="Arial" w:hAnsi="Arial"/>
                <w:sz w:val="16"/>
                <w:szCs w:val="16"/>
                <w:color w:val="auto"/>
              </w:rPr>
              <w:t>Accounts payable</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226,063</w:t>
            </w:r>
          </w:p>
        </w:tc>
        <w:tc>
          <w:tcPr>
            <w:tcW w:w="280" w:type="dxa"/>
            <w:vAlign w:val="bottom"/>
          </w:tcPr>
          <w:p>
            <w:pPr>
              <w:spacing w:after="0"/>
              <w:rPr>
                <w:sz w:val="18"/>
                <w:szCs w:val="18"/>
                <w:color w:val="auto"/>
              </w:rPr>
            </w:pP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245,910</w:t>
            </w:r>
          </w:p>
        </w:tc>
        <w:tc>
          <w:tcPr>
            <w:tcW w:w="0" w:type="dxa"/>
            <w:vAlign w:val="bottom"/>
          </w:tcPr>
          <w:p>
            <w:pPr>
              <w:spacing w:after="0"/>
              <w:rPr>
                <w:sz w:val="1"/>
                <w:szCs w:val="1"/>
                <w:color w:val="auto"/>
              </w:rPr>
            </w:pP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Accrued liabilities</w:t>
            </w: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80,893</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87,475</w:t>
            </w:r>
          </w:p>
        </w:tc>
        <w:tc>
          <w:tcPr>
            <w:tcW w:w="0" w:type="dxa"/>
            <w:vAlign w:val="bottom"/>
          </w:tcPr>
          <w:p>
            <w:pPr>
              <w:spacing w:after="0"/>
              <w:rPr>
                <w:sz w:val="1"/>
                <w:szCs w:val="1"/>
                <w:color w:val="auto"/>
              </w:rPr>
            </w:pP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Accrued promotional allowances</w:t>
            </w: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155,992</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137,998</w:t>
            </w:r>
          </w:p>
        </w:tc>
        <w:tc>
          <w:tcPr>
            <w:tcW w:w="0" w:type="dxa"/>
            <w:vAlign w:val="bottom"/>
          </w:tcPr>
          <w:p>
            <w:pPr>
              <w:spacing w:after="0"/>
              <w:rPr>
                <w:sz w:val="1"/>
                <w:szCs w:val="1"/>
                <w:color w:val="auto"/>
              </w:rPr>
            </w:pP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Accrued distributor terminations</w:t>
            </w: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162</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Deferred revenue</w:t>
            </w: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44,325</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43,236</w:t>
            </w:r>
          </w:p>
        </w:tc>
        <w:tc>
          <w:tcPr>
            <w:tcW w:w="0" w:type="dxa"/>
            <w:vAlign w:val="bottom"/>
          </w:tcPr>
          <w:p>
            <w:pPr>
              <w:spacing w:after="0"/>
              <w:rPr>
                <w:sz w:val="1"/>
                <w:szCs w:val="1"/>
                <w:color w:val="auto"/>
              </w:rPr>
            </w:pP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Accrued compensation</w:t>
            </w: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16,829</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34,996</w:t>
            </w:r>
          </w:p>
        </w:tc>
        <w:tc>
          <w:tcPr>
            <w:tcW w:w="0" w:type="dxa"/>
            <w:vAlign w:val="bottom"/>
          </w:tcPr>
          <w:p>
            <w:pPr>
              <w:spacing w:after="0"/>
              <w:rPr>
                <w:sz w:val="1"/>
                <w:szCs w:val="1"/>
                <w:color w:val="auto"/>
              </w:rPr>
            </w:pPr>
          </w:p>
        </w:tc>
      </w:tr>
      <w:tr>
        <w:trPr>
          <w:trHeight w:val="206"/>
        </w:trPr>
        <w:tc>
          <w:tcPr>
            <w:tcW w:w="8300" w:type="dxa"/>
            <w:vAlign w:val="bottom"/>
            <w:gridSpan w:val="3"/>
          </w:tcPr>
          <w:p>
            <w:pPr>
              <w:spacing w:after="0"/>
              <w:rPr>
                <w:sz w:val="20"/>
                <w:szCs w:val="20"/>
                <w:color w:val="auto"/>
              </w:rPr>
            </w:pPr>
            <w:r>
              <w:rPr>
                <w:rFonts w:ascii="Arial" w:cs="Arial" w:eastAsia="Arial" w:hAnsi="Arial"/>
                <w:sz w:val="16"/>
                <w:szCs w:val="16"/>
                <w:color w:val="auto"/>
              </w:rPr>
              <w:t>Income taxes payable</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9,758</w:t>
            </w:r>
          </w:p>
        </w:tc>
        <w:tc>
          <w:tcPr>
            <w:tcW w:w="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10,645</w:t>
            </w:r>
          </w:p>
        </w:tc>
        <w:tc>
          <w:tcPr>
            <w:tcW w:w="0" w:type="dxa"/>
            <w:vAlign w:val="bottom"/>
          </w:tcPr>
          <w:p>
            <w:pPr>
              <w:spacing w:after="0"/>
              <w:rPr>
                <w:sz w:val="1"/>
                <w:szCs w:val="1"/>
                <w:color w:val="auto"/>
              </w:rPr>
            </w:pPr>
          </w:p>
        </w:tc>
      </w:tr>
      <w:tr>
        <w:trPr>
          <w:trHeight w:val="206"/>
        </w:trPr>
        <w:tc>
          <w:tcPr>
            <w:tcW w:w="8300" w:type="dxa"/>
            <w:vAlign w:val="bottom"/>
            <w:gridSpan w:val="3"/>
          </w:tcPr>
          <w:p>
            <w:pPr>
              <w:ind w:left="200"/>
              <w:spacing w:after="0"/>
              <w:rPr>
                <w:sz w:val="20"/>
                <w:szCs w:val="20"/>
                <w:color w:val="auto"/>
              </w:rPr>
            </w:pPr>
            <w:r>
              <w:rPr>
                <w:rFonts w:ascii="Arial" w:cs="Arial" w:eastAsia="Arial" w:hAnsi="Arial"/>
                <w:sz w:val="16"/>
                <w:szCs w:val="16"/>
                <w:color w:val="auto"/>
              </w:rPr>
              <w:t>Total current liabilities</w:t>
            </w: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534,022</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560,351</w:t>
            </w:r>
          </w:p>
        </w:tc>
        <w:tc>
          <w:tcPr>
            <w:tcW w:w="0" w:type="dxa"/>
            <w:vAlign w:val="bottom"/>
          </w:tcPr>
          <w:p>
            <w:pPr>
              <w:spacing w:after="0"/>
              <w:rPr>
                <w:sz w:val="1"/>
                <w:szCs w:val="1"/>
                <w:color w:val="auto"/>
              </w:rPr>
            </w:pPr>
          </w:p>
        </w:tc>
      </w:tr>
      <w:tr>
        <w:trPr>
          <w:trHeight w:val="314"/>
        </w:trPr>
        <w:tc>
          <w:tcPr>
            <w:tcW w:w="8300" w:type="dxa"/>
            <w:vAlign w:val="bottom"/>
            <w:gridSpan w:val="3"/>
          </w:tcPr>
          <w:p>
            <w:pPr>
              <w:spacing w:after="0"/>
              <w:rPr>
                <w:sz w:val="20"/>
                <w:szCs w:val="20"/>
                <w:color w:val="auto"/>
              </w:rPr>
            </w:pPr>
            <w:r>
              <w:rPr>
                <w:rFonts w:ascii="Arial" w:cs="Arial" w:eastAsia="Arial" w:hAnsi="Arial"/>
                <w:sz w:val="16"/>
                <w:szCs w:val="16"/>
                <w:color w:val="auto"/>
              </w:rPr>
              <w:t>DEFERRED REVENUE</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328,300</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334,354</w:t>
            </w:r>
          </w:p>
        </w:tc>
        <w:tc>
          <w:tcPr>
            <w:tcW w:w="0" w:type="dxa"/>
            <w:vAlign w:val="bottom"/>
          </w:tcPr>
          <w:p>
            <w:pPr>
              <w:spacing w:after="0"/>
              <w:rPr>
                <w:sz w:val="1"/>
                <w:szCs w:val="1"/>
                <w:color w:val="auto"/>
              </w:rPr>
            </w:pPr>
          </w:p>
        </w:tc>
      </w:tr>
      <w:tr>
        <w:trPr>
          <w:trHeight w:val="324"/>
        </w:trPr>
        <w:tc>
          <w:tcPr>
            <w:tcW w:w="8300" w:type="dxa"/>
            <w:vAlign w:val="bottom"/>
            <w:gridSpan w:val="3"/>
          </w:tcPr>
          <w:p>
            <w:pPr>
              <w:spacing w:after="0"/>
              <w:rPr>
                <w:sz w:val="20"/>
                <w:szCs w:val="20"/>
                <w:color w:val="auto"/>
              </w:rPr>
            </w:pPr>
            <w:r>
              <w:rPr>
                <w:rFonts w:ascii="Arial" w:cs="Arial" w:eastAsia="Arial" w:hAnsi="Arial"/>
                <w:sz w:val="16"/>
                <w:szCs w:val="16"/>
                <w:color w:val="auto"/>
              </w:rPr>
              <w:t>OTHER LIABILITIES</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2,203</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1,095</w:t>
            </w:r>
          </w:p>
        </w:tc>
        <w:tc>
          <w:tcPr>
            <w:tcW w:w="0" w:type="dxa"/>
            <w:vAlign w:val="bottom"/>
          </w:tcPr>
          <w:p>
            <w:pPr>
              <w:spacing w:after="0"/>
              <w:rPr>
                <w:sz w:val="1"/>
                <w:szCs w:val="1"/>
                <w:color w:val="auto"/>
              </w:rPr>
            </w:pPr>
          </w:p>
        </w:tc>
      </w:tr>
      <w:tr>
        <w:trPr>
          <w:trHeight w:val="324"/>
        </w:trPr>
        <w:tc>
          <w:tcPr>
            <w:tcW w:w="8300" w:type="dxa"/>
            <w:vAlign w:val="bottom"/>
            <w:gridSpan w:val="3"/>
          </w:tcPr>
          <w:p>
            <w:pPr>
              <w:spacing w:after="0"/>
              <w:rPr>
                <w:sz w:val="20"/>
                <w:szCs w:val="20"/>
                <w:color w:val="auto"/>
              </w:rPr>
            </w:pPr>
            <w:r>
              <w:rPr>
                <w:rFonts w:ascii="Arial" w:cs="Arial" w:eastAsia="Arial" w:hAnsi="Arial"/>
                <w:sz w:val="16"/>
                <w:szCs w:val="16"/>
                <w:color w:val="auto"/>
              </w:rPr>
              <w:t>COMMITMENTS AND CONTINGENCIES (Note 11)</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300" w:type="dxa"/>
            <w:vAlign w:val="bottom"/>
            <w:gridSpan w:val="3"/>
          </w:tcPr>
          <w:p>
            <w:pPr>
              <w:spacing w:after="0"/>
              <w:rPr>
                <w:sz w:val="20"/>
                <w:szCs w:val="20"/>
                <w:color w:val="auto"/>
              </w:rPr>
            </w:pPr>
            <w:r>
              <w:rPr>
                <w:rFonts w:ascii="Arial" w:cs="Arial" w:eastAsia="Arial" w:hAnsi="Arial"/>
                <w:sz w:val="16"/>
                <w:szCs w:val="16"/>
                <w:color w:val="auto"/>
              </w:rPr>
              <w:t>STOCKHOLDERS’ EQUITY:</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8300" w:type="dxa"/>
            <w:vAlign w:val="bottom"/>
            <w:gridSpan w:val="3"/>
          </w:tcPr>
          <w:p>
            <w:pPr>
              <w:spacing w:after="0"/>
              <w:rPr>
                <w:sz w:val="20"/>
                <w:szCs w:val="20"/>
                <w:color w:val="auto"/>
              </w:rPr>
            </w:pPr>
            <w:r>
              <w:rPr>
                <w:rFonts w:ascii="Arial" w:cs="Arial" w:eastAsia="Arial" w:hAnsi="Arial"/>
                <w:sz w:val="16"/>
                <w:szCs w:val="16"/>
                <w:color w:val="auto"/>
              </w:rPr>
              <w:t>Common stock - $0.005 par value; 1,250,000 shares authorized;</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00" w:type="dxa"/>
            <w:vAlign w:val="bottom"/>
            <w:gridSpan w:val="3"/>
          </w:tcPr>
          <w:p>
            <w:pPr>
              <w:ind w:left="180"/>
              <w:spacing w:after="0"/>
              <w:rPr>
                <w:sz w:val="20"/>
                <w:szCs w:val="20"/>
                <w:color w:val="auto"/>
              </w:rPr>
            </w:pPr>
            <w:r>
              <w:rPr>
                <w:rFonts w:ascii="Arial" w:cs="Arial" w:eastAsia="Arial" w:hAnsi="Arial"/>
                <w:sz w:val="16"/>
                <w:szCs w:val="16"/>
                <w:color w:val="auto"/>
              </w:rPr>
              <w:t>629,924 shares issued and 562,605 outstanding as of March 31, 2018;</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gridSpan w:val="3"/>
          </w:tcPr>
          <w:p>
            <w:pPr>
              <w:ind w:left="180"/>
              <w:spacing w:after="0"/>
              <w:rPr>
                <w:sz w:val="20"/>
                <w:szCs w:val="20"/>
                <w:color w:val="auto"/>
              </w:rPr>
            </w:pPr>
            <w:r>
              <w:rPr>
                <w:rFonts w:ascii="Arial" w:cs="Arial" w:eastAsia="Arial" w:hAnsi="Arial"/>
                <w:sz w:val="16"/>
                <w:szCs w:val="16"/>
                <w:color w:val="auto"/>
              </w:rPr>
              <w:t>629,255 shares issued and 566,298 outstanding as of December 31, 2017</w:t>
            </w: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3,150</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3,146</w:t>
            </w:r>
          </w:p>
        </w:tc>
        <w:tc>
          <w:tcPr>
            <w:tcW w:w="0" w:type="dxa"/>
            <w:vAlign w:val="bottom"/>
          </w:tcPr>
          <w:p>
            <w:pPr>
              <w:spacing w:after="0"/>
              <w:rPr>
                <w:sz w:val="1"/>
                <w:szCs w:val="1"/>
                <w:color w:val="auto"/>
              </w:rPr>
            </w:pP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Additional paid-in capital</w:t>
            </w: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4,170,565</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4,150,628</w:t>
            </w:r>
          </w:p>
        </w:tc>
        <w:tc>
          <w:tcPr>
            <w:tcW w:w="0" w:type="dxa"/>
            <w:vAlign w:val="bottom"/>
          </w:tcPr>
          <w:p>
            <w:pPr>
              <w:spacing w:after="0"/>
              <w:rPr>
                <w:sz w:val="1"/>
                <w:szCs w:val="1"/>
                <w:color w:val="auto"/>
              </w:rPr>
            </w:pP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Retained earnings</w:t>
            </w: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3,137,691</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2,928,226</w:t>
            </w:r>
          </w:p>
        </w:tc>
        <w:tc>
          <w:tcPr>
            <w:tcW w:w="0" w:type="dxa"/>
            <w:vAlign w:val="bottom"/>
          </w:tcPr>
          <w:p>
            <w:pPr>
              <w:spacing w:after="0"/>
              <w:rPr>
                <w:sz w:val="1"/>
                <w:szCs w:val="1"/>
                <w:color w:val="auto"/>
              </w:rPr>
            </w:pP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Accumulated other comprehensive loss</w:t>
            </w:r>
          </w:p>
        </w:tc>
        <w:tc>
          <w:tcPr>
            <w:tcW w:w="38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(13,721)</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(16,659)</w:t>
            </w:r>
          </w:p>
        </w:tc>
        <w:tc>
          <w:tcPr>
            <w:tcW w:w="0" w:type="dxa"/>
            <w:vAlign w:val="bottom"/>
          </w:tcPr>
          <w:p>
            <w:pPr>
              <w:spacing w:after="0"/>
              <w:rPr>
                <w:sz w:val="1"/>
                <w:szCs w:val="1"/>
                <w:color w:val="auto"/>
              </w:rPr>
            </w:pPr>
          </w:p>
        </w:tc>
      </w:tr>
      <w:tr>
        <w:trPr>
          <w:trHeight w:val="203"/>
        </w:trPr>
        <w:tc>
          <w:tcPr>
            <w:tcW w:w="8300" w:type="dxa"/>
            <w:vAlign w:val="bottom"/>
            <w:gridSpan w:val="3"/>
          </w:tcPr>
          <w:p>
            <w:pPr>
              <w:spacing w:after="0"/>
              <w:rPr>
                <w:sz w:val="20"/>
                <w:szCs w:val="20"/>
                <w:color w:val="auto"/>
              </w:rPr>
            </w:pPr>
            <w:r>
              <w:rPr>
                <w:rFonts w:ascii="Arial" w:cs="Arial" w:eastAsia="Arial" w:hAnsi="Arial"/>
                <w:sz w:val="16"/>
                <w:szCs w:val="16"/>
                <w:color w:val="auto"/>
              </w:rPr>
              <w:t>Common stock in treasury, at cost; 67,319 shares and 62,957 shares as of March 31, 2018 and December 31, 2017,</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300" w:type="dxa"/>
            <w:vAlign w:val="bottom"/>
            <w:gridSpan w:val="3"/>
          </w:tcPr>
          <w:p>
            <w:pPr>
              <w:ind w:left="180"/>
              <w:spacing w:after="0"/>
              <w:rPr>
                <w:sz w:val="20"/>
                <w:szCs w:val="20"/>
                <w:color w:val="auto"/>
              </w:rPr>
            </w:pPr>
            <w:r>
              <w:rPr>
                <w:rFonts w:ascii="Arial" w:cs="Arial" w:eastAsia="Arial" w:hAnsi="Arial"/>
                <w:sz w:val="16"/>
                <w:szCs w:val="16"/>
                <w:color w:val="auto"/>
              </w:rPr>
              <w:t>respectively</w:t>
            </w:r>
          </w:p>
        </w:tc>
        <w:tc>
          <w:tcPr>
            <w:tcW w:w="38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(3,422,078)</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(3,170,129)</w:t>
            </w:r>
          </w:p>
        </w:tc>
        <w:tc>
          <w:tcPr>
            <w:tcW w:w="0" w:type="dxa"/>
            <w:vAlign w:val="bottom"/>
          </w:tcPr>
          <w:p>
            <w:pPr>
              <w:spacing w:after="0"/>
              <w:rPr>
                <w:sz w:val="1"/>
                <w:szCs w:val="1"/>
                <w:color w:val="auto"/>
              </w:rPr>
            </w:pPr>
          </w:p>
        </w:tc>
      </w:tr>
      <w:tr>
        <w:trPr>
          <w:trHeight w:val="202"/>
        </w:trPr>
        <w:tc>
          <w:tcPr>
            <w:tcW w:w="8300" w:type="dxa"/>
            <w:vAlign w:val="bottom"/>
            <w:gridSpan w:val="3"/>
          </w:tcPr>
          <w:p>
            <w:pPr>
              <w:ind w:left="200"/>
              <w:spacing w:after="0"/>
              <w:rPr>
                <w:sz w:val="20"/>
                <w:szCs w:val="20"/>
                <w:color w:val="auto"/>
              </w:rPr>
            </w:pPr>
            <w:r>
              <w:rPr>
                <w:rFonts w:ascii="Arial" w:cs="Arial" w:eastAsia="Arial" w:hAnsi="Arial"/>
                <w:sz w:val="16"/>
                <w:szCs w:val="16"/>
                <w:color w:val="auto"/>
              </w:rPr>
              <w:t>Total stockholders’ equity</w:t>
            </w:r>
          </w:p>
        </w:tc>
        <w:tc>
          <w:tcPr>
            <w:tcW w:w="3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3,875,607</w:t>
            </w:r>
          </w:p>
        </w:tc>
        <w:tc>
          <w:tcPr>
            <w:tcW w:w="28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3,895,212</w:t>
            </w:r>
          </w:p>
        </w:tc>
        <w:tc>
          <w:tcPr>
            <w:tcW w:w="0" w:type="dxa"/>
            <w:vAlign w:val="bottom"/>
          </w:tcPr>
          <w:p>
            <w:pPr>
              <w:spacing w:after="0"/>
              <w:rPr>
                <w:sz w:val="1"/>
                <w:szCs w:val="1"/>
                <w:color w:val="auto"/>
              </w:rPr>
            </w:pPr>
          </w:p>
        </w:tc>
      </w:tr>
      <w:tr>
        <w:trPr>
          <w:trHeight w:val="207"/>
        </w:trPr>
        <w:tc>
          <w:tcPr>
            <w:tcW w:w="2240" w:type="dxa"/>
            <w:vAlign w:val="bottom"/>
          </w:tcPr>
          <w:p>
            <w:pPr>
              <w:spacing w:after="0"/>
              <w:rPr>
                <w:sz w:val="17"/>
                <w:szCs w:val="17"/>
                <w:color w:val="auto"/>
              </w:rPr>
            </w:pPr>
          </w:p>
        </w:tc>
        <w:tc>
          <w:tcPr>
            <w:tcW w:w="6060" w:type="dxa"/>
            <w:vAlign w:val="bottom"/>
            <w:gridSpan w:val="2"/>
          </w:tcPr>
          <w:p>
            <w:pPr>
              <w:jc w:val="center"/>
              <w:ind w:right="2520"/>
              <w:spacing w:after="0"/>
              <w:rPr>
                <w:sz w:val="20"/>
                <w:szCs w:val="20"/>
                <w:color w:val="auto"/>
              </w:rPr>
            </w:pPr>
            <w:r>
              <w:rPr>
                <w:rFonts w:ascii="Arial" w:cs="Arial" w:eastAsia="Arial" w:hAnsi="Arial"/>
                <w:sz w:val="16"/>
                <w:szCs w:val="16"/>
                <w:b w:val="1"/>
                <w:bCs w:val="1"/>
                <w:color w:val="auto"/>
                <w:w w:val="92"/>
              </w:rPr>
              <w:t>Total Liabilities and Stockholders’ Equity</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4,740,132</w:t>
            </w:r>
          </w:p>
        </w:tc>
        <w:tc>
          <w:tcPr>
            <w:tcW w:w="280" w:type="dxa"/>
            <w:vAlign w:val="bottom"/>
          </w:tcPr>
          <w:p>
            <w:pPr>
              <w:spacing w:after="0"/>
              <w:rPr>
                <w:sz w:val="17"/>
                <w:szCs w:val="17"/>
                <w:color w:val="auto"/>
              </w:rPr>
            </w:pP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4,791,012</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ind w:right="5520"/>
        <w:spacing w:after="0" w:line="248" w:lineRule="auto"/>
        <w:rPr>
          <w:sz w:val="20"/>
          <w:szCs w:val="20"/>
          <w:color w:val="auto"/>
        </w:rPr>
      </w:pPr>
      <w:r>
        <w:rPr>
          <w:rFonts w:ascii="Arial" w:cs="Arial" w:eastAsia="Arial" w:hAnsi="Arial"/>
          <w:sz w:val="20"/>
          <w:szCs w:val="20"/>
          <w:b w:val="1"/>
          <w:bCs w:val="1"/>
          <w:color w:val="auto"/>
        </w:rPr>
        <w:t>MONSTER BEVERAGE CORPORATION AND SUBSIDIARIES CONDENSED CONSOLIDATED STATEMENTS OF INCOME FOR THE THREE-MONTHS ENDED MARCH 31, 2018 AND 2017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Three-Months Ended</w:t>
            </w:r>
          </w:p>
        </w:tc>
        <w:tc>
          <w:tcPr>
            <w:tcW w:w="0" w:type="dxa"/>
            <w:vAlign w:val="bottom"/>
          </w:tcPr>
          <w:p>
            <w:pPr>
              <w:spacing w:after="0"/>
              <w:rPr>
                <w:sz w:val="1"/>
                <w:szCs w:val="1"/>
                <w:color w:val="auto"/>
              </w:rPr>
            </w:pPr>
          </w:p>
        </w:tc>
      </w:tr>
      <w:tr>
        <w:trPr>
          <w:trHeight w:val="234"/>
        </w:trPr>
        <w:tc>
          <w:tcPr>
            <w:tcW w:w="85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5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426"/>
        </w:trPr>
        <w:tc>
          <w:tcPr>
            <w:tcW w:w="8580" w:type="dxa"/>
            <w:vAlign w:val="bottom"/>
          </w:tcPr>
          <w:p>
            <w:pPr>
              <w:spacing w:after="0"/>
              <w:rPr>
                <w:sz w:val="20"/>
                <w:szCs w:val="20"/>
                <w:color w:val="auto"/>
              </w:rPr>
            </w:pPr>
            <w:r>
              <w:rPr>
                <w:rFonts w:ascii="Arial" w:cs="Arial" w:eastAsia="Arial" w:hAnsi="Arial"/>
                <w:sz w:val="18"/>
                <w:szCs w:val="18"/>
                <w:color w:val="auto"/>
              </w:rPr>
              <w:t>NET SALES</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850,921</w:t>
            </w:r>
          </w:p>
        </w:tc>
        <w:tc>
          <w:tcPr>
            <w:tcW w:w="280" w:type="dxa"/>
            <w:vAlign w:val="bottom"/>
          </w:tcPr>
          <w:p>
            <w:pPr>
              <w:spacing w:after="0"/>
              <w:rPr>
                <w:sz w:val="24"/>
                <w:szCs w:val="24"/>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742,146</w:t>
            </w:r>
          </w:p>
        </w:tc>
        <w:tc>
          <w:tcPr>
            <w:tcW w:w="0" w:type="dxa"/>
            <w:vAlign w:val="bottom"/>
          </w:tcPr>
          <w:p>
            <w:pPr>
              <w:spacing w:after="0"/>
              <w:rPr>
                <w:sz w:val="1"/>
                <w:szCs w:val="1"/>
                <w:color w:val="auto"/>
              </w:rPr>
            </w:pPr>
          </w:p>
        </w:tc>
      </w:tr>
      <w:tr>
        <w:trPr>
          <w:trHeight w:val="432"/>
        </w:trPr>
        <w:tc>
          <w:tcPr>
            <w:tcW w:w="8580" w:type="dxa"/>
            <w:vAlign w:val="bottom"/>
          </w:tcPr>
          <w:p>
            <w:pPr>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335,664</w:t>
            </w:r>
          </w:p>
        </w:tc>
        <w:tc>
          <w:tcPr>
            <w:tcW w:w="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261,272</w:t>
            </w:r>
          </w:p>
        </w:tc>
        <w:tc>
          <w:tcPr>
            <w:tcW w:w="0" w:type="dxa"/>
            <w:vAlign w:val="bottom"/>
          </w:tcPr>
          <w:p>
            <w:pPr>
              <w:spacing w:after="0"/>
              <w:rPr>
                <w:sz w:val="1"/>
                <w:szCs w:val="1"/>
                <w:color w:val="auto"/>
              </w:rPr>
            </w:pPr>
          </w:p>
        </w:tc>
      </w:tr>
      <w:tr>
        <w:trPr>
          <w:trHeight w:val="426"/>
        </w:trPr>
        <w:tc>
          <w:tcPr>
            <w:tcW w:w="8580" w:type="dxa"/>
            <w:vAlign w:val="bottom"/>
          </w:tcPr>
          <w:p>
            <w:pPr>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515,257</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480,874</w:t>
            </w:r>
          </w:p>
        </w:tc>
        <w:tc>
          <w:tcPr>
            <w:tcW w:w="0" w:type="dxa"/>
            <w:vAlign w:val="bottom"/>
          </w:tcPr>
          <w:p>
            <w:pPr>
              <w:spacing w:after="0"/>
              <w:rPr>
                <w:sz w:val="1"/>
                <w:szCs w:val="1"/>
                <w:color w:val="auto"/>
              </w:rPr>
            </w:pPr>
          </w:p>
        </w:tc>
      </w:tr>
      <w:tr>
        <w:trPr>
          <w:trHeight w:val="432"/>
        </w:trPr>
        <w:tc>
          <w:tcPr>
            <w:tcW w:w="8580" w:type="dxa"/>
            <w:vAlign w:val="bottom"/>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235,342</w:t>
            </w:r>
          </w:p>
        </w:tc>
        <w:tc>
          <w:tcPr>
            <w:tcW w:w="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216,612</w:t>
            </w:r>
          </w:p>
        </w:tc>
        <w:tc>
          <w:tcPr>
            <w:tcW w:w="0" w:type="dxa"/>
            <w:vAlign w:val="bottom"/>
          </w:tcPr>
          <w:p>
            <w:pPr>
              <w:spacing w:after="0"/>
              <w:rPr>
                <w:sz w:val="1"/>
                <w:szCs w:val="1"/>
                <w:color w:val="auto"/>
              </w:rPr>
            </w:pPr>
          </w:p>
        </w:tc>
      </w:tr>
      <w:tr>
        <w:trPr>
          <w:trHeight w:val="426"/>
        </w:trPr>
        <w:tc>
          <w:tcPr>
            <w:tcW w:w="8580" w:type="dxa"/>
            <w:vAlign w:val="bottom"/>
          </w:tcPr>
          <w:p>
            <w:pPr>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279,915</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264,262</w:t>
            </w:r>
          </w:p>
        </w:tc>
        <w:tc>
          <w:tcPr>
            <w:tcW w:w="0" w:type="dxa"/>
            <w:vAlign w:val="bottom"/>
          </w:tcPr>
          <w:p>
            <w:pPr>
              <w:spacing w:after="0"/>
              <w:rPr>
                <w:sz w:val="1"/>
                <w:szCs w:val="1"/>
                <w:color w:val="auto"/>
              </w:rPr>
            </w:pPr>
          </w:p>
        </w:tc>
      </w:tr>
      <w:tr>
        <w:trPr>
          <w:trHeight w:val="432"/>
        </w:trPr>
        <w:tc>
          <w:tcPr>
            <w:tcW w:w="858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w:t>
            </w:r>
          </w:p>
        </w:tc>
        <w:tc>
          <w:tcPr>
            <w:tcW w:w="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426"/>
        </w:trPr>
        <w:tc>
          <w:tcPr>
            <w:tcW w:w="858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281,720</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264,920</w:t>
            </w:r>
          </w:p>
        </w:tc>
        <w:tc>
          <w:tcPr>
            <w:tcW w:w="0" w:type="dxa"/>
            <w:vAlign w:val="bottom"/>
          </w:tcPr>
          <w:p>
            <w:pPr>
              <w:spacing w:after="0"/>
              <w:rPr>
                <w:sz w:val="1"/>
                <w:szCs w:val="1"/>
                <w:color w:val="auto"/>
              </w:rPr>
            </w:pPr>
          </w:p>
        </w:tc>
      </w:tr>
      <w:tr>
        <w:trPr>
          <w:trHeight w:val="432"/>
        </w:trPr>
        <w:tc>
          <w:tcPr>
            <w:tcW w:w="85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65,670</w:t>
            </w:r>
          </w:p>
        </w:tc>
        <w:tc>
          <w:tcPr>
            <w:tcW w:w="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86,940</w:t>
            </w:r>
          </w:p>
        </w:tc>
        <w:tc>
          <w:tcPr>
            <w:tcW w:w="0" w:type="dxa"/>
            <w:vAlign w:val="bottom"/>
          </w:tcPr>
          <w:p>
            <w:pPr>
              <w:spacing w:after="0"/>
              <w:rPr>
                <w:sz w:val="1"/>
                <w:szCs w:val="1"/>
                <w:color w:val="auto"/>
              </w:rPr>
            </w:pPr>
          </w:p>
        </w:tc>
      </w:tr>
      <w:tr>
        <w:trPr>
          <w:trHeight w:val="426"/>
        </w:trPr>
        <w:tc>
          <w:tcPr>
            <w:tcW w:w="858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216,050</w:t>
            </w:r>
          </w:p>
        </w:tc>
        <w:tc>
          <w:tcPr>
            <w:tcW w:w="280" w:type="dxa"/>
            <w:vAlign w:val="bottom"/>
          </w:tcPr>
          <w:p>
            <w:pPr>
              <w:spacing w:after="0"/>
              <w:rPr>
                <w:sz w:val="24"/>
                <w:szCs w:val="24"/>
                <w:color w:val="auto"/>
              </w:rPr>
            </w:pP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177,980</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NET INCOME PER COMMON SHARE:</w:t>
            </w: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5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280" w:type="dxa"/>
            <w:vAlign w:val="bottom"/>
          </w:tcPr>
          <w:p>
            <w:pPr>
              <w:spacing w:after="0"/>
              <w:rPr>
                <w:sz w:val="20"/>
                <w:szCs w:val="20"/>
                <w:color w:val="auto"/>
              </w:rPr>
            </w:pP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0.38</w:t>
            </w:r>
          </w:p>
        </w:tc>
        <w:tc>
          <w:tcPr>
            <w:tcW w:w="280" w:type="dxa"/>
            <w:vAlign w:val="bottom"/>
          </w:tcPr>
          <w:p>
            <w:pPr>
              <w:spacing w:after="0"/>
              <w:rPr>
                <w:sz w:val="17"/>
                <w:szCs w:val="17"/>
                <w:color w:val="auto"/>
              </w:rPr>
            </w:pPr>
          </w:p>
        </w:tc>
        <w:tc>
          <w:tcPr>
            <w:tcW w:w="3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NUMBER OF SHARES OF COMMON STOCK AND COMMON STOCK</w:t>
      </w:r>
    </w:p>
    <w:p>
      <w:pPr>
        <w:sectPr>
          <w:pgSz w:w="11900" w:h="16838" w:orient="portrait"/>
          <w:cols w:equalWidth="0" w:num="1">
            <w:col w:w="11320"/>
          </w:cols>
          <w:pgMar w:left="240" w:top="130" w:right="339" w:bottom="0" w:gutter="0" w:footer="0" w:header="0"/>
        </w:sectPr>
      </w:pPr>
    </w:p>
    <w:bookmarkStart w:id="3" w:name="page4"/>
    <w:bookmarkEnd w:id="3"/>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20" w:type="dxa"/>
            <w:vAlign w:val="bottom"/>
            <w:gridSpan w:val="2"/>
          </w:tcPr>
          <w:p>
            <w:pPr>
              <w:ind w:left="180"/>
              <w:spacing w:after="0"/>
              <w:rPr>
                <w:sz w:val="20"/>
                <w:szCs w:val="20"/>
                <w:color w:val="auto"/>
              </w:rPr>
            </w:pPr>
            <w:r>
              <w:rPr>
                <w:rFonts w:ascii="Arial" w:cs="Arial" w:eastAsia="Arial" w:hAnsi="Arial"/>
                <w:sz w:val="18"/>
                <w:szCs w:val="18"/>
                <w:color w:val="auto"/>
              </w:rPr>
              <w:t>EQUIVALENTS: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20" w:type="dxa"/>
            <w:vAlign w:val="bottom"/>
            <w:gridSpan w:val="2"/>
          </w:tcPr>
          <w:p>
            <w:pPr>
              <w:ind w:left="380"/>
              <w:spacing w:after="0"/>
              <w:rPr>
                <w:sz w:val="20"/>
                <w:szCs w:val="20"/>
                <w:color w:val="auto"/>
              </w:rPr>
            </w:pPr>
            <w:r>
              <w:rPr>
                <w:rFonts w:ascii="Arial" w:cs="Arial" w:eastAsia="Arial" w:hAnsi="Arial"/>
                <w:sz w:val="18"/>
                <w:szCs w:val="18"/>
                <w:color w:val="auto"/>
              </w:rPr>
              <w:t>Basic</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4"/>
          </w:tcPr>
          <w:p>
            <w:pPr>
              <w:jc w:val="center"/>
              <w:ind w:left="362"/>
              <w:spacing w:after="0"/>
              <w:rPr>
                <w:sz w:val="20"/>
                <w:szCs w:val="20"/>
                <w:color w:val="auto"/>
              </w:rPr>
            </w:pPr>
            <w:r>
              <w:rPr>
                <w:rFonts w:ascii="Arial" w:cs="Arial" w:eastAsia="Arial" w:hAnsi="Arial"/>
                <w:sz w:val="18"/>
                <w:szCs w:val="18"/>
                <w:color w:val="auto"/>
                <w:w w:val="89"/>
              </w:rPr>
              <w:t>566,000</w:t>
            </w:r>
          </w:p>
        </w:tc>
        <w:tc>
          <w:tcPr>
            <w:tcW w:w="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571,578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ind w:left="380"/>
              <w:spacing w:after="0"/>
              <w:rPr>
                <w:sz w:val="20"/>
                <w:szCs w:val="20"/>
                <w:color w:val="auto"/>
              </w:rPr>
            </w:pPr>
            <w:r>
              <w:rPr>
                <w:rFonts w:ascii="Arial" w:cs="Arial" w:eastAsia="Arial" w:hAnsi="Arial"/>
                <w:sz w:val="18"/>
                <w:szCs w:val="18"/>
                <w:color w:val="auto"/>
              </w:rPr>
              <w:t>Diluted</w:t>
            </w: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2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4"/>
          </w:tcPr>
          <w:p>
            <w:pPr>
              <w:jc w:val="center"/>
              <w:ind w:left="362"/>
              <w:spacing w:after="0" w:line="196" w:lineRule="exact"/>
              <w:rPr>
                <w:sz w:val="20"/>
                <w:szCs w:val="20"/>
                <w:color w:val="auto"/>
              </w:rPr>
            </w:pPr>
            <w:r>
              <w:rPr>
                <w:rFonts w:ascii="Arial" w:cs="Arial" w:eastAsia="Arial" w:hAnsi="Arial"/>
                <w:sz w:val="18"/>
                <w:szCs w:val="18"/>
                <w:color w:val="auto"/>
                <w:w w:val="89"/>
              </w:rPr>
              <w:t>574,129</w:t>
            </w:r>
          </w:p>
        </w:tc>
        <w:tc>
          <w:tcPr>
            <w:tcW w:w="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
              <w:spacing w:after="0" w:line="196" w:lineRule="exact"/>
              <w:rPr>
                <w:sz w:val="20"/>
                <w:szCs w:val="20"/>
                <w:color w:val="auto"/>
              </w:rPr>
            </w:pPr>
            <w:r>
              <w:rPr>
                <w:rFonts w:ascii="Arial" w:cs="Arial" w:eastAsia="Arial" w:hAnsi="Arial"/>
                <w:sz w:val="18"/>
                <w:szCs w:val="18"/>
                <w:color w:val="auto"/>
              </w:rPr>
              <w:t>582,032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140" w:type="dxa"/>
            <w:vAlign w:val="bottom"/>
            <w:gridSpan w:val="2"/>
            <w:vMerge w:val="restart"/>
          </w:tcPr>
          <w:p>
            <w:pPr>
              <w:jc w:val="center"/>
              <w:ind w:left="1630"/>
              <w:spacing w:after="0"/>
              <w:rPr>
                <w:sz w:val="20"/>
                <w:szCs w:val="20"/>
                <w:color w:val="auto"/>
              </w:rPr>
            </w:pPr>
            <w:r>
              <w:rPr>
                <w:rFonts w:ascii="Arial" w:cs="Arial" w:eastAsia="Arial" w:hAnsi="Arial"/>
                <w:sz w:val="18"/>
                <w:szCs w:val="18"/>
                <w:color w:val="auto"/>
                <w:w w:val="89"/>
              </w:rPr>
              <w:t>See accompanying notes to condensed consolidated financial statements.</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71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20" w:type="dxa"/>
            <w:vAlign w:val="bottom"/>
            <w:gridSpan w:val="2"/>
          </w:tcPr>
          <w:p>
            <w:pPr>
              <w:jc w:val="center"/>
              <w:ind w:left="3719"/>
              <w:spacing w:after="0"/>
              <w:rPr>
                <w:sz w:val="20"/>
                <w:szCs w:val="20"/>
                <w:color w:val="auto"/>
              </w:rPr>
            </w:pPr>
            <w:r>
              <w:rPr>
                <w:rFonts w:ascii="Arial" w:cs="Arial" w:eastAsia="Arial" w:hAnsi="Arial"/>
                <w:sz w:val="18"/>
                <w:szCs w:val="18"/>
                <w:color w:val="auto"/>
                <w:w w:val="99"/>
              </w:rPr>
              <w:t>4</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63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6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7620" w:type="dxa"/>
            <w:vAlign w:val="bottom"/>
            <w:gridSpan w:val="2"/>
          </w:tcPr>
          <w:p>
            <w:pPr>
              <w:spacing w:after="0"/>
              <w:rPr>
                <w:sz w:val="20"/>
                <w:szCs w:val="20"/>
                <w:color w:val="auto"/>
              </w:rPr>
            </w:pPr>
            <w:r>
              <w:rPr>
                <w:rFonts w:ascii="Arial" w:cs="Arial" w:eastAsia="Arial" w:hAnsi="Arial"/>
                <w:sz w:val="20"/>
                <w:szCs w:val="20"/>
                <w:b w:val="1"/>
                <w:bCs w:val="1"/>
                <w:color w:val="auto"/>
              </w:rPr>
              <w:t>MONSTER BEVERAGE CORPORATION AND SUBSIDIARIES</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20" w:type="dxa"/>
            <w:vAlign w:val="bottom"/>
            <w:gridSpan w:val="2"/>
          </w:tcPr>
          <w:p>
            <w:pPr>
              <w:spacing w:after="0"/>
              <w:rPr>
                <w:sz w:val="20"/>
                <w:szCs w:val="20"/>
                <w:color w:val="auto"/>
              </w:rPr>
            </w:pPr>
            <w:r>
              <w:rPr>
                <w:rFonts w:ascii="Arial" w:cs="Arial" w:eastAsia="Arial" w:hAnsi="Arial"/>
                <w:sz w:val="20"/>
                <w:szCs w:val="20"/>
                <w:b w:val="1"/>
                <w:bCs w:val="1"/>
                <w:color w:val="auto"/>
              </w:rPr>
              <w:t>CONDENSED CONSOLIDATED STATEMENTS OF COMPREHENSIVE INCOME</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tcPr>
          <w:p>
            <w:pPr>
              <w:spacing w:after="0"/>
              <w:rPr>
                <w:sz w:val="20"/>
                <w:szCs w:val="20"/>
                <w:color w:val="auto"/>
              </w:rPr>
            </w:pPr>
            <w:r>
              <w:rPr>
                <w:rFonts w:ascii="Arial" w:cs="Arial" w:eastAsia="Arial" w:hAnsi="Arial"/>
                <w:sz w:val="20"/>
                <w:szCs w:val="20"/>
                <w:b w:val="1"/>
                <w:bCs w:val="1"/>
                <w:color w:val="auto"/>
              </w:rPr>
              <w:t>FOR THE THREE-MONTHS ENDED MARCH 31, 2018 AND 2017</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7620" w:type="dxa"/>
            <w:vAlign w:val="bottom"/>
            <w:tcBorders>
              <w:bottom w:val="single" w:sz="8" w:color="auto"/>
            </w:tcBorders>
            <w:gridSpan w:val="2"/>
          </w:tcPr>
          <w:p>
            <w:pPr>
              <w:spacing w:after="0"/>
              <w:rPr>
                <w:sz w:val="20"/>
                <w:szCs w:val="20"/>
                <w:color w:val="auto"/>
              </w:rPr>
            </w:pPr>
            <w:r>
              <w:rPr>
                <w:rFonts w:ascii="Arial" w:cs="Arial" w:eastAsia="Arial" w:hAnsi="Arial"/>
                <w:sz w:val="20"/>
                <w:szCs w:val="20"/>
                <w:b w:val="1"/>
                <w:bCs w:val="1"/>
                <w:color w:val="auto"/>
              </w:rPr>
              <w:t>(In Thousands) (Unaudited)</w:t>
            </w:r>
          </w:p>
        </w:tc>
        <w:tc>
          <w:tcPr>
            <w:tcW w:w="8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32"/>
        </w:trPr>
        <w:tc>
          <w:tcPr>
            <w:tcW w:w="12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gridSpan w:val="12"/>
          </w:tcPr>
          <w:p>
            <w:pPr>
              <w:ind w:left="260"/>
              <w:spacing w:after="0"/>
              <w:rPr>
                <w:sz w:val="20"/>
                <w:szCs w:val="20"/>
                <w:color w:val="auto"/>
              </w:rPr>
            </w:pPr>
            <w:r>
              <w:rPr>
                <w:rFonts w:ascii="Arial" w:cs="Arial" w:eastAsia="Arial" w:hAnsi="Arial"/>
                <w:sz w:val="20"/>
                <w:szCs w:val="20"/>
                <w:b w:val="1"/>
                <w:bCs w:val="1"/>
                <w:color w:val="auto"/>
              </w:rPr>
              <w:t>Three-Months Ended</w:t>
            </w:r>
          </w:p>
        </w:tc>
        <w:tc>
          <w:tcPr>
            <w:tcW w:w="0" w:type="dxa"/>
            <w:vAlign w:val="bottom"/>
          </w:tcPr>
          <w:p>
            <w:pPr>
              <w:spacing w:after="0"/>
              <w:rPr>
                <w:sz w:val="1"/>
                <w:szCs w:val="1"/>
                <w:color w:val="auto"/>
              </w:rPr>
            </w:pPr>
          </w:p>
        </w:tc>
      </w:tr>
      <w:tr>
        <w:trPr>
          <w:trHeight w:val="252"/>
        </w:trPr>
        <w:tc>
          <w:tcPr>
            <w:tcW w:w="1280" w:type="dxa"/>
            <w:vAlign w:val="bottom"/>
          </w:tcPr>
          <w:p>
            <w:pPr>
              <w:spacing w:after="0"/>
              <w:rPr>
                <w:sz w:val="21"/>
                <w:szCs w:val="21"/>
                <w:color w:val="auto"/>
              </w:rPr>
            </w:pPr>
          </w:p>
        </w:tc>
        <w:tc>
          <w:tcPr>
            <w:tcW w:w="6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20"/>
                <w:szCs w:val="20"/>
                <w:b w:val="1"/>
                <w:bCs w:val="1"/>
                <w:color w:val="auto"/>
              </w:rPr>
              <w:t>March 31,</w:t>
            </w:r>
          </w:p>
        </w:tc>
        <w:tc>
          <w:tcPr>
            <w:tcW w:w="9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620" w:type="dxa"/>
            <w:vAlign w:val="bottom"/>
            <w:gridSpan w:val="2"/>
            <w:vMerge w:val="restart"/>
          </w:tcPr>
          <w:p>
            <w:pPr>
              <w:spacing w:after="0"/>
              <w:rPr>
                <w:sz w:val="20"/>
                <w:szCs w:val="20"/>
                <w:color w:val="auto"/>
              </w:rPr>
            </w:pPr>
            <w:r>
              <w:rPr>
                <w:rFonts w:ascii="Arial" w:cs="Arial" w:eastAsia="Arial" w:hAnsi="Arial"/>
                <w:sz w:val="20"/>
                <w:szCs w:val="20"/>
                <w:color w:val="auto"/>
              </w:rPr>
              <w:t>Net income, as reported</w:t>
            </w:r>
          </w:p>
        </w:tc>
        <w:tc>
          <w:tcPr>
            <w:tcW w:w="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b w:val="1"/>
                <w:bCs w:val="1"/>
                <w:color w:val="auto"/>
              </w:rPr>
              <w:t>2018</w:t>
            </w: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62"/>
              <w:spacing w:after="0" w:line="223" w:lineRule="exact"/>
              <w:rPr>
                <w:sz w:val="20"/>
                <w:szCs w:val="20"/>
                <w:color w:val="auto"/>
              </w:rPr>
            </w:pPr>
            <w:r>
              <w:rPr>
                <w:rFonts w:ascii="Arial" w:cs="Arial" w:eastAsia="Arial" w:hAnsi="Arial"/>
                <w:sz w:val="20"/>
                <w:szCs w:val="20"/>
                <w:b w:val="1"/>
                <w:bCs w:val="1"/>
                <w:color w:val="auto"/>
              </w:rPr>
              <w:t>2017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620" w:type="dxa"/>
            <w:vAlign w:val="bottom"/>
            <w:gridSpan w:val="2"/>
            <w:vMerge w:val="continue"/>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gridSpan w:val="2"/>
          </w:tcPr>
          <w:p>
            <w:pPr>
              <w:jc w:val="right"/>
              <w:ind w:right="80"/>
              <w:spacing w:after="0" w:line="220" w:lineRule="exact"/>
              <w:rPr>
                <w:sz w:val="20"/>
                <w:szCs w:val="20"/>
                <w:color w:val="auto"/>
              </w:rPr>
            </w:pPr>
            <w:r>
              <w:rPr>
                <w:rFonts w:ascii="Arial" w:cs="Arial" w:eastAsia="Arial" w:hAnsi="Arial"/>
                <w:sz w:val="20"/>
                <w:szCs w:val="20"/>
                <w:color w:val="auto"/>
              </w:rPr>
              <w:t>$</w:t>
            </w:r>
          </w:p>
        </w:tc>
        <w:tc>
          <w:tcPr>
            <w:tcW w:w="1000" w:type="dxa"/>
            <w:vAlign w:val="bottom"/>
            <w:gridSpan w:val="3"/>
          </w:tcPr>
          <w:p>
            <w:pPr>
              <w:jc w:val="right"/>
              <w:spacing w:after="0" w:line="220" w:lineRule="exact"/>
              <w:rPr>
                <w:sz w:val="20"/>
                <w:szCs w:val="20"/>
                <w:color w:val="auto"/>
              </w:rPr>
            </w:pPr>
            <w:r>
              <w:rPr>
                <w:rFonts w:ascii="Arial" w:cs="Arial" w:eastAsia="Arial" w:hAnsi="Arial"/>
                <w:sz w:val="20"/>
                <w:szCs w:val="20"/>
                <w:color w:val="auto"/>
              </w:rPr>
              <w:t>216,050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gridSpan w:val="2"/>
          </w:tcPr>
          <w:p>
            <w:pPr>
              <w:jc w:val="right"/>
              <w:ind w:right="180"/>
              <w:spacing w:after="0" w:line="220" w:lineRule="exact"/>
              <w:rPr>
                <w:sz w:val="20"/>
                <w:szCs w:val="20"/>
                <w:color w:val="auto"/>
              </w:rPr>
            </w:pPr>
            <w:r>
              <w:rPr>
                <w:rFonts w:ascii="Arial" w:cs="Arial" w:eastAsia="Arial" w:hAnsi="Arial"/>
                <w:sz w:val="20"/>
                <w:szCs w:val="20"/>
                <w:color w:val="auto"/>
              </w:rPr>
              <w:t>$</w:t>
            </w:r>
          </w:p>
        </w:tc>
        <w:tc>
          <w:tcPr>
            <w:tcW w:w="920" w:type="dxa"/>
            <w:vAlign w:val="bottom"/>
          </w:tcPr>
          <w:p>
            <w:pPr>
              <w:jc w:val="right"/>
              <w:spacing w:after="0" w:line="220" w:lineRule="exact"/>
              <w:rPr>
                <w:sz w:val="20"/>
                <w:szCs w:val="20"/>
                <w:color w:val="auto"/>
              </w:rPr>
            </w:pPr>
            <w:r>
              <w:rPr>
                <w:rFonts w:ascii="Arial" w:cs="Arial" w:eastAsia="Arial" w:hAnsi="Arial"/>
                <w:sz w:val="20"/>
                <w:szCs w:val="20"/>
                <w:color w:val="auto"/>
              </w:rPr>
              <w:t>177,980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620" w:type="dxa"/>
            <w:vAlign w:val="bottom"/>
            <w:gridSpan w:val="2"/>
          </w:tcPr>
          <w:p>
            <w:pPr>
              <w:spacing w:after="0"/>
              <w:rPr>
                <w:sz w:val="20"/>
                <w:szCs w:val="20"/>
                <w:color w:val="auto"/>
              </w:rPr>
            </w:pPr>
            <w:r>
              <w:rPr>
                <w:rFonts w:ascii="Arial" w:cs="Arial" w:eastAsia="Arial" w:hAnsi="Arial"/>
                <w:sz w:val="20"/>
                <w:szCs w:val="20"/>
                <w:color w:val="auto"/>
              </w:rPr>
              <w:t>Other comprehensive income:</w:t>
            </w: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20" w:type="dxa"/>
            <w:vAlign w:val="bottom"/>
            <w:gridSpan w:val="2"/>
          </w:tcPr>
          <w:p>
            <w:pPr>
              <w:ind w:left="200"/>
              <w:spacing w:after="0"/>
              <w:rPr>
                <w:sz w:val="20"/>
                <w:szCs w:val="20"/>
                <w:color w:val="auto"/>
              </w:rPr>
            </w:pPr>
            <w:r>
              <w:rPr>
                <w:rFonts w:ascii="Arial" w:cs="Arial" w:eastAsia="Arial" w:hAnsi="Arial"/>
                <w:sz w:val="20"/>
                <w:szCs w:val="20"/>
                <w:color w:val="auto"/>
              </w:rPr>
              <w:t>Change in foreign currency translation adjustment</w:t>
            </w: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20"/>
                <w:szCs w:val="20"/>
                <w:color w:val="auto"/>
              </w:rPr>
              <w:t>2,723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1,201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20" w:type="dxa"/>
            <w:vAlign w:val="bottom"/>
            <w:gridSpan w:val="2"/>
          </w:tcPr>
          <w:p>
            <w:pPr>
              <w:ind w:left="200"/>
              <w:spacing w:after="0"/>
              <w:rPr>
                <w:sz w:val="20"/>
                <w:szCs w:val="20"/>
                <w:color w:val="auto"/>
              </w:rPr>
            </w:pPr>
            <w:r>
              <w:rPr>
                <w:rFonts w:ascii="Arial" w:cs="Arial" w:eastAsia="Arial" w:hAnsi="Arial"/>
                <w:sz w:val="20"/>
                <w:szCs w:val="20"/>
                <w:color w:val="auto"/>
              </w:rPr>
              <w:t>Available-for-sale investments:</w:t>
            </w: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20" w:type="dxa"/>
            <w:vAlign w:val="bottom"/>
            <w:gridSpan w:val="2"/>
          </w:tcPr>
          <w:p>
            <w:pPr>
              <w:ind w:left="540"/>
              <w:spacing w:after="0"/>
              <w:rPr>
                <w:sz w:val="20"/>
                <w:szCs w:val="20"/>
                <w:color w:val="auto"/>
              </w:rPr>
            </w:pPr>
            <w:r>
              <w:rPr>
                <w:rFonts w:ascii="Arial" w:cs="Arial" w:eastAsia="Arial" w:hAnsi="Arial"/>
                <w:sz w:val="20"/>
                <w:szCs w:val="20"/>
                <w:color w:val="auto"/>
              </w:rPr>
              <w:t>Change in net unrealized gains</w:t>
            </w: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20"/>
                <w:szCs w:val="20"/>
                <w:color w:val="auto"/>
              </w:rPr>
              <w:t>215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131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7620" w:type="dxa"/>
            <w:vAlign w:val="bottom"/>
            <w:gridSpan w:val="2"/>
          </w:tcPr>
          <w:p>
            <w:pPr>
              <w:ind w:left="540"/>
              <w:spacing w:after="0"/>
              <w:rPr>
                <w:sz w:val="20"/>
                <w:szCs w:val="20"/>
                <w:color w:val="auto"/>
              </w:rPr>
            </w:pPr>
            <w:r>
              <w:rPr>
                <w:rFonts w:ascii="Arial" w:cs="Arial" w:eastAsia="Arial" w:hAnsi="Arial"/>
                <w:sz w:val="20"/>
                <w:szCs w:val="20"/>
                <w:color w:val="auto"/>
              </w:rPr>
              <w:t>Reclassification adjustment for net gains included in net income</w:t>
            </w:r>
          </w:p>
        </w:tc>
        <w:tc>
          <w:tcPr>
            <w:tcW w:w="8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20" w:type="dxa"/>
            <w:vAlign w:val="bottom"/>
            <w:gridSpan w:val="2"/>
          </w:tcPr>
          <w:p>
            <w:pPr>
              <w:ind w:left="540"/>
              <w:spacing w:after="0"/>
              <w:rPr>
                <w:sz w:val="20"/>
                <w:szCs w:val="20"/>
                <w:color w:val="auto"/>
              </w:rPr>
            </w:pPr>
            <w:r>
              <w:rPr>
                <w:rFonts w:ascii="Arial" w:cs="Arial" w:eastAsia="Arial" w:hAnsi="Arial"/>
                <w:sz w:val="20"/>
                <w:szCs w:val="20"/>
                <w:color w:val="auto"/>
              </w:rPr>
              <w:t>Net change in available-for-sale investments</w:t>
            </w:r>
          </w:p>
        </w:tc>
        <w:tc>
          <w:tcPr>
            <w:tcW w:w="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215</w:t>
            </w: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131</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20" w:type="dxa"/>
            <w:vAlign w:val="bottom"/>
            <w:gridSpan w:val="2"/>
          </w:tcPr>
          <w:p>
            <w:pPr>
              <w:spacing w:after="0"/>
              <w:rPr>
                <w:sz w:val="20"/>
                <w:szCs w:val="20"/>
                <w:color w:val="auto"/>
              </w:rPr>
            </w:pPr>
            <w:r>
              <w:rPr>
                <w:rFonts w:ascii="Arial" w:cs="Arial" w:eastAsia="Arial" w:hAnsi="Arial"/>
                <w:sz w:val="20"/>
                <w:szCs w:val="20"/>
                <w:color w:val="auto"/>
              </w:rPr>
              <w:t>Other comprehensive income</w:t>
            </w:r>
          </w:p>
        </w:tc>
        <w:tc>
          <w:tcPr>
            <w:tcW w:w="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2,938</w:t>
            </w: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1,332</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20" w:type="dxa"/>
            <w:vAlign w:val="bottom"/>
            <w:gridSpan w:val="2"/>
          </w:tcPr>
          <w:p>
            <w:pPr>
              <w:spacing w:after="0"/>
              <w:rPr>
                <w:sz w:val="20"/>
                <w:szCs w:val="20"/>
                <w:color w:val="auto"/>
              </w:rPr>
            </w:pPr>
            <w:r>
              <w:rPr>
                <w:rFonts w:ascii="Arial" w:cs="Arial" w:eastAsia="Arial" w:hAnsi="Arial"/>
                <w:sz w:val="20"/>
                <w:szCs w:val="20"/>
                <w:color w:val="auto"/>
              </w:rPr>
              <w:t>Comprehensive income</w:t>
            </w:r>
          </w:p>
        </w:tc>
        <w:tc>
          <w:tcPr>
            <w:tcW w:w="800" w:type="dxa"/>
            <w:vAlign w:val="bottom"/>
          </w:tcPr>
          <w:p>
            <w:pPr>
              <w:spacing w:after="0"/>
              <w:rPr>
                <w:sz w:val="20"/>
                <w:szCs w:val="20"/>
                <w:color w:val="auto"/>
              </w:rPr>
            </w:pPr>
          </w:p>
        </w:tc>
        <w:tc>
          <w:tcPr>
            <w:tcW w:w="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218,988</w:t>
            </w: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179,312</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140" w:type="dxa"/>
            <w:vAlign w:val="bottom"/>
            <w:gridSpan w:val="2"/>
            <w:vMerge w:val="restart"/>
          </w:tcPr>
          <w:p>
            <w:pPr>
              <w:jc w:val="center"/>
              <w:ind w:left="1630"/>
              <w:spacing w:after="0"/>
              <w:rPr>
                <w:sz w:val="20"/>
                <w:szCs w:val="20"/>
                <w:color w:val="auto"/>
              </w:rPr>
            </w:pPr>
            <w:r>
              <w:rPr>
                <w:rFonts w:ascii="Arial" w:cs="Arial" w:eastAsia="Arial" w:hAnsi="Arial"/>
                <w:sz w:val="18"/>
                <w:szCs w:val="18"/>
                <w:color w:val="auto"/>
                <w:w w:val="89"/>
              </w:rPr>
              <w:t>See accompanying notes to condensed consolidated financial statements.</w:t>
            </w: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71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20" w:type="dxa"/>
            <w:vAlign w:val="bottom"/>
            <w:gridSpan w:val="2"/>
          </w:tcPr>
          <w:p>
            <w:pPr>
              <w:jc w:val="center"/>
              <w:ind w:left="3719"/>
              <w:spacing w:after="0"/>
              <w:rPr>
                <w:sz w:val="20"/>
                <w:szCs w:val="20"/>
                <w:color w:val="auto"/>
              </w:rPr>
            </w:pPr>
            <w:r>
              <w:rPr>
                <w:rFonts w:ascii="Arial" w:cs="Arial" w:eastAsia="Arial" w:hAnsi="Arial"/>
                <w:sz w:val="18"/>
                <w:szCs w:val="18"/>
                <w:color w:val="auto"/>
                <w:w w:val="99"/>
              </w:rPr>
              <w:t>5</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63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6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7620" w:type="dxa"/>
            <w:vAlign w:val="bottom"/>
            <w:gridSpan w:val="2"/>
          </w:tcPr>
          <w:p>
            <w:pPr>
              <w:spacing w:after="0"/>
              <w:rPr>
                <w:sz w:val="20"/>
                <w:szCs w:val="20"/>
                <w:color w:val="auto"/>
              </w:rPr>
            </w:pPr>
            <w:r>
              <w:rPr>
                <w:rFonts w:ascii="Arial" w:cs="Arial" w:eastAsia="Arial" w:hAnsi="Arial"/>
                <w:sz w:val="20"/>
                <w:szCs w:val="20"/>
                <w:b w:val="1"/>
                <w:bCs w:val="1"/>
                <w:color w:val="auto"/>
              </w:rPr>
              <w:t>MONSTER BEVERAGE CORPORATION AND SUBSIDIARIES</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20" w:type="dxa"/>
            <w:vAlign w:val="bottom"/>
            <w:gridSpan w:val="2"/>
          </w:tcPr>
          <w:p>
            <w:pPr>
              <w:spacing w:after="0"/>
              <w:rPr>
                <w:sz w:val="20"/>
                <w:szCs w:val="20"/>
                <w:color w:val="auto"/>
              </w:rPr>
            </w:pPr>
            <w:r>
              <w:rPr>
                <w:rFonts w:ascii="Arial" w:cs="Arial" w:eastAsia="Arial" w:hAnsi="Arial"/>
                <w:sz w:val="20"/>
                <w:szCs w:val="20"/>
                <w:b w:val="1"/>
                <w:bCs w:val="1"/>
                <w:color w:val="auto"/>
              </w:rPr>
              <w:t>CONDENSED CONSOLIDATED STATEMENTS OF CASH FLOWS</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tcPr>
          <w:p>
            <w:pPr>
              <w:spacing w:after="0"/>
              <w:rPr>
                <w:sz w:val="20"/>
                <w:szCs w:val="20"/>
                <w:color w:val="auto"/>
              </w:rPr>
            </w:pPr>
            <w:r>
              <w:rPr>
                <w:rFonts w:ascii="Arial" w:cs="Arial" w:eastAsia="Arial" w:hAnsi="Arial"/>
                <w:sz w:val="20"/>
                <w:szCs w:val="20"/>
                <w:b w:val="1"/>
                <w:bCs w:val="1"/>
                <w:color w:val="auto"/>
              </w:rPr>
              <w:t>FOR THE THREE-MONTHS ENDED MARCH 31, 2018 AND 2017</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7620" w:type="dxa"/>
            <w:vAlign w:val="bottom"/>
            <w:tcBorders>
              <w:bottom w:val="single" w:sz="8" w:color="auto"/>
            </w:tcBorders>
            <w:gridSpan w:val="2"/>
          </w:tcPr>
          <w:p>
            <w:pPr>
              <w:spacing w:after="0"/>
              <w:rPr>
                <w:sz w:val="20"/>
                <w:szCs w:val="20"/>
                <w:color w:val="auto"/>
              </w:rPr>
            </w:pPr>
            <w:r>
              <w:rPr>
                <w:rFonts w:ascii="Arial" w:cs="Arial" w:eastAsia="Arial" w:hAnsi="Arial"/>
                <w:sz w:val="20"/>
                <w:szCs w:val="20"/>
                <w:b w:val="1"/>
                <w:bCs w:val="1"/>
                <w:color w:val="auto"/>
              </w:rPr>
              <w:t>(In Thousands) (Unaudited)</w:t>
            </w:r>
          </w:p>
        </w:tc>
        <w:tc>
          <w:tcPr>
            <w:tcW w:w="8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8"/>
        </w:trPr>
        <w:tc>
          <w:tcPr>
            <w:tcW w:w="12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8"/>
          </w:tcPr>
          <w:p>
            <w:pPr>
              <w:jc w:val="center"/>
              <w:ind w:right="180"/>
              <w:spacing w:after="0"/>
              <w:rPr>
                <w:sz w:val="20"/>
                <w:szCs w:val="20"/>
                <w:color w:val="auto"/>
              </w:rPr>
            </w:pPr>
            <w:r>
              <w:rPr>
                <w:rFonts w:ascii="Arial" w:cs="Arial" w:eastAsia="Arial" w:hAnsi="Arial"/>
                <w:sz w:val="14"/>
                <w:szCs w:val="14"/>
                <w:b w:val="1"/>
                <w:bCs w:val="1"/>
                <w:color w:val="auto"/>
                <w:w w:val="94"/>
              </w:rPr>
              <w:t>Three-Months Ended</w:t>
            </w: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620" w:type="dxa"/>
            <w:vAlign w:val="bottom"/>
            <w:gridSpan w:val="2"/>
            <w:vMerge w:val="restart"/>
          </w:tcPr>
          <w:p>
            <w:pPr>
              <w:spacing w:after="0"/>
              <w:rPr>
                <w:sz w:val="20"/>
                <w:szCs w:val="20"/>
                <w:color w:val="auto"/>
              </w:rPr>
            </w:pPr>
            <w:r>
              <w:rPr>
                <w:rFonts w:ascii="Arial" w:cs="Arial" w:eastAsia="Arial" w:hAnsi="Arial"/>
                <w:sz w:val="14"/>
                <w:szCs w:val="14"/>
                <w:color w:val="auto"/>
              </w:rPr>
              <w:t>CASH FLOWS FROM OPERATING ACTIVITIES:</w:t>
            </w:r>
          </w:p>
        </w:tc>
        <w:tc>
          <w:tcPr>
            <w:tcW w:w="2080" w:type="dxa"/>
            <w:vAlign w:val="bottom"/>
            <w:gridSpan w:val="6"/>
          </w:tcPr>
          <w:p>
            <w:pPr>
              <w:jc w:val="right"/>
              <w:ind w:right="760"/>
              <w:spacing w:after="0" w:line="142" w:lineRule="exact"/>
              <w:rPr>
                <w:sz w:val="20"/>
                <w:szCs w:val="20"/>
                <w:color w:val="auto"/>
              </w:rPr>
            </w:pPr>
            <w:r>
              <w:rPr>
                <w:rFonts w:ascii="Arial" w:cs="Arial" w:eastAsia="Arial" w:hAnsi="Arial"/>
                <w:sz w:val="14"/>
                <w:szCs w:val="14"/>
                <w:b w:val="1"/>
                <w:bCs w:val="1"/>
                <w:color w:val="auto"/>
              </w:rPr>
              <w:t>March 31, 2018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gridSpan w:val="4"/>
          </w:tcPr>
          <w:p>
            <w:pPr>
              <w:jc w:val="right"/>
              <w:ind w:right="302"/>
              <w:spacing w:after="0" w:line="142" w:lineRule="exact"/>
              <w:rPr>
                <w:sz w:val="20"/>
                <w:szCs w:val="20"/>
                <w:color w:val="auto"/>
              </w:rPr>
            </w:pPr>
            <w:r>
              <w:rPr>
                <w:rFonts w:ascii="Arial" w:cs="Arial" w:eastAsia="Arial" w:hAnsi="Arial"/>
                <w:sz w:val="14"/>
                <w:szCs w:val="14"/>
                <w:b w:val="1"/>
                <w:bCs w:val="1"/>
                <w:color w:val="auto"/>
              </w:rPr>
              <w:t>March 31, 2017</w:t>
            </w:r>
          </w:p>
        </w:tc>
        <w:tc>
          <w:tcPr>
            <w:tcW w:w="14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7620" w:type="dxa"/>
            <w:vAlign w:val="bottom"/>
            <w:gridSpan w:val="2"/>
            <w:vMerge w:val="continue"/>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7620" w:type="dxa"/>
            <w:vAlign w:val="bottom"/>
            <w:gridSpan w:val="2"/>
          </w:tcPr>
          <w:p>
            <w:pPr>
              <w:spacing w:after="0" w:line="149" w:lineRule="exact"/>
              <w:rPr>
                <w:sz w:val="20"/>
                <w:szCs w:val="20"/>
                <w:color w:val="auto"/>
              </w:rPr>
            </w:pPr>
            <w:r>
              <w:rPr>
                <w:rFonts w:ascii="Arial" w:cs="Arial" w:eastAsia="Arial" w:hAnsi="Arial"/>
                <w:sz w:val="14"/>
                <w:szCs w:val="14"/>
                <w:color w:val="auto"/>
              </w:rPr>
              <w:t>Net income</w:t>
            </w:r>
          </w:p>
        </w:tc>
        <w:tc>
          <w:tcPr>
            <w:tcW w:w="80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216,050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177,980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gridSpan w:val="2"/>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Depreciation and amortization</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13,991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11,183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Gain on disposal of property and equipment</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01"/>
              <w:spacing w:after="0" w:line="149" w:lineRule="exact"/>
              <w:rPr>
                <w:sz w:val="20"/>
                <w:szCs w:val="20"/>
                <w:color w:val="auto"/>
              </w:rPr>
            </w:pPr>
            <w:r>
              <w:rPr>
                <w:rFonts w:ascii="Arial" w:cs="Arial" w:eastAsia="Arial" w:hAnsi="Arial"/>
                <w:sz w:val="14"/>
                <w:szCs w:val="14"/>
                <w:color w:val="auto"/>
              </w:rPr>
              <w:t>(187)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(268)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Stock-based compensation</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13,439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13,142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Deferred income taxes</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1,862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Effect on cash of changes in operating assets and liabilities:</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Accounts receivable</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01"/>
              <w:spacing w:after="0" w:line="149" w:lineRule="exact"/>
              <w:rPr>
                <w:sz w:val="20"/>
                <w:szCs w:val="20"/>
                <w:color w:val="auto"/>
              </w:rPr>
            </w:pPr>
            <w:r>
              <w:rPr>
                <w:rFonts w:ascii="Arial" w:cs="Arial" w:eastAsia="Arial" w:hAnsi="Arial"/>
                <w:sz w:val="14"/>
                <w:szCs w:val="14"/>
                <w:color w:val="auto"/>
              </w:rPr>
              <w:t>(72,699)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7,441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Distributor receivables</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3,279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(951)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Inventories</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01"/>
              <w:spacing w:after="0" w:line="149" w:lineRule="exact"/>
              <w:rPr>
                <w:sz w:val="20"/>
                <w:szCs w:val="20"/>
                <w:color w:val="auto"/>
              </w:rPr>
            </w:pPr>
            <w:r>
              <w:rPr>
                <w:rFonts w:ascii="Arial" w:cs="Arial" w:eastAsia="Arial" w:hAnsi="Arial"/>
                <w:sz w:val="14"/>
                <w:szCs w:val="14"/>
                <w:color w:val="auto"/>
              </w:rPr>
              <w:t>(11,274)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(7,793)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01"/>
              <w:spacing w:after="0" w:line="149" w:lineRule="exact"/>
              <w:rPr>
                <w:sz w:val="20"/>
                <w:szCs w:val="20"/>
                <w:color w:val="auto"/>
              </w:rPr>
            </w:pPr>
            <w:r>
              <w:rPr>
                <w:rFonts w:ascii="Arial" w:cs="Arial" w:eastAsia="Arial" w:hAnsi="Arial"/>
                <w:sz w:val="14"/>
                <w:szCs w:val="14"/>
                <w:color w:val="auto"/>
              </w:rPr>
              <w:t>(19,646)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(11,368)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Prepaid income taxes</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52,410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25,601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Accounts payable</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01"/>
              <w:spacing w:after="0" w:line="149" w:lineRule="exact"/>
              <w:rPr>
                <w:sz w:val="20"/>
                <w:szCs w:val="20"/>
                <w:color w:val="auto"/>
              </w:rPr>
            </w:pPr>
            <w:r>
              <w:rPr>
                <w:rFonts w:ascii="Arial" w:cs="Arial" w:eastAsia="Arial" w:hAnsi="Arial"/>
                <w:sz w:val="14"/>
                <w:szCs w:val="14"/>
                <w:color w:val="auto"/>
              </w:rPr>
              <w:t>(22,616)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(19,317)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Accrued liabilities</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01"/>
              <w:spacing w:after="0" w:line="149" w:lineRule="exact"/>
              <w:rPr>
                <w:sz w:val="20"/>
                <w:szCs w:val="20"/>
                <w:color w:val="auto"/>
              </w:rPr>
            </w:pPr>
            <w:r>
              <w:rPr>
                <w:rFonts w:ascii="Arial" w:cs="Arial" w:eastAsia="Arial" w:hAnsi="Arial"/>
                <w:sz w:val="14"/>
                <w:szCs w:val="14"/>
                <w:color w:val="auto"/>
              </w:rPr>
              <w:t>(14,985)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6,788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Accrued promotional allowances</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15,971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14,111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Accrued distributor terminations</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Accrued compensation</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01"/>
              <w:spacing w:after="0" w:line="149" w:lineRule="exact"/>
              <w:rPr>
                <w:sz w:val="20"/>
                <w:szCs w:val="20"/>
                <w:color w:val="auto"/>
              </w:rPr>
            </w:pPr>
            <w:r>
              <w:rPr>
                <w:rFonts w:ascii="Arial" w:cs="Arial" w:eastAsia="Arial" w:hAnsi="Arial"/>
                <w:sz w:val="14"/>
                <w:szCs w:val="14"/>
                <w:color w:val="auto"/>
              </w:rPr>
              <w:t>(18,350)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(15,802)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Income taxes payable</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01"/>
              <w:spacing w:after="0" w:line="149" w:lineRule="exact"/>
              <w:rPr>
                <w:sz w:val="20"/>
                <w:szCs w:val="20"/>
                <w:color w:val="auto"/>
              </w:rPr>
            </w:pPr>
            <w:r>
              <w:rPr>
                <w:rFonts w:ascii="Arial" w:cs="Arial" w:eastAsia="Arial" w:hAnsi="Arial"/>
                <w:sz w:val="14"/>
                <w:szCs w:val="14"/>
                <w:color w:val="auto"/>
              </w:rPr>
              <w:t>(1,059)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(5,506)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Other liabilities</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1,108</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620" w:type="dxa"/>
            <w:vAlign w:val="bottom"/>
            <w:gridSpan w:val="2"/>
          </w:tcPr>
          <w:p>
            <w:pPr>
              <w:ind w:left="600"/>
              <w:spacing w:after="0"/>
              <w:rPr>
                <w:sz w:val="20"/>
                <w:szCs w:val="20"/>
                <w:color w:val="auto"/>
              </w:rPr>
            </w:pPr>
            <w:r>
              <w:rPr>
                <w:rFonts w:ascii="Arial" w:cs="Arial" w:eastAsia="Arial" w:hAnsi="Arial"/>
                <w:sz w:val="14"/>
                <w:szCs w:val="14"/>
                <w:color w:val="auto"/>
              </w:rPr>
              <w:t>Deferred revenue</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01"/>
              <w:spacing w:after="0"/>
              <w:rPr>
                <w:sz w:val="20"/>
                <w:szCs w:val="20"/>
                <w:color w:val="auto"/>
              </w:rPr>
            </w:pPr>
            <w:r>
              <w:rPr>
                <w:rFonts w:ascii="Arial" w:cs="Arial" w:eastAsia="Arial" w:hAnsi="Arial"/>
                <w:sz w:val="14"/>
                <w:szCs w:val="14"/>
                <w:color w:val="auto"/>
              </w:rPr>
              <w:t>(6,592)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(4,454)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20" w:type="dxa"/>
            <w:vAlign w:val="bottom"/>
            <w:gridSpan w:val="2"/>
          </w:tcPr>
          <w:p>
            <w:pPr>
              <w:ind w:left="840"/>
              <w:spacing w:after="0"/>
              <w:rPr>
                <w:sz w:val="20"/>
                <w:szCs w:val="20"/>
                <w:color w:val="auto"/>
              </w:rPr>
            </w:pPr>
            <w:r>
              <w:rPr>
                <w:rFonts w:ascii="Arial" w:cs="Arial" w:eastAsia="Arial" w:hAnsi="Arial"/>
                <w:sz w:val="14"/>
                <w:szCs w:val="14"/>
                <w:color w:val="auto"/>
              </w:rPr>
              <w:t>Net cash provided by operating activities</w:t>
            </w:r>
          </w:p>
        </w:tc>
        <w:tc>
          <w:tcPr>
            <w:tcW w:w="8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148,911</w:t>
            </w:r>
          </w:p>
        </w:tc>
        <w:tc>
          <w:tcPr>
            <w:tcW w:w="3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192,964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620" w:type="dxa"/>
            <w:vAlign w:val="bottom"/>
            <w:gridSpan w:val="2"/>
          </w:tcPr>
          <w:p>
            <w:pPr>
              <w:spacing w:after="0"/>
              <w:rPr>
                <w:sz w:val="20"/>
                <w:szCs w:val="20"/>
                <w:color w:val="auto"/>
              </w:rPr>
            </w:pPr>
            <w:r>
              <w:rPr>
                <w:rFonts w:ascii="Arial" w:cs="Arial" w:eastAsia="Arial" w:hAnsi="Arial"/>
                <w:sz w:val="14"/>
                <w:szCs w:val="14"/>
                <w:color w:val="auto"/>
              </w:rPr>
              <w:t>CASH FLOWS FROM INVESTING ACTIVITIES:</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7620" w:type="dxa"/>
            <w:vAlign w:val="bottom"/>
            <w:gridSpan w:val="2"/>
          </w:tcPr>
          <w:p>
            <w:pPr>
              <w:spacing w:after="0" w:line="149" w:lineRule="exact"/>
              <w:rPr>
                <w:sz w:val="20"/>
                <w:szCs w:val="20"/>
                <w:color w:val="auto"/>
              </w:rPr>
            </w:pPr>
            <w:r>
              <w:rPr>
                <w:rFonts w:ascii="Arial" w:cs="Arial" w:eastAsia="Arial" w:hAnsi="Arial"/>
                <w:sz w:val="14"/>
                <w:szCs w:val="14"/>
                <w:color w:val="auto"/>
              </w:rPr>
              <w:t>Sales of available-for-sale investments</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334,216</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71,553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gridSpan w:val="2"/>
          </w:tcPr>
          <w:p>
            <w:pPr>
              <w:spacing w:after="0" w:line="149" w:lineRule="exact"/>
              <w:rPr>
                <w:sz w:val="20"/>
                <w:szCs w:val="20"/>
                <w:color w:val="auto"/>
              </w:rPr>
            </w:pPr>
            <w:r>
              <w:rPr>
                <w:rFonts w:ascii="Arial" w:cs="Arial" w:eastAsia="Arial" w:hAnsi="Arial"/>
                <w:sz w:val="14"/>
                <w:szCs w:val="14"/>
                <w:color w:val="auto"/>
              </w:rPr>
              <w:t>Purchases of available-for-sale investments</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01"/>
              <w:spacing w:after="0" w:line="149" w:lineRule="exact"/>
              <w:rPr>
                <w:sz w:val="20"/>
                <w:szCs w:val="20"/>
                <w:color w:val="auto"/>
              </w:rPr>
            </w:pPr>
            <w:r>
              <w:rPr>
                <w:rFonts w:ascii="Arial" w:cs="Arial" w:eastAsia="Arial" w:hAnsi="Arial"/>
                <w:sz w:val="14"/>
                <w:szCs w:val="14"/>
                <w:color w:val="auto"/>
              </w:rPr>
              <w:t>(247,421)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(58,314)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gridSpan w:val="2"/>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01"/>
              <w:spacing w:after="0" w:line="149" w:lineRule="exact"/>
              <w:rPr>
                <w:sz w:val="20"/>
                <w:szCs w:val="20"/>
                <w:color w:val="auto"/>
              </w:rPr>
            </w:pPr>
            <w:r>
              <w:rPr>
                <w:rFonts w:ascii="Arial" w:cs="Arial" w:eastAsia="Arial" w:hAnsi="Arial"/>
                <w:sz w:val="14"/>
                <w:szCs w:val="14"/>
                <w:color w:val="auto"/>
              </w:rPr>
              <w:t>(13,049)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(19,093)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gridSpan w:val="2"/>
          </w:tcPr>
          <w:p>
            <w:pPr>
              <w:spacing w:after="0" w:line="149" w:lineRule="exact"/>
              <w:rPr>
                <w:sz w:val="20"/>
                <w:szCs w:val="20"/>
                <w:color w:val="auto"/>
              </w:rPr>
            </w:pPr>
            <w:r>
              <w:rPr>
                <w:rFonts w:ascii="Arial" w:cs="Arial" w:eastAsia="Arial" w:hAnsi="Arial"/>
                <w:sz w:val="14"/>
                <w:szCs w:val="14"/>
                <w:color w:val="auto"/>
              </w:rPr>
              <w:t>Proceeds from sale of property and equipment</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3,397</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452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gridSpan w:val="2"/>
          </w:tcPr>
          <w:p>
            <w:pPr>
              <w:spacing w:after="0" w:line="149" w:lineRule="exact"/>
              <w:rPr>
                <w:sz w:val="20"/>
                <w:szCs w:val="20"/>
                <w:color w:val="auto"/>
              </w:rPr>
            </w:pPr>
            <w:r>
              <w:rPr>
                <w:rFonts w:ascii="Arial" w:cs="Arial" w:eastAsia="Arial" w:hAnsi="Arial"/>
                <w:sz w:val="14"/>
                <w:szCs w:val="14"/>
                <w:color w:val="auto"/>
              </w:rPr>
              <w:t>Decrease (Increase) in intangibles</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280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(848)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620" w:type="dxa"/>
            <w:vAlign w:val="bottom"/>
            <w:gridSpan w:val="2"/>
          </w:tcPr>
          <w:p>
            <w:pPr>
              <w:spacing w:after="0"/>
              <w:rPr>
                <w:sz w:val="20"/>
                <w:szCs w:val="20"/>
                <w:color w:val="auto"/>
              </w:rPr>
            </w:pPr>
            <w:r>
              <w:rPr>
                <w:rFonts w:ascii="Arial" w:cs="Arial" w:eastAsia="Arial" w:hAnsi="Arial"/>
                <w:sz w:val="14"/>
                <w:szCs w:val="14"/>
                <w:color w:val="auto"/>
              </w:rPr>
              <w:t>Increase in other assets</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01"/>
              <w:spacing w:after="0"/>
              <w:rPr>
                <w:sz w:val="20"/>
                <w:szCs w:val="20"/>
                <w:color w:val="auto"/>
              </w:rPr>
            </w:pPr>
            <w:r>
              <w:rPr>
                <w:rFonts w:ascii="Arial" w:cs="Arial" w:eastAsia="Arial" w:hAnsi="Arial"/>
                <w:sz w:val="14"/>
                <w:szCs w:val="14"/>
                <w:color w:val="auto"/>
              </w:rPr>
              <w:t>(1,549)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20" w:type="dxa"/>
            <w:vAlign w:val="bottom"/>
            <w:gridSpan w:val="2"/>
          </w:tcPr>
          <w:p>
            <w:pPr>
              <w:ind w:left="840"/>
              <w:spacing w:after="0"/>
              <w:rPr>
                <w:sz w:val="20"/>
                <w:szCs w:val="20"/>
                <w:color w:val="auto"/>
              </w:rPr>
            </w:pPr>
            <w:r>
              <w:rPr>
                <w:rFonts w:ascii="Arial" w:cs="Arial" w:eastAsia="Arial" w:hAnsi="Arial"/>
                <w:sz w:val="14"/>
                <w:szCs w:val="14"/>
                <w:color w:val="auto"/>
              </w:rPr>
              <w:t>Net cash provided by (used in) investing activities</w:t>
            </w:r>
          </w:p>
        </w:tc>
        <w:tc>
          <w:tcPr>
            <w:tcW w:w="8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75,874</w:t>
            </w:r>
          </w:p>
        </w:tc>
        <w:tc>
          <w:tcPr>
            <w:tcW w:w="3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(6,302)</w:t>
            </w: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620" w:type="dxa"/>
            <w:vAlign w:val="bottom"/>
            <w:gridSpan w:val="2"/>
          </w:tcPr>
          <w:p>
            <w:pPr>
              <w:spacing w:after="0"/>
              <w:rPr>
                <w:sz w:val="20"/>
                <w:szCs w:val="20"/>
                <w:color w:val="auto"/>
              </w:rPr>
            </w:pPr>
            <w:r>
              <w:rPr>
                <w:rFonts w:ascii="Arial" w:cs="Arial" w:eastAsia="Arial" w:hAnsi="Arial"/>
                <w:sz w:val="14"/>
                <w:szCs w:val="14"/>
                <w:color w:val="auto"/>
              </w:rPr>
              <w:t>CASH FLOWS FROM FINANCING ACTIVITIES:</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7620" w:type="dxa"/>
            <w:vAlign w:val="bottom"/>
            <w:gridSpan w:val="2"/>
          </w:tcPr>
          <w:p>
            <w:pPr>
              <w:spacing w:after="0" w:line="149" w:lineRule="exact"/>
              <w:rPr>
                <w:sz w:val="20"/>
                <w:szCs w:val="20"/>
                <w:color w:val="auto"/>
              </w:rPr>
            </w:pPr>
            <w:r>
              <w:rPr>
                <w:rFonts w:ascii="Arial" w:cs="Arial" w:eastAsia="Arial" w:hAnsi="Arial"/>
                <w:sz w:val="14"/>
                <w:szCs w:val="14"/>
                <w:color w:val="auto"/>
              </w:rPr>
              <w:t>Principal payments on debt</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01"/>
              <w:spacing w:after="0" w:line="149" w:lineRule="exact"/>
              <w:rPr>
                <w:sz w:val="20"/>
                <w:szCs w:val="20"/>
                <w:color w:val="auto"/>
              </w:rPr>
            </w:pPr>
            <w:r>
              <w:rPr>
                <w:rFonts w:ascii="Arial" w:cs="Arial" w:eastAsia="Arial" w:hAnsi="Arial"/>
                <w:sz w:val="14"/>
                <w:szCs w:val="14"/>
                <w:color w:val="auto"/>
              </w:rPr>
              <w:t>(543)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(700)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gridSpan w:val="2"/>
          </w:tcPr>
          <w:p>
            <w:pPr>
              <w:spacing w:after="0" w:line="149" w:lineRule="exact"/>
              <w:rPr>
                <w:sz w:val="20"/>
                <w:szCs w:val="20"/>
                <w:color w:val="auto"/>
              </w:rPr>
            </w:pPr>
            <w:r>
              <w:rPr>
                <w:rFonts w:ascii="Arial" w:cs="Arial" w:eastAsia="Arial" w:hAnsi="Arial"/>
                <w:sz w:val="14"/>
                <w:szCs w:val="14"/>
                <w:color w:val="auto"/>
              </w:rPr>
              <w:t>Issuance of common stock</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6,501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13,621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620" w:type="dxa"/>
            <w:vAlign w:val="bottom"/>
            <w:gridSpan w:val="2"/>
          </w:tcPr>
          <w:p>
            <w:pPr>
              <w:spacing w:after="0"/>
              <w:rPr>
                <w:sz w:val="20"/>
                <w:szCs w:val="20"/>
                <w:color w:val="auto"/>
              </w:rPr>
            </w:pPr>
            <w:r>
              <w:rPr>
                <w:rFonts w:ascii="Arial" w:cs="Arial" w:eastAsia="Arial" w:hAnsi="Arial"/>
                <w:sz w:val="14"/>
                <w:szCs w:val="14"/>
                <w:color w:val="auto"/>
              </w:rPr>
              <w:t>Purchases of common stock held in treasury</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01"/>
              <w:spacing w:after="0"/>
              <w:rPr>
                <w:sz w:val="20"/>
                <w:szCs w:val="20"/>
                <w:color w:val="auto"/>
              </w:rPr>
            </w:pPr>
            <w:r>
              <w:rPr>
                <w:rFonts w:ascii="Arial" w:cs="Arial" w:eastAsia="Arial" w:hAnsi="Arial"/>
                <w:sz w:val="14"/>
                <w:szCs w:val="14"/>
                <w:color w:val="auto"/>
              </w:rPr>
              <w:t>(251,950)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20" w:type="dxa"/>
            <w:vAlign w:val="bottom"/>
            <w:gridSpan w:val="2"/>
          </w:tcPr>
          <w:p>
            <w:pPr>
              <w:ind w:left="840"/>
              <w:spacing w:after="0" w:line="142" w:lineRule="exact"/>
              <w:rPr>
                <w:sz w:val="20"/>
                <w:szCs w:val="20"/>
                <w:color w:val="auto"/>
              </w:rPr>
            </w:pPr>
            <w:r>
              <w:rPr>
                <w:rFonts w:ascii="Arial" w:cs="Arial" w:eastAsia="Arial" w:hAnsi="Arial"/>
                <w:sz w:val="14"/>
                <w:szCs w:val="14"/>
                <w:color w:val="auto"/>
              </w:rPr>
              <w:t>Net cash (used in) provided by financing activities</w:t>
            </w:r>
          </w:p>
        </w:tc>
        <w:tc>
          <w:tcPr>
            <w:tcW w:w="8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(245,992)</w:t>
            </w:r>
          </w:p>
        </w:tc>
        <w:tc>
          <w:tcPr>
            <w:tcW w:w="3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12,857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7620" w:type="dxa"/>
            <w:vAlign w:val="bottom"/>
            <w:gridSpan w:val="2"/>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3,945</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(764)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620" w:type="dxa"/>
            <w:vAlign w:val="bottom"/>
            <w:gridSpan w:val="2"/>
          </w:tcPr>
          <w:p>
            <w:pPr>
              <w:spacing w:after="0"/>
              <w:rPr>
                <w:sz w:val="20"/>
                <w:szCs w:val="20"/>
                <w:color w:val="auto"/>
              </w:rPr>
            </w:pPr>
            <w:r>
              <w:rPr>
                <w:rFonts w:ascii="Arial" w:cs="Arial" w:eastAsia="Arial" w:hAnsi="Arial"/>
                <w:sz w:val="14"/>
                <w:szCs w:val="14"/>
                <w:color w:val="auto"/>
              </w:rPr>
              <w:t>NET (DECREASE) INCREASE IN CASH AND CASH EQUIVALENTS</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01"/>
              <w:spacing w:after="0"/>
              <w:rPr>
                <w:sz w:val="20"/>
                <w:szCs w:val="20"/>
                <w:color w:val="auto"/>
              </w:rPr>
            </w:pPr>
            <w:r>
              <w:rPr>
                <w:rFonts w:ascii="Arial" w:cs="Arial" w:eastAsia="Arial" w:hAnsi="Arial"/>
                <w:sz w:val="14"/>
                <w:szCs w:val="14"/>
                <w:color w:val="auto"/>
              </w:rPr>
              <w:t>(17,262)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198,755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7620" w:type="dxa"/>
            <w:vAlign w:val="bottom"/>
            <w:gridSpan w:val="2"/>
          </w:tcPr>
          <w:p>
            <w:pPr>
              <w:spacing w:after="0"/>
              <w:rPr>
                <w:sz w:val="20"/>
                <w:szCs w:val="20"/>
                <w:color w:val="auto"/>
              </w:rPr>
            </w:pPr>
            <w:r>
              <w:rPr>
                <w:rFonts w:ascii="Arial" w:cs="Arial" w:eastAsia="Arial" w:hAnsi="Arial"/>
                <w:sz w:val="14"/>
                <w:szCs w:val="14"/>
                <w:color w:val="auto"/>
              </w:rPr>
              <w:t>CASH AND CASH EQUIVALENTS, beginning of period</w:t>
            </w: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528,622</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377,582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20" w:type="dxa"/>
            <w:vAlign w:val="bottom"/>
            <w:gridSpan w:val="2"/>
          </w:tcPr>
          <w:p>
            <w:pPr>
              <w:spacing w:after="0" w:line="142" w:lineRule="exact"/>
              <w:rPr>
                <w:sz w:val="20"/>
                <w:szCs w:val="20"/>
                <w:color w:val="auto"/>
              </w:rPr>
            </w:pPr>
            <w:r>
              <w:rPr>
                <w:rFonts w:ascii="Arial" w:cs="Arial" w:eastAsia="Arial" w:hAnsi="Arial"/>
                <w:sz w:val="14"/>
                <w:szCs w:val="14"/>
                <w:color w:val="auto"/>
              </w:rPr>
              <w:t>CASH AND CASH EQUIVALENTS, end of period</w:t>
            </w:r>
          </w:p>
        </w:tc>
        <w:tc>
          <w:tcPr>
            <w:tcW w:w="800" w:type="dxa"/>
            <w:vAlign w:val="bottom"/>
            <w:tcBorders>
              <w:bottom w:val="single" w:sz="8" w:color="auto"/>
            </w:tcBorders>
          </w:tcPr>
          <w:p>
            <w:pPr>
              <w:jc w:val="right"/>
              <w:ind w:right="568"/>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511,360</w:t>
            </w: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color w:val="auto"/>
                <w:w w:val="76"/>
              </w:rPr>
              <w:t>$</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576,337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-9297670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-9297670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-5404485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-5404485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SUPPLEMENTAL INFORMATION:</w:t>
      </w:r>
    </w:p>
    <w:p>
      <w:pPr>
        <w:sectPr>
          <w:pgSz w:w="11900" w:h="16905" w:orient="portrait"/>
          <w:cols w:equalWidth="0" w:num="1">
            <w:col w:w="11460"/>
          </w:cols>
          <w:pgMar w:left="240" w:top="125" w:right="199" w:bottom="0" w:gutter="0" w:footer="0" w:header="0"/>
        </w:sectPr>
      </w:pPr>
    </w:p>
    <w:bookmarkStart w:id="4" w:name="page5"/>
    <w:bookmarkEnd w:id="4"/>
    <w:tbl>
      <w:tblPr>
        <w:tblLayout w:type="fixed"/>
        <w:tblInd w:w="160" w:type="dxa"/>
        <w:tblCellMar>
          <w:top w:w="0" w:type="dxa"/>
          <w:left w:w="0" w:type="dxa"/>
          <w:bottom w:w="0" w:type="dxa"/>
          <w:right w:w="0" w:type="dxa"/>
        </w:tblCellMar>
      </w:tblPr>
      <w:tr>
        <w:trPr>
          <w:trHeight w:val="161"/>
        </w:trPr>
        <w:tc>
          <w:tcPr>
            <w:tcW w:w="7460" w:type="dxa"/>
            <w:vAlign w:val="bottom"/>
          </w:tcPr>
          <w:p>
            <w:pPr>
              <w:spacing w:after="0"/>
              <w:rPr>
                <w:sz w:val="20"/>
                <w:szCs w:val="20"/>
                <w:color w:val="auto"/>
              </w:rPr>
            </w:pPr>
            <w:r>
              <w:rPr>
                <w:rFonts w:ascii="Arial" w:cs="Arial" w:eastAsia="Arial" w:hAnsi="Arial"/>
                <w:sz w:val="14"/>
                <w:szCs w:val="14"/>
                <w:color w:val="auto"/>
              </w:rPr>
              <w:t>Cash paid during the period for:</w:t>
            </w:r>
          </w:p>
        </w:tc>
        <w:tc>
          <w:tcPr>
            <w:tcW w:w="720" w:type="dxa"/>
            <w:vAlign w:val="bottom"/>
            <w:vMerge w:val="restart"/>
          </w:tcPr>
          <w:p>
            <w:pPr>
              <w:jc w:val="right"/>
              <w:ind w:right="48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300" w:type="dxa"/>
            <w:vAlign w:val="bottom"/>
          </w:tcPr>
          <w:p>
            <w:pPr>
              <w:spacing w:after="0"/>
              <w:rPr>
                <w:sz w:val="14"/>
                <w:szCs w:val="14"/>
                <w:color w:val="auto"/>
              </w:rPr>
            </w:pPr>
          </w:p>
        </w:tc>
        <w:tc>
          <w:tcPr>
            <w:tcW w:w="700" w:type="dxa"/>
            <w:vAlign w:val="bottom"/>
            <w:vMerge w:val="restart"/>
          </w:tcPr>
          <w:p>
            <w:pPr>
              <w:jc w:val="right"/>
              <w:ind w:right="46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59"/>
        </w:trPr>
        <w:tc>
          <w:tcPr>
            <w:tcW w:w="7460" w:type="dxa"/>
            <w:vAlign w:val="bottom"/>
          </w:tcPr>
          <w:p>
            <w:pPr>
              <w:ind w:left="180"/>
              <w:spacing w:after="0" w:line="154" w:lineRule="exact"/>
              <w:rPr>
                <w:sz w:val="20"/>
                <w:szCs w:val="20"/>
                <w:color w:val="auto"/>
              </w:rPr>
            </w:pPr>
            <w:r>
              <w:rPr>
                <w:rFonts w:ascii="Arial" w:cs="Arial" w:eastAsia="Arial" w:hAnsi="Arial"/>
                <w:sz w:val="14"/>
                <w:szCs w:val="14"/>
                <w:color w:val="auto"/>
              </w:rPr>
              <w:t>Interest</w:t>
            </w:r>
          </w:p>
        </w:tc>
        <w:tc>
          <w:tcPr>
            <w:tcW w:w="72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60" w:type="dxa"/>
            <w:vAlign w:val="bottom"/>
            <w:vMerge w:val="restart"/>
          </w:tcPr>
          <w:p>
            <w:pPr>
              <w:ind w:left="180"/>
              <w:spacing w:after="0"/>
              <w:rPr>
                <w:sz w:val="20"/>
                <w:szCs w:val="20"/>
                <w:color w:val="auto"/>
              </w:rPr>
            </w:pPr>
            <w:r>
              <w:rPr>
                <w:rFonts w:ascii="Arial" w:cs="Arial" w:eastAsia="Arial" w:hAnsi="Arial"/>
                <w:sz w:val="14"/>
                <w:szCs w:val="14"/>
                <w:color w:val="auto"/>
              </w:rPr>
              <w:t>Income taxes</w:t>
            </w: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460" w:type="dxa"/>
            <w:vAlign w:val="bottom"/>
            <w:vMerge w:val="continue"/>
          </w:tcPr>
          <w:p>
            <w:pPr>
              <w:spacing w:after="0"/>
              <w:rPr>
                <w:sz w:val="11"/>
                <w:szCs w:val="11"/>
                <w:color w:val="auto"/>
              </w:rPr>
            </w:pPr>
          </w:p>
        </w:tc>
        <w:tc>
          <w:tcPr>
            <w:tcW w:w="720" w:type="dxa"/>
            <w:vAlign w:val="bottom"/>
            <w:tcBorders>
              <w:bottom w:val="single" w:sz="8" w:color="auto"/>
            </w:tcBorders>
          </w:tcPr>
          <w:p>
            <w:pPr>
              <w:jc w:val="right"/>
              <w:ind w:right="488"/>
              <w:spacing w:after="0" w:line="129"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15,223</w:t>
            </w:r>
          </w:p>
        </w:tc>
        <w:tc>
          <w:tcPr>
            <w:tcW w:w="300" w:type="dxa"/>
            <w:vAlign w:val="bottom"/>
          </w:tcPr>
          <w:p>
            <w:pPr>
              <w:spacing w:after="0"/>
              <w:rPr>
                <w:sz w:val="11"/>
                <w:szCs w:val="11"/>
                <w:color w:val="auto"/>
              </w:rPr>
            </w:pPr>
          </w:p>
        </w:tc>
        <w:tc>
          <w:tcPr>
            <w:tcW w:w="700" w:type="dxa"/>
            <w:vAlign w:val="bottom"/>
            <w:tcBorders>
              <w:bottom w:val="single" w:sz="8" w:color="auto"/>
            </w:tcBorders>
          </w:tcPr>
          <w:p>
            <w:pPr>
              <w:jc w:val="right"/>
              <w:ind w:right="468"/>
              <w:spacing w:after="0" w:line="129"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66,094</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ind w:right="5460"/>
        <w:spacing w:after="0" w:line="248" w:lineRule="auto"/>
        <w:rPr>
          <w:sz w:val="20"/>
          <w:szCs w:val="20"/>
          <w:color w:val="auto"/>
        </w:rPr>
      </w:pPr>
      <w:r>
        <w:rPr>
          <w:rFonts w:ascii="Arial" w:cs="Arial" w:eastAsia="Arial" w:hAnsi="Arial"/>
          <w:sz w:val="20"/>
          <w:szCs w:val="20"/>
          <w:b w:val="1"/>
          <w:bCs w:val="1"/>
          <w:color w:val="auto"/>
        </w:rPr>
        <w:t>MONSTER BEVERAGE CORPORATION AND SUBSIDIARIES CONDENSED CONSOLIDATED STATEMENTS OF CASH FLOWS FOR THE THREE-MONTHS ENDED MARCH 31, 2018 AND 2017 (In Thousands)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SUPPLEMENTAL DISCLOSURE OF NON-CASH ITEMS</w:t>
      </w:r>
    </w:p>
    <w:p>
      <w:pPr>
        <w:spacing w:after="0" w:line="216" w:lineRule="exact"/>
        <w:rPr>
          <w:sz w:val="20"/>
          <w:szCs w:val="20"/>
          <w:color w:val="auto"/>
        </w:rPr>
      </w:pPr>
    </w:p>
    <w:p>
      <w:pPr>
        <w:ind w:left="120" w:firstLine="648"/>
        <w:spacing w:after="0" w:line="260" w:lineRule="auto"/>
        <w:rPr>
          <w:sz w:val="20"/>
          <w:szCs w:val="20"/>
          <w:color w:val="auto"/>
        </w:rPr>
      </w:pPr>
      <w:r>
        <w:rPr>
          <w:rFonts w:ascii="Arial" w:cs="Arial" w:eastAsia="Arial" w:hAnsi="Arial"/>
          <w:sz w:val="20"/>
          <w:szCs w:val="20"/>
          <w:color w:val="auto"/>
        </w:rPr>
        <w:t>The Company entered into capital leases for the acquisition of promotional vehicles of $0.1 million and $1.0 million for the three-months ended March 31, 2018 and 2017, respectively.</w:t>
      </w:r>
    </w:p>
    <w:p>
      <w:pPr>
        <w:spacing w:after="0" w:line="177" w:lineRule="exact"/>
        <w:rPr>
          <w:sz w:val="20"/>
          <w:szCs w:val="20"/>
          <w:color w:val="auto"/>
        </w:rPr>
      </w:pPr>
    </w:p>
    <w:p>
      <w:pPr>
        <w:ind w:left="120" w:firstLine="648"/>
        <w:spacing w:after="0" w:line="260" w:lineRule="auto"/>
        <w:rPr>
          <w:sz w:val="20"/>
          <w:szCs w:val="20"/>
          <w:color w:val="auto"/>
        </w:rPr>
      </w:pPr>
      <w:r>
        <w:rPr>
          <w:rFonts w:ascii="Arial" w:cs="Arial" w:eastAsia="Arial" w:hAnsi="Arial"/>
          <w:sz w:val="20"/>
          <w:szCs w:val="20"/>
          <w:color w:val="auto"/>
        </w:rPr>
        <w:t>Included in accrued liabilities as of March 31, 2018 and 2017 were $8.3 million and $6.2 million, respectively, related to additions to other intangible assets.</w:t>
      </w:r>
    </w:p>
    <w:p>
      <w:pPr>
        <w:spacing w:after="0" w:line="177"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Included in accounts receivable as of March 31, 2018 were available-for-sale short-term investment sales of $11.5 million.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ind w:left="640" w:hanging="632"/>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BASIS OF PRESENTATION</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Reference is made to the Notes to Consolidated Financial Statements, in Monster Beverage Corporation and Subsidiaries (the “Company”) Annual Report on Form 10-K for the year ended December 31, 2017 (“Form 10-K”) for a summary of significant accounting policies utilized by the Company and its consolidated subsidiaries and other disclosures, which should be read in conjunction with this Quarterly Report on Form 10-Q (“Form 10-Q”).</w:t>
      </w:r>
    </w:p>
    <w:p>
      <w:pPr>
        <w:spacing w:after="0" w:line="19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Company’s condensed consolidated financial statements included in this Form 10-Q have been prepared in accordance with accounting principles generally accepted in the United States of America (“GAAP”) and Securities and Exchange Commission (“SEC”) rules and regulations applicable to interim financial reporting. They do not include all the information and footnote disclosures normally included in annual financial statements prepared in accordance with GAAP. The information set forth in these interim condensed consolidated financial statements for the three-months ended March 31, 2018 and 2017, respectively, is unaudited and reflects all adjustments, which include only normal recurring adjustments and which in the opinion of management are necessary to make the interim condensed consolidated financial statements not misleading. Results of operations for periods covered by this report may not necessarily be indicative of results of operations for the full year.</w:t>
      </w:r>
    </w:p>
    <w:p>
      <w:pPr>
        <w:spacing w:after="0" w:line="19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preparation of financial statements in conformity with GAAP necessarily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these estimates.</w:t>
      </w:r>
    </w:p>
    <w:p>
      <w:pPr>
        <w:spacing w:after="0" w:line="118" w:lineRule="exact"/>
        <w:rPr>
          <w:sz w:val="20"/>
          <w:szCs w:val="20"/>
          <w:color w:val="auto"/>
        </w:rPr>
      </w:pPr>
    </w:p>
    <w:p>
      <w:pPr>
        <w:ind w:left="640" w:hanging="632"/>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RECENT ACCOUNTING PRONOUNCEMENTS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52525"/>
        </w:rPr>
        <w:t>Recently issued accounting pronouncements not yet adopted</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252525"/>
        </w:rPr>
        <w:t xml:space="preserve">In February 2018, the Financial Accounting Standards Board (the “FASB”) issued Accounting Standards Update (“ASU”) No. 2018-02 (ASU No. 2018-02), “Income Statement—Reporting Comprehensive Income (Topic 220)”, which amends the previous guidance to allow for certain tax effects “stranded” in accumulated other comprehensive income, which are impacted by the </w:t>
      </w:r>
      <w:r>
        <w:rPr>
          <w:rFonts w:ascii="Arial" w:cs="Arial" w:eastAsia="Arial" w:hAnsi="Arial"/>
          <w:sz w:val="18"/>
          <w:szCs w:val="18"/>
          <w:color w:val="000000"/>
        </w:rPr>
        <w:t>Tax Cuts and Jobs Act (the “Tax Reform</w:t>
      </w:r>
      <w:r>
        <w:rPr>
          <w:rFonts w:ascii="Arial" w:cs="Arial" w:eastAsia="Arial" w:hAnsi="Arial"/>
          <w:sz w:val="18"/>
          <w:szCs w:val="18"/>
          <w:color w:val="252525"/>
        </w:rPr>
        <w:t xml:space="preserve"> </w:t>
      </w:r>
      <w:r>
        <w:rPr>
          <w:rFonts w:ascii="Arial" w:cs="Arial" w:eastAsia="Arial" w:hAnsi="Arial"/>
          <w:sz w:val="18"/>
          <w:szCs w:val="18"/>
          <w:color w:val="000000"/>
        </w:rPr>
        <w:t>Act”)</w:t>
      </w:r>
      <w:r>
        <w:rPr>
          <w:rFonts w:ascii="Arial" w:cs="Arial" w:eastAsia="Arial" w:hAnsi="Arial"/>
          <w:sz w:val="18"/>
          <w:szCs w:val="18"/>
          <w:color w:val="252525"/>
        </w:rPr>
        <w:t>, to be reclassified from accumulated other comprehensive income into retained earnings. This amendment pertains only to those items</w:t>
      </w:r>
      <w:r>
        <w:rPr>
          <w:rFonts w:ascii="Arial" w:cs="Arial" w:eastAsia="Arial" w:hAnsi="Arial"/>
          <w:sz w:val="18"/>
          <w:szCs w:val="18"/>
          <w:color w:val="000000"/>
        </w:rPr>
        <w:t xml:space="preserve"> </w:t>
      </w:r>
      <w:r>
        <w:rPr>
          <w:rFonts w:ascii="Arial" w:cs="Arial" w:eastAsia="Arial" w:hAnsi="Arial"/>
          <w:sz w:val="18"/>
          <w:szCs w:val="18"/>
          <w:color w:val="252525"/>
        </w:rPr>
        <w:t xml:space="preserve">impacted by the new tax law and will not apply to any future tax effects stranded in accumulated other comprehensive income. This standard is effective for fiscal years beginning after December 15, 2018, and allows for early adoption. </w:t>
      </w:r>
      <w:r>
        <w:rPr>
          <w:rFonts w:ascii="Arial" w:cs="Arial" w:eastAsia="Arial" w:hAnsi="Arial"/>
          <w:sz w:val="18"/>
          <w:szCs w:val="18"/>
          <w:color w:val="000000"/>
        </w:rPr>
        <w:t>The Company is currently evaluating the impact of</w:t>
      </w:r>
      <w:r>
        <w:rPr>
          <w:rFonts w:ascii="Arial" w:cs="Arial" w:eastAsia="Arial" w:hAnsi="Arial"/>
          <w:sz w:val="18"/>
          <w:szCs w:val="18"/>
          <w:color w:val="252525"/>
        </w:rPr>
        <w:t xml:space="preserve"> </w:t>
      </w:r>
      <w:r>
        <w:rPr>
          <w:rFonts w:ascii="Arial" w:cs="Arial" w:eastAsia="Arial" w:hAnsi="Arial"/>
          <w:sz w:val="18"/>
          <w:szCs w:val="18"/>
          <w:color w:val="000000"/>
        </w:rPr>
        <w:t>ASU No. 2018-02 on its financial position, results of operations and liquidity.</w:t>
      </w:r>
    </w:p>
    <w:p>
      <w:pPr>
        <w:spacing w:after="0" w:line="16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252525"/>
        </w:rPr>
        <w:t>In January 2017, the FASB issued ASU No. 2017-04, “Intangibles and Other (Topic 350): Simplifying the Test for Goodwill Impairment</w:t>
      </w:r>
      <w:r>
        <w:rPr>
          <w:rFonts w:ascii="Arial" w:cs="Arial" w:eastAsia="Arial" w:hAnsi="Arial"/>
          <w:sz w:val="18"/>
          <w:szCs w:val="18"/>
          <w:i w:val="1"/>
          <w:iCs w:val="1"/>
          <w:color w:val="252525"/>
        </w:rPr>
        <w:t>”</w:t>
      </w:r>
      <w:r>
        <w:rPr>
          <w:rFonts w:ascii="Arial" w:cs="Arial" w:eastAsia="Arial" w:hAnsi="Arial"/>
          <w:sz w:val="18"/>
          <w:szCs w:val="18"/>
          <w:color w:val="252525"/>
        </w:rPr>
        <w:t>, which eliminates the requirement to calculate the implied fair value of goodwill, but rather requires an entity to record an impairment charge based on the excess of a reporting unit’s carrying value over its fair value. This amendment is effective for annual or interim</w:t>
      </w:r>
    </w:p>
    <w:p>
      <w:pPr>
        <w:sectPr>
          <w:pgSz w:w="11900" w:h="16838" w:orient="portrait"/>
          <w:cols w:equalWidth="0" w:num="1">
            <w:col w:w="11420"/>
          </w:cols>
          <w:pgMar w:left="240" w:top="122" w:right="239" w:bottom="0" w:gutter="0" w:footer="0" w:header="0"/>
        </w:sectPr>
      </w:pPr>
    </w:p>
    <w:bookmarkStart w:id="5" w:name="page6"/>
    <w:bookmarkEnd w:id="5"/>
    <w:p>
      <w:pPr>
        <w:jc w:val="both"/>
        <w:spacing w:after="0" w:line="262" w:lineRule="auto"/>
        <w:rPr>
          <w:sz w:val="20"/>
          <w:szCs w:val="20"/>
          <w:color w:val="auto"/>
        </w:rPr>
      </w:pPr>
      <w:r>
        <w:rPr>
          <w:rFonts w:ascii="Arial" w:cs="Arial" w:eastAsia="Arial" w:hAnsi="Arial"/>
          <w:sz w:val="20"/>
          <w:szCs w:val="20"/>
          <w:color w:val="252525"/>
        </w:rPr>
        <w:t xml:space="preserve">goodwill impairment tests in fiscal years beginning after December 15, 2019. Early adoption is permitted. </w:t>
      </w:r>
      <w:r>
        <w:rPr>
          <w:rFonts w:ascii="Arial" w:cs="Arial" w:eastAsia="Arial" w:hAnsi="Arial"/>
          <w:sz w:val="20"/>
          <w:szCs w:val="20"/>
          <w:color w:val="000000"/>
        </w:rPr>
        <w:t>The Company is currently evaluating</w:t>
      </w:r>
      <w:r>
        <w:rPr>
          <w:rFonts w:ascii="Arial" w:cs="Arial" w:eastAsia="Arial" w:hAnsi="Arial"/>
          <w:sz w:val="20"/>
          <w:szCs w:val="20"/>
          <w:color w:val="252525"/>
        </w:rPr>
        <w:t xml:space="preserve"> </w:t>
      </w:r>
      <w:r>
        <w:rPr>
          <w:rFonts w:ascii="Arial" w:cs="Arial" w:eastAsia="Arial" w:hAnsi="Arial"/>
          <w:sz w:val="20"/>
          <w:szCs w:val="20"/>
          <w:color w:val="000000"/>
        </w:rPr>
        <w:t>the impact of ASU No. 2017-04 on its financial position, results of operations and liquidity.</w:t>
      </w:r>
    </w:p>
    <w:p>
      <w:pPr>
        <w:spacing w:after="0" w:line="17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In June 2016, the FASB issued ASU No. 2016-13, “Financial Instruments - Credit Losses (Topic 326): Measurement of Credit Losses on Financial Instruments”. The accounting standard changes the methodology for measuring credit losses on financial instruments and the timing when such losses are recorded. ASU No. 2016-13 is effective for fiscal years, and interim periods within those years, beginning after December 15, 2019. Early adoption is permitted for fiscal years, and interim periods within those years, beginning after December 15, 2018. The Company is currently evaluating the impact of ASU No. 2016-13 on its financial position, results of operations and liquidity.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February 2016, the FASB issued ASU No. 2016-02, “Leases (Topic 842)”. This update is intended to increase transparency and comparability among organizations by recognizing lease assets and lease liabilities on the balance sheet and disclosing key information about leasing arrangements. This update is effective for annual and interim reporting periods beginning after December 15, 2018, including interim periods within those fiscal years. Early adoption is permitted. The Company is currently evaluating the impact of ASU No. 2016-02 on its financial position, results of operations and liquidity.</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Recently adopted accounting pronouncements</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252525"/>
        </w:rPr>
        <w:t xml:space="preserve">In May 2017, the Financial Accounting Standards Board (the “FASB”) issued Accounting Standards Update (“ASU”) No. 2017-09, “Compensation–Stock Compensation (Topic 718): Scope of Modification Accounting”, clarifying when a change to the terms or conditions of a share-based payment award must be accounted for as a modification. The new guidance requires modification accounting if the fair value, vesting condition or the classification of the award is not the same immediately before and after a change to the terms and conditions of the award. The new guidance was effective for the Company on a prospective basis beginning on January 1, 2018, with early adoption permitted. </w:t>
      </w:r>
      <w:r>
        <w:rPr>
          <w:rFonts w:ascii="Arial" w:cs="Arial" w:eastAsia="Arial" w:hAnsi="Arial"/>
          <w:sz w:val="18"/>
          <w:szCs w:val="18"/>
          <w:color w:val="000000"/>
        </w:rPr>
        <w:t>The adoption of ASU No. 2017-09 did not have a material impact on the Company’s financial position, results of operations and liquidity.</w:t>
      </w:r>
    </w:p>
    <w:p>
      <w:pPr>
        <w:spacing w:after="0" w:line="1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252525"/>
        </w:rPr>
        <w:t>In January 2017, the FASB issued ASU No. 2017-01</w:t>
      </w:r>
      <w:r>
        <w:rPr>
          <w:rFonts w:ascii="Arial" w:cs="Arial" w:eastAsia="Arial" w:hAnsi="Arial"/>
          <w:sz w:val="20"/>
          <w:szCs w:val="20"/>
          <w:i w:val="1"/>
          <w:iCs w:val="1"/>
          <w:color w:val="252525"/>
        </w:rPr>
        <w:t>, “</w:t>
      </w:r>
      <w:r>
        <w:rPr>
          <w:rFonts w:ascii="Arial" w:cs="Arial" w:eastAsia="Arial" w:hAnsi="Arial"/>
          <w:sz w:val="20"/>
          <w:szCs w:val="20"/>
          <w:color w:val="252525"/>
        </w:rPr>
        <w:t>Business Combinations (Topic 805): Clarifying the Definition of a Business</w:t>
      </w:r>
      <w:r>
        <w:rPr>
          <w:rFonts w:ascii="Arial" w:cs="Arial" w:eastAsia="Arial" w:hAnsi="Arial"/>
          <w:sz w:val="20"/>
          <w:szCs w:val="20"/>
          <w:i w:val="1"/>
          <w:iCs w:val="1"/>
          <w:color w:val="252525"/>
        </w:rPr>
        <w:t>”</w:t>
      </w:r>
      <w:r>
        <w:rPr>
          <w:rFonts w:ascii="Arial" w:cs="Arial" w:eastAsia="Arial" w:hAnsi="Arial"/>
          <w:sz w:val="20"/>
          <w:szCs w:val="20"/>
          <w:color w:val="252525"/>
        </w:rPr>
        <w:t xml:space="preserve">, which clarifies the definition of a business with the objective of adding guidance to assist entities with evaluating whether transactions should be accounted for as acquisitions (or disposals) of assets or businesses. This amendment was effective for fiscal years beginning after December 15, 2017, and interim periods within those fiscal years. </w:t>
      </w:r>
      <w:r>
        <w:rPr>
          <w:rFonts w:ascii="Arial" w:cs="Arial" w:eastAsia="Arial" w:hAnsi="Arial"/>
          <w:sz w:val="20"/>
          <w:szCs w:val="20"/>
          <w:color w:val="000000"/>
        </w:rPr>
        <w:t>The adoption of ASU No. 2017-01 did not have a material impact on the</w:t>
      </w:r>
      <w:r>
        <w:rPr>
          <w:rFonts w:ascii="Arial" w:cs="Arial" w:eastAsia="Arial" w:hAnsi="Arial"/>
          <w:sz w:val="20"/>
          <w:szCs w:val="20"/>
          <w:color w:val="252525"/>
        </w:rPr>
        <w:t xml:space="preserve"> </w:t>
      </w:r>
      <w:r>
        <w:rPr>
          <w:rFonts w:ascii="Arial" w:cs="Arial" w:eastAsia="Arial" w:hAnsi="Arial"/>
          <w:sz w:val="20"/>
          <w:szCs w:val="20"/>
          <w:color w:val="000000"/>
        </w:rPr>
        <w:t>Company’s financial position, results of operations and liquidity.</w:t>
      </w:r>
    </w:p>
    <w:p>
      <w:pPr>
        <w:spacing w:after="0" w:line="19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252525"/>
        </w:rPr>
        <w:t xml:space="preserve">In October 2016, the FASB issued ASU No. 2016-16, “Income Taxes (Topic 740): Intra-Entity Transfers of Assets Other Than Inventory”, in an effort to improve the accounting for the income tax consequences of intra-entity transfers of assets other than inventory. Current GAAP prohibits the recognition of current and deferred income taxes for an intra-entity asset transfer until the asset has been sold to an outside party. FASB ASU No. 2016-16 establishes the requirement that an entity recognizes the income tax consequences of an intra-entity transfer of an asset other than inventory when the transfer occurs. ASU No. 2016-16 was effective for financial statements issued for annual periods beginning after December 15, 2017 and interim periods within those annual periods. </w:t>
      </w:r>
      <w:r>
        <w:rPr>
          <w:rFonts w:ascii="Arial" w:cs="Arial" w:eastAsia="Arial" w:hAnsi="Arial"/>
          <w:sz w:val="18"/>
          <w:szCs w:val="18"/>
          <w:color w:val="000000"/>
        </w:rPr>
        <w:t>The Company adopted ASU No. 2016-16 effective</w:t>
      </w:r>
      <w:r>
        <w:rPr>
          <w:rFonts w:ascii="Arial" w:cs="Arial" w:eastAsia="Arial" w:hAnsi="Arial"/>
          <w:sz w:val="18"/>
          <w:szCs w:val="18"/>
          <w:color w:val="252525"/>
        </w:rPr>
        <w:t xml:space="preserve"> </w:t>
      </w:r>
      <w:r>
        <w:rPr>
          <w:rFonts w:ascii="Arial" w:cs="Arial" w:eastAsia="Arial" w:hAnsi="Arial"/>
          <w:sz w:val="18"/>
          <w:szCs w:val="18"/>
          <w:color w:val="000000"/>
        </w:rPr>
        <w:t>January 1, 2018 on a modified retrospective basis, resulting in a $6.6 million reclassification of the unrecognized income tax effects related to assets transfers that occurred prior to the adoption from deferred income taxes to opening retained earnings.</w:t>
      </w:r>
    </w:p>
    <w:p>
      <w:pPr>
        <w:spacing w:after="0" w:line="16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August 2016, the FASB issued ASU No. 2016-15, “Statement of Cash Flows (Topic 230)”. The new guidance is intended to reduce diversity in practice in how certain transactions are classified in the statement of cash flows. ASU No. 2016-15 is effective for fiscal years, and interim periods within those years, beginning after December 15, 2017. The guidance requires application using a retrospective transition method. The adoption of ASU No. 2016-15 did not have a material impact on the Company’s financial position, results of operations and liquidity.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In May 2014, the FASB issued ASU No. 2014-09, “Revenue from Contracts with Customers (Topic 606)”, which superseded previous revenue recognition guidance. ASU No. 2014-09 and its amendments were included in Accounting Standards Codification (“ASC”) 606 “Revenue from Contracts with Customers”. ASC 606 requires that a company recognize revenue at an amount that reflects the consideration to which the company expects to be entitled in exchange for transferring goods or services to a customer. The Company adopted ASC 606 effective January 1, 2018, using the modified retrospective approach, with no impact to the opening retained earnings. Results for periods beginning on or after January 1, 2018 are presented under ASC 606, while prior periods are not adjusted and continue to be reported in accordance with the prior accounting guidance under ASC 605 “Revenue Recognition”. See Note 3.</w:t>
      </w:r>
    </w:p>
    <w:p>
      <w:pPr>
        <w:spacing w:after="0" w:line="169" w:lineRule="exact"/>
        <w:rPr>
          <w:sz w:val="20"/>
          <w:szCs w:val="20"/>
          <w:color w:val="auto"/>
        </w:rPr>
      </w:pPr>
    </w:p>
    <w:p>
      <w:pPr>
        <w:ind w:left="640" w:hanging="632"/>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REVENUE RECOGNITION</w:t>
      </w:r>
    </w:p>
    <w:p>
      <w:pPr>
        <w:sectPr>
          <w:pgSz w:w="11900" w:h="16838" w:orient="portrait"/>
          <w:cols w:equalWidth="0" w:num="1">
            <w:col w:w="11420"/>
          </w:cols>
          <w:pgMar w:left="240" w:top="121" w:right="239" w:bottom="0" w:gutter="0" w:footer="0" w:header="0"/>
        </w:sectPr>
      </w:pPr>
    </w:p>
    <w:bookmarkStart w:id="6" w:name="page7"/>
    <w:bookmarkEnd w:id="6"/>
    <w:p>
      <w:pPr>
        <w:jc w:val="both"/>
        <w:ind w:firstLine="648"/>
        <w:spacing w:after="0" w:line="275" w:lineRule="auto"/>
        <w:rPr>
          <w:sz w:val="20"/>
          <w:szCs w:val="20"/>
          <w:color w:val="auto"/>
        </w:rPr>
      </w:pPr>
      <w:r>
        <w:rPr>
          <w:rFonts w:ascii="Arial" w:cs="Arial" w:eastAsia="Arial" w:hAnsi="Arial"/>
          <w:sz w:val="18"/>
          <w:szCs w:val="18"/>
          <w:color w:val="auto"/>
        </w:rPr>
        <w:t>The Company currently has three operating and reportable segments, (i) Monster Energy® Drinks segment (“Monster Energy® Drinks”), which is comprised of the Company’s Monster Energy® drinks, Monster Hydro® energy drinks and Mutant® Super Soda drinks,</w:t>
      </w:r>
    </w:p>
    <w:p>
      <w:pPr>
        <w:spacing w:after="0" w:line="1" w:lineRule="exact"/>
        <w:rPr>
          <w:sz w:val="20"/>
          <w:szCs w:val="20"/>
          <w:color w:val="auto"/>
        </w:rPr>
      </w:pPr>
    </w:p>
    <w:p>
      <w:pPr>
        <w:jc w:val="both"/>
        <w:ind w:firstLine="8"/>
        <w:spacing w:after="0" w:line="241" w:lineRule="auto"/>
        <w:tabs>
          <w:tab w:leader="none" w:pos="324" w:val="left"/>
        </w:tabs>
        <w:numPr>
          <w:ilvl w:val="0"/>
          <w:numId w:val="4"/>
        </w:numPr>
        <w:rPr>
          <w:rFonts w:ascii="Arial" w:cs="Arial" w:eastAsia="Arial" w:hAnsi="Arial"/>
          <w:sz w:val="20"/>
          <w:szCs w:val="20"/>
          <w:color w:val="auto"/>
        </w:rPr>
      </w:pPr>
      <w:r>
        <w:rPr>
          <w:rFonts w:ascii="Arial" w:cs="Arial" w:eastAsia="Arial" w:hAnsi="Arial"/>
          <w:sz w:val="20"/>
          <w:szCs w:val="20"/>
          <w:color w:val="auto"/>
        </w:rPr>
        <w:t>Strategic Brands segment (“Strategic Brands”), which is comprised of the various energy drink brands acquired from The Coca-Cola Company (“TCCC”) in 2015, and (iii) Other segment (“Other”), which is comprised of certain products sold by American Fruits &amp; Flavors LLC, a wholly-owned subsidiary of the Company, to independent third-party customers.</w:t>
      </w:r>
    </w:p>
    <w:p>
      <w:pPr>
        <w:spacing w:after="0" w:line="19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Company’s Monster Energy® Drinks segment generates net operating revenues by selling ready-to-drink packaged energy drinks primarily to bottlers and full service beverage distributors. In some cases, the Company sells directly to retail grocery and specialty chains, wholesalers, club stores, mass merchandisers, convenience chains, drug stores, food service customers and the military.</w:t>
      </w:r>
    </w:p>
    <w:p>
      <w:pPr>
        <w:spacing w:after="0" w:line="1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to other bottlers and full service distributors and to retail grocery and specialty chains, wholesalers, club stores, mass merchandisers, convenience chains, food service customers, drug stores and the military. To a lesser extent, our Strategic Brands segment generates net operating revenues by selling certain ready-to-drink packaged energy drinks to bottlers and full service beverage distributors.</w:t>
      </w:r>
    </w:p>
    <w:p>
      <w:pPr>
        <w:spacing w:after="0" w:line="16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The majority of the Company’s revenue is recognized when it satisfies a single performance obligation by transferring control of its products to a customer. Control is generally transferred when the Company’s products are either shipped or delivered based on the terms contained within the underlying contracts or agreements. Certain of the Company’s bottlers/distributors may also perform a separate function as a co-packer on the Company’s behalf. In such cases, control of the Company’s products passes to such bottlers/distributors when they notify the Company that they have taken possession or transferred the relevant portion of the Company’s finished goods. The Company’s general payment terms are short-term in duration. The Company does not have significant financing components or payment terms. The Company did not have any material unsatisfied performance obligations as of March 31, 2018 or December 31, 2017.</w:t>
      </w:r>
    </w:p>
    <w:p>
      <w:pPr>
        <w:spacing w:after="0" w:line="16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Company excludes from revenues all taxes assessed by a governmental authority that are imposed on the sale of its products and collected from customers.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Distribution expenses to transport the Company’s products, where applicable, and warehousing expense after manufacture are accounted for within operating expenses.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There were no changes to the Company’s accounting for variable consideration under ASC 606. Promotional and other allowances (variable consideration) recorded as a reduction to net sales, primarily include consideration given to the Company’s bottlers/distributors or retail customers including, but not limited to the following:</w:t>
      </w:r>
    </w:p>
    <w:p>
      <w:pPr>
        <w:spacing w:after="0" w:line="186" w:lineRule="exact"/>
        <w:rPr>
          <w:sz w:val="20"/>
          <w:szCs w:val="20"/>
          <w:color w:val="auto"/>
        </w:rPr>
      </w:pPr>
    </w:p>
    <w:p>
      <w:pPr>
        <w:ind w:left="1380" w:hanging="400"/>
        <w:spacing w:after="0"/>
        <w:tabs>
          <w:tab w:leader="none" w:pos="1380" w:val="left"/>
        </w:tabs>
        <w:numPr>
          <w:ilvl w:val="0"/>
          <w:numId w:val="5"/>
        </w:numPr>
        <w:rPr>
          <w:rFonts w:ascii="Arial" w:cs="Arial" w:eastAsia="Arial" w:hAnsi="Arial"/>
          <w:sz w:val="20"/>
          <w:szCs w:val="20"/>
          <w:color w:val="auto"/>
        </w:rPr>
      </w:pPr>
      <w:r>
        <w:rPr>
          <w:rFonts w:ascii="Arial" w:cs="Arial" w:eastAsia="Arial" w:hAnsi="Arial"/>
          <w:sz w:val="20"/>
          <w:szCs w:val="20"/>
          <w:color w:val="auto"/>
        </w:rPr>
        <w:t>discounts granted off list prices to support price promotions to end-consumers by retailers;</w:t>
      </w:r>
    </w:p>
    <w:p>
      <w:pPr>
        <w:spacing w:after="0" w:line="15" w:lineRule="exact"/>
        <w:rPr>
          <w:rFonts w:ascii="Arial" w:cs="Arial" w:eastAsia="Arial" w:hAnsi="Arial"/>
          <w:sz w:val="20"/>
          <w:szCs w:val="20"/>
          <w:color w:val="auto"/>
        </w:rPr>
      </w:pPr>
    </w:p>
    <w:p>
      <w:pPr>
        <w:ind w:left="1380" w:right="380" w:hanging="400"/>
        <w:spacing w:after="0" w:line="239" w:lineRule="auto"/>
        <w:tabs>
          <w:tab w:leader="none" w:pos="138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reimbursements given to the Company’s bottlers/distributors for agreed portions of their promotional spend with retailers, including slotting, shelf space allowances and other fees for both new and existing products;</w:t>
      </w:r>
    </w:p>
    <w:p>
      <w:pPr>
        <w:spacing w:after="0" w:line="1" w:lineRule="exact"/>
        <w:rPr>
          <w:rFonts w:ascii="Arial" w:cs="Arial" w:eastAsia="Arial" w:hAnsi="Arial"/>
          <w:sz w:val="20"/>
          <w:szCs w:val="20"/>
          <w:color w:val="auto"/>
        </w:rPr>
      </w:pPr>
    </w:p>
    <w:p>
      <w:pPr>
        <w:ind w:left="1380" w:right="900" w:hanging="400"/>
        <w:spacing w:after="0" w:line="239" w:lineRule="auto"/>
        <w:tabs>
          <w:tab w:leader="none" w:pos="138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Company’s agreed share of fees given to bottlers/distributors and/or directly to retailers for advertising, in-store marketing and promotional activities;</w:t>
      </w:r>
    </w:p>
    <w:p>
      <w:pPr>
        <w:spacing w:after="0" w:line="1" w:lineRule="exact"/>
        <w:rPr>
          <w:rFonts w:ascii="Arial" w:cs="Arial" w:eastAsia="Arial" w:hAnsi="Arial"/>
          <w:sz w:val="20"/>
          <w:szCs w:val="20"/>
          <w:color w:val="auto"/>
        </w:rPr>
      </w:pPr>
    </w:p>
    <w:p>
      <w:pPr>
        <w:ind w:left="1380" w:hanging="400"/>
        <w:spacing w:after="0"/>
        <w:tabs>
          <w:tab w:leader="none" w:pos="138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Company’s agreed share of slotting, shelf space allowances and other fees given directly to retailers;</w:t>
      </w:r>
    </w:p>
    <w:p>
      <w:pPr>
        <w:ind w:left="1380" w:right="500" w:hanging="400"/>
        <w:spacing w:after="0" w:line="239" w:lineRule="auto"/>
        <w:tabs>
          <w:tab w:leader="none" w:pos="1380" w:val="left"/>
        </w:tabs>
        <w:numPr>
          <w:ilvl w:val="0"/>
          <w:numId w:val="5"/>
        </w:numPr>
        <w:rPr>
          <w:rFonts w:ascii="Arial" w:cs="Arial" w:eastAsia="Arial" w:hAnsi="Arial"/>
          <w:sz w:val="20"/>
          <w:szCs w:val="20"/>
          <w:color w:val="auto"/>
        </w:rPr>
      </w:pPr>
      <w:r>
        <w:rPr>
          <w:rFonts w:ascii="Arial" w:cs="Arial" w:eastAsia="Arial" w:hAnsi="Arial"/>
          <w:sz w:val="20"/>
          <w:szCs w:val="20"/>
          <w:color w:val="auto"/>
        </w:rPr>
        <w:t>incentives given to the Company’s bottlers/distributors and/or retailers for achieving or exceeding certain predetermined sales goals;</w:t>
      </w:r>
    </w:p>
    <w:p>
      <w:pPr>
        <w:spacing w:after="0" w:line="1" w:lineRule="exact"/>
        <w:rPr>
          <w:rFonts w:ascii="Arial" w:cs="Arial" w:eastAsia="Arial" w:hAnsi="Arial"/>
          <w:sz w:val="20"/>
          <w:szCs w:val="20"/>
          <w:color w:val="auto"/>
        </w:rPr>
      </w:pPr>
    </w:p>
    <w:p>
      <w:pPr>
        <w:ind w:left="1380" w:hanging="400"/>
        <w:spacing w:after="0"/>
        <w:tabs>
          <w:tab w:leader="none" w:pos="1380" w:val="left"/>
        </w:tabs>
        <w:numPr>
          <w:ilvl w:val="0"/>
          <w:numId w:val="5"/>
        </w:numPr>
        <w:rPr>
          <w:rFonts w:ascii="Arial" w:cs="Arial" w:eastAsia="Arial" w:hAnsi="Arial"/>
          <w:sz w:val="20"/>
          <w:szCs w:val="20"/>
          <w:color w:val="auto"/>
        </w:rPr>
      </w:pPr>
      <w:r>
        <w:rPr>
          <w:rFonts w:ascii="Arial" w:cs="Arial" w:eastAsia="Arial" w:hAnsi="Arial"/>
          <w:sz w:val="20"/>
          <w:szCs w:val="20"/>
          <w:color w:val="auto"/>
        </w:rPr>
        <w:t>discounted or free products;</w:t>
      </w:r>
    </w:p>
    <w:p>
      <w:pPr>
        <w:ind w:left="1380" w:right="900" w:hanging="400"/>
        <w:spacing w:after="0" w:line="239" w:lineRule="auto"/>
        <w:tabs>
          <w:tab w:leader="none" w:pos="1380" w:val="left"/>
        </w:tabs>
        <w:numPr>
          <w:ilvl w:val="0"/>
          <w:numId w:val="5"/>
        </w:numPr>
        <w:rPr>
          <w:rFonts w:ascii="Arial" w:cs="Arial" w:eastAsia="Arial" w:hAnsi="Arial"/>
          <w:sz w:val="20"/>
          <w:szCs w:val="20"/>
          <w:color w:val="auto"/>
        </w:rPr>
      </w:pPr>
      <w:r>
        <w:rPr>
          <w:rFonts w:ascii="Arial" w:cs="Arial" w:eastAsia="Arial" w:hAnsi="Arial"/>
          <w:sz w:val="20"/>
          <w:szCs w:val="20"/>
          <w:color w:val="auto"/>
        </w:rPr>
        <w:t>contractual fees given to the Company’s bottlers/distributors related to sales made by the Company direct to certain customers that fall within the bottlers’/distributors’ sales territories; and</w:t>
      </w:r>
    </w:p>
    <w:p>
      <w:pPr>
        <w:spacing w:after="0" w:line="1" w:lineRule="exact"/>
        <w:rPr>
          <w:rFonts w:ascii="Arial" w:cs="Arial" w:eastAsia="Arial" w:hAnsi="Arial"/>
          <w:sz w:val="20"/>
          <w:szCs w:val="20"/>
          <w:color w:val="auto"/>
        </w:rPr>
      </w:pPr>
    </w:p>
    <w:p>
      <w:pPr>
        <w:ind w:left="1380" w:hanging="400"/>
        <w:spacing w:after="0"/>
        <w:tabs>
          <w:tab w:leader="none" w:pos="1380" w:val="left"/>
        </w:tabs>
        <w:numPr>
          <w:ilvl w:val="0"/>
          <w:numId w:val="5"/>
        </w:numPr>
        <w:rPr>
          <w:rFonts w:ascii="Arial" w:cs="Arial" w:eastAsia="Arial" w:hAnsi="Arial"/>
          <w:sz w:val="20"/>
          <w:szCs w:val="20"/>
          <w:color w:val="auto"/>
        </w:rPr>
      </w:pPr>
      <w:r>
        <w:rPr>
          <w:rFonts w:ascii="Arial" w:cs="Arial" w:eastAsia="Arial" w:hAnsi="Arial"/>
          <w:sz w:val="20"/>
          <w:szCs w:val="20"/>
          <w:color w:val="auto"/>
        </w:rPr>
        <w:t>certain commissions paid based on sales to the Company’s bottlers/distributors.</w:t>
      </w:r>
    </w:p>
    <w:p>
      <w:pPr>
        <w:spacing w:after="0" w:line="20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The Company’s promotional allowance programs with its bottlers/distributors and/or retailers are executed through separate agreements in the ordinary course of business. These agreements generally provide for one or more of the arrangements described above and are of varying durations, ranging from one week to one year. The Company’s promotional and other allowances are calculated based on various programs with bottlers/distributors and retail customers, and accruals are established during the year for its anticipated liabilities. These accruals are based on agreed upon terms as well as the Company’s historical experience with similar programs and require management’s judgment with respect to estimating consumer participation and/or distributor and retail customer performance levels. Differences between such estimated expense and actual expenses for promotional and other allowance costs have historically been insignificant and are recognized in earnings in the period such differences are determined.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Upon adoption of ASC 606, commissions paid to TCCC based on sales to certain of the Company’s bottlers/distributors who are</w:t>
      </w:r>
    </w:p>
    <w:p>
      <w:pPr>
        <w:spacing w:after="0" w:line="27" w:lineRule="exact"/>
        <w:rPr>
          <w:sz w:val="20"/>
          <w:szCs w:val="20"/>
          <w:color w:val="auto"/>
        </w:rPr>
      </w:pPr>
    </w:p>
    <w:p>
      <w:pPr>
        <w:ind w:right="20" w:firstLine="8"/>
        <w:spacing w:after="0" w:line="244" w:lineRule="auto"/>
        <w:tabs>
          <w:tab w:leader="none" w:pos="251" w:val="left"/>
        </w:tabs>
        <w:numPr>
          <w:ilvl w:val="0"/>
          <w:numId w:val="6"/>
        </w:numPr>
        <w:rPr>
          <w:rFonts w:ascii="Arial" w:cs="Arial" w:eastAsia="Arial" w:hAnsi="Arial"/>
          <w:sz w:val="20"/>
          <w:szCs w:val="20"/>
          <w:color w:val="auto"/>
        </w:rPr>
      </w:pPr>
      <w:r>
        <w:rPr>
          <w:rFonts w:ascii="Arial" w:cs="Arial" w:eastAsia="Arial" w:hAnsi="Arial"/>
          <w:sz w:val="20"/>
          <w:szCs w:val="20"/>
          <w:color w:val="auto"/>
        </w:rPr>
        <w:t>consolidated subsidiaries of TCCC (the “TCCC Subsidiaries”), (ii) accounted for under the equity method by TCCC (the “TCCC Related Parties”) and (iii) those not included in (i) or (ii) (the “TCCC Independent Bottlers”) are accounted for as follows:</w:t>
      </w:r>
    </w:p>
    <w:p>
      <w:pPr>
        <w:spacing w:after="0" w:line="19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Three-Months Ended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14605</wp:posOffset>
            </wp:positionV>
            <wp:extent cx="3310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ectPr>
          <w:pgSz w:w="11900" w:h="16838" w:orient="portrait"/>
          <w:cols w:equalWidth="0" w:num="1">
            <w:col w:w="11420"/>
          </w:cols>
          <w:pgMar w:left="240" w:top="339" w:right="239" w:bottom="0" w:gutter="0" w:footer="0" w:header="0"/>
        </w:sectPr>
      </w:pPr>
    </w:p>
    <w:bookmarkStart w:id="7" w:name="page8"/>
    <w:bookmarkEnd w:id="7"/>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Commissions Related To:</w:t>
            </w:r>
          </w:p>
        </w:tc>
        <w:tc>
          <w:tcPr>
            <w:tcW w:w="2480" w:type="dxa"/>
            <w:vAlign w:val="bottom"/>
          </w:tcPr>
          <w:p>
            <w:pPr>
              <w:ind w:left="780"/>
              <w:spacing w:after="0"/>
              <w:rPr>
                <w:sz w:val="20"/>
                <w:szCs w:val="20"/>
                <w:color w:val="auto"/>
              </w:rPr>
            </w:pPr>
            <w:r>
              <w:rPr>
                <w:rFonts w:ascii="Arial" w:cs="Arial" w:eastAsia="Arial" w:hAnsi="Arial"/>
                <w:sz w:val="18"/>
                <w:szCs w:val="18"/>
                <w:color w:val="auto"/>
              </w:rPr>
              <w:t>As Reported</w:t>
            </w:r>
          </w:p>
        </w:tc>
        <w:tc>
          <w:tcPr>
            <w:tcW w:w="24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4"/>
              </w:rPr>
              <w:t>Without Adoption of</w:t>
            </w:r>
          </w:p>
        </w:tc>
        <w:tc>
          <w:tcPr>
            <w:tcW w:w="184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ASC 606</w:t>
            </w:r>
          </w:p>
        </w:tc>
        <w:tc>
          <w:tcPr>
            <w:tcW w:w="1840" w:type="dxa"/>
            <w:vAlign w:val="bottom"/>
          </w:tcPr>
          <w:p>
            <w:pPr>
              <w:spacing w:after="0"/>
              <w:rPr>
                <w:sz w:val="20"/>
                <w:szCs w:val="20"/>
                <w:color w:val="auto"/>
              </w:rPr>
            </w:pPr>
          </w:p>
        </w:tc>
      </w:tr>
      <w:tr>
        <w:trPr>
          <w:trHeight w:val="187"/>
        </w:trPr>
        <w:tc>
          <w:tcPr>
            <w:tcW w:w="1300" w:type="dxa"/>
            <w:vAlign w:val="bottom"/>
          </w:tcPr>
          <w:p>
            <w:pPr>
              <w:spacing w:after="0"/>
              <w:rPr>
                <w:sz w:val="16"/>
                <w:szCs w:val="16"/>
                <w:color w:val="auto"/>
              </w:rPr>
            </w:pPr>
          </w:p>
        </w:tc>
        <w:tc>
          <w:tcPr>
            <w:tcW w:w="2860" w:type="dxa"/>
            <w:vAlign w:val="bottom"/>
          </w:tcPr>
          <w:p>
            <w:pPr>
              <w:spacing w:after="0" w:line="187" w:lineRule="exact"/>
              <w:rPr>
                <w:sz w:val="20"/>
                <w:szCs w:val="20"/>
                <w:color w:val="auto"/>
              </w:rPr>
            </w:pPr>
            <w:r>
              <w:rPr>
                <w:rFonts w:ascii="Arial" w:cs="Arial" w:eastAsia="Arial" w:hAnsi="Arial"/>
                <w:sz w:val="19"/>
                <w:szCs w:val="19"/>
                <w:color w:val="auto"/>
              </w:rPr>
              <w:t>TCCC Subsidiaries</w:t>
            </w:r>
          </w:p>
        </w:tc>
        <w:tc>
          <w:tcPr>
            <w:tcW w:w="260" w:type="dxa"/>
            <w:vAlign w:val="bottom"/>
          </w:tcPr>
          <w:p>
            <w:pPr>
              <w:spacing w:after="0"/>
              <w:rPr>
                <w:sz w:val="16"/>
                <w:szCs w:val="16"/>
                <w:color w:val="auto"/>
              </w:rPr>
            </w:pPr>
          </w:p>
        </w:tc>
        <w:tc>
          <w:tcPr>
            <w:tcW w:w="2480" w:type="dxa"/>
            <w:vAlign w:val="bottom"/>
          </w:tcPr>
          <w:p>
            <w:pPr>
              <w:spacing w:after="0" w:line="187" w:lineRule="exact"/>
              <w:rPr>
                <w:sz w:val="20"/>
                <w:szCs w:val="20"/>
                <w:color w:val="auto"/>
              </w:rPr>
            </w:pPr>
            <w:r>
              <w:rPr>
                <w:rFonts w:ascii="Arial" w:cs="Arial" w:eastAsia="Arial" w:hAnsi="Arial"/>
                <w:sz w:val="19"/>
                <w:szCs w:val="19"/>
                <w:color w:val="auto"/>
              </w:rPr>
              <w:t>Reduction to net sales</w:t>
            </w:r>
          </w:p>
        </w:tc>
        <w:tc>
          <w:tcPr>
            <w:tcW w:w="240" w:type="dxa"/>
            <w:vAlign w:val="bottom"/>
          </w:tcPr>
          <w:p>
            <w:pPr>
              <w:spacing w:after="0"/>
              <w:rPr>
                <w:sz w:val="16"/>
                <w:szCs w:val="16"/>
                <w:color w:val="auto"/>
              </w:rPr>
            </w:pPr>
          </w:p>
        </w:tc>
        <w:tc>
          <w:tcPr>
            <w:tcW w:w="2480" w:type="dxa"/>
            <w:vAlign w:val="bottom"/>
          </w:tcPr>
          <w:p>
            <w:pPr>
              <w:spacing w:after="0" w:line="187" w:lineRule="exact"/>
              <w:rPr>
                <w:sz w:val="20"/>
                <w:szCs w:val="20"/>
                <w:color w:val="auto"/>
              </w:rPr>
            </w:pPr>
            <w:r>
              <w:rPr>
                <w:rFonts w:ascii="Arial" w:cs="Arial" w:eastAsia="Arial" w:hAnsi="Arial"/>
                <w:sz w:val="19"/>
                <w:szCs w:val="19"/>
                <w:color w:val="auto"/>
              </w:rPr>
              <w:t>Reduction to net sales</w:t>
            </w:r>
          </w:p>
        </w:tc>
        <w:tc>
          <w:tcPr>
            <w:tcW w:w="1840" w:type="dxa"/>
            <w:vAlign w:val="bottom"/>
          </w:tcPr>
          <w:p>
            <w:pPr>
              <w:spacing w:after="0"/>
              <w:rPr>
                <w:sz w:val="16"/>
                <w:szCs w:val="16"/>
                <w:color w:val="auto"/>
              </w:rPr>
            </w:pPr>
          </w:p>
        </w:tc>
      </w:tr>
      <w:tr>
        <w:trPr>
          <w:trHeight w:val="216"/>
        </w:trPr>
        <w:tc>
          <w:tcPr>
            <w:tcW w:w="1300" w:type="dxa"/>
            <w:vAlign w:val="bottom"/>
          </w:tcPr>
          <w:p>
            <w:pPr>
              <w:spacing w:after="0"/>
              <w:rPr>
                <w:sz w:val="18"/>
                <w:szCs w:val="18"/>
                <w:color w:val="auto"/>
              </w:rPr>
            </w:pPr>
          </w:p>
        </w:tc>
        <w:tc>
          <w:tcPr>
            <w:tcW w:w="3120" w:type="dxa"/>
            <w:vAlign w:val="bottom"/>
            <w:gridSpan w:val="2"/>
          </w:tcPr>
          <w:p>
            <w:pPr>
              <w:spacing w:after="0" w:line="216" w:lineRule="exact"/>
              <w:rPr>
                <w:sz w:val="20"/>
                <w:szCs w:val="20"/>
                <w:color w:val="auto"/>
              </w:rPr>
            </w:pPr>
            <w:r>
              <w:rPr>
                <w:rFonts w:ascii="Arial" w:cs="Arial" w:eastAsia="Arial" w:hAnsi="Arial"/>
                <w:sz w:val="19"/>
                <w:szCs w:val="19"/>
                <w:color w:val="auto"/>
              </w:rPr>
              <w:t>TCCC Related Parties</w:t>
            </w:r>
          </w:p>
        </w:tc>
        <w:tc>
          <w:tcPr>
            <w:tcW w:w="2480" w:type="dxa"/>
            <w:vAlign w:val="bottom"/>
          </w:tcPr>
          <w:p>
            <w:pPr>
              <w:spacing w:after="0" w:line="216" w:lineRule="exact"/>
              <w:rPr>
                <w:sz w:val="20"/>
                <w:szCs w:val="20"/>
                <w:color w:val="auto"/>
              </w:rPr>
            </w:pPr>
            <w:r>
              <w:rPr>
                <w:rFonts w:ascii="Arial" w:cs="Arial" w:eastAsia="Arial" w:hAnsi="Arial"/>
                <w:sz w:val="19"/>
                <w:szCs w:val="19"/>
                <w:color w:val="auto"/>
              </w:rPr>
              <w:t>Reduction to net sales</w:t>
            </w:r>
          </w:p>
        </w:tc>
        <w:tc>
          <w:tcPr>
            <w:tcW w:w="2720" w:type="dxa"/>
            <w:vAlign w:val="bottom"/>
            <w:gridSpan w:val="2"/>
          </w:tcPr>
          <w:p>
            <w:pPr>
              <w:ind w:left="240"/>
              <w:spacing w:after="0" w:line="216" w:lineRule="exact"/>
              <w:rPr>
                <w:sz w:val="20"/>
                <w:szCs w:val="20"/>
                <w:color w:val="auto"/>
              </w:rPr>
            </w:pPr>
            <w:r>
              <w:rPr>
                <w:rFonts w:ascii="Arial" w:cs="Arial" w:eastAsia="Arial" w:hAnsi="Arial"/>
                <w:sz w:val="19"/>
                <w:szCs w:val="19"/>
                <w:color w:val="auto"/>
              </w:rPr>
              <w:t>Operating expenes</w:t>
            </w:r>
          </w:p>
        </w:tc>
        <w:tc>
          <w:tcPr>
            <w:tcW w:w="1840" w:type="dxa"/>
            <w:vAlign w:val="bottom"/>
          </w:tcPr>
          <w:p>
            <w:pPr>
              <w:spacing w:after="0"/>
              <w:rPr>
                <w:sz w:val="18"/>
                <w:szCs w:val="18"/>
                <w:color w:val="auto"/>
              </w:rPr>
            </w:pPr>
          </w:p>
        </w:tc>
      </w:tr>
      <w:tr>
        <w:trPr>
          <w:trHeight w:val="240"/>
        </w:trPr>
        <w:tc>
          <w:tcPr>
            <w:tcW w:w="1300" w:type="dxa"/>
            <w:vAlign w:val="bottom"/>
          </w:tcPr>
          <w:p>
            <w:pPr>
              <w:spacing w:after="0"/>
              <w:rPr>
                <w:sz w:val="20"/>
                <w:szCs w:val="20"/>
                <w:color w:val="auto"/>
              </w:rPr>
            </w:pPr>
          </w:p>
        </w:tc>
        <w:tc>
          <w:tcPr>
            <w:tcW w:w="3120" w:type="dxa"/>
            <w:vAlign w:val="bottom"/>
            <w:gridSpan w:val="2"/>
          </w:tcPr>
          <w:p>
            <w:pPr>
              <w:spacing w:after="0"/>
              <w:rPr>
                <w:sz w:val="20"/>
                <w:szCs w:val="20"/>
                <w:color w:val="auto"/>
              </w:rPr>
            </w:pPr>
            <w:r>
              <w:rPr>
                <w:rFonts w:ascii="Arial" w:cs="Arial" w:eastAsia="Arial" w:hAnsi="Arial"/>
                <w:sz w:val="19"/>
                <w:szCs w:val="19"/>
                <w:color w:val="auto"/>
              </w:rPr>
              <w:t>TCCC Independent Bottlers</w:t>
            </w:r>
          </w:p>
        </w:tc>
        <w:tc>
          <w:tcPr>
            <w:tcW w:w="2480" w:type="dxa"/>
            <w:vAlign w:val="bottom"/>
          </w:tcPr>
          <w:p>
            <w:pPr>
              <w:spacing w:after="0"/>
              <w:rPr>
                <w:sz w:val="20"/>
                <w:szCs w:val="20"/>
                <w:color w:val="auto"/>
              </w:rPr>
            </w:pPr>
            <w:r>
              <w:rPr>
                <w:rFonts w:ascii="Arial" w:cs="Arial" w:eastAsia="Arial" w:hAnsi="Arial"/>
                <w:sz w:val="19"/>
                <w:szCs w:val="19"/>
                <w:color w:val="auto"/>
              </w:rPr>
              <w:t>Operating expenses</w:t>
            </w:r>
          </w:p>
        </w:tc>
        <w:tc>
          <w:tcPr>
            <w:tcW w:w="2720" w:type="dxa"/>
            <w:vAlign w:val="bottom"/>
            <w:gridSpan w:val="2"/>
          </w:tcPr>
          <w:p>
            <w:pPr>
              <w:ind w:left="240"/>
              <w:spacing w:after="0"/>
              <w:rPr>
                <w:sz w:val="20"/>
                <w:szCs w:val="20"/>
                <w:color w:val="auto"/>
              </w:rPr>
            </w:pPr>
            <w:r>
              <w:rPr>
                <w:rFonts w:ascii="Arial" w:cs="Arial" w:eastAsia="Arial" w:hAnsi="Arial"/>
                <w:sz w:val="19"/>
                <w:szCs w:val="19"/>
                <w:color w:val="auto"/>
              </w:rPr>
              <w:t>Operating expenes</w:t>
            </w:r>
          </w:p>
        </w:tc>
        <w:tc>
          <w:tcPr>
            <w:tcW w:w="1840" w:type="dxa"/>
            <w:vAlign w:val="bottom"/>
          </w:tcPr>
          <w:p>
            <w:pPr>
              <w:spacing w:after="0"/>
              <w:rPr>
                <w:sz w:val="20"/>
                <w:szCs w:val="20"/>
                <w:color w:val="auto"/>
              </w:rPr>
            </w:pPr>
          </w:p>
        </w:tc>
      </w:tr>
      <w:tr>
        <w:trPr>
          <w:trHeight w:val="430"/>
        </w:trPr>
        <w:tc>
          <w:tcPr>
            <w:tcW w:w="13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tcPr>
          <w:p>
            <w:pPr>
              <w:ind w:left="120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32"/>
        </w:trPr>
        <w:tc>
          <w:tcPr>
            <w:tcW w:w="1300" w:type="dxa"/>
            <w:vAlign w:val="bottom"/>
            <w:tcBorders>
              <w:bottom w:val="single" w:sz="8" w:color="808080"/>
            </w:tcBorders>
          </w:tcPr>
          <w:p>
            <w:pPr>
              <w:spacing w:after="0"/>
              <w:rPr>
                <w:sz w:val="11"/>
                <w:szCs w:val="11"/>
                <w:color w:val="auto"/>
              </w:rPr>
            </w:pPr>
          </w:p>
        </w:tc>
        <w:tc>
          <w:tcPr>
            <w:tcW w:w="28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4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480" w:type="dxa"/>
            <w:vAlign w:val="bottom"/>
            <w:tcBorders>
              <w:bottom w:val="single" w:sz="8" w:color="808080"/>
            </w:tcBorders>
          </w:tcPr>
          <w:p>
            <w:pPr>
              <w:spacing w:after="0"/>
              <w:rPr>
                <w:sz w:val="11"/>
                <w:szCs w:val="11"/>
                <w:color w:val="auto"/>
              </w:rPr>
            </w:pPr>
          </w:p>
        </w:tc>
        <w:tc>
          <w:tcPr>
            <w:tcW w:w="18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impact of the adoption of ASC 606 on the Company’s condensed consolidated statement of income for the three-months ended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March 31, 2018 was as follows:</w:t>
      </w:r>
    </w:p>
    <w:p>
      <w:pPr>
        <w:sectPr>
          <w:pgSz w:w="11900" w:h="16903" w:orient="portrait"/>
          <w:cols w:equalWidth="0" w:num="1">
            <w:col w:w="11460"/>
          </w:cols>
          <w:pgMar w:left="240" w:top="125" w:right="199" w:bottom="0" w:gutter="0" w:footer="0" w:header="0"/>
        </w:sectPr>
      </w:pP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300" w:type="dxa"/>
            <w:vAlign w:val="bottom"/>
            <w:gridSpan w:val="6"/>
          </w:tcPr>
          <w:p>
            <w:pPr>
              <w:jc w:val="center"/>
              <w:ind w:right="105"/>
              <w:spacing w:after="0"/>
              <w:rPr>
                <w:sz w:val="20"/>
                <w:szCs w:val="20"/>
                <w:color w:val="auto"/>
              </w:rPr>
            </w:pPr>
            <w:r>
              <w:rPr>
                <w:rFonts w:ascii="Arial" w:cs="Arial" w:eastAsia="Arial" w:hAnsi="Arial"/>
                <w:sz w:val="19"/>
                <w:szCs w:val="19"/>
                <w:color w:val="auto"/>
                <w:w w:val="90"/>
              </w:rPr>
              <w:t>Three-Months Ended March 31, 2018</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tcPr>
          <w:p>
            <w:pPr>
              <w:jc w:val="center"/>
              <w:ind w:right="85"/>
              <w:spacing w:after="0" w:line="216" w:lineRule="exact"/>
              <w:rPr>
                <w:sz w:val="20"/>
                <w:szCs w:val="20"/>
                <w:color w:val="auto"/>
              </w:rPr>
            </w:pPr>
            <w:r>
              <w:rPr>
                <w:rFonts w:ascii="Arial" w:cs="Arial" w:eastAsia="Arial" w:hAnsi="Arial"/>
                <w:sz w:val="19"/>
                <w:szCs w:val="19"/>
                <w:color w:val="auto"/>
                <w:w w:val="87"/>
              </w:rPr>
              <w:t>(Decrease)</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tcPr>
          <w:p>
            <w:pPr>
              <w:jc w:val="center"/>
              <w:ind w:right="85"/>
              <w:spacing w:after="0" w:line="216" w:lineRule="exact"/>
              <w:rPr>
                <w:sz w:val="20"/>
                <w:szCs w:val="20"/>
                <w:color w:val="auto"/>
              </w:rPr>
            </w:pPr>
            <w:r>
              <w:rPr>
                <w:rFonts w:ascii="Arial" w:cs="Arial" w:eastAsia="Arial" w:hAnsi="Arial"/>
                <w:sz w:val="19"/>
                <w:szCs w:val="19"/>
                <w:color w:val="auto"/>
                <w:w w:val="87"/>
              </w:rPr>
              <w:t>Increase due to</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center"/>
              <w:spacing w:after="0" w:line="216" w:lineRule="exact"/>
              <w:rPr>
                <w:sz w:val="20"/>
                <w:szCs w:val="20"/>
                <w:color w:val="auto"/>
              </w:rPr>
            </w:pPr>
            <w:r>
              <w:rPr>
                <w:rFonts w:ascii="Arial" w:cs="Arial" w:eastAsia="Arial" w:hAnsi="Arial"/>
                <w:sz w:val="19"/>
                <w:szCs w:val="19"/>
                <w:color w:val="auto"/>
                <w:w w:val="95"/>
              </w:rPr>
              <w:t>Without Adoption</w:t>
            </w:r>
          </w:p>
        </w:tc>
        <w:tc>
          <w:tcPr>
            <w:tcW w:w="1880" w:type="dxa"/>
            <w:vAlign w:val="bottom"/>
            <w:gridSpan w:val="2"/>
          </w:tcPr>
          <w:p>
            <w:pPr>
              <w:jc w:val="center"/>
              <w:ind w:left="205"/>
              <w:spacing w:after="0" w:line="216" w:lineRule="exact"/>
              <w:rPr>
                <w:sz w:val="20"/>
                <w:szCs w:val="20"/>
                <w:color w:val="auto"/>
              </w:rPr>
            </w:pPr>
            <w:r>
              <w:rPr>
                <w:rFonts w:ascii="Arial" w:cs="Arial" w:eastAsia="Arial" w:hAnsi="Arial"/>
                <w:sz w:val="19"/>
                <w:szCs w:val="19"/>
                <w:color w:val="auto"/>
                <w:w w:val="95"/>
              </w:rPr>
              <w:t>Adoption of ASC</w:t>
            </w:r>
          </w:p>
        </w:tc>
        <w:tc>
          <w:tcPr>
            <w:tcW w:w="0" w:type="dxa"/>
            <w:vAlign w:val="bottom"/>
          </w:tcPr>
          <w:p>
            <w:pPr>
              <w:spacing w:after="0"/>
              <w:rPr>
                <w:sz w:val="1"/>
                <w:szCs w:val="1"/>
                <w:color w:val="auto"/>
              </w:rPr>
            </w:pPr>
          </w:p>
        </w:tc>
      </w:tr>
      <w:tr>
        <w:trPr>
          <w:trHeight w:val="238"/>
        </w:trPr>
        <w:tc>
          <w:tcPr>
            <w:tcW w:w="4040" w:type="dxa"/>
            <w:vAlign w:val="bottom"/>
            <w:vMerge w:val="restart"/>
          </w:tcPr>
          <w:p>
            <w:pPr>
              <w:spacing w:after="0"/>
              <w:rPr>
                <w:sz w:val="20"/>
                <w:szCs w:val="20"/>
                <w:color w:val="auto"/>
              </w:rPr>
            </w:pPr>
            <w:r>
              <w:rPr>
                <w:rFonts w:ascii="Arial" w:cs="Arial" w:eastAsia="Arial" w:hAnsi="Arial"/>
                <w:sz w:val="19"/>
                <w:szCs w:val="19"/>
                <w:color w:val="auto"/>
              </w:rPr>
              <w:t>Net Sales</w:t>
            </w:r>
          </w:p>
        </w:tc>
        <w:tc>
          <w:tcPr>
            <w:tcW w:w="280" w:type="dxa"/>
            <w:vAlign w:val="bottom"/>
          </w:tcPr>
          <w:p>
            <w:pPr>
              <w:spacing w:after="0"/>
              <w:rPr>
                <w:sz w:val="20"/>
                <w:szCs w:val="20"/>
                <w:color w:val="auto"/>
              </w:rPr>
            </w:pPr>
          </w:p>
        </w:tc>
        <w:tc>
          <w:tcPr>
            <w:tcW w:w="1700" w:type="dxa"/>
            <w:vAlign w:val="bottom"/>
            <w:gridSpan w:val="2"/>
          </w:tcPr>
          <w:p>
            <w:pPr>
              <w:ind w:left="100"/>
              <w:spacing w:after="0"/>
              <w:rPr>
                <w:sz w:val="20"/>
                <w:szCs w:val="20"/>
                <w:color w:val="auto"/>
              </w:rPr>
            </w:pPr>
            <w:r>
              <w:rPr>
                <w:rFonts w:ascii="Arial" w:cs="Arial" w:eastAsia="Arial" w:hAnsi="Arial"/>
                <w:sz w:val="19"/>
                <w:szCs w:val="19"/>
                <w:color w:val="auto"/>
              </w:rPr>
              <w:t>As Reported</w:t>
            </w:r>
          </w:p>
        </w:tc>
        <w:tc>
          <w:tcPr>
            <w:tcW w:w="300" w:type="dxa"/>
            <w:vAlign w:val="bottom"/>
          </w:tcPr>
          <w:p>
            <w:pPr>
              <w:spacing w:after="0"/>
              <w:rPr>
                <w:sz w:val="20"/>
                <w:szCs w:val="20"/>
                <w:color w:val="auto"/>
              </w:rPr>
            </w:pPr>
          </w:p>
        </w:tc>
        <w:tc>
          <w:tcPr>
            <w:tcW w:w="1420" w:type="dxa"/>
            <w:vAlign w:val="bottom"/>
          </w:tcPr>
          <w:p>
            <w:pPr>
              <w:jc w:val="center"/>
              <w:ind w:right="225"/>
              <w:spacing w:after="0"/>
              <w:rPr>
                <w:sz w:val="20"/>
                <w:szCs w:val="20"/>
                <w:color w:val="auto"/>
              </w:rPr>
            </w:pPr>
            <w:r>
              <w:rPr>
                <w:rFonts w:ascii="Arial" w:cs="Arial" w:eastAsia="Arial" w:hAnsi="Arial"/>
                <w:sz w:val="19"/>
                <w:szCs w:val="19"/>
                <w:color w:val="auto"/>
                <w:w w:val="92"/>
              </w:rPr>
              <w:t>of ASC 606</w:t>
            </w:r>
          </w:p>
        </w:tc>
        <w:tc>
          <w:tcPr>
            <w:tcW w:w="480" w:type="dxa"/>
            <w:vAlign w:val="bottom"/>
          </w:tcPr>
          <w:p>
            <w:pPr>
              <w:spacing w:after="0"/>
              <w:rPr>
                <w:sz w:val="20"/>
                <w:szCs w:val="20"/>
                <w:color w:val="auto"/>
              </w:rPr>
            </w:pPr>
          </w:p>
        </w:tc>
        <w:tc>
          <w:tcPr>
            <w:tcW w:w="1400" w:type="dxa"/>
            <w:vAlign w:val="bottom"/>
          </w:tcPr>
          <w:p>
            <w:pPr>
              <w:jc w:val="center"/>
              <w:ind w:right="45"/>
              <w:spacing w:after="0"/>
              <w:rPr>
                <w:sz w:val="20"/>
                <w:szCs w:val="20"/>
                <w:color w:val="auto"/>
              </w:rPr>
            </w:pPr>
            <w:r>
              <w:rPr>
                <w:rFonts w:ascii="Arial" w:cs="Arial" w:eastAsia="Arial" w:hAnsi="Arial"/>
                <w:sz w:val="19"/>
                <w:szCs w:val="19"/>
                <w:color w:val="auto"/>
                <w:w w:val="94"/>
              </w:rPr>
              <w:t>606</w:t>
            </w:r>
          </w:p>
        </w:tc>
        <w:tc>
          <w:tcPr>
            <w:tcW w:w="0" w:type="dxa"/>
            <w:vAlign w:val="bottom"/>
          </w:tcPr>
          <w:p>
            <w:pPr>
              <w:spacing w:after="0"/>
              <w:rPr>
                <w:sz w:val="1"/>
                <w:szCs w:val="1"/>
                <w:color w:val="auto"/>
              </w:rPr>
            </w:pPr>
          </w:p>
        </w:tc>
      </w:tr>
      <w:tr>
        <w:trPr>
          <w:trHeight w:val="187"/>
        </w:trPr>
        <w:tc>
          <w:tcPr>
            <w:tcW w:w="4040" w:type="dxa"/>
            <w:vAlign w:val="bottom"/>
            <w:vMerge w:val="continue"/>
          </w:tcPr>
          <w:p>
            <w:pPr>
              <w:spacing w:after="0"/>
              <w:rPr>
                <w:sz w:val="16"/>
                <w:szCs w:val="16"/>
                <w:color w:val="auto"/>
              </w:rPr>
            </w:pPr>
          </w:p>
        </w:tc>
        <w:tc>
          <w:tcPr>
            <w:tcW w:w="28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142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850,921</w:t>
            </w:r>
          </w:p>
        </w:tc>
        <w:tc>
          <w:tcPr>
            <w:tcW w:w="280" w:type="dxa"/>
            <w:vAlign w:val="bottom"/>
          </w:tcPr>
          <w:p>
            <w:pPr>
              <w:spacing w:after="0"/>
              <w:rPr>
                <w:sz w:val="16"/>
                <w:szCs w:val="16"/>
                <w:color w:val="auto"/>
              </w:rPr>
            </w:pPr>
          </w:p>
        </w:tc>
        <w:tc>
          <w:tcPr>
            <w:tcW w:w="300" w:type="dxa"/>
            <w:vAlign w:val="bottom"/>
            <w:tcBorders>
              <w:top w:val="single" w:sz="8" w:color="auto"/>
            </w:tcBorders>
          </w:tcPr>
          <w:p>
            <w:pPr>
              <w:jc w:val="right"/>
              <w:ind w:right="5"/>
              <w:spacing w:after="0" w:line="187" w:lineRule="exact"/>
              <w:rPr>
                <w:sz w:val="20"/>
                <w:szCs w:val="20"/>
                <w:color w:val="auto"/>
              </w:rPr>
            </w:pPr>
            <w:r>
              <w:rPr>
                <w:rFonts w:ascii="Arial" w:cs="Arial" w:eastAsia="Arial" w:hAnsi="Arial"/>
                <w:sz w:val="19"/>
                <w:szCs w:val="19"/>
                <w:color w:val="auto"/>
              </w:rPr>
              <w:t>$</w:t>
            </w:r>
          </w:p>
        </w:tc>
        <w:tc>
          <w:tcPr>
            <w:tcW w:w="142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860,861</w:t>
            </w:r>
          </w:p>
        </w:tc>
        <w:tc>
          <w:tcPr>
            <w:tcW w:w="480" w:type="dxa"/>
            <w:vAlign w:val="bottom"/>
          </w:tcPr>
          <w:p>
            <w:pPr>
              <w:jc w:val="right"/>
              <w:spacing w:after="0" w:line="187" w:lineRule="exact"/>
              <w:rPr>
                <w:sz w:val="20"/>
                <w:szCs w:val="20"/>
                <w:color w:val="auto"/>
              </w:rPr>
            </w:pPr>
            <w:r>
              <w:rPr>
                <w:rFonts w:ascii="Arial" w:cs="Arial" w:eastAsia="Arial" w:hAnsi="Arial"/>
                <w:sz w:val="19"/>
                <w:szCs w:val="19"/>
                <w:color w:val="auto"/>
              </w:rPr>
              <w:t>$</w:t>
            </w:r>
          </w:p>
        </w:tc>
        <w:tc>
          <w:tcPr>
            <w:tcW w:w="1400" w:type="dxa"/>
            <w:vAlign w:val="bottom"/>
          </w:tcPr>
          <w:p>
            <w:pPr>
              <w:jc w:val="right"/>
              <w:spacing w:after="0" w:line="187" w:lineRule="exact"/>
              <w:rPr>
                <w:sz w:val="20"/>
                <w:szCs w:val="20"/>
                <w:color w:val="auto"/>
              </w:rPr>
            </w:pPr>
            <w:r>
              <w:rPr>
                <w:rFonts w:ascii="Arial" w:cs="Arial" w:eastAsia="Arial" w:hAnsi="Arial"/>
                <w:sz w:val="19"/>
                <w:szCs w:val="19"/>
                <w:color w:val="auto"/>
              </w:rPr>
              <w:t>(9,940)</w:t>
            </w:r>
          </w:p>
        </w:tc>
        <w:tc>
          <w:tcPr>
            <w:tcW w:w="0" w:type="dxa"/>
            <w:vAlign w:val="bottom"/>
          </w:tcPr>
          <w:p>
            <w:pPr>
              <w:spacing w:after="0"/>
              <w:rPr>
                <w:sz w:val="1"/>
                <w:szCs w:val="1"/>
                <w:color w:val="auto"/>
              </w:rPr>
            </w:pPr>
          </w:p>
        </w:tc>
      </w:tr>
      <w:tr>
        <w:trPr>
          <w:trHeight w:val="240"/>
        </w:trPr>
        <w:tc>
          <w:tcPr>
            <w:tcW w:w="4040" w:type="dxa"/>
            <w:vAlign w:val="bottom"/>
          </w:tcPr>
          <w:p>
            <w:pPr>
              <w:spacing w:after="0"/>
              <w:rPr>
                <w:sz w:val="20"/>
                <w:szCs w:val="20"/>
                <w:color w:val="auto"/>
              </w:rPr>
            </w:pPr>
            <w:r>
              <w:rPr>
                <w:rFonts w:ascii="Arial" w:cs="Arial" w:eastAsia="Arial" w:hAnsi="Arial"/>
                <w:sz w:val="19"/>
                <w:szCs w:val="19"/>
                <w:color w:val="auto"/>
              </w:rPr>
              <w:t>Operating Expenses</w:t>
            </w:r>
          </w:p>
        </w:tc>
        <w:tc>
          <w:tcPr>
            <w:tcW w:w="280" w:type="dxa"/>
            <w:vAlign w:val="bottom"/>
          </w:tcPr>
          <w:p>
            <w:pPr>
              <w:jc w:val="right"/>
              <w:spacing w:after="0"/>
              <w:rPr>
                <w:sz w:val="20"/>
                <w:szCs w:val="20"/>
                <w:color w:val="auto"/>
              </w:rPr>
            </w:pPr>
            <w:r>
              <w:rPr>
                <w:rFonts w:ascii="Arial" w:cs="Arial" w:eastAsia="Arial" w:hAnsi="Arial"/>
                <w:sz w:val="19"/>
                <w:szCs w:val="19"/>
                <w:color w:val="auto"/>
              </w:rPr>
              <w:t>$</w:t>
            </w:r>
          </w:p>
        </w:tc>
        <w:tc>
          <w:tcPr>
            <w:tcW w:w="1420" w:type="dxa"/>
            <w:vAlign w:val="bottom"/>
          </w:tcPr>
          <w:p>
            <w:pPr>
              <w:jc w:val="right"/>
              <w:spacing w:after="0"/>
              <w:rPr>
                <w:sz w:val="20"/>
                <w:szCs w:val="20"/>
                <w:color w:val="auto"/>
              </w:rPr>
            </w:pPr>
            <w:r>
              <w:rPr>
                <w:rFonts w:ascii="Arial" w:cs="Arial" w:eastAsia="Arial" w:hAnsi="Arial"/>
                <w:sz w:val="19"/>
                <w:szCs w:val="19"/>
                <w:color w:val="auto"/>
              </w:rPr>
              <w:t>235,342</w:t>
            </w:r>
          </w:p>
        </w:tc>
        <w:tc>
          <w:tcPr>
            <w:tcW w:w="280" w:type="dxa"/>
            <w:vAlign w:val="bottom"/>
          </w:tcPr>
          <w:p>
            <w:pPr>
              <w:spacing w:after="0"/>
              <w:rPr>
                <w:sz w:val="20"/>
                <w:szCs w:val="20"/>
                <w:color w:val="auto"/>
              </w:rPr>
            </w:pPr>
          </w:p>
        </w:tc>
        <w:tc>
          <w:tcPr>
            <w:tcW w:w="300" w:type="dxa"/>
            <w:vAlign w:val="bottom"/>
          </w:tcPr>
          <w:p>
            <w:pPr>
              <w:jc w:val="right"/>
              <w:ind w:right="5"/>
              <w:spacing w:after="0"/>
              <w:rPr>
                <w:sz w:val="20"/>
                <w:szCs w:val="20"/>
                <w:color w:val="auto"/>
              </w:rPr>
            </w:pPr>
            <w:r>
              <w:rPr>
                <w:rFonts w:ascii="Arial" w:cs="Arial" w:eastAsia="Arial" w:hAnsi="Arial"/>
                <w:sz w:val="19"/>
                <w:szCs w:val="19"/>
                <w:color w:val="auto"/>
              </w:rPr>
              <w:t>$</w:t>
            </w:r>
          </w:p>
        </w:tc>
        <w:tc>
          <w:tcPr>
            <w:tcW w:w="1420" w:type="dxa"/>
            <w:vAlign w:val="bottom"/>
          </w:tcPr>
          <w:p>
            <w:pPr>
              <w:jc w:val="right"/>
              <w:spacing w:after="0"/>
              <w:rPr>
                <w:sz w:val="20"/>
                <w:szCs w:val="20"/>
                <w:color w:val="auto"/>
              </w:rPr>
            </w:pPr>
            <w:r>
              <w:rPr>
                <w:rFonts w:ascii="Arial" w:cs="Arial" w:eastAsia="Arial" w:hAnsi="Arial"/>
                <w:sz w:val="19"/>
                <w:szCs w:val="19"/>
                <w:color w:val="auto"/>
              </w:rPr>
              <w:t>245,282</w:t>
            </w:r>
          </w:p>
        </w:tc>
        <w:tc>
          <w:tcPr>
            <w:tcW w:w="480" w:type="dxa"/>
            <w:vAlign w:val="bottom"/>
          </w:tcPr>
          <w:p>
            <w:pPr>
              <w:jc w:val="right"/>
              <w:spacing w:after="0"/>
              <w:rPr>
                <w:sz w:val="20"/>
                <w:szCs w:val="20"/>
                <w:color w:val="auto"/>
              </w:rPr>
            </w:pPr>
            <w:r>
              <w:rPr>
                <w:rFonts w:ascii="Arial" w:cs="Arial" w:eastAsia="Arial" w:hAnsi="Arial"/>
                <w:sz w:val="19"/>
                <w:szCs w:val="19"/>
                <w:color w:val="auto"/>
              </w:rPr>
              <w:t>$</w:t>
            </w:r>
          </w:p>
        </w:tc>
        <w:tc>
          <w:tcPr>
            <w:tcW w:w="1400" w:type="dxa"/>
            <w:vAlign w:val="bottom"/>
          </w:tcPr>
          <w:p>
            <w:pPr>
              <w:jc w:val="right"/>
              <w:spacing w:after="0"/>
              <w:rPr>
                <w:sz w:val="20"/>
                <w:szCs w:val="20"/>
                <w:color w:val="auto"/>
              </w:rPr>
            </w:pPr>
            <w:r>
              <w:rPr>
                <w:rFonts w:ascii="Arial" w:cs="Arial" w:eastAsia="Arial" w:hAnsi="Arial"/>
                <w:sz w:val="19"/>
                <w:szCs w:val="19"/>
                <w:color w:val="auto"/>
              </w:rPr>
              <w:t>(9,940)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5502275</wp:posOffset>
            </wp:positionH>
            <wp:positionV relativeFrom="paragraph">
              <wp:posOffset>-283845</wp:posOffset>
            </wp:positionV>
            <wp:extent cx="10718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71880" cy="8890"/>
                    </a:xfrm>
                    <a:prstGeom prst="rect">
                      <a:avLst/>
                    </a:prstGeom>
                    <a:noFill/>
                  </pic:spPr>
                </pic:pic>
              </a:graphicData>
            </a:graphic>
          </wp:anchor>
        </w:drawing>
        <w:drawing>
          <wp:anchor simplePos="0" relativeHeight="251657728" behindDoc="1" locked="0" layoutInCell="0" allowOverlap="1">
            <wp:simplePos x="0" y="0"/>
            <wp:positionH relativeFrom="column">
              <wp:posOffset>2980690</wp:posOffset>
            </wp:positionH>
            <wp:positionV relativeFrom="paragraph">
              <wp:posOffset>-840740</wp:posOffset>
            </wp:positionV>
            <wp:extent cx="35934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9"/>
          <w:szCs w:val="9"/>
          <w:color w:val="auto"/>
        </w:rPr>
        <w:t>1</w:t>
      </w:r>
    </w:p>
    <w:p>
      <w:pPr>
        <w:spacing w:after="0" w:line="113" w:lineRule="exact"/>
        <w:rPr>
          <w:sz w:val="20"/>
          <w:szCs w:val="20"/>
          <w:color w:val="auto"/>
        </w:rPr>
      </w:pPr>
    </w:p>
    <w:p>
      <w:pPr>
        <w:spacing w:after="0"/>
        <w:rPr>
          <w:sz w:val="20"/>
          <w:szCs w:val="20"/>
          <w:color w:val="auto"/>
        </w:rPr>
      </w:pPr>
      <w:r>
        <w:rPr>
          <w:rFonts w:ascii="Arial" w:cs="Arial" w:eastAsia="Arial" w:hAnsi="Arial"/>
          <w:sz w:val="9"/>
          <w:szCs w:val="9"/>
          <w:color w:val="auto"/>
        </w:rPr>
        <w:t>1</w:t>
      </w:r>
    </w:p>
    <w:p>
      <w:pPr>
        <w:spacing w:after="0" w:line="301" w:lineRule="exact"/>
        <w:rPr>
          <w:sz w:val="20"/>
          <w:szCs w:val="20"/>
          <w:color w:val="auto"/>
        </w:rPr>
      </w:pPr>
    </w:p>
    <w:p>
      <w:pPr>
        <w:sectPr>
          <w:pgSz w:w="11900" w:h="16903" w:orient="portrait"/>
          <w:cols w:equalWidth="0" w:num="2">
            <w:col w:w="10280" w:space="80"/>
            <w:col w:w="1100"/>
          </w:cols>
          <w:pgMar w:left="240" w:top="125" w:right="199" w:bottom="0" w:gutter="0" w:footer="0" w:header="0"/>
          <w:type w:val="continuous"/>
        </w:sectPr>
      </w:pPr>
    </w:p>
    <w:p>
      <w:pPr>
        <w:spacing w:after="0" w:line="4" w:lineRule="exact"/>
        <w:rPr>
          <w:sz w:val="20"/>
          <w:szCs w:val="20"/>
          <w:color w:val="auto"/>
        </w:rPr>
      </w:pPr>
    </w:p>
    <w:p>
      <w:pPr>
        <w:ind w:right="40" w:firstLine="656"/>
        <w:spacing w:after="0" w:line="224" w:lineRule="auto"/>
        <w:tabs>
          <w:tab w:leader="none" w:pos="759" w:val="left"/>
        </w:tabs>
        <w:numPr>
          <w:ilvl w:val="0"/>
          <w:numId w:val="7"/>
        </w:numPr>
        <w:rPr>
          <w:rFonts w:ascii="Arial" w:cs="Arial" w:eastAsia="Arial" w:hAnsi="Arial"/>
          <w:sz w:val="22"/>
          <w:szCs w:val="22"/>
          <w:i w:val="1"/>
          <w:iCs w:val="1"/>
          <w:color w:val="auto"/>
          <w:vertAlign w:val="superscript"/>
        </w:rPr>
      </w:pPr>
      <w:r>
        <w:rPr>
          <w:rFonts w:ascii="Arial" w:cs="Arial" w:eastAsia="Arial" w:hAnsi="Arial"/>
          <w:sz w:val="16"/>
          <w:szCs w:val="16"/>
          <w:i w:val="1"/>
          <w:iCs w:val="1"/>
          <w:color w:val="auto"/>
        </w:rPr>
        <w:t>TCCC Commissions based on sales to the TCCC Related Parties. There were no other identified changes to our revenue recognition policies as a result of the adoption of ASC 606.</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Disaggregation of Revenue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252525"/>
        </w:rPr>
        <w:t>The following table disaggregates the Company’s revenue by geographical markets and reportable segments:</w:t>
      </w:r>
    </w:p>
    <w:p>
      <w:pPr>
        <w:spacing w:after="0" w:line="210"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8"/>
          </w:tcPr>
          <w:p>
            <w:pPr>
              <w:ind w:left="420"/>
              <w:spacing w:after="0"/>
              <w:rPr>
                <w:sz w:val="20"/>
                <w:szCs w:val="20"/>
                <w:color w:val="auto"/>
              </w:rPr>
            </w:pPr>
            <w:r>
              <w:rPr>
                <w:rFonts w:ascii="Arial" w:cs="Arial" w:eastAsia="Arial" w:hAnsi="Arial"/>
                <w:sz w:val="19"/>
                <w:szCs w:val="19"/>
                <w:color w:val="auto"/>
              </w:rPr>
              <w:t>Three-Months Ended March 31, 2018</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187"/>
        </w:trPr>
        <w:tc>
          <w:tcPr>
            <w:tcW w:w="2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560"/>
              <w:spacing w:after="0" w:line="187" w:lineRule="exact"/>
              <w:rPr>
                <w:sz w:val="20"/>
                <w:szCs w:val="20"/>
                <w:color w:val="auto"/>
              </w:rPr>
            </w:pPr>
            <w:r>
              <w:rPr>
                <w:rFonts w:ascii="Arial" w:cs="Arial" w:eastAsia="Arial" w:hAnsi="Arial"/>
                <w:sz w:val="19"/>
                <w:szCs w:val="19"/>
                <w:color w:val="auto"/>
                <w:w w:val="96"/>
              </w:rPr>
              <w:t>Latin</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6"/>
        </w:trPr>
        <w:tc>
          <w:tcPr>
            <w:tcW w:w="2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500"/>
              <w:spacing w:after="0" w:line="216" w:lineRule="exact"/>
              <w:rPr>
                <w:sz w:val="20"/>
                <w:szCs w:val="20"/>
                <w:color w:val="auto"/>
              </w:rPr>
            </w:pPr>
            <w:r>
              <w:rPr>
                <w:rFonts w:ascii="Arial" w:cs="Arial" w:eastAsia="Arial" w:hAnsi="Arial"/>
                <w:sz w:val="19"/>
                <w:szCs w:val="19"/>
                <w:color w:val="auto"/>
                <w:w w:val="94"/>
              </w:rPr>
              <w:t>America</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540"/>
              <w:spacing w:after="0" w:line="216" w:lineRule="exact"/>
              <w:rPr>
                <w:sz w:val="20"/>
                <w:szCs w:val="20"/>
                <w:color w:val="auto"/>
              </w:rPr>
            </w:pPr>
            <w:r>
              <w:rPr>
                <w:rFonts w:ascii="Arial" w:cs="Arial" w:eastAsia="Arial" w:hAnsi="Arial"/>
                <w:sz w:val="19"/>
                <w:szCs w:val="19"/>
                <w:color w:val="auto"/>
                <w:w w:val="89"/>
              </w:rPr>
              <w:t>U.S. and</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540"/>
              <w:spacing w:after="0" w:line="216" w:lineRule="exact"/>
              <w:rPr>
                <w:sz w:val="20"/>
                <w:szCs w:val="20"/>
                <w:color w:val="auto"/>
              </w:rPr>
            </w:pPr>
            <w:r>
              <w:rPr>
                <w:rFonts w:ascii="Arial" w:cs="Arial" w:eastAsia="Arial" w:hAnsi="Arial"/>
                <w:sz w:val="19"/>
                <w:szCs w:val="19"/>
                <w:color w:val="auto"/>
                <w:w w:val="81"/>
              </w:rPr>
              <w:t>and</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8"/>
        </w:trPr>
        <w:tc>
          <w:tcPr>
            <w:tcW w:w="3120" w:type="dxa"/>
            <w:vAlign w:val="bottom"/>
            <w:gridSpan w:val="2"/>
          </w:tcPr>
          <w:p>
            <w:pPr>
              <w:spacing w:after="0"/>
              <w:rPr>
                <w:sz w:val="20"/>
                <w:szCs w:val="20"/>
                <w:color w:val="auto"/>
              </w:rPr>
            </w:pPr>
            <w:r>
              <w:rPr>
                <w:rFonts w:ascii="Arial" w:cs="Arial" w:eastAsia="Arial" w:hAnsi="Arial"/>
                <w:sz w:val="19"/>
                <w:szCs w:val="19"/>
                <w:color w:val="auto"/>
              </w:rPr>
              <w:t>Net Sales</w:t>
            </w:r>
          </w:p>
        </w:tc>
        <w:tc>
          <w:tcPr>
            <w:tcW w:w="240" w:type="dxa"/>
            <w:vAlign w:val="bottom"/>
          </w:tcPr>
          <w:p>
            <w:pPr>
              <w:spacing w:after="0"/>
              <w:rPr>
                <w:sz w:val="20"/>
                <w:szCs w:val="20"/>
                <w:color w:val="auto"/>
              </w:rPr>
            </w:pPr>
          </w:p>
        </w:tc>
        <w:tc>
          <w:tcPr>
            <w:tcW w:w="1320" w:type="dxa"/>
            <w:vAlign w:val="bottom"/>
            <w:gridSpan w:val="2"/>
          </w:tcPr>
          <w:p>
            <w:pPr>
              <w:jc w:val="center"/>
              <w:ind w:right="540"/>
              <w:spacing w:after="0"/>
              <w:rPr>
                <w:sz w:val="20"/>
                <w:szCs w:val="20"/>
                <w:color w:val="auto"/>
              </w:rPr>
            </w:pPr>
            <w:r>
              <w:rPr>
                <w:rFonts w:ascii="Arial" w:cs="Arial" w:eastAsia="Arial" w:hAnsi="Arial"/>
                <w:sz w:val="19"/>
                <w:szCs w:val="19"/>
                <w:color w:val="auto"/>
                <w:w w:val="87"/>
              </w:rPr>
              <w:t>Canada</w:t>
            </w:r>
          </w:p>
        </w:tc>
        <w:tc>
          <w:tcPr>
            <w:tcW w:w="260" w:type="dxa"/>
            <w:vAlign w:val="bottom"/>
          </w:tcPr>
          <w:p>
            <w:pPr>
              <w:spacing w:after="0"/>
              <w:rPr>
                <w:sz w:val="20"/>
                <w:szCs w:val="20"/>
                <w:color w:val="auto"/>
              </w:rPr>
            </w:pPr>
          </w:p>
        </w:tc>
        <w:tc>
          <w:tcPr>
            <w:tcW w:w="1280" w:type="dxa"/>
            <w:vAlign w:val="bottom"/>
            <w:gridSpan w:val="2"/>
          </w:tcPr>
          <w:p>
            <w:pPr>
              <w:ind w:left="60"/>
              <w:spacing w:after="0" w:line="239" w:lineRule="exact"/>
              <w:rPr>
                <w:sz w:val="20"/>
                <w:szCs w:val="20"/>
                <w:color w:val="auto"/>
              </w:rPr>
            </w:pPr>
            <w:r>
              <w:rPr>
                <w:rFonts w:ascii="Arial" w:cs="Arial" w:eastAsia="Arial" w:hAnsi="Arial"/>
                <w:sz w:val="19"/>
                <w:szCs w:val="19"/>
                <w:color w:val="auto"/>
              </w:rPr>
              <w:t>EMEA</w:t>
            </w:r>
            <w:r>
              <w:rPr>
                <w:rFonts w:ascii="Arial" w:cs="Arial" w:eastAsia="Arial" w:hAnsi="Arial"/>
                <w:sz w:val="25"/>
                <w:szCs w:val="25"/>
                <w:color w:val="auto"/>
                <w:vertAlign w:val="superscript"/>
              </w:rPr>
              <w:t>1</w:t>
            </w:r>
          </w:p>
        </w:tc>
        <w:tc>
          <w:tcPr>
            <w:tcW w:w="1520" w:type="dxa"/>
            <w:vAlign w:val="bottom"/>
            <w:gridSpan w:val="3"/>
          </w:tcPr>
          <w:p>
            <w:pPr>
              <w:ind w:left="160"/>
              <w:spacing w:after="0"/>
              <w:rPr>
                <w:sz w:val="20"/>
                <w:szCs w:val="20"/>
                <w:color w:val="auto"/>
              </w:rPr>
            </w:pPr>
            <w:r>
              <w:rPr>
                <w:rFonts w:ascii="Arial" w:cs="Arial" w:eastAsia="Arial" w:hAnsi="Arial"/>
                <w:sz w:val="19"/>
                <w:szCs w:val="19"/>
                <w:color w:val="auto"/>
              </w:rPr>
              <w:t>Asia Pacific</w:t>
            </w:r>
          </w:p>
        </w:tc>
        <w:tc>
          <w:tcPr>
            <w:tcW w:w="200" w:type="dxa"/>
            <w:vAlign w:val="bottom"/>
          </w:tcPr>
          <w:p>
            <w:pPr>
              <w:spacing w:after="0"/>
              <w:rPr>
                <w:sz w:val="20"/>
                <w:szCs w:val="20"/>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9"/>
                <w:szCs w:val="19"/>
                <w:color w:val="auto"/>
                <w:w w:val="88"/>
              </w:rPr>
              <w:t>Caribbean</w:t>
            </w:r>
          </w:p>
        </w:tc>
        <w:tc>
          <w:tcPr>
            <w:tcW w:w="300" w:type="dxa"/>
            <w:vAlign w:val="bottom"/>
          </w:tcPr>
          <w:p>
            <w:pPr>
              <w:spacing w:after="0"/>
              <w:rPr>
                <w:sz w:val="20"/>
                <w:szCs w:val="20"/>
                <w:color w:val="auto"/>
              </w:rPr>
            </w:pPr>
          </w:p>
        </w:tc>
        <w:tc>
          <w:tcPr>
            <w:tcW w:w="920" w:type="dxa"/>
            <w:vAlign w:val="bottom"/>
          </w:tcPr>
          <w:p>
            <w:pPr>
              <w:jc w:val="right"/>
              <w:ind w:right="325"/>
              <w:spacing w:after="0"/>
              <w:rPr>
                <w:sz w:val="20"/>
                <w:szCs w:val="20"/>
                <w:color w:val="auto"/>
              </w:rPr>
            </w:pPr>
            <w:r>
              <w:rPr>
                <w:rFonts w:ascii="Arial" w:cs="Arial" w:eastAsia="Arial" w:hAnsi="Arial"/>
                <w:sz w:val="19"/>
                <w:szCs w:val="19"/>
                <w:color w:val="auto"/>
              </w:rPr>
              <w:t>Total</w:t>
            </w:r>
          </w:p>
        </w:tc>
      </w:tr>
      <w:tr>
        <w:trPr>
          <w:trHeight w:val="187"/>
        </w:trPr>
        <w:tc>
          <w:tcPr>
            <w:tcW w:w="2820" w:type="dxa"/>
            <w:vAlign w:val="bottom"/>
            <w:tcBorders>
              <w:top w:val="single" w:sz="8" w:color="auto"/>
            </w:tcBorders>
          </w:tcPr>
          <w:p>
            <w:pPr>
              <w:spacing w:after="0" w:line="187" w:lineRule="exact"/>
              <w:rPr>
                <w:sz w:val="20"/>
                <w:szCs w:val="20"/>
                <w:color w:val="auto"/>
              </w:rPr>
            </w:pPr>
            <w:r>
              <w:rPr>
                <w:rFonts w:ascii="Arial" w:cs="Arial" w:eastAsia="Arial" w:hAnsi="Arial"/>
                <w:sz w:val="19"/>
                <w:szCs w:val="19"/>
                <w:color w:val="auto"/>
              </w:rPr>
              <w:t>Monster Energy® Drinks</w:t>
            </w:r>
          </w:p>
        </w:tc>
        <w:tc>
          <w:tcPr>
            <w:tcW w:w="300" w:type="dxa"/>
            <w:vAlign w:val="bottom"/>
          </w:tcPr>
          <w:p>
            <w:pPr>
              <w:spacing w:after="0"/>
              <w:rPr>
                <w:sz w:val="16"/>
                <w:szCs w:val="16"/>
                <w:color w:val="auto"/>
              </w:rPr>
            </w:pPr>
          </w:p>
        </w:tc>
        <w:tc>
          <w:tcPr>
            <w:tcW w:w="24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102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588,817</w:t>
            </w:r>
          </w:p>
        </w:tc>
        <w:tc>
          <w:tcPr>
            <w:tcW w:w="300" w:type="dxa"/>
            <w:vAlign w:val="bottom"/>
          </w:tcPr>
          <w:p>
            <w:pPr>
              <w:spacing w:after="0"/>
              <w:rPr>
                <w:sz w:val="16"/>
                <w:szCs w:val="16"/>
                <w:color w:val="auto"/>
              </w:rPr>
            </w:pPr>
          </w:p>
        </w:tc>
        <w:tc>
          <w:tcPr>
            <w:tcW w:w="26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100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110,929</w:t>
            </w:r>
          </w:p>
        </w:tc>
        <w:tc>
          <w:tcPr>
            <w:tcW w:w="280" w:type="dxa"/>
            <w:vAlign w:val="bottom"/>
          </w:tcPr>
          <w:p>
            <w:pPr>
              <w:spacing w:after="0"/>
              <w:rPr>
                <w:sz w:val="16"/>
                <w:szCs w:val="16"/>
                <w:color w:val="auto"/>
              </w:rPr>
            </w:pPr>
          </w:p>
        </w:tc>
        <w:tc>
          <w:tcPr>
            <w:tcW w:w="420" w:type="dxa"/>
            <w:vAlign w:val="bottom"/>
            <w:tcBorders>
              <w:top w:val="single" w:sz="8" w:color="auto"/>
            </w:tcBorders>
          </w:tcPr>
          <w:p>
            <w:pPr>
              <w:jc w:val="right"/>
              <w:ind w:right="125"/>
              <w:spacing w:after="0" w:line="187" w:lineRule="exact"/>
              <w:rPr>
                <w:sz w:val="20"/>
                <w:szCs w:val="20"/>
                <w:color w:val="auto"/>
              </w:rPr>
            </w:pPr>
            <w:r>
              <w:rPr>
                <w:rFonts w:ascii="Arial" w:cs="Arial" w:eastAsia="Arial" w:hAnsi="Arial"/>
                <w:sz w:val="19"/>
                <w:szCs w:val="19"/>
                <w:color w:val="auto"/>
              </w:rPr>
              <w:t>$</w:t>
            </w:r>
          </w:p>
        </w:tc>
        <w:tc>
          <w:tcPr>
            <w:tcW w:w="80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47,431</w:t>
            </w:r>
          </w:p>
        </w:tc>
        <w:tc>
          <w:tcPr>
            <w:tcW w:w="300" w:type="dxa"/>
            <w:vAlign w:val="bottom"/>
          </w:tcPr>
          <w:p>
            <w:pPr>
              <w:spacing w:after="0"/>
              <w:rPr>
                <w:sz w:val="16"/>
                <w:szCs w:val="16"/>
                <w:color w:val="auto"/>
              </w:rPr>
            </w:pPr>
          </w:p>
        </w:tc>
        <w:tc>
          <w:tcPr>
            <w:tcW w:w="20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w:t>
            </w:r>
          </w:p>
        </w:tc>
        <w:tc>
          <w:tcPr>
            <w:tcW w:w="104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33,328</w:t>
            </w:r>
          </w:p>
        </w:tc>
        <w:tc>
          <w:tcPr>
            <w:tcW w:w="280" w:type="dxa"/>
            <w:vAlign w:val="bottom"/>
          </w:tcPr>
          <w:p>
            <w:pPr>
              <w:spacing w:after="0"/>
              <w:rPr>
                <w:sz w:val="16"/>
                <w:szCs w:val="16"/>
                <w:color w:val="auto"/>
              </w:rPr>
            </w:pPr>
          </w:p>
        </w:tc>
        <w:tc>
          <w:tcPr>
            <w:tcW w:w="300" w:type="dxa"/>
            <w:vAlign w:val="bottom"/>
            <w:tcBorders>
              <w:top w:val="single" w:sz="8" w:color="auto"/>
            </w:tcBorders>
          </w:tcPr>
          <w:p>
            <w:pPr>
              <w:jc w:val="right"/>
              <w:ind w:right="5"/>
              <w:spacing w:after="0" w:line="187" w:lineRule="exact"/>
              <w:rPr>
                <w:sz w:val="20"/>
                <w:szCs w:val="20"/>
                <w:color w:val="auto"/>
              </w:rPr>
            </w:pPr>
            <w:r>
              <w:rPr>
                <w:rFonts w:ascii="Arial" w:cs="Arial" w:eastAsia="Arial" w:hAnsi="Arial"/>
                <w:sz w:val="19"/>
                <w:szCs w:val="19"/>
                <w:color w:val="auto"/>
              </w:rPr>
              <w:t>$</w:t>
            </w:r>
          </w:p>
        </w:tc>
        <w:tc>
          <w:tcPr>
            <w:tcW w:w="92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9"/>
                <w:szCs w:val="19"/>
                <w:color w:val="auto"/>
              </w:rPr>
              <w:t>780,505</w:t>
            </w:r>
          </w:p>
        </w:tc>
      </w:tr>
      <w:tr>
        <w:trPr>
          <w:trHeight w:val="216"/>
        </w:trPr>
        <w:tc>
          <w:tcPr>
            <w:tcW w:w="3120" w:type="dxa"/>
            <w:vAlign w:val="bottom"/>
            <w:gridSpan w:val="2"/>
          </w:tcPr>
          <w:p>
            <w:pPr>
              <w:spacing w:after="0" w:line="216" w:lineRule="exact"/>
              <w:rPr>
                <w:sz w:val="20"/>
                <w:szCs w:val="20"/>
                <w:color w:val="auto"/>
              </w:rPr>
            </w:pPr>
            <w:r>
              <w:rPr>
                <w:rFonts w:ascii="Arial" w:cs="Arial" w:eastAsia="Arial" w:hAnsi="Arial"/>
                <w:sz w:val="19"/>
                <w:szCs w:val="19"/>
                <w:color w:val="auto"/>
              </w:rPr>
              <w:t>Strategic Brands</w:t>
            </w:r>
          </w:p>
        </w:tc>
        <w:tc>
          <w:tcPr>
            <w:tcW w:w="24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19"/>
                <w:szCs w:val="19"/>
                <w:color w:val="auto"/>
              </w:rPr>
              <w:t>39,724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19,313</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line="216" w:lineRule="exact"/>
              <w:rPr>
                <w:sz w:val="20"/>
                <w:szCs w:val="20"/>
                <w:color w:val="auto"/>
              </w:rPr>
            </w:pPr>
            <w:r>
              <w:rPr>
                <w:rFonts w:ascii="Arial" w:cs="Arial" w:eastAsia="Arial" w:hAnsi="Arial"/>
                <w:sz w:val="19"/>
                <w:szCs w:val="19"/>
                <w:color w:val="auto"/>
              </w:rPr>
              <w:t>5,548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line="216" w:lineRule="exact"/>
              <w:rPr>
                <w:sz w:val="20"/>
                <w:szCs w:val="20"/>
                <w:color w:val="auto"/>
              </w:rPr>
            </w:pPr>
            <w:r>
              <w:rPr>
                <w:rFonts w:ascii="Arial" w:cs="Arial" w:eastAsia="Arial" w:hAnsi="Arial"/>
                <w:sz w:val="19"/>
                <w:szCs w:val="19"/>
                <w:color w:val="auto"/>
              </w:rPr>
              <w:t>1,174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line="216" w:lineRule="exact"/>
              <w:rPr>
                <w:sz w:val="20"/>
                <w:szCs w:val="20"/>
                <w:color w:val="auto"/>
              </w:rPr>
            </w:pPr>
            <w:r>
              <w:rPr>
                <w:rFonts w:ascii="Arial" w:cs="Arial" w:eastAsia="Arial" w:hAnsi="Arial"/>
                <w:sz w:val="19"/>
                <w:szCs w:val="19"/>
                <w:color w:val="auto"/>
              </w:rPr>
              <w:t>65,759</w:t>
            </w:r>
          </w:p>
        </w:tc>
      </w:tr>
      <w:tr>
        <w:trPr>
          <w:trHeight w:val="238"/>
        </w:trPr>
        <w:tc>
          <w:tcPr>
            <w:tcW w:w="3120" w:type="dxa"/>
            <w:vAlign w:val="bottom"/>
            <w:gridSpan w:val="2"/>
          </w:tcPr>
          <w:p>
            <w:pPr>
              <w:spacing w:after="0"/>
              <w:rPr>
                <w:sz w:val="20"/>
                <w:szCs w:val="20"/>
                <w:color w:val="auto"/>
              </w:rPr>
            </w:pPr>
            <w:r>
              <w:rPr>
                <w:rFonts w:ascii="Arial" w:cs="Arial" w:eastAsia="Arial" w:hAnsi="Arial"/>
                <w:sz w:val="19"/>
                <w:szCs w:val="19"/>
                <w:color w:val="auto"/>
              </w:rPr>
              <w:t>Other</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4,657</w:t>
            </w: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4,657</w:t>
            </w:r>
          </w:p>
        </w:tc>
      </w:tr>
      <w:tr>
        <w:trPr>
          <w:trHeight w:val="210"/>
        </w:trPr>
        <w:tc>
          <w:tcPr>
            <w:tcW w:w="3120" w:type="dxa"/>
            <w:vAlign w:val="bottom"/>
            <w:gridSpan w:val="2"/>
          </w:tcPr>
          <w:p>
            <w:pPr>
              <w:spacing w:after="0" w:line="210" w:lineRule="exact"/>
              <w:rPr>
                <w:sz w:val="20"/>
                <w:szCs w:val="20"/>
                <w:color w:val="auto"/>
              </w:rPr>
            </w:pPr>
            <w:r>
              <w:rPr>
                <w:rFonts w:ascii="Arial" w:cs="Arial" w:eastAsia="Arial" w:hAnsi="Arial"/>
                <w:sz w:val="19"/>
                <w:szCs w:val="19"/>
                <w:color w:val="auto"/>
              </w:rPr>
              <w:t>Total Net Sales</w:t>
            </w:r>
          </w:p>
        </w:tc>
        <w:tc>
          <w:tcPr>
            <w:tcW w:w="2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0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633,198</w:t>
            </w:r>
          </w:p>
        </w:tc>
        <w:tc>
          <w:tcPr>
            <w:tcW w:w="300" w:type="dxa"/>
            <w:vAlign w:val="bottom"/>
          </w:tcPr>
          <w:p>
            <w:pPr>
              <w:spacing w:after="0"/>
              <w:rPr>
                <w:sz w:val="18"/>
                <w:szCs w:val="18"/>
                <w:color w:val="auto"/>
              </w:rPr>
            </w:pPr>
          </w:p>
        </w:tc>
        <w:tc>
          <w:tcPr>
            <w:tcW w:w="26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0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130,242</w:t>
            </w:r>
          </w:p>
        </w:tc>
        <w:tc>
          <w:tcPr>
            <w:tcW w:w="280" w:type="dxa"/>
            <w:vAlign w:val="bottom"/>
          </w:tcPr>
          <w:p>
            <w:pPr>
              <w:spacing w:after="0"/>
              <w:rPr>
                <w:sz w:val="18"/>
                <w:szCs w:val="18"/>
                <w:color w:val="auto"/>
              </w:rPr>
            </w:pPr>
          </w:p>
        </w:tc>
        <w:tc>
          <w:tcPr>
            <w:tcW w:w="420" w:type="dxa"/>
            <w:vAlign w:val="bottom"/>
            <w:tcBorders>
              <w:bottom w:val="single" w:sz="8" w:color="auto"/>
            </w:tcBorders>
          </w:tcPr>
          <w:p>
            <w:pPr>
              <w:jc w:val="right"/>
              <w:ind w:right="125"/>
              <w:spacing w:after="0" w:line="210" w:lineRule="exact"/>
              <w:rPr>
                <w:sz w:val="20"/>
                <w:szCs w:val="20"/>
                <w:color w:val="auto"/>
              </w:rPr>
            </w:pPr>
            <w:r>
              <w:rPr>
                <w:rFonts w:ascii="Arial" w:cs="Arial" w:eastAsia="Arial" w:hAnsi="Arial"/>
                <w:sz w:val="19"/>
                <w:szCs w:val="19"/>
                <w:color w:val="auto"/>
              </w:rPr>
              <w:t>$</w:t>
            </w:r>
          </w:p>
        </w:tc>
        <w:tc>
          <w:tcPr>
            <w:tcW w:w="8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52,979</w:t>
            </w:r>
          </w:p>
        </w:tc>
        <w:tc>
          <w:tcPr>
            <w:tcW w:w="300" w:type="dxa"/>
            <w:vAlign w:val="bottom"/>
          </w:tcPr>
          <w:p>
            <w:pPr>
              <w:spacing w:after="0"/>
              <w:rPr>
                <w:sz w:val="18"/>
                <w:szCs w:val="18"/>
                <w:color w:val="auto"/>
              </w:rPr>
            </w:pPr>
          </w:p>
        </w:tc>
        <w:tc>
          <w:tcPr>
            <w:tcW w:w="2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0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34,502</w:t>
            </w:r>
          </w:p>
        </w:tc>
        <w:tc>
          <w:tcPr>
            <w:tcW w:w="280" w:type="dxa"/>
            <w:vAlign w:val="bottom"/>
          </w:tcPr>
          <w:p>
            <w:pPr>
              <w:spacing w:after="0"/>
              <w:rPr>
                <w:sz w:val="18"/>
                <w:szCs w:val="18"/>
                <w:color w:val="auto"/>
              </w:rPr>
            </w:pPr>
          </w:p>
        </w:tc>
        <w:tc>
          <w:tcPr>
            <w:tcW w:w="300" w:type="dxa"/>
            <w:vAlign w:val="bottom"/>
            <w:tcBorders>
              <w:bottom w:val="single" w:sz="8" w:color="auto"/>
            </w:tcBorders>
          </w:tcPr>
          <w:p>
            <w:pPr>
              <w:jc w:val="right"/>
              <w:ind w:right="5"/>
              <w:spacing w:after="0" w:line="210" w:lineRule="exact"/>
              <w:rPr>
                <w:sz w:val="20"/>
                <w:szCs w:val="20"/>
                <w:color w:val="auto"/>
              </w:rPr>
            </w:pPr>
            <w:r>
              <w:rPr>
                <w:rFonts w:ascii="Arial" w:cs="Arial" w:eastAsia="Arial" w:hAnsi="Arial"/>
                <w:sz w:val="19"/>
                <w:szCs w:val="19"/>
                <w:color w:val="auto"/>
              </w:rPr>
              <w:t>$</w:t>
            </w:r>
          </w:p>
        </w:tc>
        <w:tc>
          <w:tcPr>
            <w:tcW w:w="9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850,921</w:t>
            </w:r>
          </w:p>
        </w:tc>
      </w:tr>
      <w:tr>
        <w:trPr>
          <w:trHeight w:val="20"/>
        </w:trPr>
        <w:tc>
          <w:tcPr>
            <w:tcW w:w="2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340"/>
        <w:spacing w:after="0"/>
        <w:rPr>
          <w:sz w:val="20"/>
          <w:szCs w:val="20"/>
          <w:color w:val="auto"/>
        </w:rPr>
      </w:pPr>
      <w:r>
        <w:rPr>
          <w:rFonts w:ascii="Arial" w:cs="Arial" w:eastAsia="Arial" w:hAnsi="Arial"/>
          <w:sz w:val="21"/>
          <w:szCs w:val="21"/>
          <w:i w:val="1"/>
          <w:iCs w:val="1"/>
          <w:color w:val="252525"/>
          <w:vertAlign w:val="superscript"/>
        </w:rPr>
        <w:t>1</w:t>
      </w:r>
      <w:r>
        <w:rPr>
          <w:rFonts w:ascii="Arial" w:cs="Arial" w:eastAsia="Arial" w:hAnsi="Arial"/>
          <w:sz w:val="16"/>
          <w:szCs w:val="16"/>
          <w:i w:val="1"/>
          <w:iCs w:val="1"/>
          <w:color w:val="252525"/>
        </w:rPr>
        <w:t>Europe, Middle East and Africa (“EMEA”)</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52525"/>
        </w:rPr>
        <w:t>Contract Liabilities</w:t>
      </w:r>
    </w:p>
    <w:p>
      <w:pPr>
        <w:spacing w:after="0" w:line="216" w:lineRule="exact"/>
        <w:rPr>
          <w:sz w:val="20"/>
          <w:szCs w:val="20"/>
          <w:color w:val="auto"/>
        </w:rPr>
      </w:pPr>
    </w:p>
    <w:p>
      <w:pPr>
        <w:jc w:val="both"/>
        <w:ind w:right="60" w:firstLine="648"/>
        <w:spacing w:after="0" w:line="243" w:lineRule="auto"/>
        <w:rPr>
          <w:sz w:val="20"/>
          <w:szCs w:val="20"/>
          <w:color w:val="auto"/>
        </w:rPr>
      </w:pPr>
      <w:r>
        <w:rPr>
          <w:rFonts w:ascii="Arial" w:cs="Arial" w:eastAsia="Arial" w:hAnsi="Arial"/>
          <w:sz w:val="20"/>
          <w:szCs w:val="20"/>
          <w:color w:val="252525"/>
        </w:rPr>
        <w:t>Amounts received from certain bottlers/distributors at inception of their distribution contracts or at the inception of certain sales/marketing programs are accounted for as deferred revenue. As of December 31, 2017, the Company had $377.6 million of deferred revenue, which is included in current and long-term deferred revenue in the Company’s condensed consolidated balance sheet. As of March 31, 2018, the Company had $372.6 million of deferred revenue, which is included in current and long-term deferred revenue in the Company’s condensed consolidated balance sheets. During the three-months ended March 31, 2018, $11.2 million of deferred revenue was recognized in net sales. See Note 10.</w:t>
      </w:r>
    </w:p>
    <w:p>
      <w:pPr>
        <w:spacing w:after="0" w:line="1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40" w:hanging="632"/>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INVESTMENTS</w:t>
      </w:r>
    </w:p>
    <w:p>
      <w:pPr>
        <w:spacing w:after="0" w:line="215"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The following table summarizes the Company’s investments at: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center"/>
              <w:ind w:right="223"/>
              <w:spacing w:after="0"/>
              <w:rPr>
                <w:sz w:val="20"/>
                <w:szCs w:val="20"/>
                <w:color w:val="auto"/>
              </w:rPr>
            </w:pPr>
            <w:r>
              <w:rPr>
                <w:rFonts w:ascii="Arial" w:cs="Arial" w:eastAsia="Arial" w:hAnsi="Arial"/>
                <w:sz w:val="15"/>
                <w:szCs w:val="15"/>
                <w:color w:val="auto"/>
                <w:w w:val="92"/>
              </w:rPr>
              <w:t>Continuous</w:t>
            </w:r>
          </w:p>
        </w:tc>
        <w:tc>
          <w:tcPr>
            <w:tcW w:w="1120" w:type="dxa"/>
            <w:vAlign w:val="bottom"/>
          </w:tcPr>
          <w:p>
            <w:pPr>
              <w:jc w:val="center"/>
              <w:ind w:left="103"/>
              <w:spacing w:after="0"/>
              <w:rPr>
                <w:sz w:val="20"/>
                <w:szCs w:val="20"/>
                <w:color w:val="auto"/>
              </w:rPr>
            </w:pPr>
            <w:r>
              <w:rPr>
                <w:rFonts w:ascii="Arial" w:cs="Arial" w:eastAsia="Arial" w:hAnsi="Arial"/>
                <w:sz w:val="15"/>
                <w:szCs w:val="15"/>
                <w:color w:val="auto"/>
                <w:w w:val="92"/>
              </w:rPr>
              <w:t>Continuous</w:t>
            </w:r>
          </w:p>
        </w:tc>
        <w:tc>
          <w:tcPr>
            <w:tcW w:w="220" w:type="dxa"/>
            <w:vAlign w:val="bottom"/>
          </w:tcPr>
          <w:p>
            <w:pPr>
              <w:spacing w:after="0"/>
              <w:rPr>
                <w:sz w:val="15"/>
                <w:szCs w:val="15"/>
                <w:color w:val="auto"/>
              </w:rPr>
            </w:pPr>
          </w:p>
        </w:tc>
      </w:tr>
      <w:tr>
        <w:trPr>
          <w:trHeight w:val="162"/>
        </w:trPr>
        <w:tc>
          <w:tcPr>
            <w:tcW w:w="2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jc w:val="center"/>
              <w:ind w:left="163"/>
              <w:spacing w:after="0" w:line="162" w:lineRule="exact"/>
              <w:rPr>
                <w:sz w:val="20"/>
                <w:szCs w:val="20"/>
                <w:color w:val="auto"/>
              </w:rPr>
            </w:pPr>
            <w:r>
              <w:rPr>
                <w:rFonts w:ascii="Arial" w:cs="Arial" w:eastAsia="Arial" w:hAnsi="Arial"/>
                <w:sz w:val="15"/>
                <w:szCs w:val="15"/>
                <w:color w:val="auto"/>
                <w:w w:val="84"/>
              </w:rPr>
              <w:t>Gross</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center"/>
              <w:ind w:right="283"/>
              <w:spacing w:after="0" w:line="162" w:lineRule="exact"/>
              <w:rPr>
                <w:sz w:val="20"/>
                <w:szCs w:val="20"/>
                <w:color w:val="auto"/>
              </w:rPr>
            </w:pPr>
            <w:r>
              <w:rPr>
                <w:rFonts w:ascii="Arial" w:cs="Arial" w:eastAsia="Arial" w:hAnsi="Arial"/>
                <w:sz w:val="15"/>
                <w:szCs w:val="15"/>
                <w:color w:val="auto"/>
                <w:w w:val="89"/>
              </w:rPr>
              <w:t>Gross</w:t>
            </w: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center"/>
              <w:ind w:right="203"/>
              <w:spacing w:after="0" w:line="162" w:lineRule="exact"/>
              <w:rPr>
                <w:sz w:val="20"/>
                <w:szCs w:val="20"/>
                <w:color w:val="auto"/>
              </w:rPr>
            </w:pPr>
            <w:r>
              <w:rPr>
                <w:rFonts w:ascii="Arial" w:cs="Arial" w:eastAsia="Arial" w:hAnsi="Arial"/>
                <w:sz w:val="15"/>
                <w:szCs w:val="15"/>
                <w:color w:val="auto"/>
                <w:w w:val="94"/>
              </w:rPr>
              <w:t>Unrealized</w:t>
            </w:r>
          </w:p>
        </w:tc>
        <w:tc>
          <w:tcPr>
            <w:tcW w:w="1120" w:type="dxa"/>
            <w:vAlign w:val="bottom"/>
          </w:tcPr>
          <w:p>
            <w:pPr>
              <w:jc w:val="center"/>
              <w:ind w:left="83"/>
              <w:spacing w:after="0" w:line="162" w:lineRule="exact"/>
              <w:rPr>
                <w:sz w:val="20"/>
                <w:szCs w:val="20"/>
                <w:color w:val="auto"/>
              </w:rPr>
            </w:pPr>
            <w:r>
              <w:rPr>
                <w:rFonts w:ascii="Arial" w:cs="Arial" w:eastAsia="Arial" w:hAnsi="Arial"/>
                <w:sz w:val="15"/>
                <w:szCs w:val="15"/>
                <w:color w:val="auto"/>
                <w:w w:val="94"/>
              </w:rPr>
              <w:t>Unrealized</w:t>
            </w:r>
          </w:p>
        </w:tc>
        <w:tc>
          <w:tcPr>
            <w:tcW w:w="220" w:type="dxa"/>
            <w:vAlign w:val="bottom"/>
          </w:tcPr>
          <w:p>
            <w:pPr>
              <w:spacing w:after="0"/>
              <w:rPr>
                <w:sz w:val="14"/>
                <w:szCs w:val="14"/>
                <w:color w:val="auto"/>
              </w:rPr>
            </w:pPr>
          </w:p>
        </w:tc>
      </w:tr>
      <w:tr>
        <w:trPr>
          <w:trHeight w:val="162"/>
        </w:trPr>
        <w:tc>
          <w:tcPr>
            <w:tcW w:w="2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jc w:val="center"/>
              <w:ind w:left="163"/>
              <w:spacing w:after="0" w:line="162" w:lineRule="exact"/>
              <w:rPr>
                <w:sz w:val="20"/>
                <w:szCs w:val="20"/>
                <w:color w:val="auto"/>
              </w:rPr>
            </w:pPr>
            <w:r>
              <w:rPr>
                <w:rFonts w:ascii="Arial" w:cs="Arial" w:eastAsia="Arial" w:hAnsi="Arial"/>
                <w:sz w:val="15"/>
                <w:szCs w:val="15"/>
                <w:color w:val="auto"/>
                <w:w w:val="91"/>
              </w:rPr>
              <w:t>Unrealized</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center"/>
              <w:ind w:right="263"/>
              <w:spacing w:after="0" w:line="162" w:lineRule="exact"/>
              <w:rPr>
                <w:sz w:val="20"/>
                <w:szCs w:val="20"/>
                <w:color w:val="auto"/>
              </w:rPr>
            </w:pPr>
            <w:r>
              <w:rPr>
                <w:rFonts w:ascii="Arial" w:cs="Arial" w:eastAsia="Arial" w:hAnsi="Arial"/>
                <w:sz w:val="15"/>
                <w:szCs w:val="15"/>
                <w:color w:val="auto"/>
                <w:w w:val="91"/>
              </w:rPr>
              <w:t>Unrealized</w:t>
            </w: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gridSpan w:val="2"/>
          </w:tcPr>
          <w:p>
            <w:pPr>
              <w:jc w:val="center"/>
              <w:spacing w:after="0" w:line="162" w:lineRule="exact"/>
              <w:rPr>
                <w:sz w:val="20"/>
                <w:szCs w:val="20"/>
                <w:color w:val="auto"/>
              </w:rPr>
            </w:pPr>
            <w:r>
              <w:rPr>
                <w:rFonts w:ascii="Arial" w:cs="Arial" w:eastAsia="Arial" w:hAnsi="Arial"/>
                <w:sz w:val="15"/>
                <w:szCs w:val="15"/>
                <w:color w:val="auto"/>
                <w:w w:val="91"/>
              </w:rPr>
              <w:t>Loss Position</w:t>
            </w:r>
          </w:p>
        </w:tc>
        <w:tc>
          <w:tcPr>
            <w:tcW w:w="1120" w:type="dxa"/>
            <w:vAlign w:val="bottom"/>
          </w:tcPr>
          <w:p>
            <w:pPr>
              <w:jc w:val="center"/>
              <w:ind w:left="103"/>
              <w:spacing w:after="0" w:line="162" w:lineRule="exact"/>
              <w:rPr>
                <w:sz w:val="20"/>
                <w:szCs w:val="20"/>
                <w:color w:val="auto"/>
              </w:rPr>
            </w:pPr>
            <w:r>
              <w:rPr>
                <w:rFonts w:ascii="Arial" w:cs="Arial" w:eastAsia="Arial" w:hAnsi="Arial"/>
                <w:sz w:val="15"/>
                <w:szCs w:val="15"/>
                <w:color w:val="auto"/>
                <w:w w:val="91"/>
              </w:rPr>
              <w:t>Loss Position</w:t>
            </w:r>
          </w:p>
        </w:tc>
        <w:tc>
          <w:tcPr>
            <w:tcW w:w="220" w:type="dxa"/>
            <w:vAlign w:val="bottom"/>
          </w:tcPr>
          <w:p>
            <w:pPr>
              <w:spacing w:after="0"/>
              <w:rPr>
                <w:sz w:val="14"/>
                <w:szCs w:val="14"/>
                <w:color w:val="auto"/>
              </w:rPr>
            </w:pPr>
          </w:p>
        </w:tc>
      </w:tr>
      <w:tr>
        <w:trPr>
          <w:trHeight w:val="162"/>
        </w:trPr>
        <w:tc>
          <w:tcPr>
            <w:tcW w:w="2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jc w:val="right"/>
              <w:ind w:right="363"/>
              <w:spacing w:after="0" w:line="162" w:lineRule="exact"/>
              <w:rPr>
                <w:sz w:val="20"/>
                <w:szCs w:val="20"/>
                <w:color w:val="auto"/>
              </w:rPr>
            </w:pPr>
            <w:r>
              <w:rPr>
                <w:rFonts w:ascii="Arial" w:cs="Arial" w:eastAsia="Arial" w:hAnsi="Arial"/>
                <w:sz w:val="15"/>
                <w:szCs w:val="15"/>
                <w:color w:val="auto"/>
              </w:rPr>
              <w:t>Amortized</w:t>
            </w:r>
          </w:p>
        </w:tc>
        <w:tc>
          <w:tcPr>
            <w:tcW w:w="1060" w:type="dxa"/>
            <w:vAlign w:val="bottom"/>
          </w:tcPr>
          <w:p>
            <w:pPr>
              <w:jc w:val="center"/>
              <w:ind w:left="163"/>
              <w:spacing w:after="0" w:line="162" w:lineRule="exact"/>
              <w:rPr>
                <w:sz w:val="20"/>
                <w:szCs w:val="20"/>
                <w:color w:val="auto"/>
              </w:rPr>
            </w:pPr>
            <w:r>
              <w:rPr>
                <w:rFonts w:ascii="Arial" w:cs="Arial" w:eastAsia="Arial" w:hAnsi="Arial"/>
                <w:sz w:val="15"/>
                <w:szCs w:val="15"/>
                <w:color w:val="auto"/>
                <w:w w:val="98"/>
              </w:rPr>
              <w:t>Holding</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center"/>
              <w:ind w:right="263"/>
              <w:spacing w:after="0" w:line="162" w:lineRule="exact"/>
              <w:rPr>
                <w:sz w:val="20"/>
                <w:szCs w:val="20"/>
                <w:color w:val="auto"/>
              </w:rPr>
            </w:pPr>
            <w:r>
              <w:rPr>
                <w:rFonts w:ascii="Arial" w:cs="Arial" w:eastAsia="Arial" w:hAnsi="Arial"/>
                <w:sz w:val="15"/>
                <w:szCs w:val="15"/>
                <w:color w:val="auto"/>
                <w:w w:val="98"/>
              </w:rPr>
              <w:t>Holding</w:t>
            </w:r>
          </w:p>
        </w:tc>
        <w:tc>
          <w:tcPr>
            <w:tcW w:w="380" w:type="dxa"/>
            <w:vAlign w:val="bottom"/>
          </w:tcPr>
          <w:p>
            <w:pPr>
              <w:spacing w:after="0"/>
              <w:rPr>
                <w:sz w:val="14"/>
                <w:szCs w:val="14"/>
                <w:color w:val="auto"/>
              </w:rPr>
            </w:pPr>
          </w:p>
        </w:tc>
        <w:tc>
          <w:tcPr>
            <w:tcW w:w="960" w:type="dxa"/>
            <w:vAlign w:val="bottom"/>
          </w:tcPr>
          <w:p>
            <w:pPr>
              <w:jc w:val="right"/>
              <w:ind w:right="503"/>
              <w:spacing w:after="0" w:line="162" w:lineRule="exact"/>
              <w:rPr>
                <w:sz w:val="20"/>
                <w:szCs w:val="20"/>
                <w:color w:val="auto"/>
              </w:rPr>
            </w:pPr>
            <w:r>
              <w:rPr>
                <w:rFonts w:ascii="Arial" w:cs="Arial" w:eastAsia="Arial" w:hAnsi="Arial"/>
                <w:sz w:val="15"/>
                <w:szCs w:val="15"/>
                <w:color w:val="auto"/>
              </w:rPr>
              <w:t>Fair</w:t>
            </w:r>
          </w:p>
        </w:tc>
        <w:tc>
          <w:tcPr>
            <w:tcW w:w="260" w:type="dxa"/>
            <w:vAlign w:val="bottom"/>
          </w:tcPr>
          <w:p>
            <w:pPr>
              <w:spacing w:after="0"/>
              <w:rPr>
                <w:sz w:val="14"/>
                <w:szCs w:val="14"/>
                <w:color w:val="auto"/>
              </w:rPr>
            </w:pPr>
          </w:p>
        </w:tc>
        <w:tc>
          <w:tcPr>
            <w:tcW w:w="1040" w:type="dxa"/>
            <w:vAlign w:val="bottom"/>
          </w:tcPr>
          <w:p>
            <w:pPr>
              <w:jc w:val="center"/>
              <w:ind w:right="203"/>
              <w:spacing w:after="0" w:line="162" w:lineRule="exact"/>
              <w:rPr>
                <w:sz w:val="20"/>
                <w:szCs w:val="20"/>
                <w:color w:val="auto"/>
              </w:rPr>
            </w:pPr>
            <w:r>
              <w:rPr>
                <w:rFonts w:ascii="Arial" w:cs="Arial" w:eastAsia="Arial" w:hAnsi="Arial"/>
                <w:sz w:val="15"/>
                <w:szCs w:val="15"/>
                <w:color w:val="auto"/>
                <w:w w:val="88"/>
              </w:rPr>
              <w:t>less than 12</w:t>
            </w:r>
          </w:p>
        </w:tc>
        <w:tc>
          <w:tcPr>
            <w:tcW w:w="1120" w:type="dxa"/>
            <w:vAlign w:val="bottom"/>
          </w:tcPr>
          <w:p>
            <w:pPr>
              <w:jc w:val="center"/>
              <w:ind w:left="83"/>
              <w:spacing w:after="0" w:line="162" w:lineRule="exact"/>
              <w:rPr>
                <w:sz w:val="20"/>
                <w:szCs w:val="20"/>
                <w:color w:val="auto"/>
              </w:rPr>
            </w:pPr>
            <w:r>
              <w:rPr>
                <w:rFonts w:ascii="Arial" w:cs="Arial" w:eastAsia="Arial" w:hAnsi="Arial"/>
                <w:sz w:val="15"/>
                <w:szCs w:val="15"/>
                <w:color w:val="auto"/>
                <w:w w:val="90"/>
              </w:rPr>
              <w:t>greater than 12</w:t>
            </w:r>
          </w:p>
        </w:tc>
        <w:tc>
          <w:tcPr>
            <w:tcW w:w="220" w:type="dxa"/>
            <w:vAlign w:val="bottom"/>
          </w:tcPr>
          <w:p>
            <w:pPr>
              <w:spacing w:after="0"/>
              <w:rPr>
                <w:sz w:val="14"/>
                <w:szCs w:val="14"/>
                <w:color w:val="auto"/>
              </w:rPr>
            </w:pPr>
          </w:p>
        </w:tc>
      </w:tr>
      <w:tr>
        <w:trPr>
          <w:trHeight w:val="182"/>
        </w:trPr>
        <w:tc>
          <w:tcPr>
            <w:tcW w:w="2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March 31, 2018</w:t>
            </w:r>
          </w:p>
        </w:tc>
        <w:tc>
          <w:tcPr>
            <w:tcW w:w="1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color w:val="auto"/>
              </w:rPr>
              <w:t>Cost</w:t>
            </w:r>
          </w:p>
        </w:tc>
        <w:tc>
          <w:tcPr>
            <w:tcW w:w="1060" w:type="dxa"/>
            <w:vAlign w:val="bottom"/>
            <w:tcBorders>
              <w:bottom w:val="single" w:sz="8" w:color="auto"/>
            </w:tcBorders>
          </w:tcPr>
          <w:p>
            <w:pPr>
              <w:jc w:val="center"/>
              <w:ind w:left="163"/>
              <w:spacing w:after="0"/>
              <w:rPr>
                <w:sz w:val="20"/>
                <w:szCs w:val="20"/>
                <w:color w:val="auto"/>
              </w:rPr>
            </w:pPr>
            <w:r>
              <w:rPr>
                <w:rFonts w:ascii="Arial" w:cs="Arial" w:eastAsia="Arial" w:hAnsi="Arial"/>
                <w:sz w:val="15"/>
                <w:szCs w:val="15"/>
                <w:color w:val="auto"/>
                <w:w w:val="86"/>
              </w:rPr>
              <w:t>Gains</w:t>
            </w:r>
          </w:p>
        </w:tc>
        <w:tc>
          <w:tcPr>
            <w:tcW w:w="3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63"/>
              <w:spacing w:after="0"/>
              <w:rPr>
                <w:sz w:val="20"/>
                <w:szCs w:val="20"/>
                <w:color w:val="auto"/>
              </w:rPr>
            </w:pPr>
            <w:r>
              <w:rPr>
                <w:rFonts w:ascii="Arial" w:cs="Arial" w:eastAsia="Arial" w:hAnsi="Arial"/>
                <w:sz w:val="15"/>
                <w:szCs w:val="15"/>
                <w:color w:val="auto"/>
                <w:w w:val="88"/>
              </w:rPr>
              <w:t>Losses</w:t>
            </w: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color w:val="auto"/>
              </w:rPr>
              <w:t>Value</w:t>
            </w: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23"/>
              <w:spacing w:after="0"/>
              <w:rPr>
                <w:sz w:val="20"/>
                <w:szCs w:val="20"/>
                <w:color w:val="auto"/>
              </w:rPr>
            </w:pPr>
            <w:r>
              <w:rPr>
                <w:rFonts w:ascii="Arial" w:cs="Arial" w:eastAsia="Arial" w:hAnsi="Arial"/>
                <w:sz w:val="15"/>
                <w:szCs w:val="15"/>
                <w:color w:val="auto"/>
                <w:w w:val="93"/>
              </w:rPr>
              <w:t>Months</w:t>
            </w:r>
          </w:p>
        </w:tc>
        <w:tc>
          <w:tcPr>
            <w:tcW w:w="1120" w:type="dxa"/>
            <w:vAlign w:val="bottom"/>
            <w:tcBorders>
              <w:bottom w:val="single" w:sz="8" w:color="auto"/>
            </w:tcBorders>
          </w:tcPr>
          <w:p>
            <w:pPr>
              <w:jc w:val="center"/>
              <w:ind w:left="103"/>
              <w:spacing w:after="0"/>
              <w:rPr>
                <w:sz w:val="20"/>
                <w:szCs w:val="20"/>
                <w:color w:val="auto"/>
              </w:rPr>
            </w:pPr>
            <w:r>
              <w:rPr>
                <w:rFonts w:ascii="Arial" w:cs="Arial" w:eastAsia="Arial" w:hAnsi="Arial"/>
                <w:sz w:val="15"/>
                <w:szCs w:val="15"/>
                <w:color w:val="auto"/>
                <w:w w:val="93"/>
              </w:rPr>
              <w:t>Months</w:t>
            </w:r>
          </w:p>
        </w:tc>
        <w:tc>
          <w:tcPr>
            <w:tcW w:w="220" w:type="dxa"/>
            <w:vAlign w:val="bottom"/>
            <w:tcBorders>
              <w:bottom w:val="single" w:sz="8" w:color="auto"/>
            </w:tcBorders>
          </w:tcPr>
          <w:p>
            <w:pPr>
              <w:spacing w:after="0"/>
              <w:rPr>
                <w:sz w:val="15"/>
                <w:szCs w:val="15"/>
                <w:color w:val="auto"/>
              </w:rPr>
            </w:pPr>
          </w:p>
        </w:tc>
      </w:tr>
      <w:tr>
        <w:trPr>
          <w:trHeight w:val="149"/>
        </w:trPr>
        <w:tc>
          <w:tcPr>
            <w:tcW w:w="2440" w:type="dxa"/>
            <w:vAlign w:val="bottom"/>
          </w:tcPr>
          <w:p>
            <w:pPr>
              <w:spacing w:after="0" w:line="149" w:lineRule="exact"/>
              <w:rPr>
                <w:sz w:val="20"/>
                <w:szCs w:val="20"/>
                <w:color w:val="auto"/>
              </w:rPr>
            </w:pPr>
            <w:r>
              <w:rPr>
                <w:rFonts w:ascii="Arial" w:cs="Arial" w:eastAsia="Arial" w:hAnsi="Arial"/>
                <w:sz w:val="15"/>
                <w:szCs w:val="15"/>
                <w:b w:val="1"/>
                <w:bCs w:val="1"/>
                <w:color w:val="auto"/>
              </w:rPr>
              <w:t>Available-for-sale</w:t>
            </w: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62"/>
        </w:trPr>
        <w:tc>
          <w:tcPr>
            <w:tcW w:w="2440" w:type="dxa"/>
            <w:vAlign w:val="bottom"/>
          </w:tcPr>
          <w:p>
            <w:pPr>
              <w:spacing w:after="0" w:line="162" w:lineRule="exact"/>
              <w:rPr>
                <w:sz w:val="20"/>
                <w:szCs w:val="20"/>
                <w:color w:val="auto"/>
              </w:rPr>
            </w:pPr>
            <w:r>
              <w:rPr>
                <w:rFonts w:ascii="Arial" w:cs="Arial" w:eastAsia="Arial" w:hAnsi="Arial"/>
                <w:sz w:val="15"/>
                <w:szCs w:val="15"/>
                <w:color w:val="auto"/>
              </w:rPr>
              <w:t>Short-term:</w:t>
            </w: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2"/>
        </w:trPr>
        <w:tc>
          <w:tcPr>
            <w:tcW w:w="2440" w:type="dxa"/>
            <w:vAlign w:val="bottom"/>
          </w:tcPr>
          <w:p>
            <w:pPr>
              <w:ind w:left="180"/>
              <w:spacing w:after="0" w:line="162" w:lineRule="exact"/>
              <w:rPr>
                <w:sz w:val="20"/>
                <w:szCs w:val="20"/>
                <w:color w:val="auto"/>
              </w:rPr>
            </w:pPr>
            <w:r>
              <w:rPr>
                <w:rFonts w:ascii="Arial" w:cs="Arial" w:eastAsia="Arial" w:hAnsi="Arial"/>
                <w:sz w:val="15"/>
                <w:szCs w:val="15"/>
                <w:color w:val="auto"/>
              </w:rPr>
              <w:t>Commercial paper</w:t>
            </w: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14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42,288</w:t>
            </w:r>
          </w:p>
        </w:tc>
        <w:tc>
          <w:tcPr>
            <w:tcW w:w="1060" w:type="dxa"/>
            <w:vAlign w:val="bottom"/>
          </w:tcPr>
          <w:p>
            <w:pPr>
              <w:jc w:val="right"/>
              <w:ind w:right="723"/>
              <w:spacing w:after="0" w:line="162" w:lineRule="exact"/>
              <w:rPr>
                <w:sz w:val="20"/>
                <w:szCs w:val="20"/>
                <w:color w:val="auto"/>
              </w:rPr>
            </w:pPr>
            <w:r>
              <w:rPr>
                <w:rFonts w:ascii="Arial" w:cs="Arial" w:eastAsia="Arial" w:hAnsi="Arial"/>
                <w:sz w:val="15"/>
                <w:szCs w:val="15"/>
                <w:color w:val="auto"/>
              </w:rPr>
              <w:t>$</w:t>
            </w:r>
          </w:p>
        </w:tc>
        <w:tc>
          <w:tcPr>
            <w:tcW w:w="30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w:t>
            </w:r>
          </w:p>
        </w:tc>
        <w:tc>
          <w:tcPr>
            <w:tcW w:w="3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w:t>
            </w:r>
          </w:p>
        </w:tc>
        <w:tc>
          <w:tcPr>
            <w:tcW w:w="380" w:type="dxa"/>
            <w:vAlign w:val="bottom"/>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96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42,288</w:t>
            </w:r>
          </w:p>
        </w:tc>
        <w:tc>
          <w:tcPr>
            <w:tcW w:w="2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40" w:type="dxa"/>
            <w:vAlign w:val="bottom"/>
          </w:tcPr>
          <w:p>
            <w:pPr>
              <w:jc w:val="right"/>
              <w:ind w:right="83"/>
              <w:spacing w:after="0" w:line="162"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80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jc w:val="right"/>
              <w:ind w:right="83"/>
              <w:spacing w:after="0" w:line="162" w:lineRule="exact"/>
              <w:rPr>
                <w:sz w:val="20"/>
                <w:szCs w:val="20"/>
                <w:color w:val="auto"/>
              </w:rPr>
            </w:pPr>
            <w:r>
              <w:rPr>
                <w:rFonts w:ascii="Arial" w:cs="Arial" w:eastAsia="Arial" w:hAnsi="Arial"/>
                <w:sz w:val="15"/>
                <w:szCs w:val="15"/>
                <w:color w:val="auto"/>
                <w:w w:val="79"/>
              </w:rPr>
              <w:t>-</w:t>
            </w:r>
          </w:p>
        </w:tc>
      </w:tr>
      <w:tr>
        <w:trPr>
          <w:trHeight w:val="194"/>
        </w:trPr>
        <w:tc>
          <w:tcPr>
            <w:tcW w:w="2440" w:type="dxa"/>
            <w:vAlign w:val="bottom"/>
          </w:tcPr>
          <w:p>
            <w:pPr>
              <w:ind w:left="180"/>
              <w:spacing w:after="0"/>
              <w:rPr>
                <w:sz w:val="20"/>
                <w:szCs w:val="20"/>
                <w:color w:val="auto"/>
              </w:rPr>
            </w:pPr>
            <w:r>
              <w:rPr>
                <w:rFonts w:ascii="Arial" w:cs="Arial" w:eastAsia="Arial" w:hAnsi="Arial"/>
                <w:sz w:val="15"/>
                <w:szCs w:val="15"/>
                <w:color w:val="auto"/>
              </w:rPr>
              <w:t>Municipal securities</w:t>
            </w:r>
          </w:p>
        </w:tc>
        <w:tc>
          <w:tcPr>
            <w:tcW w:w="1120" w:type="dxa"/>
            <w:vAlign w:val="bottom"/>
          </w:tcPr>
          <w:p>
            <w:pPr>
              <w:spacing w:after="0"/>
              <w:rPr>
                <w:sz w:val="16"/>
                <w:szCs w:val="16"/>
                <w:color w:val="auto"/>
              </w:rPr>
            </w:pPr>
          </w:p>
        </w:tc>
        <w:tc>
          <w:tcPr>
            <w:tcW w:w="1140" w:type="dxa"/>
            <w:vAlign w:val="bottom"/>
          </w:tcPr>
          <w:p>
            <w:pPr>
              <w:jc w:val="right"/>
              <w:ind w:right="123"/>
              <w:spacing w:after="0"/>
              <w:rPr>
                <w:sz w:val="20"/>
                <w:szCs w:val="20"/>
                <w:color w:val="auto"/>
              </w:rPr>
            </w:pPr>
            <w:r>
              <w:rPr>
                <w:rFonts w:ascii="Arial" w:cs="Arial" w:eastAsia="Arial" w:hAnsi="Arial"/>
                <w:sz w:val="15"/>
                <w:szCs w:val="15"/>
                <w:color w:val="auto"/>
              </w:rPr>
              <w:t>441,360</w:t>
            </w:r>
          </w:p>
        </w:tc>
        <w:tc>
          <w:tcPr>
            <w:tcW w:w="1060" w:type="dxa"/>
            <w:vAlign w:val="bottom"/>
          </w:tcPr>
          <w:p>
            <w:pPr>
              <w:spacing w:after="0"/>
              <w:rPr>
                <w:sz w:val="16"/>
                <w:szCs w:val="16"/>
                <w:color w:val="auto"/>
              </w:rPr>
            </w:pPr>
          </w:p>
        </w:tc>
        <w:tc>
          <w:tcPr>
            <w:tcW w:w="30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080" w:type="dxa"/>
            <w:vAlign w:val="bottom"/>
          </w:tcPr>
          <w:p>
            <w:pPr>
              <w:jc w:val="right"/>
              <w:ind w:right="123"/>
              <w:spacing w:after="0"/>
              <w:rPr>
                <w:sz w:val="20"/>
                <w:szCs w:val="20"/>
                <w:color w:val="auto"/>
              </w:rPr>
            </w:pPr>
            <w:r>
              <w:rPr>
                <w:rFonts w:ascii="Arial" w:cs="Arial" w:eastAsia="Arial" w:hAnsi="Arial"/>
                <w:sz w:val="15"/>
                <w:szCs w:val="15"/>
                <w:color w:val="auto"/>
              </w:rPr>
              <w:t>508</w:t>
            </w:r>
          </w:p>
        </w:tc>
        <w:tc>
          <w:tcPr>
            <w:tcW w:w="380" w:type="dxa"/>
            <w:vAlign w:val="bottom"/>
          </w:tcPr>
          <w:p>
            <w:pPr>
              <w:spacing w:after="0"/>
              <w:rPr>
                <w:sz w:val="16"/>
                <w:szCs w:val="16"/>
                <w:color w:val="auto"/>
              </w:rPr>
            </w:pPr>
          </w:p>
        </w:tc>
        <w:tc>
          <w:tcPr>
            <w:tcW w:w="960" w:type="dxa"/>
            <w:vAlign w:val="bottom"/>
          </w:tcPr>
          <w:p>
            <w:pPr>
              <w:jc w:val="right"/>
              <w:ind w:right="123"/>
              <w:spacing w:after="0"/>
              <w:rPr>
                <w:sz w:val="20"/>
                <w:szCs w:val="20"/>
                <w:color w:val="auto"/>
              </w:rPr>
            </w:pPr>
            <w:r>
              <w:rPr>
                <w:rFonts w:ascii="Arial" w:cs="Arial" w:eastAsia="Arial" w:hAnsi="Arial"/>
                <w:sz w:val="15"/>
                <w:szCs w:val="15"/>
                <w:color w:val="auto"/>
              </w:rPr>
              <w:t>440,852</w:t>
            </w:r>
          </w:p>
        </w:tc>
        <w:tc>
          <w:tcPr>
            <w:tcW w:w="260" w:type="dxa"/>
            <w:vAlign w:val="bottom"/>
          </w:tcPr>
          <w:p>
            <w:pPr>
              <w:spacing w:after="0"/>
              <w:rPr>
                <w:sz w:val="16"/>
                <w:szCs w:val="16"/>
                <w:color w:val="auto"/>
              </w:rPr>
            </w:pPr>
          </w:p>
        </w:tc>
        <w:tc>
          <w:tcPr>
            <w:tcW w:w="1040" w:type="dxa"/>
            <w:vAlign w:val="bottom"/>
          </w:tcPr>
          <w:p>
            <w:pPr>
              <w:jc w:val="right"/>
              <w:ind w:right="83"/>
              <w:spacing w:after="0"/>
              <w:rPr>
                <w:sz w:val="20"/>
                <w:szCs w:val="20"/>
                <w:color w:val="auto"/>
              </w:rPr>
            </w:pPr>
            <w:r>
              <w:rPr>
                <w:rFonts w:ascii="Arial" w:cs="Arial" w:eastAsia="Arial" w:hAnsi="Arial"/>
                <w:sz w:val="15"/>
                <w:szCs w:val="15"/>
                <w:color w:val="auto"/>
              </w:rPr>
              <w:t>508</w:t>
            </w:r>
          </w:p>
        </w:tc>
        <w:tc>
          <w:tcPr>
            <w:tcW w:w="1120" w:type="dxa"/>
            <w:vAlign w:val="bottom"/>
          </w:tcPr>
          <w:p>
            <w:pPr>
              <w:spacing w:after="0"/>
              <w:rPr>
                <w:sz w:val="16"/>
                <w:szCs w:val="16"/>
                <w:color w:val="auto"/>
              </w:rPr>
            </w:pPr>
          </w:p>
        </w:tc>
        <w:tc>
          <w:tcPr>
            <w:tcW w:w="220" w:type="dxa"/>
            <w:vAlign w:val="bottom"/>
          </w:tcPr>
          <w:p>
            <w:pPr>
              <w:jc w:val="right"/>
              <w:ind w:right="83"/>
              <w:spacing w:after="0"/>
              <w:rPr>
                <w:sz w:val="20"/>
                <w:szCs w:val="20"/>
                <w:color w:val="auto"/>
              </w:rPr>
            </w:pPr>
            <w:r>
              <w:rPr>
                <w:rFonts w:ascii="Arial" w:cs="Arial" w:eastAsia="Arial" w:hAnsi="Arial"/>
                <w:sz w:val="15"/>
                <w:szCs w:val="15"/>
                <w:color w:val="auto"/>
                <w:w w:val="79"/>
              </w:rPr>
              <w:t>-</w:t>
            </w:r>
          </w:p>
        </w:tc>
      </w:tr>
    </w:tbl>
    <w:p>
      <w:pPr>
        <w:sectPr>
          <w:pgSz w:w="11900" w:h="16903" w:orient="portrait"/>
          <w:cols w:equalWidth="0" w:num="1">
            <w:col w:w="11460"/>
          </w:cols>
          <w:pgMar w:left="240" w:top="125" w:right="199" w:bottom="0" w:gutter="0" w:footer="0" w:header="0"/>
          <w:type w:val="continuous"/>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20" w:type="dxa"/>
            <w:vAlign w:val="bottom"/>
          </w:tcPr>
          <w:p>
            <w:pPr>
              <w:ind w:left="180"/>
              <w:spacing w:after="0"/>
              <w:rPr>
                <w:sz w:val="20"/>
                <w:szCs w:val="20"/>
                <w:color w:val="auto"/>
              </w:rPr>
            </w:pPr>
            <w:r>
              <w:rPr>
                <w:rFonts w:ascii="Arial" w:cs="Arial" w:eastAsia="Arial" w:hAnsi="Arial"/>
                <w:sz w:val="15"/>
                <w:szCs w:val="15"/>
                <w:color w:val="auto"/>
              </w:rPr>
              <w:t>U.S. government agency securities</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74,773</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107</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74,666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107</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9"/>
              </w:rPr>
              <w:t>-</w:t>
            </w:r>
          </w:p>
        </w:tc>
        <w:tc>
          <w:tcPr>
            <w:tcW w:w="100" w:type="dxa"/>
            <w:vAlign w:val="bottom"/>
          </w:tcPr>
          <w:p>
            <w:pPr>
              <w:spacing w:after="0"/>
              <w:rPr>
                <w:sz w:val="14"/>
                <w:szCs w:val="14"/>
                <w:color w:val="auto"/>
              </w:rPr>
            </w:pPr>
          </w:p>
        </w:tc>
      </w:tr>
      <w:tr>
        <w:trPr>
          <w:trHeight w:val="162"/>
        </w:trPr>
        <w:tc>
          <w:tcPr>
            <w:tcW w:w="3320" w:type="dxa"/>
            <w:vAlign w:val="bottom"/>
          </w:tcPr>
          <w:p>
            <w:pPr>
              <w:ind w:left="180"/>
              <w:spacing w:after="0" w:line="162" w:lineRule="exact"/>
              <w:rPr>
                <w:sz w:val="20"/>
                <w:szCs w:val="20"/>
                <w:color w:val="auto"/>
              </w:rPr>
            </w:pPr>
            <w:r>
              <w:rPr>
                <w:rFonts w:ascii="Arial" w:cs="Arial" w:eastAsia="Arial" w:hAnsi="Arial"/>
                <w:sz w:val="15"/>
                <w:szCs w:val="15"/>
                <w:color w:val="auto"/>
              </w:rPr>
              <w:t>Variable rate demand notes</w:t>
            </w:r>
          </w:p>
        </w:tc>
        <w:tc>
          <w:tcPr>
            <w:tcW w:w="2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27,416</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27,416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jc w:val="right"/>
              <w:spacing w:after="0" w:line="162" w:lineRule="exact"/>
              <w:rPr>
                <w:sz w:val="20"/>
                <w:szCs w:val="20"/>
                <w:color w:val="auto"/>
              </w:rPr>
            </w:pPr>
            <w:r>
              <w:rPr>
                <w:rFonts w:ascii="Arial" w:cs="Arial" w:eastAsia="Arial" w:hAnsi="Arial"/>
                <w:sz w:val="15"/>
                <w:szCs w:val="15"/>
                <w:color w:val="auto"/>
                <w:w w:val="79"/>
              </w:rPr>
              <w:t>-</w:t>
            </w:r>
          </w:p>
        </w:tc>
        <w:tc>
          <w:tcPr>
            <w:tcW w:w="100" w:type="dxa"/>
            <w:vAlign w:val="bottom"/>
          </w:tcPr>
          <w:p>
            <w:pPr>
              <w:spacing w:after="0"/>
              <w:rPr>
                <w:sz w:val="14"/>
                <w:szCs w:val="14"/>
                <w:color w:val="auto"/>
              </w:rPr>
            </w:pPr>
          </w:p>
        </w:tc>
      </w:tr>
      <w:tr>
        <w:trPr>
          <w:trHeight w:val="162"/>
        </w:trPr>
        <w:tc>
          <w:tcPr>
            <w:tcW w:w="3320" w:type="dxa"/>
            <w:vAlign w:val="bottom"/>
          </w:tcPr>
          <w:p>
            <w:pPr>
              <w:spacing w:after="0" w:line="162" w:lineRule="exact"/>
              <w:rPr>
                <w:sz w:val="20"/>
                <w:szCs w:val="20"/>
                <w:color w:val="auto"/>
              </w:rPr>
            </w:pPr>
            <w:r>
              <w:rPr>
                <w:rFonts w:ascii="Arial" w:cs="Arial" w:eastAsia="Arial" w:hAnsi="Arial"/>
                <w:sz w:val="15"/>
                <w:szCs w:val="15"/>
                <w:color w:val="auto"/>
              </w:rPr>
              <w:t>Long-term:</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320" w:type="dxa"/>
            <w:vAlign w:val="bottom"/>
          </w:tcPr>
          <w:p>
            <w:pPr>
              <w:ind w:left="180"/>
              <w:spacing w:after="0" w:line="162" w:lineRule="exact"/>
              <w:rPr>
                <w:sz w:val="20"/>
                <w:szCs w:val="20"/>
                <w:color w:val="auto"/>
              </w:rPr>
            </w:pPr>
            <w:r>
              <w:rPr>
                <w:rFonts w:ascii="Arial" w:cs="Arial" w:eastAsia="Arial" w:hAnsi="Arial"/>
                <w:sz w:val="15"/>
                <w:szCs w:val="15"/>
                <w:color w:val="auto"/>
              </w:rPr>
              <w:t>Municipal securities</w:t>
            </w:r>
          </w:p>
        </w:tc>
        <w:tc>
          <w:tcPr>
            <w:tcW w:w="2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527</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527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jc w:val="right"/>
              <w:spacing w:after="0" w:line="162" w:lineRule="exact"/>
              <w:rPr>
                <w:sz w:val="20"/>
                <w:szCs w:val="20"/>
                <w:color w:val="auto"/>
              </w:rPr>
            </w:pPr>
            <w:r>
              <w:rPr>
                <w:rFonts w:ascii="Arial" w:cs="Arial" w:eastAsia="Arial" w:hAnsi="Arial"/>
                <w:sz w:val="15"/>
                <w:szCs w:val="15"/>
                <w:color w:val="auto"/>
                <w:w w:val="79"/>
              </w:rPr>
              <w:t>-</w:t>
            </w:r>
          </w:p>
        </w:tc>
        <w:tc>
          <w:tcPr>
            <w:tcW w:w="100" w:type="dxa"/>
            <w:vAlign w:val="bottom"/>
          </w:tcPr>
          <w:p>
            <w:pPr>
              <w:spacing w:after="0"/>
              <w:rPr>
                <w:sz w:val="14"/>
                <w:szCs w:val="14"/>
                <w:color w:val="auto"/>
              </w:rPr>
            </w:pPr>
          </w:p>
        </w:tc>
      </w:tr>
      <w:tr>
        <w:trPr>
          <w:trHeight w:val="175"/>
        </w:trPr>
        <w:tc>
          <w:tcPr>
            <w:tcW w:w="3320" w:type="dxa"/>
            <w:vAlign w:val="bottom"/>
          </w:tcPr>
          <w:p>
            <w:pPr>
              <w:ind w:left="180"/>
              <w:spacing w:after="0"/>
              <w:rPr>
                <w:sz w:val="20"/>
                <w:szCs w:val="20"/>
                <w:color w:val="auto"/>
              </w:rPr>
            </w:pPr>
            <w:r>
              <w:rPr>
                <w:rFonts w:ascii="Arial" w:cs="Arial" w:eastAsia="Arial" w:hAnsi="Arial"/>
                <w:sz w:val="15"/>
                <w:szCs w:val="15"/>
                <w:color w:val="auto"/>
              </w:rPr>
              <w:t>U.S. government agency securities</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2,973</w:t>
            </w:r>
          </w:p>
        </w:tc>
        <w:tc>
          <w:tcPr>
            <w:tcW w:w="2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2,970</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16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9"/>
              </w:rPr>
              <w:t>-</w:t>
            </w:r>
          </w:p>
        </w:tc>
        <w:tc>
          <w:tcPr>
            <w:tcW w:w="100" w:type="dxa"/>
            <w:vAlign w:val="bottom"/>
          </w:tcPr>
          <w:p>
            <w:pPr>
              <w:spacing w:after="0"/>
              <w:rPr>
                <w:sz w:val="15"/>
                <w:szCs w:val="15"/>
                <w:color w:val="auto"/>
              </w:rPr>
            </w:pPr>
          </w:p>
        </w:tc>
      </w:tr>
      <w:tr>
        <w:trPr>
          <w:trHeight w:val="156"/>
        </w:trPr>
        <w:tc>
          <w:tcPr>
            <w:tcW w:w="3320" w:type="dxa"/>
            <w:vAlign w:val="bottom"/>
          </w:tcPr>
          <w:p>
            <w:pPr>
              <w:ind w:left="540"/>
              <w:spacing w:after="0" w:line="156" w:lineRule="exact"/>
              <w:rPr>
                <w:sz w:val="20"/>
                <w:szCs w:val="20"/>
                <w:color w:val="auto"/>
              </w:rPr>
            </w:pPr>
            <w:r>
              <w:rPr>
                <w:rFonts w:ascii="Arial" w:cs="Arial" w:eastAsia="Arial" w:hAnsi="Arial"/>
                <w:sz w:val="15"/>
                <w:szCs w:val="15"/>
                <w:color w:val="auto"/>
              </w:rPr>
              <w:t>Total</w:t>
            </w:r>
          </w:p>
        </w:tc>
        <w:tc>
          <w:tcPr>
            <w:tcW w:w="2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589,337</w:t>
            </w:r>
          </w:p>
        </w:tc>
        <w:tc>
          <w:tcPr>
            <w:tcW w:w="240" w:type="dxa"/>
            <w:vAlign w:val="bottom"/>
          </w:tcPr>
          <w:p>
            <w:pPr>
              <w:spacing w:after="0"/>
              <w:rPr>
                <w:sz w:val="13"/>
                <w:szCs w:val="13"/>
                <w:color w:val="auto"/>
              </w:rPr>
            </w:pPr>
          </w:p>
        </w:tc>
        <w:tc>
          <w:tcPr>
            <w:tcW w:w="960" w:type="dxa"/>
            <w:vAlign w:val="bottom"/>
            <w:tcBorders>
              <w:bottom w:val="single" w:sz="8" w:color="auto"/>
            </w:tcBorders>
          </w:tcPr>
          <w:p>
            <w:pPr>
              <w:jc w:val="right"/>
              <w:ind w:right="703"/>
              <w:spacing w:after="0" w:line="156" w:lineRule="exact"/>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2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618</w:t>
            </w:r>
          </w:p>
        </w:tc>
        <w:tc>
          <w:tcPr>
            <w:tcW w:w="240" w:type="dxa"/>
            <w:vAlign w:val="bottom"/>
          </w:tcPr>
          <w:p>
            <w:pPr>
              <w:spacing w:after="0"/>
              <w:rPr>
                <w:sz w:val="13"/>
                <w:szCs w:val="13"/>
                <w:color w:val="auto"/>
              </w:rPr>
            </w:pPr>
          </w:p>
        </w:tc>
        <w:tc>
          <w:tcPr>
            <w:tcW w:w="280" w:type="dxa"/>
            <w:vAlign w:val="bottom"/>
            <w:tcBorders>
              <w:bottom w:val="single" w:sz="8" w:color="auto"/>
            </w:tcBorders>
          </w:tcPr>
          <w:p>
            <w:pPr>
              <w:jc w:val="right"/>
              <w:ind w:right="23"/>
              <w:spacing w:after="0" w:line="156"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588,719</w:t>
            </w:r>
          </w:p>
        </w:tc>
        <w:tc>
          <w:tcPr>
            <w:tcW w:w="220" w:type="dxa"/>
            <w:vAlign w:val="bottom"/>
          </w:tcPr>
          <w:p>
            <w:pPr>
              <w:spacing w:after="0"/>
              <w:rPr>
                <w:sz w:val="13"/>
                <w:szCs w:val="13"/>
                <w:color w:val="auto"/>
              </w:rPr>
            </w:pPr>
          </w:p>
        </w:tc>
        <w:tc>
          <w:tcPr>
            <w:tcW w:w="1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618</w:t>
            </w:r>
          </w:p>
        </w:tc>
        <w:tc>
          <w:tcPr>
            <w:tcW w:w="160" w:type="dxa"/>
            <w:vAlign w:val="bottom"/>
          </w:tcPr>
          <w:p>
            <w:pPr>
              <w:spacing w:after="0"/>
              <w:rPr>
                <w:sz w:val="13"/>
                <w:szCs w:val="13"/>
                <w:color w:val="auto"/>
              </w:rPr>
            </w:pPr>
          </w:p>
        </w:tc>
        <w:tc>
          <w:tcPr>
            <w:tcW w:w="1060" w:type="dxa"/>
            <w:vAlign w:val="bottom"/>
            <w:tcBorders>
              <w:bottom w:val="single" w:sz="8" w:color="auto"/>
            </w:tcBorders>
          </w:tcPr>
          <w:p>
            <w:pPr>
              <w:jc w:val="right"/>
              <w:ind w:right="803"/>
              <w:spacing w:after="0" w:line="156" w:lineRule="exact"/>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9"/>
              </w:rPr>
              <w:t>-</w:t>
            </w:r>
          </w:p>
        </w:tc>
        <w:tc>
          <w:tcPr>
            <w:tcW w:w="100" w:type="dxa"/>
            <w:vAlign w:val="bottom"/>
          </w:tcPr>
          <w:p>
            <w:pPr>
              <w:spacing w:after="0"/>
              <w:rPr>
                <w:sz w:val="13"/>
                <w:szCs w:val="13"/>
                <w:color w:val="auto"/>
              </w:rPr>
            </w:pPr>
          </w:p>
        </w:tc>
      </w:tr>
      <w:tr>
        <w:trPr>
          <w:trHeight w:val="20"/>
        </w:trPr>
        <w:tc>
          <w:tcPr>
            <w:tcW w:w="3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3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5"/>
                <w:szCs w:val="15"/>
                <w:color w:val="auto"/>
                <w:w w:val="92"/>
              </w:rPr>
              <w:t>Continuous</w:t>
            </w:r>
          </w:p>
        </w:tc>
        <w:tc>
          <w:tcPr>
            <w:tcW w:w="1060" w:type="dxa"/>
            <w:vAlign w:val="bottom"/>
          </w:tcPr>
          <w:p>
            <w:pPr>
              <w:jc w:val="center"/>
              <w:ind w:left="43"/>
              <w:spacing w:after="0"/>
              <w:rPr>
                <w:sz w:val="20"/>
                <w:szCs w:val="20"/>
                <w:color w:val="auto"/>
              </w:rPr>
            </w:pPr>
            <w:r>
              <w:rPr>
                <w:rFonts w:ascii="Arial" w:cs="Arial" w:eastAsia="Arial" w:hAnsi="Arial"/>
                <w:sz w:val="15"/>
                <w:szCs w:val="15"/>
                <w:color w:val="auto"/>
                <w:w w:val="92"/>
              </w:rPr>
              <w:t>Continuous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3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center"/>
              <w:ind w:left="103"/>
              <w:spacing w:after="0" w:line="162" w:lineRule="exact"/>
              <w:rPr>
                <w:sz w:val="20"/>
                <w:szCs w:val="20"/>
                <w:color w:val="auto"/>
              </w:rPr>
            </w:pPr>
            <w:r>
              <w:rPr>
                <w:rFonts w:ascii="Arial" w:cs="Arial" w:eastAsia="Arial" w:hAnsi="Arial"/>
                <w:sz w:val="15"/>
                <w:szCs w:val="15"/>
                <w:color w:val="auto"/>
                <w:w w:val="84"/>
              </w:rPr>
              <w:t>Gross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60"/>
              <w:spacing w:after="0" w:line="162" w:lineRule="exact"/>
              <w:rPr>
                <w:sz w:val="20"/>
                <w:szCs w:val="20"/>
                <w:color w:val="auto"/>
              </w:rPr>
            </w:pPr>
            <w:r>
              <w:rPr>
                <w:rFonts w:ascii="Arial" w:cs="Arial" w:eastAsia="Arial" w:hAnsi="Arial"/>
                <w:sz w:val="15"/>
                <w:szCs w:val="15"/>
                <w:color w:val="auto"/>
                <w:w w:val="89"/>
              </w:rPr>
              <w:t>Gross</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40"/>
              <w:spacing w:after="0" w:line="162" w:lineRule="exact"/>
              <w:rPr>
                <w:sz w:val="20"/>
                <w:szCs w:val="20"/>
                <w:color w:val="auto"/>
              </w:rPr>
            </w:pPr>
            <w:r>
              <w:rPr>
                <w:rFonts w:ascii="Arial" w:cs="Arial" w:eastAsia="Arial" w:hAnsi="Arial"/>
                <w:sz w:val="15"/>
                <w:szCs w:val="15"/>
                <w:color w:val="auto"/>
                <w:w w:val="94"/>
              </w:rPr>
              <w:t>Unrealized</w:t>
            </w:r>
          </w:p>
        </w:tc>
        <w:tc>
          <w:tcPr>
            <w:tcW w:w="1060" w:type="dxa"/>
            <w:vAlign w:val="bottom"/>
          </w:tcPr>
          <w:p>
            <w:pPr>
              <w:jc w:val="center"/>
              <w:ind w:left="23"/>
              <w:spacing w:after="0" w:line="162" w:lineRule="exact"/>
              <w:rPr>
                <w:sz w:val="20"/>
                <w:szCs w:val="20"/>
                <w:color w:val="auto"/>
              </w:rPr>
            </w:pPr>
            <w:r>
              <w:rPr>
                <w:rFonts w:ascii="Arial" w:cs="Arial" w:eastAsia="Arial" w:hAnsi="Arial"/>
                <w:sz w:val="15"/>
                <w:szCs w:val="15"/>
                <w:color w:val="auto"/>
                <w:w w:val="94"/>
              </w:rPr>
              <w:t>Unrealized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center"/>
              <w:ind w:left="103"/>
              <w:spacing w:after="0" w:line="162" w:lineRule="exact"/>
              <w:rPr>
                <w:sz w:val="20"/>
                <w:szCs w:val="20"/>
                <w:color w:val="auto"/>
              </w:rPr>
            </w:pPr>
            <w:r>
              <w:rPr>
                <w:rFonts w:ascii="Arial" w:cs="Arial" w:eastAsia="Arial" w:hAnsi="Arial"/>
                <w:sz w:val="15"/>
                <w:szCs w:val="15"/>
                <w:color w:val="auto"/>
                <w:w w:val="91"/>
              </w:rPr>
              <w:t>Unrealized</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40"/>
              <w:spacing w:after="0" w:line="162" w:lineRule="exact"/>
              <w:rPr>
                <w:sz w:val="20"/>
                <w:szCs w:val="20"/>
                <w:color w:val="auto"/>
              </w:rPr>
            </w:pPr>
            <w:r>
              <w:rPr>
                <w:rFonts w:ascii="Arial" w:cs="Arial" w:eastAsia="Arial" w:hAnsi="Arial"/>
                <w:sz w:val="15"/>
                <w:szCs w:val="15"/>
                <w:color w:val="auto"/>
                <w:w w:val="91"/>
              </w:rPr>
              <w:t>Unrealized</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3"/>
          </w:tcPr>
          <w:p>
            <w:pPr>
              <w:jc w:val="center"/>
              <w:ind w:right="180"/>
              <w:spacing w:after="0" w:line="162" w:lineRule="exact"/>
              <w:rPr>
                <w:sz w:val="20"/>
                <w:szCs w:val="20"/>
                <w:color w:val="auto"/>
              </w:rPr>
            </w:pPr>
            <w:r>
              <w:rPr>
                <w:rFonts w:ascii="Arial" w:cs="Arial" w:eastAsia="Arial" w:hAnsi="Arial"/>
                <w:sz w:val="15"/>
                <w:szCs w:val="15"/>
                <w:color w:val="auto"/>
                <w:w w:val="91"/>
              </w:rPr>
              <w:t>Loss Position</w:t>
            </w:r>
          </w:p>
        </w:tc>
        <w:tc>
          <w:tcPr>
            <w:tcW w:w="1060" w:type="dxa"/>
            <w:vAlign w:val="bottom"/>
          </w:tcPr>
          <w:p>
            <w:pPr>
              <w:jc w:val="center"/>
              <w:ind w:left="43"/>
              <w:spacing w:after="0" w:line="162" w:lineRule="exact"/>
              <w:rPr>
                <w:sz w:val="20"/>
                <w:szCs w:val="20"/>
                <w:color w:val="auto"/>
              </w:rPr>
            </w:pPr>
            <w:r>
              <w:rPr>
                <w:rFonts w:ascii="Arial" w:cs="Arial" w:eastAsia="Arial" w:hAnsi="Arial"/>
                <w:sz w:val="15"/>
                <w:szCs w:val="15"/>
                <w:color w:val="auto"/>
                <w:w w:val="91"/>
              </w:rPr>
              <w:t>Loss Position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480"/>
              <w:spacing w:after="0" w:line="162" w:lineRule="exact"/>
              <w:rPr>
                <w:sz w:val="20"/>
                <w:szCs w:val="20"/>
                <w:color w:val="auto"/>
              </w:rPr>
            </w:pPr>
            <w:r>
              <w:rPr>
                <w:rFonts w:ascii="Arial" w:cs="Arial" w:eastAsia="Arial" w:hAnsi="Arial"/>
                <w:sz w:val="15"/>
                <w:szCs w:val="15"/>
                <w:color w:val="auto"/>
                <w:w w:val="97"/>
              </w:rPr>
              <w:t>Amortized</w:t>
            </w:r>
          </w:p>
        </w:tc>
        <w:tc>
          <w:tcPr>
            <w:tcW w:w="960" w:type="dxa"/>
            <w:vAlign w:val="bottom"/>
          </w:tcPr>
          <w:p>
            <w:pPr>
              <w:jc w:val="center"/>
              <w:ind w:left="103"/>
              <w:spacing w:after="0" w:line="162" w:lineRule="exact"/>
              <w:rPr>
                <w:sz w:val="20"/>
                <w:szCs w:val="20"/>
                <w:color w:val="auto"/>
              </w:rPr>
            </w:pPr>
            <w:r>
              <w:rPr>
                <w:rFonts w:ascii="Arial" w:cs="Arial" w:eastAsia="Arial" w:hAnsi="Arial"/>
                <w:sz w:val="15"/>
                <w:szCs w:val="15"/>
                <w:color w:val="auto"/>
                <w:w w:val="98"/>
              </w:rPr>
              <w:t>Holding</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40"/>
              <w:spacing w:after="0" w:line="162" w:lineRule="exact"/>
              <w:rPr>
                <w:sz w:val="20"/>
                <w:szCs w:val="20"/>
                <w:color w:val="auto"/>
              </w:rPr>
            </w:pPr>
            <w:r>
              <w:rPr>
                <w:rFonts w:ascii="Arial" w:cs="Arial" w:eastAsia="Arial" w:hAnsi="Arial"/>
                <w:sz w:val="15"/>
                <w:szCs w:val="15"/>
                <w:color w:val="auto"/>
                <w:w w:val="98"/>
              </w:rPr>
              <w:t>Holding</w:t>
            </w:r>
          </w:p>
        </w:tc>
        <w:tc>
          <w:tcPr>
            <w:tcW w:w="280" w:type="dxa"/>
            <w:vAlign w:val="bottom"/>
          </w:tcPr>
          <w:p>
            <w:pPr>
              <w:spacing w:after="0"/>
              <w:rPr>
                <w:sz w:val="14"/>
                <w:szCs w:val="14"/>
                <w:color w:val="auto"/>
              </w:rPr>
            </w:pPr>
          </w:p>
        </w:tc>
        <w:tc>
          <w:tcPr>
            <w:tcW w:w="1040" w:type="dxa"/>
            <w:vAlign w:val="bottom"/>
            <w:gridSpan w:val="2"/>
          </w:tcPr>
          <w:p>
            <w:pPr>
              <w:jc w:val="center"/>
              <w:ind w:right="520"/>
              <w:spacing w:after="0" w:line="162" w:lineRule="exact"/>
              <w:rPr>
                <w:sz w:val="20"/>
                <w:szCs w:val="20"/>
                <w:color w:val="auto"/>
              </w:rPr>
            </w:pPr>
            <w:r>
              <w:rPr>
                <w:rFonts w:ascii="Arial" w:cs="Arial" w:eastAsia="Arial" w:hAnsi="Arial"/>
                <w:sz w:val="15"/>
                <w:szCs w:val="15"/>
                <w:color w:val="auto"/>
                <w:w w:val="92"/>
              </w:rPr>
              <w:t>Fair</w:t>
            </w:r>
          </w:p>
        </w:tc>
        <w:tc>
          <w:tcPr>
            <w:tcW w:w="180" w:type="dxa"/>
            <w:vAlign w:val="bottom"/>
          </w:tcPr>
          <w:p>
            <w:pPr>
              <w:spacing w:after="0"/>
              <w:rPr>
                <w:sz w:val="14"/>
                <w:szCs w:val="14"/>
                <w:color w:val="auto"/>
              </w:rPr>
            </w:pPr>
          </w:p>
        </w:tc>
        <w:tc>
          <w:tcPr>
            <w:tcW w:w="1100" w:type="dxa"/>
            <w:vAlign w:val="bottom"/>
            <w:gridSpan w:val="2"/>
          </w:tcPr>
          <w:p>
            <w:pPr>
              <w:jc w:val="center"/>
              <w:ind w:right="340"/>
              <w:spacing w:after="0" w:line="162" w:lineRule="exact"/>
              <w:rPr>
                <w:sz w:val="20"/>
                <w:szCs w:val="20"/>
                <w:color w:val="auto"/>
              </w:rPr>
            </w:pPr>
            <w:r>
              <w:rPr>
                <w:rFonts w:ascii="Arial" w:cs="Arial" w:eastAsia="Arial" w:hAnsi="Arial"/>
                <w:sz w:val="15"/>
                <w:szCs w:val="15"/>
                <w:color w:val="auto"/>
                <w:w w:val="88"/>
              </w:rPr>
              <w:t>less than 12</w:t>
            </w:r>
          </w:p>
        </w:tc>
        <w:tc>
          <w:tcPr>
            <w:tcW w:w="1060" w:type="dxa"/>
            <w:vAlign w:val="bottom"/>
          </w:tcPr>
          <w:p>
            <w:pPr>
              <w:jc w:val="center"/>
              <w:ind w:left="23"/>
              <w:spacing w:after="0" w:line="162" w:lineRule="exact"/>
              <w:rPr>
                <w:sz w:val="20"/>
                <w:szCs w:val="20"/>
                <w:color w:val="auto"/>
              </w:rPr>
            </w:pPr>
            <w:r>
              <w:rPr>
                <w:rFonts w:ascii="Arial" w:cs="Arial" w:eastAsia="Arial" w:hAnsi="Arial"/>
                <w:sz w:val="15"/>
                <w:szCs w:val="15"/>
                <w:color w:val="auto"/>
                <w:w w:val="90"/>
              </w:rPr>
              <w:t>greater than 12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2"/>
        </w:trPr>
        <w:tc>
          <w:tcPr>
            <w:tcW w:w="33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December 31, 2017</w:t>
            </w: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5"/>
                <w:szCs w:val="15"/>
                <w:color w:val="auto"/>
                <w:w w:val="90"/>
              </w:rPr>
              <w:t>Cost</w:t>
            </w:r>
          </w:p>
        </w:tc>
        <w:tc>
          <w:tcPr>
            <w:tcW w:w="960" w:type="dxa"/>
            <w:vAlign w:val="bottom"/>
            <w:tcBorders>
              <w:bottom w:val="single" w:sz="8" w:color="auto"/>
            </w:tcBorders>
          </w:tcPr>
          <w:p>
            <w:pPr>
              <w:jc w:val="center"/>
              <w:ind w:left="103"/>
              <w:spacing w:after="0"/>
              <w:rPr>
                <w:sz w:val="20"/>
                <w:szCs w:val="20"/>
                <w:color w:val="auto"/>
              </w:rPr>
            </w:pPr>
            <w:r>
              <w:rPr>
                <w:rFonts w:ascii="Arial" w:cs="Arial" w:eastAsia="Arial" w:hAnsi="Arial"/>
                <w:sz w:val="15"/>
                <w:szCs w:val="15"/>
                <w:color w:val="auto"/>
                <w:w w:val="86"/>
              </w:rPr>
              <w:t>Gains</w:t>
            </w: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5"/>
                <w:szCs w:val="15"/>
                <w:color w:val="auto"/>
                <w:w w:val="88"/>
              </w:rPr>
              <w:t>Losses</w:t>
            </w: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5"/>
                <w:szCs w:val="15"/>
                <w:color w:val="auto"/>
                <w:w w:val="88"/>
              </w:rPr>
              <w:t>Value</w:t>
            </w: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5"/>
                <w:szCs w:val="15"/>
                <w:color w:val="auto"/>
                <w:w w:val="93"/>
              </w:rPr>
              <w:t>Months</w:t>
            </w:r>
          </w:p>
        </w:tc>
        <w:tc>
          <w:tcPr>
            <w:tcW w:w="1060" w:type="dxa"/>
            <w:vAlign w:val="bottom"/>
            <w:tcBorders>
              <w:bottom w:val="single" w:sz="8" w:color="auto"/>
            </w:tcBorders>
          </w:tcPr>
          <w:p>
            <w:pPr>
              <w:jc w:val="center"/>
              <w:ind w:left="43"/>
              <w:spacing w:after="0"/>
              <w:rPr>
                <w:sz w:val="20"/>
                <w:szCs w:val="20"/>
                <w:color w:val="auto"/>
              </w:rPr>
            </w:pPr>
            <w:r>
              <w:rPr>
                <w:rFonts w:ascii="Arial" w:cs="Arial" w:eastAsia="Arial" w:hAnsi="Arial"/>
                <w:sz w:val="15"/>
                <w:szCs w:val="15"/>
                <w:color w:val="auto"/>
                <w:w w:val="93"/>
              </w:rPr>
              <w:t>Months</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r>
      <w:tr>
        <w:trPr>
          <w:trHeight w:val="149"/>
        </w:trPr>
        <w:tc>
          <w:tcPr>
            <w:tcW w:w="3320" w:type="dxa"/>
            <w:vAlign w:val="bottom"/>
          </w:tcPr>
          <w:p>
            <w:pPr>
              <w:spacing w:after="0" w:line="149" w:lineRule="exact"/>
              <w:rPr>
                <w:sz w:val="20"/>
                <w:szCs w:val="20"/>
                <w:color w:val="auto"/>
              </w:rPr>
            </w:pPr>
            <w:r>
              <w:rPr>
                <w:rFonts w:ascii="Arial" w:cs="Arial" w:eastAsia="Arial" w:hAnsi="Arial"/>
                <w:sz w:val="15"/>
                <w:szCs w:val="15"/>
                <w:b w:val="1"/>
                <w:bCs w:val="1"/>
                <w:color w:val="auto"/>
              </w:rPr>
              <w:t>Available-for-sale</w:t>
            </w: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320" w:type="dxa"/>
            <w:vAlign w:val="bottom"/>
          </w:tcPr>
          <w:p>
            <w:pPr>
              <w:spacing w:after="0" w:line="162" w:lineRule="exact"/>
              <w:rPr>
                <w:sz w:val="20"/>
                <w:szCs w:val="20"/>
                <w:color w:val="auto"/>
              </w:rPr>
            </w:pPr>
            <w:r>
              <w:rPr>
                <w:rFonts w:ascii="Arial" w:cs="Arial" w:eastAsia="Arial" w:hAnsi="Arial"/>
                <w:sz w:val="15"/>
                <w:szCs w:val="15"/>
                <w:color w:val="auto"/>
              </w:rPr>
              <w:t>Short-term:</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320" w:type="dxa"/>
            <w:vAlign w:val="bottom"/>
          </w:tcPr>
          <w:p>
            <w:pPr>
              <w:ind w:left="180"/>
              <w:spacing w:after="0" w:line="162" w:lineRule="exact"/>
              <w:rPr>
                <w:sz w:val="20"/>
                <w:szCs w:val="20"/>
                <w:color w:val="auto"/>
              </w:rPr>
            </w:pPr>
            <w:r>
              <w:rPr>
                <w:rFonts w:ascii="Arial" w:cs="Arial" w:eastAsia="Arial" w:hAnsi="Arial"/>
                <w:sz w:val="15"/>
                <w:szCs w:val="15"/>
                <w:color w:val="auto"/>
              </w:rPr>
              <w:t>Commercial paper</w:t>
            </w:r>
          </w:p>
        </w:tc>
        <w:tc>
          <w:tcPr>
            <w:tcW w:w="2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81,026</w:t>
            </w:r>
          </w:p>
        </w:tc>
        <w:tc>
          <w:tcPr>
            <w:tcW w:w="240" w:type="dxa"/>
            <w:vAlign w:val="bottom"/>
          </w:tcPr>
          <w:p>
            <w:pPr>
              <w:spacing w:after="0"/>
              <w:rPr>
                <w:sz w:val="14"/>
                <w:szCs w:val="14"/>
                <w:color w:val="auto"/>
              </w:rPr>
            </w:pPr>
          </w:p>
        </w:tc>
        <w:tc>
          <w:tcPr>
            <w:tcW w:w="960" w:type="dxa"/>
            <w:vAlign w:val="bottom"/>
          </w:tcPr>
          <w:p>
            <w:pPr>
              <w:jc w:val="right"/>
              <w:ind w:right="703"/>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80" w:type="dxa"/>
            <w:vAlign w:val="bottom"/>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81,026</w:t>
            </w:r>
          </w:p>
        </w:tc>
        <w:tc>
          <w:tcPr>
            <w:tcW w:w="22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060" w:type="dxa"/>
            <w:vAlign w:val="bottom"/>
          </w:tcPr>
          <w:p>
            <w:pPr>
              <w:jc w:val="right"/>
              <w:ind w:right="803"/>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jc w:val="right"/>
              <w:spacing w:after="0" w:line="162" w:lineRule="exact"/>
              <w:rPr>
                <w:sz w:val="20"/>
                <w:szCs w:val="20"/>
                <w:color w:val="auto"/>
              </w:rPr>
            </w:pPr>
            <w:r>
              <w:rPr>
                <w:rFonts w:ascii="Arial" w:cs="Arial" w:eastAsia="Arial" w:hAnsi="Arial"/>
                <w:sz w:val="15"/>
                <w:szCs w:val="15"/>
                <w:color w:val="auto"/>
                <w:w w:val="79"/>
              </w:rPr>
              <w:t>-</w:t>
            </w:r>
          </w:p>
        </w:tc>
        <w:tc>
          <w:tcPr>
            <w:tcW w:w="100" w:type="dxa"/>
            <w:vAlign w:val="bottom"/>
          </w:tcPr>
          <w:p>
            <w:pPr>
              <w:spacing w:after="0"/>
              <w:rPr>
                <w:sz w:val="14"/>
                <w:szCs w:val="14"/>
                <w:color w:val="auto"/>
              </w:rPr>
            </w:pPr>
          </w:p>
        </w:tc>
      </w:tr>
      <w:tr>
        <w:trPr>
          <w:trHeight w:val="162"/>
        </w:trPr>
        <w:tc>
          <w:tcPr>
            <w:tcW w:w="3320" w:type="dxa"/>
            <w:vAlign w:val="bottom"/>
          </w:tcPr>
          <w:p>
            <w:pPr>
              <w:ind w:left="180"/>
              <w:spacing w:after="0" w:line="162" w:lineRule="exact"/>
              <w:rPr>
                <w:sz w:val="20"/>
                <w:szCs w:val="20"/>
                <w:color w:val="auto"/>
              </w:rPr>
            </w:pPr>
            <w:r>
              <w:rPr>
                <w:rFonts w:ascii="Arial" w:cs="Arial" w:eastAsia="Arial" w:hAnsi="Arial"/>
                <w:sz w:val="15"/>
                <w:szCs w:val="15"/>
                <w:color w:val="auto"/>
              </w:rPr>
              <w:t>Certificates of deposit</w:t>
            </w:r>
          </w:p>
        </w:tc>
        <w:tc>
          <w:tcPr>
            <w:tcW w:w="2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11,869</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11,869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jc w:val="right"/>
              <w:spacing w:after="0" w:line="162" w:lineRule="exact"/>
              <w:rPr>
                <w:sz w:val="20"/>
                <w:szCs w:val="20"/>
                <w:color w:val="auto"/>
              </w:rPr>
            </w:pPr>
            <w:r>
              <w:rPr>
                <w:rFonts w:ascii="Arial" w:cs="Arial" w:eastAsia="Arial" w:hAnsi="Arial"/>
                <w:sz w:val="15"/>
                <w:szCs w:val="15"/>
                <w:color w:val="auto"/>
                <w:w w:val="79"/>
              </w:rPr>
              <w:t>-</w:t>
            </w:r>
          </w:p>
        </w:tc>
        <w:tc>
          <w:tcPr>
            <w:tcW w:w="100" w:type="dxa"/>
            <w:vAlign w:val="bottom"/>
          </w:tcPr>
          <w:p>
            <w:pPr>
              <w:spacing w:after="0"/>
              <w:rPr>
                <w:sz w:val="14"/>
                <w:szCs w:val="14"/>
                <w:color w:val="auto"/>
              </w:rPr>
            </w:pPr>
          </w:p>
        </w:tc>
      </w:tr>
      <w:tr>
        <w:trPr>
          <w:trHeight w:val="162"/>
        </w:trPr>
        <w:tc>
          <w:tcPr>
            <w:tcW w:w="3320" w:type="dxa"/>
            <w:vAlign w:val="bottom"/>
          </w:tcPr>
          <w:p>
            <w:pPr>
              <w:ind w:left="180"/>
              <w:spacing w:after="0" w:line="162" w:lineRule="exact"/>
              <w:rPr>
                <w:sz w:val="20"/>
                <w:szCs w:val="20"/>
                <w:color w:val="auto"/>
              </w:rPr>
            </w:pPr>
            <w:r>
              <w:rPr>
                <w:rFonts w:ascii="Arial" w:cs="Arial" w:eastAsia="Arial" w:hAnsi="Arial"/>
                <w:sz w:val="15"/>
                <w:szCs w:val="15"/>
                <w:color w:val="auto"/>
              </w:rPr>
              <w:t>Municipal securities</w:t>
            </w:r>
          </w:p>
        </w:tc>
        <w:tc>
          <w:tcPr>
            <w:tcW w:w="2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469,604</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740</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468,865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740</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jc w:val="right"/>
              <w:spacing w:after="0" w:line="162" w:lineRule="exact"/>
              <w:rPr>
                <w:sz w:val="20"/>
                <w:szCs w:val="20"/>
                <w:color w:val="auto"/>
              </w:rPr>
            </w:pPr>
            <w:r>
              <w:rPr>
                <w:rFonts w:ascii="Arial" w:cs="Arial" w:eastAsia="Arial" w:hAnsi="Arial"/>
                <w:sz w:val="15"/>
                <w:szCs w:val="15"/>
                <w:color w:val="auto"/>
                <w:w w:val="79"/>
              </w:rPr>
              <w:t>-</w:t>
            </w:r>
          </w:p>
        </w:tc>
        <w:tc>
          <w:tcPr>
            <w:tcW w:w="100" w:type="dxa"/>
            <w:vAlign w:val="bottom"/>
          </w:tcPr>
          <w:p>
            <w:pPr>
              <w:spacing w:after="0"/>
              <w:rPr>
                <w:sz w:val="14"/>
                <w:szCs w:val="14"/>
                <w:color w:val="auto"/>
              </w:rPr>
            </w:pPr>
          </w:p>
        </w:tc>
      </w:tr>
      <w:tr>
        <w:trPr>
          <w:trHeight w:val="162"/>
        </w:trPr>
        <w:tc>
          <w:tcPr>
            <w:tcW w:w="3320" w:type="dxa"/>
            <w:vAlign w:val="bottom"/>
          </w:tcPr>
          <w:p>
            <w:pPr>
              <w:ind w:left="180"/>
              <w:spacing w:after="0" w:line="162" w:lineRule="exact"/>
              <w:rPr>
                <w:sz w:val="20"/>
                <w:szCs w:val="20"/>
                <w:color w:val="auto"/>
              </w:rPr>
            </w:pPr>
            <w:r>
              <w:rPr>
                <w:rFonts w:ascii="Arial" w:cs="Arial" w:eastAsia="Arial" w:hAnsi="Arial"/>
                <w:sz w:val="15"/>
                <w:szCs w:val="15"/>
                <w:color w:val="auto"/>
              </w:rPr>
              <w:t>U.S. government agency securities</w:t>
            </w:r>
          </w:p>
        </w:tc>
        <w:tc>
          <w:tcPr>
            <w:tcW w:w="2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61,307</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88</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61,219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88</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jc w:val="right"/>
              <w:spacing w:after="0" w:line="162" w:lineRule="exact"/>
              <w:rPr>
                <w:sz w:val="20"/>
                <w:szCs w:val="20"/>
                <w:color w:val="auto"/>
              </w:rPr>
            </w:pPr>
            <w:r>
              <w:rPr>
                <w:rFonts w:ascii="Arial" w:cs="Arial" w:eastAsia="Arial" w:hAnsi="Arial"/>
                <w:sz w:val="15"/>
                <w:szCs w:val="15"/>
                <w:color w:val="auto"/>
                <w:w w:val="79"/>
              </w:rPr>
              <w:t>-</w:t>
            </w:r>
          </w:p>
        </w:tc>
        <w:tc>
          <w:tcPr>
            <w:tcW w:w="100" w:type="dxa"/>
            <w:vAlign w:val="bottom"/>
          </w:tcPr>
          <w:p>
            <w:pPr>
              <w:spacing w:after="0"/>
              <w:rPr>
                <w:sz w:val="14"/>
                <w:szCs w:val="14"/>
                <w:color w:val="auto"/>
              </w:rPr>
            </w:pPr>
          </w:p>
        </w:tc>
      </w:tr>
      <w:tr>
        <w:trPr>
          <w:trHeight w:val="162"/>
        </w:trPr>
        <w:tc>
          <w:tcPr>
            <w:tcW w:w="3320" w:type="dxa"/>
            <w:vAlign w:val="bottom"/>
          </w:tcPr>
          <w:p>
            <w:pPr>
              <w:ind w:left="180"/>
              <w:spacing w:after="0" w:line="162" w:lineRule="exact"/>
              <w:rPr>
                <w:sz w:val="20"/>
                <w:szCs w:val="20"/>
                <w:color w:val="auto"/>
              </w:rPr>
            </w:pPr>
            <w:r>
              <w:rPr>
                <w:rFonts w:ascii="Arial" w:cs="Arial" w:eastAsia="Arial" w:hAnsi="Arial"/>
                <w:sz w:val="15"/>
                <w:szCs w:val="15"/>
                <w:color w:val="auto"/>
              </w:rPr>
              <w:t>Variable rate demand notes</w:t>
            </w:r>
          </w:p>
        </w:tc>
        <w:tc>
          <w:tcPr>
            <w:tcW w:w="2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49,954</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49,954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jc w:val="right"/>
              <w:spacing w:after="0" w:line="162" w:lineRule="exact"/>
              <w:rPr>
                <w:sz w:val="20"/>
                <w:szCs w:val="20"/>
                <w:color w:val="auto"/>
              </w:rPr>
            </w:pPr>
            <w:r>
              <w:rPr>
                <w:rFonts w:ascii="Arial" w:cs="Arial" w:eastAsia="Arial" w:hAnsi="Arial"/>
                <w:sz w:val="15"/>
                <w:szCs w:val="15"/>
                <w:color w:val="auto"/>
                <w:w w:val="79"/>
              </w:rPr>
              <w:t>-</w:t>
            </w:r>
          </w:p>
        </w:tc>
        <w:tc>
          <w:tcPr>
            <w:tcW w:w="100" w:type="dxa"/>
            <w:vAlign w:val="bottom"/>
          </w:tcPr>
          <w:p>
            <w:pPr>
              <w:spacing w:after="0"/>
              <w:rPr>
                <w:sz w:val="14"/>
                <w:szCs w:val="14"/>
                <w:color w:val="auto"/>
              </w:rPr>
            </w:pPr>
          </w:p>
        </w:tc>
      </w:tr>
      <w:tr>
        <w:trPr>
          <w:trHeight w:val="162"/>
        </w:trPr>
        <w:tc>
          <w:tcPr>
            <w:tcW w:w="3320" w:type="dxa"/>
            <w:vAlign w:val="bottom"/>
          </w:tcPr>
          <w:p>
            <w:pPr>
              <w:spacing w:after="0" w:line="162" w:lineRule="exact"/>
              <w:rPr>
                <w:sz w:val="20"/>
                <w:szCs w:val="20"/>
                <w:color w:val="auto"/>
              </w:rPr>
            </w:pPr>
            <w:r>
              <w:rPr>
                <w:rFonts w:ascii="Arial" w:cs="Arial" w:eastAsia="Arial" w:hAnsi="Arial"/>
                <w:sz w:val="15"/>
                <w:szCs w:val="15"/>
                <w:color w:val="auto"/>
              </w:rPr>
              <w:t>Long-term:</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3320" w:type="dxa"/>
            <w:vAlign w:val="bottom"/>
          </w:tcPr>
          <w:p>
            <w:pPr>
              <w:ind w:left="180"/>
              <w:spacing w:after="0"/>
              <w:rPr>
                <w:sz w:val="20"/>
                <w:szCs w:val="20"/>
                <w:color w:val="auto"/>
              </w:rPr>
            </w:pPr>
            <w:r>
              <w:rPr>
                <w:rFonts w:ascii="Arial" w:cs="Arial" w:eastAsia="Arial" w:hAnsi="Arial"/>
                <w:sz w:val="15"/>
                <w:szCs w:val="15"/>
                <w:color w:val="auto"/>
              </w:rPr>
              <w:t>U.S. government agency securities</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2,369</w:t>
            </w:r>
          </w:p>
        </w:tc>
        <w:tc>
          <w:tcPr>
            <w:tcW w:w="2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2,366</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16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9"/>
              </w:rPr>
              <w:t>-</w:t>
            </w:r>
          </w:p>
        </w:tc>
        <w:tc>
          <w:tcPr>
            <w:tcW w:w="100" w:type="dxa"/>
            <w:vAlign w:val="bottom"/>
          </w:tcPr>
          <w:p>
            <w:pPr>
              <w:spacing w:after="0"/>
              <w:rPr>
                <w:sz w:val="15"/>
                <w:szCs w:val="15"/>
                <w:color w:val="auto"/>
              </w:rPr>
            </w:pPr>
          </w:p>
        </w:tc>
      </w:tr>
      <w:tr>
        <w:trPr>
          <w:trHeight w:val="156"/>
        </w:trPr>
        <w:tc>
          <w:tcPr>
            <w:tcW w:w="3320" w:type="dxa"/>
            <w:vAlign w:val="bottom"/>
          </w:tcPr>
          <w:p>
            <w:pPr>
              <w:ind w:left="540"/>
              <w:spacing w:after="0" w:line="156" w:lineRule="exact"/>
              <w:rPr>
                <w:sz w:val="20"/>
                <w:szCs w:val="20"/>
                <w:color w:val="auto"/>
              </w:rPr>
            </w:pPr>
            <w:r>
              <w:rPr>
                <w:rFonts w:ascii="Arial" w:cs="Arial" w:eastAsia="Arial" w:hAnsi="Arial"/>
                <w:sz w:val="15"/>
                <w:szCs w:val="15"/>
                <w:color w:val="auto"/>
              </w:rPr>
              <w:t>Total</w:t>
            </w:r>
          </w:p>
        </w:tc>
        <w:tc>
          <w:tcPr>
            <w:tcW w:w="2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676,129</w:t>
            </w:r>
          </w:p>
        </w:tc>
        <w:tc>
          <w:tcPr>
            <w:tcW w:w="240" w:type="dxa"/>
            <w:vAlign w:val="bottom"/>
          </w:tcPr>
          <w:p>
            <w:pPr>
              <w:spacing w:after="0"/>
              <w:rPr>
                <w:sz w:val="13"/>
                <w:szCs w:val="13"/>
                <w:color w:val="auto"/>
              </w:rPr>
            </w:pPr>
          </w:p>
        </w:tc>
        <w:tc>
          <w:tcPr>
            <w:tcW w:w="960" w:type="dxa"/>
            <w:vAlign w:val="bottom"/>
            <w:tcBorders>
              <w:bottom w:val="single" w:sz="8" w:color="auto"/>
            </w:tcBorders>
          </w:tcPr>
          <w:p>
            <w:pPr>
              <w:jc w:val="right"/>
              <w:ind w:right="703"/>
              <w:spacing w:after="0" w:line="156" w:lineRule="exact"/>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w:t>
            </w:r>
          </w:p>
        </w:tc>
        <w:tc>
          <w:tcPr>
            <w:tcW w:w="240" w:type="dxa"/>
            <w:vAlign w:val="bottom"/>
          </w:tcPr>
          <w:p>
            <w:pPr>
              <w:spacing w:after="0"/>
              <w:rPr>
                <w:sz w:val="13"/>
                <w:szCs w:val="13"/>
                <w:color w:val="auto"/>
              </w:rPr>
            </w:pPr>
          </w:p>
        </w:tc>
        <w:tc>
          <w:tcPr>
            <w:tcW w:w="2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831</w:t>
            </w:r>
          </w:p>
        </w:tc>
        <w:tc>
          <w:tcPr>
            <w:tcW w:w="240" w:type="dxa"/>
            <w:vAlign w:val="bottom"/>
          </w:tcPr>
          <w:p>
            <w:pPr>
              <w:spacing w:after="0"/>
              <w:rPr>
                <w:sz w:val="13"/>
                <w:szCs w:val="13"/>
                <w:color w:val="auto"/>
              </w:rPr>
            </w:pPr>
          </w:p>
        </w:tc>
        <w:tc>
          <w:tcPr>
            <w:tcW w:w="280" w:type="dxa"/>
            <w:vAlign w:val="bottom"/>
            <w:tcBorders>
              <w:bottom w:val="single" w:sz="8" w:color="auto"/>
            </w:tcBorders>
          </w:tcPr>
          <w:p>
            <w:pPr>
              <w:jc w:val="right"/>
              <w:ind w:right="23"/>
              <w:spacing w:after="0" w:line="156"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675,299</w:t>
            </w:r>
          </w:p>
        </w:tc>
        <w:tc>
          <w:tcPr>
            <w:tcW w:w="220" w:type="dxa"/>
            <w:vAlign w:val="bottom"/>
          </w:tcPr>
          <w:p>
            <w:pPr>
              <w:spacing w:after="0"/>
              <w:rPr>
                <w:sz w:val="13"/>
                <w:szCs w:val="13"/>
                <w:color w:val="auto"/>
              </w:rPr>
            </w:pPr>
          </w:p>
        </w:tc>
        <w:tc>
          <w:tcPr>
            <w:tcW w:w="1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831</w:t>
            </w:r>
          </w:p>
        </w:tc>
        <w:tc>
          <w:tcPr>
            <w:tcW w:w="160" w:type="dxa"/>
            <w:vAlign w:val="bottom"/>
          </w:tcPr>
          <w:p>
            <w:pPr>
              <w:spacing w:after="0"/>
              <w:rPr>
                <w:sz w:val="13"/>
                <w:szCs w:val="13"/>
                <w:color w:val="auto"/>
              </w:rPr>
            </w:pPr>
          </w:p>
        </w:tc>
        <w:tc>
          <w:tcPr>
            <w:tcW w:w="1060" w:type="dxa"/>
            <w:vAlign w:val="bottom"/>
            <w:tcBorders>
              <w:bottom w:val="single" w:sz="8" w:color="auto"/>
            </w:tcBorders>
          </w:tcPr>
          <w:p>
            <w:pPr>
              <w:jc w:val="right"/>
              <w:ind w:right="803"/>
              <w:spacing w:after="0" w:line="156" w:lineRule="exact"/>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9"/>
              </w:rPr>
              <w:t>-</w:t>
            </w:r>
          </w:p>
        </w:tc>
        <w:tc>
          <w:tcPr>
            <w:tcW w:w="100" w:type="dxa"/>
            <w:vAlign w:val="bottom"/>
          </w:tcPr>
          <w:p>
            <w:pPr>
              <w:spacing w:after="0"/>
              <w:rPr>
                <w:sz w:val="13"/>
                <w:szCs w:val="13"/>
                <w:color w:val="auto"/>
              </w:rPr>
            </w:pPr>
          </w:p>
        </w:tc>
      </w:tr>
      <w:tr>
        <w:trPr>
          <w:trHeight w:val="20"/>
        </w:trPr>
        <w:tc>
          <w:tcPr>
            <w:tcW w:w="3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During the three-months ended March 31, 2018 and 2017, realized gains or losses recognized on the sale of investments were not significant.</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Company’s investments at March 31, 2018 and December 31, 2017 in commercial paper, certificates of deposit, municipal securities, U.S. government agency securities and/or variable rate demand notes (“VRDNs”) carried investment grade credit ratings. VRDNs are floating rate municipal bonds with embedded put options that allow the bondholder to sell the security at par plus accrued interest. All of the put options are secured by a pledged liquidity source. While they are classified as marketable investment securities, the put option allows the VRDNs to be liquidated at par on a same day, or more generally, on a seven-day settlement basis.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underlying contractual maturities of the Company’s investments at:</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825"/>
              <w:spacing w:after="0"/>
              <w:rPr>
                <w:sz w:val="20"/>
                <w:szCs w:val="20"/>
                <w:color w:val="auto"/>
              </w:rPr>
            </w:pPr>
            <w:r>
              <w:rPr>
                <w:rFonts w:ascii="Arial" w:cs="Arial" w:eastAsia="Arial" w:hAnsi="Arial"/>
                <w:sz w:val="19"/>
                <w:szCs w:val="19"/>
                <w:color w:val="auto"/>
              </w:rPr>
              <w:t>March 31, 2018</w:t>
            </w:r>
          </w:p>
        </w:tc>
        <w:tc>
          <w:tcPr>
            <w:tcW w:w="2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665"/>
              <w:spacing w:after="0"/>
              <w:rPr>
                <w:sz w:val="20"/>
                <w:szCs w:val="20"/>
                <w:color w:val="auto"/>
              </w:rPr>
            </w:pPr>
            <w:r>
              <w:rPr>
                <w:rFonts w:ascii="Arial" w:cs="Arial" w:eastAsia="Arial" w:hAnsi="Arial"/>
                <w:sz w:val="19"/>
                <w:szCs w:val="19"/>
                <w:color w:val="auto"/>
              </w:rPr>
              <w:t>December 31, 2017</w:t>
            </w:r>
          </w:p>
        </w:tc>
        <w:tc>
          <w:tcPr>
            <w:tcW w:w="0" w:type="dxa"/>
            <w:vAlign w:val="bottom"/>
          </w:tcPr>
          <w:p>
            <w:pPr>
              <w:spacing w:after="0"/>
              <w:rPr>
                <w:sz w:val="1"/>
                <w:szCs w:val="1"/>
                <w:color w:val="auto"/>
              </w:rPr>
            </w:pPr>
          </w:p>
        </w:tc>
      </w:tr>
      <w:tr>
        <w:trPr>
          <w:trHeight w:val="426"/>
        </w:trPr>
        <w:tc>
          <w:tcPr>
            <w:tcW w:w="4200" w:type="dxa"/>
            <w:vAlign w:val="bottom"/>
            <w:vMerge w:val="restart"/>
          </w:tcPr>
          <w:p>
            <w:pPr>
              <w:spacing w:after="0"/>
              <w:rPr>
                <w:sz w:val="20"/>
                <w:szCs w:val="20"/>
                <w:color w:val="auto"/>
              </w:rPr>
            </w:pPr>
            <w:r>
              <w:rPr>
                <w:rFonts w:ascii="Arial" w:cs="Arial" w:eastAsia="Arial" w:hAnsi="Arial"/>
                <w:sz w:val="19"/>
                <w:szCs w:val="19"/>
                <w:color w:val="auto"/>
              </w:rPr>
              <w:t>Less than 1 year:</w:t>
            </w:r>
          </w:p>
        </w:tc>
        <w:tc>
          <w:tcPr>
            <w:tcW w:w="1700" w:type="dxa"/>
            <w:vAlign w:val="bottom"/>
            <w:gridSpan w:val="3"/>
          </w:tcPr>
          <w:p>
            <w:pPr>
              <w:ind w:left="140"/>
              <w:spacing w:after="0"/>
              <w:rPr>
                <w:sz w:val="20"/>
                <w:szCs w:val="20"/>
                <w:color w:val="auto"/>
              </w:rPr>
            </w:pPr>
            <w:r>
              <w:rPr>
                <w:rFonts w:ascii="Arial" w:cs="Arial" w:eastAsia="Arial" w:hAnsi="Arial"/>
                <w:sz w:val="19"/>
                <w:szCs w:val="19"/>
                <w:color w:val="auto"/>
              </w:rPr>
              <w:t>Amortized Cost</w:t>
            </w:r>
          </w:p>
        </w:tc>
        <w:tc>
          <w:tcPr>
            <w:tcW w:w="240" w:type="dxa"/>
            <w:vAlign w:val="bottom"/>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Arial" w:cs="Arial" w:eastAsia="Arial" w:hAnsi="Arial"/>
                <w:sz w:val="19"/>
                <w:szCs w:val="19"/>
                <w:color w:val="auto"/>
              </w:rPr>
              <w:t>Fair Value</w:t>
            </w:r>
          </w:p>
        </w:tc>
        <w:tc>
          <w:tcPr>
            <w:tcW w:w="1680" w:type="dxa"/>
            <w:vAlign w:val="bottom"/>
            <w:gridSpan w:val="3"/>
          </w:tcPr>
          <w:p>
            <w:pPr>
              <w:ind w:left="140"/>
              <w:spacing w:after="0"/>
              <w:rPr>
                <w:sz w:val="20"/>
                <w:szCs w:val="20"/>
                <w:color w:val="auto"/>
              </w:rPr>
            </w:pPr>
            <w:r>
              <w:rPr>
                <w:rFonts w:ascii="Arial" w:cs="Arial" w:eastAsia="Arial" w:hAnsi="Arial"/>
                <w:sz w:val="19"/>
                <w:szCs w:val="19"/>
                <w:color w:val="auto"/>
              </w:rPr>
              <w:t>Amortized Cost</w:t>
            </w:r>
          </w:p>
        </w:tc>
        <w:tc>
          <w:tcPr>
            <w:tcW w:w="220" w:type="dxa"/>
            <w:vAlign w:val="bottom"/>
          </w:tcPr>
          <w:p>
            <w:pPr>
              <w:spacing w:after="0"/>
              <w:rPr>
                <w:sz w:val="24"/>
                <w:szCs w:val="24"/>
                <w:color w:val="auto"/>
              </w:rPr>
            </w:pPr>
          </w:p>
        </w:tc>
        <w:tc>
          <w:tcPr>
            <w:tcW w:w="1100" w:type="dxa"/>
            <w:vAlign w:val="bottom"/>
          </w:tcPr>
          <w:p>
            <w:pPr>
              <w:jc w:val="right"/>
              <w:ind w:right="165"/>
              <w:spacing w:after="0"/>
              <w:rPr>
                <w:sz w:val="20"/>
                <w:szCs w:val="20"/>
                <w:color w:val="auto"/>
              </w:rPr>
            </w:pPr>
            <w:r>
              <w:rPr>
                <w:rFonts w:ascii="Arial" w:cs="Arial" w:eastAsia="Arial" w:hAnsi="Arial"/>
                <w:sz w:val="19"/>
                <w:szCs w:val="19"/>
                <w:color w:val="auto"/>
                <w:w w:val="94"/>
              </w:rPr>
              <w:t>Fair Value</w:t>
            </w:r>
          </w:p>
        </w:tc>
        <w:tc>
          <w:tcPr>
            <w:tcW w:w="0" w:type="dxa"/>
            <w:vAlign w:val="bottom"/>
          </w:tcPr>
          <w:p>
            <w:pPr>
              <w:spacing w:after="0"/>
              <w:rPr>
                <w:sz w:val="1"/>
                <w:szCs w:val="1"/>
                <w:color w:val="auto"/>
              </w:rPr>
            </w:pPr>
          </w:p>
        </w:tc>
      </w:tr>
      <w:tr>
        <w:trPr>
          <w:trHeight w:val="174"/>
        </w:trPr>
        <w:tc>
          <w:tcPr>
            <w:tcW w:w="4200" w:type="dxa"/>
            <w:vAlign w:val="bottom"/>
            <w:vMerge w:val="continue"/>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line="216" w:lineRule="exact"/>
              <w:rPr>
                <w:sz w:val="20"/>
                <w:szCs w:val="20"/>
                <w:color w:val="auto"/>
              </w:rPr>
            </w:pPr>
            <w:r>
              <w:rPr>
                <w:rFonts w:ascii="Arial" w:cs="Arial" w:eastAsia="Arial" w:hAnsi="Arial"/>
                <w:sz w:val="19"/>
                <w:szCs w:val="19"/>
                <w:color w:val="auto"/>
              </w:rPr>
              <w:t>Commercial paper</w:t>
            </w:r>
          </w:p>
        </w:tc>
        <w:tc>
          <w:tcPr>
            <w:tcW w:w="480" w:type="dxa"/>
            <w:vAlign w:val="bottom"/>
          </w:tcPr>
          <w:p>
            <w:pPr>
              <w:jc w:val="right"/>
              <w:ind w:right="205"/>
              <w:spacing w:after="0" w:line="216" w:lineRule="exact"/>
              <w:rPr>
                <w:sz w:val="20"/>
                <w:szCs w:val="20"/>
                <w:color w:val="auto"/>
              </w:rPr>
            </w:pPr>
            <w:r>
              <w:rPr>
                <w:rFonts w:ascii="Arial" w:cs="Arial" w:eastAsia="Arial" w:hAnsi="Arial"/>
                <w:sz w:val="19"/>
                <w:szCs w:val="19"/>
                <w:color w:val="auto"/>
              </w:rPr>
              <w:t>$</w:t>
            </w: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42,288</w:t>
            </w:r>
          </w:p>
        </w:tc>
        <w:tc>
          <w:tcPr>
            <w:tcW w:w="220" w:type="dxa"/>
            <w:vAlign w:val="bottom"/>
          </w:tcPr>
          <w:p>
            <w:pPr>
              <w:spacing w:after="0"/>
              <w:rPr>
                <w:sz w:val="18"/>
                <w:szCs w:val="18"/>
                <w:color w:val="auto"/>
              </w:rPr>
            </w:pPr>
          </w:p>
        </w:tc>
        <w:tc>
          <w:tcPr>
            <w:tcW w:w="2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42,288</w:t>
            </w:r>
          </w:p>
        </w:tc>
        <w:tc>
          <w:tcPr>
            <w:tcW w:w="220" w:type="dxa"/>
            <w:vAlign w:val="bottom"/>
          </w:tcPr>
          <w:p>
            <w:pPr>
              <w:spacing w:after="0"/>
              <w:rPr>
                <w:sz w:val="18"/>
                <w:szCs w:val="18"/>
                <w:color w:val="auto"/>
              </w:rPr>
            </w:pPr>
          </w:p>
        </w:tc>
        <w:tc>
          <w:tcPr>
            <w:tcW w:w="480" w:type="dxa"/>
            <w:vAlign w:val="bottom"/>
          </w:tcPr>
          <w:p>
            <w:pPr>
              <w:jc w:val="right"/>
              <w:ind w:right="205"/>
              <w:spacing w:after="0" w:line="216" w:lineRule="exact"/>
              <w:rPr>
                <w:sz w:val="20"/>
                <w:szCs w:val="20"/>
                <w:color w:val="auto"/>
              </w:rPr>
            </w:pPr>
            <w:r>
              <w:rPr>
                <w:rFonts w:ascii="Arial" w:cs="Arial" w:eastAsia="Arial" w:hAnsi="Arial"/>
                <w:sz w:val="19"/>
                <w:szCs w:val="19"/>
                <w:color w:val="auto"/>
              </w:rPr>
              <w:t>$</w:t>
            </w: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81,026</w:t>
            </w:r>
          </w:p>
        </w:tc>
        <w:tc>
          <w:tcPr>
            <w:tcW w:w="200" w:type="dxa"/>
            <w:vAlign w:val="bottom"/>
          </w:tcPr>
          <w:p>
            <w:pPr>
              <w:spacing w:after="0"/>
              <w:rPr>
                <w:sz w:val="18"/>
                <w:szCs w:val="18"/>
                <w:color w:val="auto"/>
              </w:rPr>
            </w:pPr>
          </w:p>
        </w:tc>
        <w:tc>
          <w:tcPr>
            <w:tcW w:w="22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100" w:type="dxa"/>
            <w:vAlign w:val="bottom"/>
          </w:tcPr>
          <w:p>
            <w:pPr>
              <w:jc w:val="right"/>
              <w:spacing w:after="0" w:line="216" w:lineRule="exact"/>
              <w:rPr>
                <w:sz w:val="20"/>
                <w:szCs w:val="20"/>
                <w:color w:val="auto"/>
              </w:rPr>
            </w:pPr>
            <w:r>
              <w:rPr>
                <w:rFonts w:ascii="Arial" w:cs="Arial" w:eastAsia="Arial" w:hAnsi="Arial"/>
                <w:sz w:val="19"/>
                <w:szCs w:val="19"/>
                <w:color w:val="auto"/>
              </w:rPr>
              <w:t>81,026</w:t>
            </w: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line="216" w:lineRule="exact"/>
              <w:rPr>
                <w:sz w:val="20"/>
                <w:szCs w:val="20"/>
                <w:color w:val="auto"/>
              </w:rPr>
            </w:pPr>
            <w:r>
              <w:rPr>
                <w:rFonts w:ascii="Arial" w:cs="Arial" w:eastAsia="Arial" w:hAnsi="Arial"/>
                <w:sz w:val="19"/>
                <w:szCs w:val="19"/>
                <w:color w:val="auto"/>
              </w:rPr>
              <w:t>Municipal securities</w:t>
            </w:r>
          </w:p>
        </w:tc>
        <w:tc>
          <w:tcPr>
            <w:tcW w:w="4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441,360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440,852</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469,604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Arial" w:cs="Arial" w:eastAsia="Arial" w:hAnsi="Arial"/>
                <w:sz w:val="19"/>
                <w:szCs w:val="19"/>
                <w:color w:val="auto"/>
              </w:rPr>
              <w:t>468,865</w:t>
            </w: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line="216" w:lineRule="exact"/>
              <w:rPr>
                <w:sz w:val="20"/>
                <w:szCs w:val="20"/>
                <w:color w:val="auto"/>
              </w:rPr>
            </w:pPr>
            <w:r>
              <w:rPr>
                <w:rFonts w:ascii="Arial" w:cs="Arial" w:eastAsia="Arial" w:hAnsi="Arial"/>
                <w:sz w:val="19"/>
                <w:szCs w:val="19"/>
                <w:color w:val="auto"/>
              </w:rPr>
              <w:t>U.S. government agency securities</w:t>
            </w:r>
          </w:p>
        </w:tc>
        <w:tc>
          <w:tcPr>
            <w:tcW w:w="4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74,773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74,666</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61,307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Arial" w:cs="Arial" w:eastAsia="Arial" w:hAnsi="Arial"/>
                <w:sz w:val="19"/>
                <w:szCs w:val="19"/>
                <w:color w:val="auto"/>
              </w:rPr>
              <w:t>61,219</w:t>
            </w: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line="216" w:lineRule="exact"/>
              <w:rPr>
                <w:sz w:val="20"/>
                <w:szCs w:val="20"/>
                <w:color w:val="auto"/>
              </w:rPr>
            </w:pPr>
            <w:r>
              <w:rPr>
                <w:rFonts w:ascii="Arial" w:cs="Arial" w:eastAsia="Arial" w:hAnsi="Arial"/>
                <w:sz w:val="19"/>
                <w:szCs w:val="19"/>
                <w:color w:val="auto"/>
              </w:rPr>
              <w:t>Certificates of deposit</w:t>
            </w:r>
          </w:p>
        </w:tc>
        <w:tc>
          <w:tcPr>
            <w:tcW w:w="4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11,869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Arial" w:cs="Arial" w:eastAsia="Arial" w:hAnsi="Arial"/>
                <w:sz w:val="19"/>
                <w:szCs w:val="19"/>
                <w:color w:val="auto"/>
              </w:rPr>
              <w:t>11,869</w:t>
            </w:r>
          </w:p>
        </w:tc>
        <w:tc>
          <w:tcPr>
            <w:tcW w:w="0" w:type="dxa"/>
            <w:vAlign w:val="bottom"/>
          </w:tcPr>
          <w:p>
            <w:pPr>
              <w:spacing w:after="0"/>
              <w:rPr>
                <w:sz w:val="1"/>
                <w:szCs w:val="1"/>
                <w:color w:val="auto"/>
              </w:rPr>
            </w:pPr>
          </w:p>
        </w:tc>
      </w:tr>
      <w:tr>
        <w:trPr>
          <w:trHeight w:val="216"/>
        </w:trPr>
        <w:tc>
          <w:tcPr>
            <w:tcW w:w="4200" w:type="dxa"/>
            <w:vAlign w:val="bottom"/>
          </w:tcPr>
          <w:p>
            <w:pPr>
              <w:spacing w:after="0" w:line="216" w:lineRule="exact"/>
              <w:rPr>
                <w:sz w:val="20"/>
                <w:szCs w:val="20"/>
                <w:color w:val="auto"/>
              </w:rPr>
            </w:pPr>
            <w:r>
              <w:rPr>
                <w:rFonts w:ascii="Arial" w:cs="Arial" w:eastAsia="Arial" w:hAnsi="Arial"/>
                <w:sz w:val="19"/>
                <w:szCs w:val="19"/>
                <w:color w:val="auto"/>
              </w:rPr>
              <w:t>Due 1 -10 years:</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line="216" w:lineRule="exact"/>
              <w:rPr>
                <w:sz w:val="20"/>
                <w:szCs w:val="20"/>
                <w:color w:val="auto"/>
              </w:rPr>
            </w:pPr>
            <w:r>
              <w:rPr>
                <w:rFonts w:ascii="Arial" w:cs="Arial" w:eastAsia="Arial" w:hAnsi="Arial"/>
                <w:sz w:val="19"/>
                <w:szCs w:val="19"/>
                <w:color w:val="auto"/>
              </w:rPr>
              <w:t>Municipal securities</w:t>
            </w:r>
          </w:p>
        </w:tc>
        <w:tc>
          <w:tcPr>
            <w:tcW w:w="4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527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527</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line="216" w:lineRule="exact"/>
              <w:rPr>
                <w:sz w:val="20"/>
                <w:szCs w:val="20"/>
                <w:color w:val="auto"/>
              </w:rPr>
            </w:pPr>
            <w:r>
              <w:rPr>
                <w:rFonts w:ascii="Arial" w:cs="Arial" w:eastAsia="Arial" w:hAnsi="Arial"/>
                <w:sz w:val="19"/>
                <w:szCs w:val="19"/>
                <w:color w:val="auto"/>
              </w:rPr>
              <w:t>U.S. government agency securities</w:t>
            </w:r>
          </w:p>
        </w:tc>
        <w:tc>
          <w:tcPr>
            <w:tcW w:w="4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2,973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2,970</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2,369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Arial" w:cs="Arial" w:eastAsia="Arial" w:hAnsi="Arial"/>
                <w:sz w:val="19"/>
                <w:szCs w:val="19"/>
                <w:color w:val="auto"/>
              </w:rPr>
              <w:t>2,366</w:t>
            </w: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line="216" w:lineRule="exact"/>
              <w:rPr>
                <w:sz w:val="20"/>
                <w:szCs w:val="20"/>
                <w:color w:val="auto"/>
              </w:rPr>
            </w:pPr>
            <w:r>
              <w:rPr>
                <w:rFonts w:ascii="Arial" w:cs="Arial" w:eastAsia="Arial" w:hAnsi="Arial"/>
                <w:sz w:val="19"/>
                <w:szCs w:val="19"/>
                <w:color w:val="auto"/>
              </w:rPr>
              <w:t>Variable rate demand notes</w:t>
            </w:r>
          </w:p>
        </w:tc>
        <w:tc>
          <w:tcPr>
            <w:tcW w:w="4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6,622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6,622</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6,366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Arial" w:cs="Arial" w:eastAsia="Arial" w:hAnsi="Arial"/>
                <w:sz w:val="19"/>
                <w:szCs w:val="19"/>
                <w:color w:val="auto"/>
              </w:rPr>
              <w:t>6,366</w:t>
            </w:r>
          </w:p>
        </w:tc>
        <w:tc>
          <w:tcPr>
            <w:tcW w:w="0" w:type="dxa"/>
            <w:vAlign w:val="bottom"/>
          </w:tcPr>
          <w:p>
            <w:pPr>
              <w:spacing w:after="0"/>
              <w:rPr>
                <w:sz w:val="1"/>
                <w:szCs w:val="1"/>
                <w:color w:val="auto"/>
              </w:rPr>
            </w:pPr>
          </w:p>
        </w:tc>
      </w:tr>
      <w:tr>
        <w:trPr>
          <w:trHeight w:val="216"/>
        </w:trPr>
        <w:tc>
          <w:tcPr>
            <w:tcW w:w="4200" w:type="dxa"/>
            <w:vAlign w:val="bottom"/>
          </w:tcPr>
          <w:p>
            <w:pPr>
              <w:spacing w:after="0" w:line="216" w:lineRule="exact"/>
              <w:rPr>
                <w:sz w:val="20"/>
                <w:szCs w:val="20"/>
                <w:color w:val="auto"/>
              </w:rPr>
            </w:pPr>
            <w:r>
              <w:rPr>
                <w:rFonts w:ascii="Arial" w:cs="Arial" w:eastAsia="Arial" w:hAnsi="Arial"/>
                <w:sz w:val="19"/>
                <w:szCs w:val="19"/>
                <w:color w:val="auto"/>
              </w:rPr>
              <w:t>Due 11 - 20 years:</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line="216" w:lineRule="exact"/>
              <w:rPr>
                <w:sz w:val="20"/>
                <w:szCs w:val="20"/>
                <w:color w:val="auto"/>
              </w:rPr>
            </w:pPr>
            <w:r>
              <w:rPr>
                <w:rFonts w:ascii="Arial" w:cs="Arial" w:eastAsia="Arial" w:hAnsi="Arial"/>
                <w:sz w:val="19"/>
                <w:szCs w:val="19"/>
                <w:color w:val="auto"/>
              </w:rPr>
              <w:t>Variable rate demand notes</w:t>
            </w:r>
          </w:p>
        </w:tc>
        <w:tc>
          <w:tcPr>
            <w:tcW w:w="4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18,542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18,542</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28,377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Arial" w:cs="Arial" w:eastAsia="Arial" w:hAnsi="Arial"/>
                <w:sz w:val="19"/>
                <w:szCs w:val="19"/>
                <w:color w:val="auto"/>
              </w:rPr>
              <w:t>28,377</w:t>
            </w:r>
          </w:p>
        </w:tc>
        <w:tc>
          <w:tcPr>
            <w:tcW w:w="0" w:type="dxa"/>
            <w:vAlign w:val="bottom"/>
          </w:tcPr>
          <w:p>
            <w:pPr>
              <w:spacing w:after="0"/>
              <w:rPr>
                <w:sz w:val="1"/>
                <w:szCs w:val="1"/>
                <w:color w:val="auto"/>
              </w:rPr>
            </w:pPr>
          </w:p>
        </w:tc>
      </w:tr>
      <w:tr>
        <w:trPr>
          <w:trHeight w:val="216"/>
        </w:trPr>
        <w:tc>
          <w:tcPr>
            <w:tcW w:w="4200" w:type="dxa"/>
            <w:vAlign w:val="bottom"/>
          </w:tcPr>
          <w:p>
            <w:pPr>
              <w:spacing w:after="0" w:line="216" w:lineRule="exact"/>
              <w:rPr>
                <w:sz w:val="20"/>
                <w:szCs w:val="20"/>
                <w:color w:val="auto"/>
              </w:rPr>
            </w:pPr>
            <w:r>
              <w:rPr>
                <w:rFonts w:ascii="Arial" w:cs="Arial" w:eastAsia="Arial" w:hAnsi="Arial"/>
                <w:sz w:val="19"/>
                <w:szCs w:val="19"/>
                <w:color w:val="auto"/>
              </w:rPr>
              <w:t>Due 21 - 30 years:</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line="216" w:lineRule="exact"/>
              <w:rPr>
                <w:sz w:val="20"/>
                <w:szCs w:val="20"/>
                <w:color w:val="auto"/>
              </w:rPr>
            </w:pPr>
            <w:r>
              <w:rPr>
                <w:rFonts w:ascii="Arial" w:cs="Arial" w:eastAsia="Arial" w:hAnsi="Arial"/>
                <w:sz w:val="19"/>
                <w:szCs w:val="19"/>
                <w:color w:val="auto"/>
              </w:rPr>
              <w:t>Variable rate demand notes</w:t>
            </w:r>
          </w:p>
        </w:tc>
        <w:tc>
          <w:tcPr>
            <w:tcW w:w="4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2,252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2,252</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15,211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Arial" w:cs="Arial" w:eastAsia="Arial" w:hAnsi="Arial"/>
                <w:sz w:val="19"/>
                <w:szCs w:val="19"/>
                <w:color w:val="auto"/>
              </w:rPr>
              <w:t>15,211</w:t>
            </w:r>
          </w:p>
        </w:tc>
        <w:tc>
          <w:tcPr>
            <w:tcW w:w="0" w:type="dxa"/>
            <w:vAlign w:val="bottom"/>
          </w:tcPr>
          <w:p>
            <w:pPr>
              <w:spacing w:after="0"/>
              <w:rPr>
                <w:sz w:val="1"/>
                <w:szCs w:val="1"/>
                <w:color w:val="auto"/>
              </w:rPr>
            </w:pPr>
          </w:p>
        </w:tc>
      </w:tr>
      <w:tr>
        <w:trPr>
          <w:trHeight w:val="22"/>
        </w:trPr>
        <w:tc>
          <w:tcPr>
            <w:tcW w:w="4200" w:type="dxa"/>
            <w:vAlign w:val="bottom"/>
            <w:vMerge w:val="restart"/>
          </w:tcPr>
          <w:p>
            <w:pPr>
              <w:ind w:left="180"/>
              <w:spacing w:after="0"/>
              <w:rPr>
                <w:sz w:val="20"/>
                <w:szCs w:val="20"/>
                <w:color w:val="auto"/>
              </w:rPr>
            </w:pPr>
            <w:r>
              <w:rPr>
                <w:rFonts w:ascii="Arial" w:cs="Arial" w:eastAsia="Arial" w:hAnsi="Arial"/>
                <w:sz w:val="19"/>
                <w:szCs w:val="19"/>
                <w:color w:val="auto"/>
              </w:rPr>
              <w:t>Total</w:t>
            </w: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200" w:type="dxa"/>
            <w:vAlign w:val="bottom"/>
            <w:vMerge w:val="continue"/>
          </w:tcPr>
          <w:p>
            <w:pPr>
              <w:spacing w:after="0"/>
              <w:rPr>
                <w:sz w:val="18"/>
                <w:szCs w:val="18"/>
                <w:color w:val="auto"/>
              </w:rPr>
            </w:pPr>
          </w:p>
        </w:tc>
        <w:tc>
          <w:tcPr>
            <w:tcW w:w="480" w:type="dxa"/>
            <w:vAlign w:val="bottom"/>
            <w:tcBorders>
              <w:bottom w:val="single" w:sz="8" w:color="auto"/>
            </w:tcBorders>
          </w:tcPr>
          <w:p>
            <w:pPr>
              <w:jc w:val="right"/>
              <w:ind w:right="205"/>
              <w:spacing w:after="0" w:line="210" w:lineRule="exact"/>
              <w:rPr>
                <w:sz w:val="20"/>
                <w:szCs w:val="20"/>
                <w:color w:val="auto"/>
              </w:rPr>
            </w:pPr>
            <w:r>
              <w:rPr>
                <w:rFonts w:ascii="Arial" w:cs="Arial" w:eastAsia="Arial" w:hAnsi="Arial"/>
                <w:sz w:val="19"/>
                <w:szCs w:val="19"/>
                <w:color w:val="auto"/>
              </w:rPr>
              <w:t>$</w:t>
            </w:r>
          </w:p>
        </w:tc>
        <w:tc>
          <w:tcPr>
            <w:tcW w:w="10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589,337</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1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588,719</w:t>
            </w:r>
          </w:p>
        </w:tc>
        <w:tc>
          <w:tcPr>
            <w:tcW w:w="220" w:type="dxa"/>
            <w:vAlign w:val="bottom"/>
          </w:tcPr>
          <w:p>
            <w:pPr>
              <w:spacing w:after="0"/>
              <w:rPr>
                <w:sz w:val="18"/>
                <w:szCs w:val="18"/>
                <w:color w:val="auto"/>
              </w:rPr>
            </w:pPr>
          </w:p>
        </w:tc>
        <w:tc>
          <w:tcPr>
            <w:tcW w:w="480" w:type="dxa"/>
            <w:vAlign w:val="bottom"/>
            <w:tcBorders>
              <w:bottom w:val="single" w:sz="8" w:color="auto"/>
            </w:tcBorders>
          </w:tcPr>
          <w:p>
            <w:pPr>
              <w:jc w:val="right"/>
              <w:ind w:right="205"/>
              <w:spacing w:after="0" w:line="210" w:lineRule="exact"/>
              <w:rPr>
                <w:sz w:val="20"/>
                <w:szCs w:val="20"/>
                <w:color w:val="auto"/>
              </w:rPr>
            </w:pPr>
            <w:r>
              <w:rPr>
                <w:rFonts w:ascii="Arial" w:cs="Arial" w:eastAsia="Arial" w:hAnsi="Arial"/>
                <w:sz w:val="19"/>
                <w:szCs w:val="19"/>
                <w:color w:val="auto"/>
              </w:rPr>
              <w:t>$</w:t>
            </w:r>
          </w:p>
        </w:tc>
        <w:tc>
          <w:tcPr>
            <w:tcW w:w="10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676,129</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1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675,299</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640" w:hanging="632"/>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FAIR VALUE OF CERTAIN FINANCIAL ASSETS AND LIABILITIES</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Accounting Standards Codification (“ASC”) 820 provides a framework for measuring fair value and requires disclosures regarding fair value measurements. ASC 820 defines fair value as the price that would be received on the sale of an asset or paid to transfer a liability in an orderly transaction between market participants at the measurement date. ASC 820 also establishes a fair value hierarchy which requires an entity to maximize the use of observable inputs, where available. The three levels of inputs required by the standard that the Company uses to measure fair value are summarized below.</w:t>
      </w:r>
    </w:p>
    <w:p>
      <w:pPr>
        <w:spacing w:after="0" w:line="202" w:lineRule="exact"/>
        <w:rPr>
          <w:sz w:val="20"/>
          <w:szCs w:val="20"/>
          <w:color w:val="auto"/>
        </w:rPr>
      </w:pPr>
    </w:p>
    <w:p>
      <w:pPr>
        <w:ind w:left="620" w:hanging="288"/>
        <w:spacing w:after="0"/>
        <w:tabs>
          <w:tab w:leader="none" w:pos="620" w:val="left"/>
        </w:tabs>
        <w:numPr>
          <w:ilvl w:val="0"/>
          <w:numId w:val="10"/>
        </w:numPr>
        <w:rPr>
          <w:rFonts w:ascii="Arial" w:cs="Arial" w:eastAsia="Arial" w:hAnsi="Arial"/>
          <w:sz w:val="20"/>
          <w:szCs w:val="20"/>
          <w:color w:val="auto"/>
        </w:rPr>
      </w:pPr>
      <w:r>
        <w:rPr>
          <w:rFonts w:ascii="Arial" w:cs="Arial" w:eastAsia="Arial" w:hAnsi="Arial"/>
          <w:sz w:val="20"/>
          <w:szCs w:val="20"/>
          <w:b w:val="1"/>
          <w:bCs w:val="1"/>
          <w:color w:val="auto"/>
        </w:rPr>
        <w:t xml:space="preserve">Level 1: </w:t>
      </w:r>
      <w:r>
        <w:rPr>
          <w:rFonts w:ascii="Arial" w:cs="Arial" w:eastAsia="Arial" w:hAnsi="Arial"/>
          <w:sz w:val="20"/>
          <w:szCs w:val="20"/>
          <w:color w:val="auto"/>
        </w:rPr>
        <w:t>Quoted prices in active markets for identical assets or liabilities.</w:t>
      </w:r>
    </w:p>
    <w:p>
      <w:pPr>
        <w:spacing w:after="0" w:line="229" w:lineRule="exact"/>
        <w:rPr>
          <w:rFonts w:ascii="Arial" w:cs="Arial" w:eastAsia="Arial" w:hAnsi="Arial"/>
          <w:sz w:val="20"/>
          <w:szCs w:val="20"/>
          <w:color w:val="auto"/>
        </w:rPr>
      </w:pPr>
    </w:p>
    <w:p>
      <w:pPr>
        <w:jc w:val="both"/>
        <w:ind w:left="660" w:hanging="328"/>
        <w:spacing w:after="0" w:line="253" w:lineRule="auto"/>
        <w:tabs>
          <w:tab w:leader="none" w:pos="642" w:val="left"/>
        </w:tabs>
        <w:numPr>
          <w:ilvl w:val="0"/>
          <w:numId w:val="10"/>
        </w:numPr>
        <w:rPr>
          <w:rFonts w:ascii="Arial" w:cs="Arial" w:eastAsia="Arial" w:hAnsi="Arial"/>
          <w:sz w:val="20"/>
          <w:szCs w:val="20"/>
          <w:color w:val="auto"/>
        </w:rPr>
      </w:pPr>
      <w:r>
        <w:rPr>
          <w:rFonts w:ascii="Arial" w:cs="Arial" w:eastAsia="Arial" w:hAnsi="Arial"/>
          <w:sz w:val="20"/>
          <w:szCs w:val="20"/>
          <w:b w:val="1"/>
          <w:bCs w:val="1"/>
          <w:color w:val="auto"/>
        </w:rPr>
        <w:t xml:space="preserve">Level 2: </w:t>
      </w:r>
      <w:r>
        <w:rPr>
          <w:rFonts w:ascii="Arial" w:cs="Arial" w:eastAsia="Arial" w:hAnsi="Arial"/>
          <w:sz w:val="20"/>
          <w:szCs w:val="20"/>
          <w:color w:val="auto"/>
        </w:rPr>
        <w:t>Observable inputs other than Level 1 prices, such as quoted prices for similar assets or liabilities, quoted prices in markets that</w:t>
      </w:r>
      <w:r>
        <w:rPr>
          <w:rFonts w:ascii="Arial" w:cs="Arial" w:eastAsia="Arial" w:hAnsi="Arial"/>
          <w:sz w:val="20"/>
          <w:szCs w:val="20"/>
          <w:b w:val="1"/>
          <w:bCs w:val="1"/>
          <w:color w:val="auto"/>
        </w:rPr>
        <w:t xml:space="preserve"> </w:t>
      </w:r>
      <w:r>
        <w:rPr>
          <w:rFonts w:ascii="Arial" w:cs="Arial" w:eastAsia="Arial" w:hAnsi="Arial"/>
          <w:sz w:val="20"/>
          <w:szCs w:val="20"/>
          <w:color w:val="auto"/>
        </w:rPr>
        <w:t>are not active, or other inputs that are observable or can be corroborated by observable market data for substantially the full term of the related assets or liabilities.</w:t>
      </w:r>
    </w:p>
    <w:p>
      <w:pPr>
        <w:spacing w:after="0" w:line="191" w:lineRule="exact"/>
        <w:rPr>
          <w:rFonts w:ascii="Arial" w:cs="Arial" w:eastAsia="Arial" w:hAnsi="Arial"/>
          <w:sz w:val="20"/>
          <w:szCs w:val="20"/>
          <w:color w:val="auto"/>
        </w:rPr>
      </w:pPr>
    </w:p>
    <w:p>
      <w:pPr>
        <w:ind w:left="660" w:hanging="328"/>
        <w:spacing w:after="0" w:line="267" w:lineRule="auto"/>
        <w:tabs>
          <w:tab w:leader="none" w:pos="709" w:val="left"/>
        </w:tabs>
        <w:numPr>
          <w:ilvl w:val="0"/>
          <w:numId w:val="10"/>
        </w:numPr>
        <w:rPr>
          <w:rFonts w:ascii="Arial" w:cs="Arial" w:eastAsia="Arial" w:hAnsi="Arial"/>
          <w:sz w:val="20"/>
          <w:szCs w:val="20"/>
          <w:color w:val="auto"/>
        </w:rPr>
      </w:pPr>
      <w:r>
        <w:rPr>
          <w:rFonts w:ascii="Arial" w:cs="Arial" w:eastAsia="Arial" w:hAnsi="Arial"/>
          <w:sz w:val="20"/>
          <w:szCs w:val="20"/>
          <w:b w:val="1"/>
          <w:bCs w:val="1"/>
          <w:color w:val="auto"/>
        </w:rPr>
        <w:t xml:space="preserve">Level 3: </w:t>
      </w:r>
      <w:r>
        <w:rPr>
          <w:rFonts w:ascii="Arial" w:cs="Arial" w:eastAsia="Arial" w:hAnsi="Arial"/>
          <w:sz w:val="20"/>
          <w:szCs w:val="20"/>
          <w:color w:val="auto"/>
        </w:rPr>
        <w:t>Unobservable inputs that are supported by little or no market activity and that are significant to the fair value of the assets or</w:t>
      </w:r>
      <w:r>
        <w:rPr>
          <w:rFonts w:ascii="Arial" w:cs="Arial" w:eastAsia="Arial" w:hAnsi="Arial"/>
          <w:sz w:val="20"/>
          <w:szCs w:val="20"/>
          <w:b w:val="1"/>
          <w:bCs w:val="1"/>
          <w:color w:val="auto"/>
        </w:rPr>
        <w:t xml:space="preserve"> </w:t>
      </w:r>
      <w:r>
        <w:rPr>
          <w:rFonts w:ascii="Arial" w:cs="Arial" w:eastAsia="Arial" w:hAnsi="Arial"/>
          <w:sz w:val="20"/>
          <w:szCs w:val="20"/>
          <w:color w:val="auto"/>
        </w:rPr>
        <w:t>liabilities.</w:t>
      </w:r>
    </w:p>
    <w:p>
      <w:pPr>
        <w:sectPr>
          <w:pgSz w:w="11900" w:h="16838" w:orient="portrait"/>
          <w:cols w:equalWidth="0" w:num="1">
            <w:col w:w="11420"/>
          </w:cols>
          <w:pgMar w:left="240" w:top="116" w:right="239" w:bottom="0" w:gutter="0" w:footer="0" w:header="0"/>
        </w:sectPr>
      </w:pPr>
    </w:p>
    <w:bookmarkStart w:id="9" w:name="page10"/>
    <w:bookmarkEnd w:id="9"/>
    <w:p>
      <w:pPr>
        <w:spacing w:after="0" w:line="4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ASC 820 requires the use of observable market inputs (quoted market prices) when measuring fair value and requires a Level 1 quoted price to be used to measure fair value whenever possible.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following tables present the fair value of the Company’s financial assets and liabilities that are recorded at fair value on a recurring basis, segregated among the appropriate levels within the fair value hierarchy at: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1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March 31, 2018</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Level 1</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Level 2</w:t>
            </w: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Level 3</w:t>
            </w:r>
          </w:p>
        </w:tc>
        <w:tc>
          <w:tcPr>
            <w:tcW w:w="3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5160" w:type="dxa"/>
            <w:vAlign w:val="bottom"/>
          </w:tcPr>
          <w:p>
            <w:pPr>
              <w:spacing w:after="0" w:line="207" w:lineRule="exact"/>
              <w:rPr>
                <w:sz w:val="20"/>
                <w:szCs w:val="20"/>
                <w:color w:val="auto"/>
              </w:rPr>
            </w:pPr>
            <w:r>
              <w:rPr>
                <w:rFonts w:ascii="Arial" w:cs="Arial" w:eastAsia="Arial" w:hAnsi="Arial"/>
                <w:sz w:val="20"/>
                <w:szCs w:val="20"/>
                <w:color w:val="auto"/>
              </w:rPr>
              <w:t>Cash</w:t>
            </w:r>
          </w:p>
        </w:tc>
        <w:tc>
          <w:tcPr>
            <w:tcW w:w="300" w:type="dxa"/>
            <w:vAlign w:val="bottom"/>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200" w:type="dxa"/>
            <w:vAlign w:val="bottom"/>
          </w:tcPr>
          <w:p>
            <w:pPr>
              <w:jc w:val="right"/>
              <w:ind w:right="21"/>
              <w:spacing w:after="0" w:line="207" w:lineRule="exact"/>
              <w:rPr>
                <w:sz w:val="20"/>
                <w:szCs w:val="20"/>
                <w:color w:val="auto"/>
              </w:rPr>
            </w:pPr>
            <w:r>
              <w:rPr>
                <w:rFonts w:ascii="Arial" w:cs="Arial" w:eastAsia="Arial" w:hAnsi="Arial"/>
                <w:sz w:val="20"/>
                <w:szCs w:val="20"/>
                <w:color w:val="auto"/>
              </w:rPr>
              <w:t>394,221</w:t>
            </w:r>
          </w:p>
        </w:tc>
        <w:tc>
          <w:tcPr>
            <w:tcW w:w="36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28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220" w:type="dxa"/>
            <w:vAlign w:val="bottom"/>
          </w:tcPr>
          <w:p>
            <w:pPr>
              <w:jc w:val="right"/>
              <w:ind w:right="941"/>
              <w:spacing w:after="0" w:line="207" w:lineRule="exact"/>
              <w:rPr>
                <w:sz w:val="20"/>
                <w:szCs w:val="20"/>
                <w:color w:val="auto"/>
              </w:rPr>
            </w:pPr>
            <w:r>
              <w:rPr>
                <w:rFonts w:ascii="Arial" w:cs="Arial" w:eastAsia="Arial" w:hAnsi="Arial"/>
                <w:sz w:val="20"/>
                <w:szCs w:val="20"/>
                <w:color w:val="auto"/>
              </w:rPr>
              <w:t>$</w:t>
            </w:r>
          </w:p>
        </w:tc>
        <w:tc>
          <w:tcPr>
            <w:tcW w:w="34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38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80" w:type="dxa"/>
            <w:vAlign w:val="bottom"/>
          </w:tcPr>
          <w:p>
            <w:pPr>
              <w:jc w:val="right"/>
              <w:ind w:right="1"/>
              <w:spacing w:after="0" w:line="207" w:lineRule="exact"/>
              <w:rPr>
                <w:sz w:val="20"/>
                <w:szCs w:val="20"/>
                <w:color w:val="auto"/>
              </w:rPr>
            </w:pPr>
            <w:r>
              <w:rPr>
                <w:rFonts w:ascii="Arial" w:cs="Arial" w:eastAsia="Arial" w:hAnsi="Arial"/>
                <w:sz w:val="20"/>
                <w:szCs w:val="20"/>
                <w:color w:val="auto"/>
              </w:rPr>
              <w:t>394,221</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Money market funds</w:t>
            </w:r>
          </w:p>
        </w:tc>
        <w:tc>
          <w:tcPr>
            <w:tcW w:w="30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39,228</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2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39,228</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Certificates of deposit</w:t>
            </w:r>
          </w:p>
        </w:tc>
        <w:tc>
          <w:tcPr>
            <w:tcW w:w="30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16,985</w:t>
            </w:r>
          </w:p>
        </w:tc>
        <w:tc>
          <w:tcPr>
            <w:tcW w:w="122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16,985</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Commercial paper</w:t>
            </w:r>
          </w:p>
        </w:tc>
        <w:tc>
          <w:tcPr>
            <w:tcW w:w="30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60,825</w:t>
            </w:r>
          </w:p>
        </w:tc>
        <w:tc>
          <w:tcPr>
            <w:tcW w:w="122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60,825</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Variable rate demand notes</w:t>
            </w:r>
          </w:p>
        </w:tc>
        <w:tc>
          <w:tcPr>
            <w:tcW w:w="30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27,416</w:t>
            </w:r>
          </w:p>
        </w:tc>
        <w:tc>
          <w:tcPr>
            <w:tcW w:w="122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27,416</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Municipal securities</w:t>
            </w:r>
          </w:p>
        </w:tc>
        <w:tc>
          <w:tcPr>
            <w:tcW w:w="30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481,250</w:t>
            </w:r>
          </w:p>
        </w:tc>
        <w:tc>
          <w:tcPr>
            <w:tcW w:w="122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481,250</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U.S. government agency securities</w:t>
            </w:r>
          </w:p>
        </w:tc>
        <w:tc>
          <w:tcPr>
            <w:tcW w:w="30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80,154</w:t>
            </w:r>
          </w:p>
        </w:tc>
        <w:tc>
          <w:tcPr>
            <w:tcW w:w="122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80,154</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U.S. Treasuries</w:t>
            </w:r>
          </w:p>
        </w:tc>
        <w:tc>
          <w:tcPr>
            <w:tcW w:w="30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2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5160" w:type="dxa"/>
            <w:vAlign w:val="bottom"/>
          </w:tcPr>
          <w:p>
            <w:pPr>
              <w:spacing w:after="0"/>
              <w:rPr>
                <w:sz w:val="20"/>
                <w:szCs w:val="20"/>
                <w:color w:val="auto"/>
              </w:rPr>
            </w:pPr>
            <w:r>
              <w:rPr>
                <w:rFonts w:ascii="Arial" w:cs="Arial" w:eastAsia="Arial" w:hAnsi="Arial"/>
                <w:sz w:val="20"/>
                <w:szCs w:val="20"/>
                <w:color w:val="auto"/>
              </w:rPr>
              <w:t>Foreign currency derivatives</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w:t>
            </w:r>
          </w:p>
        </w:tc>
        <w:tc>
          <w:tcPr>
            <w:tcW w:w="1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w:t>
            </w: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line="220" w:lineRule="exact"/>
              <w:rPr>
                <w:sz w:val="20"/>
                <w:szCs w:val="20"/>
                <w:color w:val="auto"/>
              </w:rPr>
            </w:pPr>
            <w:r>
              <w:rPr>
                <w:rFonts w:ascii="Arial" w:cs="Arial" w:eastAsia="Arial" w:hAnsi="Arial"/>
                <w:sz w:val="20"/>
                <w:szCs w:val="20"/>
                <w:color w:val="auto"/>
              </w:rPr>
              <w:t>Total</w:t>
            </w:r>
          </w:p>
        </w:tc>
        <w:tc>
          <w:tcPr>
            <w:tcW w:w="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433,449</w:t>
            </w: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666,535</w:t>
            </w:r>
          </w:p>
        </w:tc>
        <w:tc>
          <w:tcPr>
            <w:tcW w:w="1220" w:type="dxa"/>
            <w:vAlign w:val="bottom"/>
            <w:tcBorders>
              <w:bottom w:val="single" w:sz="8" w:color="auto"/>
            </w:tcBorders>
          </w:tcPr>
          <w:p>
            <w:pPr>
              <w:jc w:val="right"/>
              <w:ind w:right="941"/>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1,099,984</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20"/>
                <w:szCs w:val="20"/>
                <w:color w:val="auto"/>
              </w:rPr>
              <w:t>Amounts included in:</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51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Cash and cash equivalents</w:t>
            </w:r>
          </w:p>
        </w:tc>
        <w:tc>
          <w:tcPr>
            <w:tcW w:w="3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433,449</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77,911</w:t>
            </w:r>
          </w:p>
        </w:tc>
        <w:tc>
          <w:tcPr>
            <w:tcW w:w="1220" w:type="dxa"/>
            <w:vAlign w:val="bottom"/>
          </w:tcPr>
          <w:p>
            <w:pPr>
              <w:jc w:val="right"/>
              <w:ind w:right="941"/>
              <w:spacing w:after="0"/>
              <w:rPr>
                <w:sz w:val="20"/>
                <w:szCs w:val="20"/>
                <w:color w:val="auto"/>
              </w:rPr>
            </w:pPr>
            <w:r>
              <w:rPr>
                <w:rFonts w:ascii="Arial" w:cs="Arial" w:eastAsia="Arial" w:hAnsi="Arial"/>
                <w:sz w:val="20"/>
                <w:szCs w:val="20"/>
                <w:color w:val="auto"/>
              </w:rPr>
              <w:t>$</w:t>
            </w: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511,360</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Short-term investments</w:t>
            </w:r>
          </w:p>
        </w:tc>
        <w:tc>
          <w:tcPr>
            <w:tcW w:w="30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585,222</w:t>
            </w:r>
          </w:p>
        </w:tc>
        <w:tc>
          <w:tcPr>
            <w:tcW w:w="122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585,222</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30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208</w:t>
            </w:r>
          </w:p>
        </w:tc>
        <w:tc>
          <w:tcPr>
            <w:tcW w:w="122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208</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Investments</w:t>
            </w:r>
          </w:p>
        </w:tc>
        <w:tc>
          <w:tcPr>
            <w:tcW w:w="30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3,497</w:t>
            </w:r>
          </w:p>
        </w:tc>
        <w:tc>
          <w:tcPr>
            <w:tcW w:w="122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3,497</w:t>
            </w:r>
          </w:p>
        </w:tc>
        <w:tc>
          <w:tcPr>
            <w:tcW w:w="0" w:type="dxa"/>
            <w:vAlign w:val="bottom"/>
          </w:tcPr>
          <w:p>
            <w:pPr>
              <w:spacing w:after="0"/>
              <w:rPr>
                <w:sz w:val="1"/>
                <w:szCs w:val="1"/>
                <w:color w:val="auto"/>
              </w:rPr>
            </w:pPr>
          </w:p>
        </w:tc>
      </w:tr>
      <w:tr>
        <w:trPr>
          <w:trHeight w:val="240"/>
        </w:trPr>
        <w:tc>
          <w:tcPr>
            <w:tcW w:w="5160" w:type="dxa"/>
            <w:vAlign w:val="bottom"/>
          </w:tcPr>
          <w:p>
            <w:pPr>
              <w:spacing w:after="0"/>
              <w:rPr>
                <w:sz w:val="20"/>
                <w:szCs w:val="20"/>
                <w:color w:val="auto"/>
              </w:rPr>
            </w:pPr>
            <w:r>
              <w:rPr>
                <w:rFonts w:ascii="Arial" w:cs="Arial" w:eastAsia="Arial" w:hAnsi="Arial"/>
                <w:sz w:val="20"/>
                <w:szCs w:val="20"/>
                <w:color w:val="auto"/>
              </w:rPr>
              <w:t>Accrued liabilities</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(303)</w:t>
            </w:r>
          </w:p>
        </w:tc>
        <w:tc>
          <w:tcPr>
            <w:tcW w:w="1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(303)</w:t>
            </w: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line="220" w:lineRule="exact"/>
              <w:rPr>
                <w:sz w:val="20"/>
                <w:szCs w:val="20"/>
                <w:color w:val="auto"/>
              </w:rPr>
            </w:pPr>
            <w:r>
              <w:rPr>
                <w:rFonts w:ascii="Arial" w:cs="Arial" w:eastAsia="Arial" w:hAnsi="Arial"/>
                <w:sz w:val="20"/>
                <w:szCs w:val="20"/>
                <w:color w:val="auto"/>
              </w:rPr>
              <w:t>Total</w:t>
            </w:r>
          </w:p>
        </w:tc>
        <w:tc>
          <w:tcPr>
            <w:tcW w:w="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433,449</w:t>
            </w: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666,535</w:t>
            </w:r>
          </w:p>
        </w:tc>
        <w:tc>
          <w:tcPr>
            <w:tcW w:w="1220" w:type="dxa"/>
            <w:vAlign w:val="bottom"/>
            <w:tcBorders>
              <w:bottom w:val="single" w:sz="8" w:color="auto"/>
            </w:tcBorders>
          </w:tcPr>
          <w:p>
            <w:pPr>
              <w:jc w:val="right"/>
              <w:ind w:right="941"/>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1,099,984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December 31, 2017</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Level 1</w:t>
            </w: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Level 2</w:t>
            </w: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Level 3</w:t>
            </w: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5160" w:type="dxa"/>
            <w:vAlign w:val="bottom"/>
          </w:tcPr>
          <w:p>
            <w:pPr>
              <w:spacing w:after="0" w:line="207" w:lineRule="exact"/>
              <w:rPr>
                <w:sz w:val="20"/>
                <w:szCs w:val="20"/>
                <w:color w:val="auto"/>
              </w:rPr>
            </w:pPr>
            <w:r>
              <w:rPr>
                <w:rFonts w:ascii="Arial" w:cs="Arial" w:eastAsia="Arial" w:hAnsi="Arial"/>
                <w:sz w:val="20"/>
                <w:szCs w:val="20"/>
                <w:color w:val="auto"/>
              </w:rPr>
              <w:t>Cash</w:t>
            </w:r>
          </w:p>
        </w:tc>
        <w:tc>
          <w:tcPr>
            <w:tcW w:w="300" w:type="dxa"/>
            <w:vAlign w:val="bottom"/>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200" w:type="dxa"/>
            <w:vAlign w:val="bottom"/>
          </w:tcPr>
          <w:p>
            <w:pPr>
              <w:jc w:val="right"/>
              <w:ind w:right="21"/>
              <w:spacing w:after="0" w:line="207" w:lineRule="exact"/>
              <w:rPr>
                <w:sz w:val="20"/>
                <w:szCs w:val="20"/>
                <w:color w:val="auto"/>
              </w:rPr>
            </w:pPr>
            <w:r>
              <w:rPr>
                <w:rFonts w:ascii="Arial" w:cs="Arial" w:eastAsia="Arial" w:hAnsi="Arial"/>
                <w:sz w:val="20"/>
                <w:szCs w:val="20"/>
                <w:color w:val="auto"/>
              </w:rPr>
              <w:t>310,885</w:t>
            </w:r>
          </w:p>
        </w:tc>
        <w:tc>
          <w:tcPr>
            <w:tcW w:w="36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28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220" w:type="dxa"/>
            <w:vAlign w:val="bottom"/>
          </w:tcPr>
          <w:p>
            <w:pPr>
              <w:jc w:val="right"/>
              <w:ind w:right="941"/>
              <w:spacing w:after="0" w:line="207" w:lineRule="exact"/>
              <w:rPr>
                <w:sz w:val="20"/>
                <w:szCs w:val="20"/>
                <w:color w:val="auto"/>
              </w:rPr>
            </w:pPr>
            <w:r>
              <w:rPr>
                <w:rFonts w:ascii="Arial" w:cs="Arial" w:eastAsia="Arial" w:hAnsi="Arial"/>
                <w:sz w:val="20"/>
                <w:szCs w:val="20"/>
                <w:color w:val="auto"/>
              </w:rPr>
              <w:t>$</w:t>
            </w:r>
          </w:p>
        </w:tc>
        <w:tc>
          <w:tcPr>
            <w:tcW w:w="34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38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80" w:type="dxa"/>
            <w:vAlign w:val="bottom"/>
          </w:tcPr>
          <w:p>
            <w:pPr>
              <w:jc w:val="right"/>
              <w:ind w:right="1"/>
              <w:spacing w:after="0" w:line="207" w:lineRule="exact"/>
              <w:rPr>
                <w:sz w:val="20"/>
                <w:szCs w:val="20"/>
                <w:color w:val="auto"/>
              </w:rPr>
            </w:pPr>
            <w:r>
              <w:rPr>
                <w:rFonts w:ascii="Arial" w:cs="Arial" w:eastAsia="Arial" w:hAnsi="Arial"/>
                <w:sz w:val="20"/>
                <w:szCs w:val="20"/>
                <w:color w:val="auto"/>
              </w:rPr>
              <w:t>310,885</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Money market funds</w:t>
            </w:r>
          </w:p>
        </w:tc>
        <w:tc>
          <w:tcPr>
            <w:tcW w:w="30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112,848</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2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112,848</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Certificates of deposit</w:t>
            </w:r>
          </w:p>
        </w:tc>
        <w:tc>
          <w:tcPr>
            <w:tcW w:w="30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15,720</w:t>
            </w:r>
          </w:p>
        </w:tc>
        <w:tc>
          <w:tcPr>
            <w:tcW w:w="122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15,720</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Commercial paper</w:t>
            </w:r>
          </w:p>
        </w:tc>
        <w:tc>
          <w:tcPr>
            <w:tcW w:w="30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99,903</w:t>
            </w:r>
          </w:p>
        </w:tc>
        <w:tc>
          <w:tcPr>
            <w:tcW w:w="122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99,903</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Variable rate demand notes</w:t>
            </w:r>
          </w:p>
        </w:tc>
        <w:tc>
          <w:tcPr>
            <w:tcW w:w="30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49,954</w:t>
            </w:r>
          </w:p>
        </w:tc>
        <w:tc>
          <w:tcPr>
            <w:tcW w:w="122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49,954</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Municipal securities</w:t>
            </w:r>
          </w:p>
        </w:tc>
        <w:tc>
          <w:tcPr>
            <w:tcW w:w="30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529,984</w:t>
            </w:r>
          </w:p>
        </w:tc>
        <w:tc>
          <w:tcPr>
            <w:tcW w:w="122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529,984</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U.S. government agency securities</w:t>
            </w:r>
          </w:p>
        </w:tc>
        <w:tc>
          <w:tcPr>
            <w:tcW w:w="30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81,230</w:t>
            </w:r>
          </w:p>
        </w:tc>
        <w:tc>
          <w:tcPr>
            <w:tcW w:w="122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81,230</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U.S. Treasuries</w:t>
            </w:r>
          </w:p>
        </w:tc>
        <w:tc>
          <w:tcPr>
            <w:tcW w:w="30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3,397</w:t>
            </w:r>
          </w:p>
        </w:tc>
        <w:tc>
          <w:tcPr>
            <w:tcW w:w="122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3,397</w:t>
            </w:r>
          </w:p>
        </w:tc>
        <w:tc>
          <w:tcPr>
            <w:tcW w:w="0" w:type="dxa"/>
            <w:vAlign w:val="bottom"/>
          </w:tcPr>
          <w:p>
            <w:pPr>
              <w:spacing w:after="0"/>
              <w:rPr>
                <w:sz w:val="1"/>
                <w:szCs w:val="1"/>
                <w:color w:val="auto"/>
              </w:rPr>
            </w:pPr>
          </w:p>
        </w:tc>
      </w:tr>
      <w:tr>
        <w:trPr>
          <w:trHeight w:val="240"/>
        </w:trPr>
        <w:tc>
          <w:tcPr>
            <w:tcW w:w="5160" w:type="dxa"/>
            <w:vAlign w:val="bottom"/>
          </w:tcPr>
          <w:p>
            <w:pPr>
              <w:spacing w:after="0"/>
              <w:rPr>
                <w:sz w:val="20"/>
                <w:szCs w:val="20"/>
                <w:color w:val="auto"/>
              </w:rPr>
            </w:pPr>
            <w:r>
              <w:rPr>
                <w:rFonts w:ascii="Arial" w:cs="Arial" w:eastAsia="Arial" w:hAnsi="Arial"/>
                <w:sz w:val="20"/>
                <w:szCs w:val="20"/>
                <w:color w:val="auto"/>
              </w:rPr>
              <w:t>Foreign currency derivatives</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(1,484)</w:t>
            </w:r>
          </w:p>
        </w:tc>
        <w:tc>
          <w:tcPr>
            <w:tcW w:w="1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(1,484)</w:t>
            </w: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line="220" w:lineRule="exact"/>
              <w:rPr>
                <w:sz w:val="20"/>
                <w:szCs w:val="20"/>
                <w:color w:val="auto"/>
              </w:rPr>
            </w:pPr>
            <w:r>
              <w:rPr>
                <w:rFonts w:ascii="Arial" w:cs="Arial" w:eastAsia="Arial" w:hAnsi="Arial"/>
                <w:sz w:val="20"/>
                <w:szCs w:val="20"/>
                <w:color w:val="auto"/>
              </w:rPr>
              <w:t>Total</w:t>
            </w:r>
          </w:p>
        </w:tc>
        <w:tc>
          <w:tcPr>
            <w:tcW w:w="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423,733</w:t>
            </w: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778,704</w:t>
            </w:r>
          </w:p>
        </w:tc>
        <w:tc>
          <w:tcPr>
            <w:tcW w:w="1220" w:type="dxa"/>
            <w:vAlign w:val="bottom"/>
            <w:tcBorders>
              <w:bottom w:val="single" w:sz="8" w:color="auto"/>
            </w:tcBorders>
          </w:tcPr>
          <w:p>
            <w:pPr>
              <w:jc w:val="right"/>
              <w:ind w:right="941"/>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1,202,437</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20"/>
                <w:szCs w:val="20"/>
                <w:color w:val="auto"/>
              </w:rPr>
              <w:t>Amounts included in:</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51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Cash and cash equivalents</w:t>
            </w:r>
          </w:p>
        </w:tc>
        <w:tc>
          <w:tcPr>
            <w:tcW w:w="3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423,733</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104,889</w:t>
            </w:r>
          </w:p>
        </w:tc>
        <w:tc>
          <w:tcPr>
            <w:tcW w:w="1220" w:type="dxa"/>
            <w:vAlign w:val="bottom"/>
          </w:tcPr>
          <w:p>
            <w:pPr>
              <w:jc w:val="right"/>
              <w:ind w:right="941"/>
              <w:spacing w:after="0"/>
              <w:rPr>
                <w:sz w:val="20"/>
                <w:szCs w:val="20"/>
                <w:color w:val="auto"/>
              </w:rPr>
            </w:pPr>
            <w:r>
              <w:rPr>
                <w:rFonts w:ascii="Arial" w:cs="Arial" w:eastAsia="Arial" w:hAnsi="Arial"/>
                <w:sz w:val="20"/>
                <w:szCs w:val="20"/>
                <w:color w:val="auto"/>
              </w:rPr>
              <w:t>$</w:t>
            </w: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528,622</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Short-term investments</w:t>
            </w:r>
          </w:p>
        </w:tc>
        <w:tc>
          <w:tcPr>
            <w:tcW w:w="30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672,933</w:t>
            </w:r>
          </w:p>
        </w:tc>
        <w:tc>
          <w:tcPr>
            <w:tcW w:w="122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672,933</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30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95</w:t>
            </w:r>
          </w:p>
        </w:tc>
        <w:tc>
          <w:tcPr>
            <w:tcW w:w="122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95</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Investments</w:t>
            </w:r>
          </w:p>
        </w:tc>
        <w:tc>
          <w:tcPr>
            <w:tcW w:w="30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2,366</w:t>
            </w:r>
          </w:p>
        </w:tc>
        <w:tc>
          <w:tcPr>
            <w:tcW w:w="122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2,366</w:t>
            </w:r>
          </w:p>
        </w:tc>
        <w:tc>
          <w:tcPr>
            <w:tcW w:w="0" w:type="dxa"/>
            <w:vAlign w:val="bottom"/>
          </w:tcPr>
          <w:p>
            <w:pPr>
              <w:spacing w:after="0"/>
              <w:rPr>
                <w:sz w:val="1"/>
                <w:szCs w:val="1"/>
                <w:color w:val="auto"/>
              </w:rPr>
            </w:pPr>
          </w:p>
        </w:tc>
      </w:tr>
      <w:tr>
        <w:trPr>
          <w:trHeight w:val="240"/>
        </w:trPr>
        <w:tc>
          <w:tcPr>
            <w:tcW w:w="5160" w:type="dxa"/>
            <w:vAlign w:val="bottom"/>
          </w:tcPr>
          <w:p>
            <w:pPr>
              <w:spacing w:after="0"/>
              <w:rPr>
                <w:sz w:val="20"/>
                <w:szCs w:val="20"/>
                <w:color w:val="auto"/>
              </w:rPr>
            </w:pPr>
            <w:r>
              <w:rPr>
                <w:rFonts w:ascii="Arial" w:cs="Arial" w:eastAsia="Arial" w:hAnsi="Arial"/>
                <w:sz w:val="20"/>
                <w:szCs w:val="20"/>
                <w:color w:val="auto"/>
              </w:rPr>
              <w:t>Accrued liabilities</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(1,579)</w:t>
            </w:r>
          </w:p>
        </w:tc>
        <w:tc>
          <w:tcPr>
            <w:tcW w:w="1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(1,579)</w:t>
            </w: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line="220" w:lineRule="exact"/>
              <w:rPr>
                <w:sz w:val="20"/>
                <w:szCs w:val="20"/>
                <w:color w:val="auto"/>
              </w:rPr>
            </w:pPr>
            <w:r>
              <w:rPr>
                <w:rFonts w:ascii="Arial" w:cs="Arial" w:eastAsia="Arial" w:hAnsi="Arial"/>
                <w:sz w:val="20"/>
                <w:szCs w:val="20"/>
                <w:color w:val="auto"/>
              </w:rPr>
              <w:t>Total</w:t>
            </w:r>
          </w:p>
        </w:tc>
        <w:tc>
          <w:tcPr>
            <w:tcW w:w="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423,733</w:t>
            </w: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778,704</w:t>
            </w:r>
          </w:p>
        </w:tc>
        <w:tc>
          <w:tcPr>
            <w:tcW w:w="1220" w:type="dxa"/>
            <w:vAlign w:val="bottom"/>
            <w:tcBorders>
              <w:bottom w:val="single" w:sz="8" w:color="auto"/>
            </w:tcBorders>
          </w:tcPr>
          <w:p>
            <w:pPr>
              <w:jc w:val="right"/>
              <w:ind w:right="941"/>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1,202,437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All of the Company’s short-term investments are classified within Level 1 or Level 2 of the fair value hierarchy. The Company’s valuation of its Level 1 investments, which include money market funds, is based on quoted market prices in active markets for identical securities. The Company’s valuation of its Level 2 investments, which include municipal securities, commercial paper, certificates of deposit, VRDNs, U.S. Treasuries and U.S. government agency securities, is based on other observable inputs, specifically a market approach which utilizes valuation models, pricing systems, mathematical tools and other relevant information for the same or similar securities. The Company’s valuation of its Level 2 foreign currency exchange contracts is based on quoted market prices of the same or similar instruments, adjusted for counterparty risk. There were no transfers between Level 1 and Level 2 measurements during the three-months ended March 31, 2018 or the year ended December 31, 2017, and there were no changes in the Company’s valuation techniques.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85" w:orient="portrait"/>
          <w:cols w:equalWidth="0" w:num="1">
            <w:col w:w="11420"/>
          </w:cols>
          <w:pgMar w:left="240" w:top="121" w:right="239" w:bottom="0" w:gutter="0" w:footer="0" w:header="0"/>
        </w:sect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NOTES TO CONDENSED CONSOLIDATED FINANCIAL STATEMENTS</w:t>
      </w:r>
    </w:p>
    <w:p>
      <w:pPr>
        <w:sectPr>
          <w:pgSz w:w="11900" w:h="16885" w:orient="portrait"/>
          <w:cols w:equalWidth="0" w:num="1">
            <w:col w:w="11420"/>
          </w:cols>
          <w:pgMar w:left="240" w:top="121" w:right="239" w:bottom="0" w:gutter="0" w:footer="0" w:header="0"/>
          <w:type w:val="continuous"/>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5"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DERIVATIVE INSTRUMENTS AND HEDGING ACTIVITIES</w:t>
      </w:r>
    </w:p>
    <w:p>
      <w:pPr>
        <w:spacing w:after="0" w:line="229" w:lineRule="exact"/>
        <w:rPr>
          <w:sz w:val="20"/>
          <w:szCs w:val="20"/>
          <w:color w:val="auto"/>
        </w:rPr>
      </w:pPr>
    </w:p>
    <w:p>
      <w:pPr>
        <w:jc w:val="both"/>
        <w:ind w:right="40" w:firstLine="648"/>
        <w:spacing w:after="0" w:line="243" w:lineRule="auto"/>
        <w:rPr>
          <w:sz w:val="20"/>
          <w:szCs w:val="20"/>
          <w:color w:val="auto"/>
        </w:rPr>
      </w:pPr>
      <w:r>
        <w:rPr>
          <w:rFonts w:ascii="Arial" w:cs="Arial" w:eastAsia="Arial" w:hAnsi="Arial"/>
          <w:sz w:val="20"/>
          <w:szCs w:val="20"/>
          <w:color w:val="auto"/>
        </w:rPr>
        <w:t>The Company is exposed to foreign currency exchange rate risks related primarily to its foreign business operations. During the three-months ended March 31, 2018 and the year ended December 31, 2017,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of the Company that were outstanding as of March 31, 2018 have terms of one month or less. The Company does not enter into forward currency exchange contracts for speculation or trading purposes.</w:t>
      </w:r>
    </w:p>
    <w:p>
      <w:pPr>
        <w:spacing w:after="0" w:line="210" w:lineRule="exact"/>
        <w:rPr>
          <w:sz w:val="20"/>
          <w:szCs w:val="20"/>
          <w:color w:val="auto"/>
        </w:rPr>
      </w:pPr>
    </w:p>
    <w:p>
      <w:pPr>
        <w:jc w:val="both"/>
        <w:ind w:right="40" w:firstLine="648"/>
        <w:spacing w:after="0" w:line="291" w:lineRule="auto"/>
        <w:rPr>
          <w:sz w:val="20"/>
          <w:szCs w:val="20"/>
          <w:color w:val="auto"/>
        </w:rPr>
      </w:pPr>
      <w:r>
        <w:rPr>
          <w:rFonts w:ascii="Arial" w:cs="Arial" w:eastAsia="Arial" w:hAnsi="Arial"/>
          <w:sz w:val="18"/>
          <w:szCs w:val="18"/>
          <w:color w:val="auto"/>
        </w:rPr>
        <w:t>The Company has not designated its foreign currency exchange contracts as hedge transactions under ASC 815. Therefore, gains and losses on the Company’s foreign currency exchange contracts are recognized in interest and other income (expense), net, in the condensed consolidated statements of income, and are largely offset by the changes in the fair value of the underlying economically hedged item.</w:t>
      </w:r>
    </w:p>
    <w:p>
      <w:pPr>
        <w:spacing w:after="0" w:line="165" w:lineRule="exact"/>
        <w:rPr>
          <w:sz w:val="20"/>
          <w:szCs w:val="20"/>
          <w:color w:val="auto"/>
        </w:rPr>
      </w:pPr>
    </w:p>
    <w:p>
      <w:pPr>
        <w:jc w:val="both"/>
        <w:ind w:right="60" w:firstLine="648"/>
        <w:spacing w:after="0" w:line="260" w:lineRule="auto"/>
        <w:rPr>
          <w:sz w:val="20"/>
          <w:szCs w:val="20"/>
          <w:color w:val="auto"/>
        </w:rPr>
      </w:pPr>
      <w:r>
        <w:rPr>
          <w:rFonts w:ascii="Arial" w:cs="Arial" w:eastAsia="Arial" w:hAnsi="Arial"/>
          <w:sz w:val="20"/>
          <w:szCs w:val="20"/>
          <w:color w:val="auto"/>
        </w:rPr>
        <w:t>The notional amount and fair value of all outstanding foreign currency derivative instruments in the condensed consolidated balance sheets consist of the following at:</w:t>
      </w:r>
    </w:p>
    <w:p>
      <w:pPr>
        <w:spacing w:after="0" w:line="190"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March 31, 2018</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260" w:type="dxa"/>
            <w:vAlign w:val="bottom"/>
            <w:tcBorders>
              <w:top w:val="single" w:sz="8" w:color="auto"/>
            </w:tcBorders>
            <w:gridSpan w:val="2"/>
          </w:tcPr>
          <w:p>
            <w:pPr>
              <w:jc w:val="center"/>
              <w:ind w:right="300"/>
              <w:spacing w:after="0" w:line="207" w:lineRule="exact"/>
              <w:rPr>
                <w:sz w:val="20"/>
                <w:szCs w:val="20"/>
                <w:color w:val="auto"/>
              </w:rPr>
            </w:pPr>
            <w:r>
              <w:rPr>
                <w:rFonts w:ascii="Arial" w:cs="Arial" w:eastAsia="Arial" w:hAnsi="Arial"/>
                <w:sz w:val="20"/>
                <w:szCs w:val="20"/>
                <w:color w:val="auto"/>
                <w:w w:val="88"/>
              </w:rPr>
              <w:t>Derivatives not designated as</w:t>
            </w:r>
          </w:p>
        </w:tc>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5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5260" w:type="dxa"/>
            <w:vAlign w:val="bottom"/>
            <w:gridSpan w:val="2"/>
          </w:tcPr>
          <w:p>
            <w:pPr>
              <w:jc w:val="center"/>
              <w:ind w:right="280"/>
              <w:spacing w:after="0"/>
              <w:rPr>
                <w:sz w:val="20"/>
                <w:szCs w:val="20"/>
                <w:color w:val="auto"/>
              </w:rPr>
            </w:pPr>
            <w:r>
              <w:rPr>
                <w:rFonts w:ascii="Arial" w:cs="Arial" w:eastAsia="Arial" w:hAnsi="Arial"/>
                <w:sz w:val="20"/>
                <w:szCs w:val="20"/>
                <w:color w:val="auto"/>
                <w:w w:val="88"/>
              </w:rPr>
              <w:t>hedging instruments under</w:t>
            </w:r>
          </w:p>
        </w:tc>
        <w:tc>
          <w:tcPr>
            <w:tcW w:w="280" w:type="dxa"/>
            <w:vAlign w:val="bottom"/>
          </w:tcPr>
          <w:p>
            <w:pPr>
              <w:spacing w:after="0"/>
              <w:rPr>
                <w:sz w:val="19"/>
                <w:szCs w:val="19"/>
                <w:color w:val="auto"/>
              </w:rPr>
            </w:pPr>
          </w:p>
        </w:tc>
        <w:tc>
          <w:tcPr>
            <w:tcW w:w="1540" w:type="dxa"/>
            <w:vAlign w:val="bottom"/>
            <w:gridSpan w:val="2"/>
          </w:tcPr>
          <w:p>
            <w:pPr>
              <w:ind w:left="140"/>
              <w:spacing w:after="0"/>
              <w:rPr>
                <w:sz w:val="20"/>
                <w:szCs w:val="20"/>
                <w:color w:val="auto"/>
              </w:rPr>
            </w:pPr>
            <w:r>
              <w:rPr>
                <w:rFonts w:ascii="Arial" w:cs="Arial" w:eastAsia="Arial" w:hAnsi="Arial"/>
                <w:sz w:val="20"/>
                <w:szCs w:val="20"/>
                <w:color w:val="auto"/>
              </w:rPr>
              <w:t>Notional</w:t>
            </w:r>
          </w:p>
        </w:tc>
        <w:tc>
          <w:tcPr>
            <w:tcW w:w="320" w:type="dxa"/>
            <w:vAlign w:val="bottom"/>
          </w:tcPr>
          <w:p>
            <w:pPr>
              <w:spacing w:after="0"/>
              <w:rPr>
                <w:sz w:val="19"/>
                <w:szCs w:val="19"/>
                <w:color w:val="auto"/>
              </w:rPr>
            </w:pPr>
          </w:p>
        </w:tc>
        <w:tc>
          <w:tcPr>
            <w:tcW w:w="1080" w:type="dxa"/>
            <w:vAlign w:val="bottom"/>
          </w:tcPr>
          <w:p>
            <w:pPr>
              <w:jc w:val="right"/>
              <w:ind w:right="441"/>
              <w:spacing w:after="0"/>
              <w:rPr>
                <w:sz w:val="20"/>
                <w:szCs w:val="20"/>
                <w:color w:val="auto"/>
              </w:rPr>
            </w:pPr>
            <w:r>
              <w:rPr>
                <w:rFonts w:ascii="Arial" w:cs="Arial" w:eastAsia="Arial" w:hAnsi="Arial"/>
                <w:sz w:val="20"/>
                <w:szCs w:val="20"/>
                <w:color w:val="auto"/>
              </w:rPr>
              <w:t>Fair</w:t>
            </w: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6"/>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FASB ASC 815-20</w:t>
            </w:r>
          </w:p>
        </w:tc>
        <w:tc>
          <w:tcPr>
            <w:tcW w:w="3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42"/>
              <w:spacing w:after="0"/>
              <w:rPr>
                <w:sz w:val="20"/>
                <w:szCs w:val="20"/>
                <w:color w:val="auto"/>
              </w:rPr>
            </w:pPr>
            <w:r>
              <w:rPr>
                <w:rFonts w:ascii="Arial" w:cs="Arial" w:eastAsia="Arial" w:hAnsi="Arial"/>
                <w:sz w:val="20"/>
                <w:szCs w:val="20"/>
                <w:color w:val="auto"/>
              </w:rPr>
              <w:t>Amount</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Value</w:t>
            </w:r>
          </w:p>
        </w:tc>
        <w:tc>
          <w:tcPr>
            <w:tcW w:w="280" w:type="dxa"/>
            <w:vAlign w:val="bottom"/>
          </w:tcPr>
          <w:p>
            <w:pPr>
              <w:spacing w:after="0"/>
              <w:rPr>
                <w:sz w:val="21"/>
                <w:szCs w:val="21"/>
                <w:color w:val="auto"/>
              </w:rPr>
            </w:pPr>
          </w:p>
        </w:tc>
        <w:tc>
          <w:tcPr>
            <w:tcW w:w="2560" w:type="dxa"/>
            <w:vAlign w:val="bottom"/>
            <w:tcBorders>
              <w:bottom w:val="single" w:sz="8" w:color="auto"/>
            </w:tcBorders>
          </w:tcPr>
          <w:p>
            <w:pPr>
              <w:ind w:left="340"/>
              <w:spacing w:after="0"/>
              <w:rPr>
                <w:sz w:val="20"/>
                <w:szCs w:val="20"/>
                <w:color w:val="auto"/>
              </w:rPr>
            </w:pPr>
            <w:r>
              <w:rPr>
                <w:rFonts w:ascii="Arial" w:cs="Arial" w:eastAsia="Arial" w:hAnsi="Arial"/>
                <w:sz w:val="20"/>
                <w:szCs w:val="20"/>
                <w:color w:val="auto"/>
              </w:rPr>
              <w:t>Balance Sheet Location</w:t>
            </w:r>
          </w:p>
        </w:tc>
        <w:tc>
          <w:tcPr>
            <w:tcW w:w="140" w:type="dxa"/>
            <w:vAlign w:val="bottom"/>
          </w:tcPr>
          <w:p>
            <w:pPr>
              <w:spacing w:after="0"/>
              <w:rPr>
                <w:sz w:val="21"/>
                <w:szCs w:val="21"/>
                <w:color w:val="auto"/>
              </w:rPr>
            </w:pPr>
          </w:p>
        </w:tc>
      </w:tr>
      <w:tr>
        <w:trPr>
          <w:trHeight w:val="287"/>
        </w:trPr>
        <w:tc>
          <w:tcPr>
            <w:tcW w:w="5260" w:type="dxa"/>
            <w:vAlign w:val="bottom"/>
            <w:gridSpan w:val="2"/>
          </w:tcPr>
          <w:p>
            <w:pPr>
              <w:spacing w:after="0"/>
              <w:rPr>
                <w:sz w:val="20"/>
                <w:szCs w:val="20"/>
                <w:color w:val="auto"/>
              </w:rPr>
            </w:pPr>
            <w:r>
              <w:rPr>
                <w:rFonts w:ascii="Arial" w:cs="Arial" w:eastAsia="Arial" w:hAnsi="Arial"/>
                <w:sz w:val="20"/>
                <w:szCs w:val="20"/>
                <w:color w:val="auto"/>
              </w:rPr>
              <w:t>Assets:</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0"/>
        </w:trPr>
        <w:tc>
          <w:tcPr>
            <w:tcW w:w="5260" w:type="dxa"/>
            <w:vAlign w:val="bottom"/>
            <w:gridSpan w:val="2"/>
          </w:tcPr>
          <w:p>
            <w:pPr>
              <w:ind w:left="320"/>
              <w:spacing w:after="0"/>
              <w:rPr>
                <w:sz w:val="20"/>
                <w:szCs w:val="20"/>
                <w:color w:val="auto"/>
              </w:rPr>
            </w:pPr>
            <w:r>
              <w:rPr>
                <w:rFonts w:ascii="Arial" w:cs="Arial" w:eastAsia="Arial" w:hAnsi="Arial"/>
                <w:sz w:val="20"/>
                <w:szCs w:val="20"/>
                <w:color w:val="auto"/>
              </w:rPr>
              <w:t>Foreign currency exchange contracts: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5260" w:type="dxa"/>
            <w:vAlign w:val="bottom"/>
            <w:gridSpan w:val="2"/>
          </w:tcPr>
          <w:p>
            <w:pPr>
              <w:ind w:left="900"/>
              <w:spacing w:after="0"/>
              <w:rPr>
                <w:sz w:val="20"/>
                <w:szCs w:val="20"/>
                <w:color w:val="auto"/>
              </w:rPr>
            </w:pPr>
            <w:r>
              <w:rPr>
                <w:rFonts w:ascii="Arial" w:cs="Arial" w:eastAsia="Arial" w:hAnsi="Arial"/>
                <w:sz w:val="20"/>
                <w:szCs w:val="20"/>
                <w:color w:val="auto"/>
              </w:rPr>
              <w:t>Receive USD/pay GBP</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33,290</w:t>
            </w:r>
          </w:p>
        </w:tc>
        <w:tc>
          <w:tcPr>
            <w:tcW w:w="300" w:type="dxa"/>
            <w:vAlign w:val="bottom"/>
          </w:tcPr>
          <w:p>
            <w:pPr>
              <w:spacing w:after="0"/>
              <w:rPr>
                <w:sz w:val="19"/>
                <w:szCs w:val="19"/>
                <w:color w:val="auto"/>
              </w:rPr>
            </w:pPr>
          </w:p>
        </w:tc>
        <w:tc>
          <w:tcPr>
            <w:tcW w:w="3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139</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c>
          <w:tcPr>
            <w:tcW w:w="140" w:type="dxa"/>
            <w:vAlign w:val="bottom"/>
          </w:tcPr>
          <w:p>
            <w:pPr>
              <w:spacing w:after="0"/>
              <w:rPr>
                <w:sz w:val="19"/>
                <w:szCs w:val="19"/>
                <w:color w:val="auto"/>
              </w:rPr>
            </w:pPr>
          </w:p>
        </w:tc>
      </w:tr>
      <w:tr>
        <w:trPr>
          <w:trHeight w:val="230"/>
        </w:trPr>
        <w:tc>
          <w:tcPr>
            <w:tcW w:w="5260" w:type="dxa"/>
            <w:vAlign w:val="bottom"/>
            <w:gridSpan w:val="2"/>
          </w:tcPr>
          <w:p>
            <w:pPr>
              <w:ind w:left="900"/>
              <w:spacing w:after="0"/>
              <w:rPr>
                <w:sz w:val="20"/>
                <w:szCs w:val="20"/>
                <w:color w:val="auto"/>
              </w:rPr>
            </w:pPr>
            <w:r>
              <w:rPr>
                <w:rFonts w:ascii="Arial" w:cs="Arial" w:eastAsia="Arial" w:hAnsi="Arial"/>
                <w:sz w:val="20"/>
                <w:szCs w:val="20"/>
                <w:color w:val="auto"/>
              </w:rPr>
              <w:t>Receive USD/pay ZAR</w:t>
            </w:r>
          </w:p>
        </w:tc>
        <w:tc>
          <w:tcPr>
            <w:tcW w:w="28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20,255</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65</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c>
          <w:tcPr>
            <w:tcW w:w="140" w:type="dxa"/>
            <w:vAlign w:val="bottom"/>
          </w:tcPr>
          <w:p>
            <w:pPr>
              <w:spacing w:after="0"/>
              <w:rPr>
                <w:sz w:val="19"/>
                <w:szCs w:val="19"/>
                <w:color w:val="auto"/>
              </w:rPr>
            </w:pPr>
          </w:p>
        </w:tc>
      </w:tr>
      <w:tr>
        <w:trPr>
          <w:trHeight w:val="250"/>
        </w:trPr>
        <w:tc>
          <w:tcPr>
            <w:tcW w:w="5260" w:type="dxa"/>
            <w:vAlign w:val="bottom"/>
            <w:gridSpan w:val="2"/>
          </w:tcPr>
          <w:p>
            <w:pPr>
              <w:ind w:left="900"/>
              <w:spacing w:after="0"/>
              <w:rPr>
                <w:sz w:val="20"/>
                <w:szCs w:val="20"/>
                <w:color w:val="auto"/>
              </w:rPr>
            </w:pPr>
            <w:r>
              <w:rPr>
                <w:rFonts w:ascii="Arial" w:cs="Arial" w:eastAsia="Arial" w:hAnsi="Arial"/>
                <w:sz w:val="20"/>
                <w:szCs w:val="20"/>
                <w:color w:val="auto"/>
              </w:rPr>
              <w:t>Receive NOK/pay USD</w:t>
            </w:r>
          </w:p>
        </w:tc>
        <w:tc>
          <w:tcPr>
            <w:tcW w:w="280" w:type="dxa"/>
            <w:vAlign w:val="bottom"/>
          </w:tcPr>
          <w:p>
            <w:pPr>
              <w:spacing w:after="0"/>
              <w:rPr>
                <w:sz w:val="21"/>
                <w:szCs w:val="21"/>
                <w:color w:val="auto"/>
              </w:rPr>
            </w:pP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1,746</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4</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c>
          <w:tcPr>
            <w:tcW w:w="140" w:type="dxa"/>
            <w:vAlign w:val="bottom"/>
          </w:tcPr>
          <w:p>
            <w:pPr>
              <w:spacing w:after="0"/>
              <w:rPr>
                <w:sz w:val="21"/>
                <w:szCs w:val="21"/>
                <w:color w:val="auto"/>
              </w:rPr>
            </w:pPr>
          </w:p>
        </w:tc>
      </w:tr>
      <w:tr>
        <w:trPr>
          <w:trHeight w:val="668"/>
        </w:trPr>
        <w:tc>
          <w:tcPr>
            <w:tcW w:w="5260" w:type="dxa"/>
            <w:vAlign w:val="bottom"/>
            <w:gridSpan w:val="2"/>
          </w:tcPr>
          <w:p>
            <w:pPr>
              <w:ind w:left="20"/>
              <w:spacing w:after="0"/>
              <w:rPr>
                <w:sz w:val="20"/>
                <w:szCs w:val="20"/>
                <w:color w:val="auto"/>
              </w:rPr>
            </w:pPr>
            <w:r>
              <w:rPr>
                <w:rFonts w:ascii="Arial" w:cs="Arial" w:eastAsia="Arial" w:hAnsi="Arial"/>
                <w:sz w:val="20"/>
                <w:szCs w:val="20"/>
                <w:color w:val="auto"/>
              </w:rPr>
              <w:t>Liabilities:</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0"/>
        </w:trPr>
        <w:tc>
          <w:tcPr>
            <w:tcW w:w="5260" w:type="dxa"/>
            <w:vAlign w:val="bottom"/>
            <w:gridSpan w:val="2"/>
          </w:tcPr>
          <w:p>
            <w:pPr>
              <w:ind w:left="320"/>
              <w:spacing w:after="0"/>
              <w:rPr>
                <w:sz w:val="20"/>
                <w:szCs w:val="20"/>
                <w:color w:val="auto"/>
              </w:rPr>
            </w:pPr>
            <w:r>
              <w:rPr>
                <w:rFonts w:ascii="Arial" w:cs="Arial" w:eastAsia="Arial" w:hAnsi="Arial"/>
                <w:sz w:val="20"/>
                <w:szCs w:val="20"/>
                <w:color w:val="auto"/>
              </w:rPr>
              <w:t>Foreign currency exchange contracts: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5260" w:type="dxa"/>
            <w:vAlign w:val="bottom"/>
            <w:gridSpan w:val="2"/>
          </w:tcPr>
          <w:p>
            <w:pPr>
              <w:ind w:left="900"/>
              <w:spacing w:after="0"/>
              <w:rPr>
                <w:sz w:val="20"/>
                <w:szCs w:val="20"/>
                <w:color w:val="auto"/>
              </w:rPr>
            </w:pPr>
            <w:r>
              <w:rPr>
                <w:rFonts w:ascii="Arial" w:cs="Arial" w:eastAsia="Arial" w:hAnsi="Arial"/>
                <w:sz w:val="20"/>
                <w:szCs w:val="20"/>
                <w:color w:val="auto"/>
              </w:rPr>
              <w:t>Receive USD/pay EUR</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76,452</w:t>
            </w:r>
          </w:p>
        </w:tc>
        <w:tc>
          <w:tcPr>
            <w:tcW w:w="300" w:type="dxa"/>
            <w:vAlign w:val="bottom"/>
          </w:tcPr>
          <w:p>
            <w:pPr>
              <w:spacing w:after="0"/>
              <w:rPr>
                <w:sz w:val="19"/>
                <w:szCs w:val="19"/>
                <w:color w:val="auto"/>
              </w:rPr>
            </w:pPr>
          </w:p>
        </w:tc>
        <w:tc>
          <w:tcPr>
            <w:tcW w:w="3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(85)</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140" w:type="dxa"/>
            <w:vAlign w:val="bottom"/>
          </w:tcPr>
          <w:p>
            <w:pPr>
              <w:spacing w:after="0"/>
              <w:rPr>
                <w:sz w:val="19"/>
                <w:szCs w:val="19"/>
                <w:color w:val="auto"/>
              </w:rPr>
            </w:pPr>
          </w:p>
        </w:tc>
      </w:tr>
      <w:tr>
        <w:trPr>
          <w:trHeight w:val="230"/>
        </w:trPr>
        <w:tc>
          <w:tcPr>
            <w:tcW w:w="5260" w:type="dxa"/>
            <w:vAlign w:val="bottom"/>
            <w:gridSpan w:val="2"/>
          </w:tcPr>
          <w:p>
            <w:pPr>
              <w:ind w:left="900"/>
              <w:spacing w:after="0"/>
              <w:rPr>
                <w:sz w:val="20"/>
                <w:szCs w:val="20"/>
                <w:color w:val="auto"/>
              </w:rPr>
            </w:pPr>
            <w:r>
              <w:rPr>
                <w:rFonts w:ascii="Arial" w:cs="Arial" w:eastAsia="Arial" w:hAnsi="Arial"/>
                <w:sz w:val="20"/>
                <w:szCs w:val="20"/>
                <w:color w:val="auto"/>
              </w:rPr>
              <w:t>Receive USD/pay AUD</w:t>
            </w:r>
          </w:p>
        </w:tc>
        <w:tc>
          <w:tcPr>
            <w:tcW w:w="28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16,909</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(73)</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140" w:type="dxa"/>
            <w:vAlign w:val="bottom"/>
          </w:tcPr>
          <w:p>
            <w:pPr>
              <w:spacing w:after="0"/>
              <w:rPr>
                <w:sz w:val="19"/>
                <w:szCs w:val="19"/>
                <w:color w:val="auto"/>
              </w:rPr>
            </w:pPr>
          </w:p>
        </w:tc>
      </w:tr>
      <w:tr>
        <w:trPr>
          <w:trHeight w:val="230"/>
        </w:trPr>
        <w:tc>
          <w:tcPr>
            <w:tcW w:w="5260" w:type="dxa"/>
            <w:vAlign w:val="bottom"/>
            <w:gridSpan w:val="2"/>
          </w:tcPr>
          <w:p>
            <w:pPr>
              <w:ind w:left="900"/>
              <w:spacing w:after="0"/>
              <w:rPr>
                <w:sz w:val="20"/>
                <w:szCs w:val="20"/>
                <w:color w:val="auto"/>
              </w:rPr>
            </w:pPr>
            <w:r>
              <w:rPr>
                <w:rFonts w:ascii="Arial" w:cs="Arial" w:eastAsia="Arial" w:hAnsi="Arial"/>
                <w:sz w:val="20"/>
                <w:szCs w:val="20"/>
                <w:color w:val="auto"/>
              </w:rPr>
              <w:t>Receive USD/pay MXN</w:t>
            </w:r>
          </w:p>
        </w:tc>
        <w:tc>
          <w:tcPr>
            <w:tcW w:w="28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3,337</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(29)</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140" w:type="dxa"/>
            <w:vAlign w:val="bottom"/>
          </w:tcPr>
          <w:p>
            <w:pPr>
              <w:spacing w:after="0"/>
              <w:rPr>
                <w:sz w:val="19"/>
                <w:szCs w:val="19"/>
                <w:color w:val="auto"/>
              </w:rPr>
            </w:pPr>
          </w:p>
        </w:tc>
      </w:tr>
      <w:tr>
        <w:trPr>
          <w:trHeight w:val="230"/>
        </w:trPr>
        <w:tc>
          <w:tcPr>
            <w:tcW w:w="5260" w:type="dxa"/>
            <w:vAlign w:val="bottom"/>
            <w:gridSpan w:val="2"/>
          </w:tcPr>
          <w:p>
            <w:pPr>
              <w:ind w:left="900"/>
              <w:spacing w:after="0"/>
              <w:rPr>
                <w:sz w:val="20"/>
                <w:szCs w:val="20"/>
                <w:color w:val="auto"/>
              </w:rPr>
            </w:pPr>
            <w:r>
              <w:rPr>
                <w:rFonts w:ascii="Arial" w:cs="Arial" w:eastAsia="Arial" w:hAnsi="Arial"/>
                <w:sz w:val="20"/>
                <w:szCs w:val="20"/>
                <w:color w:val="auto"/>
              </w:rPr>
              <w:t>Receive SGD/pay USD</w:t>
            </w:r>
          </w:p>
        </w:tc>
        <w:tc>
          <w:tcPr>
            <w:tcW w:w="28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3,296</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(15)</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140" w:type="dxa"/>
            <w:vAlign w:val="bottom"/>
          </w:tcPr>
          <w:p>
            <w:pPr>
              <w:spacing w:after="0"/>
              <w:rPr>
                <w:sz w:val="19"/>
                <w:szCs w:val="19"/>
                <w:color w:val="auto"/>
              </w:rPr>
            </w:pPr>
          </w:p>
        </w:tc>
      </w:tr>
      <w:tr>
        <w:trPr>
          <w:trHeight w:val="230"/>
        </w:trPr>
        <w:tc>
          <w:tcPr>
            <w:tcW w:w="5260" w:type="dxa"/>
            <w:vAlign w:val="bottom"/>
            <w:gridSpan w:val="2"/>
          </w:tcPr>
          <w:p>
            <w:pPr>
              <w:ind w:left="900"/>
              <w:spacing w:after="0"/>
              <w:rPr>
                <w:sz w:val="20"/>
                <w:szCs w:val="20"/>
                <w:color w:val="auto"/>
              </w:rPr>
            </w:pPr>
            <w:r>
              <w:rPr>
                <w:rFonts w:ascii="Arial" w:cs="Arial" w:eastAsia="Arial" w:hAnsi="Arial"/>
                <w:sz w:val="20"/>
                <w:szCs w:val="20"/>
                <w:color w:val="auto"/>
              </w:rPr>
              <w:t>Receive USD/pay NZD</w:t>
            </w:r>
          </w:p>
        </w:tc>
        <w:tc>
          <w:tcPr>
            <w:tcW w:w="28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2,237</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(4)</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140" w:type="dxa"/>
            <w:vAlign w:val="bottom"/>
          </w:tcPr>
          <w:p>
            <w:pPr>
              <w:spacing w:after="0"/>
              <w:rPr>
                <w:sz w:val="19"/>
                <w:szCs w:val="19"/>
                <w:color w:val="auto"/>
              </w:rPr>
            </w:pPr>
          </w:p>
        </w:tc>
      </w:tr>
      <w:tr>
        <w:trPr>
          <w:trHeight w:val="230"/>
        </w:trPr>
        <w:tc>
          <w:tcPr>
            <w:tcW w:w="5260" w:type="dxa"/>
            <w:vAlign w:val="bottom"/>
            <w:gridSpan w:val="2"/>
          </w:tcPr>
          <w:p>
            <w:pPr>
              <w:ind w:left="900"/>
              <w:spacing w:after="0"/>
              <w:rPr>
                <w:sz w:val="20"/>
                <w:szCs w:val="20"/>
                <w:color w:val="auto"/>
              </w:rPr>
            </w:pPr>
            <w:r>
              <w:rPr>
                <w:rFonts w:ascii="Arial" w:cs="Arial" w:eastAsia="Arial" w:hAnsi="Arial"/>
                <w:sz w:val="20"/>
                <w:szCs w:val="20"/>
                <w:color w:val="auto"/>
              </w:rPr>
              <w:t>Receive USD/pay TRY</w:t>
            </w:r>
          </w:p>
        </w:tc>
        <w:tc>
          <w:tcPr>
            <w:tcW w:w="28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5,435</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(83)</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140" w:type="dxa"/>
            <w:vAlign w:val="bottom"/>
          </w:tcPr>
          <w:p>
            <w:pPr>
              <w:spacing w:after="0"/>
              <w:rPr>
                <w:sz w:val="19"/>
                <w:szCs w:val="19"/>
                <w:color w:val="auto"/>
              </w:rPr>
            </w:pPr>
          </w:p>
        </w:tc>
      </w:tr>
      <w:tr>
        <w:trPr>
          <w:trHeight w:val="230"/>
        </w:trPr>
        <w:tc>
          <w:tcPr>
            <w:tcW w:w="5260" w:type="dxa"/>
            <w:vAlign w:val="bottom"/>
            <w:gridSpan w:val="2"/>
          </w:tcPr>
          <w:p>
            <w:pPr>
              <w:ind w:left="900"/>
              <w:spacing w:after="0"/>
              <w:rPr>
                <w:sz w:val="20"/>
                <w:szCs w:val="20"/>
                <w:color w:val="auto"/>
              </w:rPr>
            </w:pPr>
            <w:r>
              <w:rPr>
                <w:rFonts w:ascii="Arial" w:cs="Arial" w:eastAsia="Arial" w:hAnsi="Arial"/>
                <w:sz w:val="20"/>
                <w:szCs w:val="20"/>
                <w:color w:val="auto"/>
              </w:rPr>
              <w:t>Receive USD/pay BRL</w:t>
            </w:r>
          </w:p>
        </w:tc>
        <w:tc>
          <w:tcPr>
            <w:tcW w:w="28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717</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(8)</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140" w:type="dxa"/>
            <w:vAlign w:val="bottom"/>
          </w:tcPr>
          <w:p>
            <w:pPr>
              <w:spacing w:after="0"/>
              <w:rPr>
                <w:sz w:val="19"/>
                <w:szCs w:val="19"/>
                <w:color w:val="auto"/>
              </w:rPr>
            </w:pPr>
          </w:p>
        </w:tc>
      </w:tr>
      <w:tr>
        <w:trPr>
          <w:trHeight w:val="230"/>
        </w:trPr>
        <w:tc>
          <w:tcPr>
            <w:tcW w:w="5260" w:type="dxa"/>
            <w:vAlign w:val="bottom"/>
            <w:gridSpan w:val="2"/>
          </w:tcPr>
          <w:p>
            <w:pPr>
              <w:ind w:left="900"/>
              <w:spacing w:after="0"/>
              <w:rPr>
                <w:sz w:val="20"/>
                <w:szCs w:val="20"/>
                <w:color w:val="auto"/>
              </w:rPr>
            </w:pPr>
            <w:r>
              <w:rPr>
                <w:rFonts w:ascii="Arial" w:cs="Arial" w:eastAsia="Arial" w:hAnsi="Arial"/>
                <w:sz w:val="20"/>
                <w:szCs w:val="20"/>
                <w:color w:val="auto"/>
              </w:rPr>
              <w:t>Receive USD/pay CLP</w:t>
            </w:r>
          </w:p>
        </w:tc>
        <w:tc>
          <w:tcPr>
            <w:tcW w:w="28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2,545</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140" w:type="dxa"/>
            <w:vAlign w:val="bottom"/>
          </w:tcPr>
          <w:p>
            <w:pPr>
              <w:spacing w:after="0"/>
              <w:rPr>
                <w:sz w:val="19"/>
                <w:szCs w:val="19"/>
                <w:color w:val="auto"/>
              </w:rPr>
            </w:pPr>
          </w:p>
        </w:tc>
      </w:tr>
      <w:tr>
        <w:trPr>
          <w:trHeight w:val="250"/>
        </w:trPr>
        <w:tc>
          <w:tcPr>
            <w:tcW w:w="5260" w:type="dxa"/>
            <w:vAlign w:val="bottom"/>
            <w:gridSpan w:val="2"/>
          </w:tcPr>
          <w:p>
            <w:pPr>
              <w:ind w:left="900"/>
              <w:spacing w:after="0"/>
              <w:rPr>
                <w:sz w:val="20"/>
                <w:szCs w:val="20"/>
                <w:color w:val="auto"/>
              </w:rPr>
            </w:pPr>
            <w:r>
              <w:rPr>
                <w:rFonts w:ascii="Arial" w:cs="Arial" w:eastAsia="Arial" w:hAnsi="Arial"/>
                <w:sz w:val="20"/>
                <w:szCs w:val="20"/>
                <w:color w:val="auto"/>
              </w:rPr>
              <w:t>Receive USD/pay COP</w:t>
            </w:r>
          </w:p>
        </w:tc>
        <w:tc>
          <w:tcPr>
            <w:tcW w:w="280" w:type="dxa"/>
            <w:vAlign w:val="bottom"/>
          </w:tcPr>
          <w:p>
            <w:pPr>
              <w:spacing w:after="0"/>
              <w:rPr>
                <w:sz w:val="21"/>
                <w:szCs w:val="21"/>
                <w:color w:val="auto"/>
              </w:rPr>
            </w:pP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3,286</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140" w:type="dxa"/>
            <w:vAlign w:val="bottom"/>
          </w:tcPr>
          <w:p>
            <w:pPr>
              <w:spacing w:after="0"/>
              <w:rPr>
                <w:sz w:val="21"/>
                <w:szCs w:val="21"/>
                <w:color w:val="auto"/>
              </w:rPr>
            </w:pPr>
          </w:p>
        </w:tc>
      </w:tr>
      <w:tr>
        <w:trPr>
          <w:trHeight w:val="442"/>
        </w:trPr>
        <w:tc>
          <w:tcPr>
            <w:tcW w:w="4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ind w:right="882"/>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32"/>
        </w:trPr>
        <w:tc>
          <w:tcPr>
            <w:tcW w:w="49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5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December 31, 2017</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Borders>
              <w:top w:val="single" w:sz="8" w:color="auto"/>
            </w:tcBorders>
            <w:gridSpan w:val="2"/>
          </w:tcPr>
          <w:p>
            <w:pPr>
              <w:jc w:val="center"/>
              <w:ind w:right="280"/>
              <w:spacing w:after="0" w:line="216" w:lineRule="exact"/>
              <w:rPr>
                <w:sz w:val="20"/>
                <w:szCs w:val="20"/>
                <w:color w:val="auto"/>
              </w:rPr>
            </w:pPr>
            <w:r>
              <w:rPr>
                <w:rFonts w:ascii="Arial" w:cs="Arial" w:eastAsia="Arial" w:hAnsi="Arial"/>
                <w:sz w:val="20"/>
                <w:szCs w:val="20"/>
                <w:color w:val="auto"/>
                <w:w w:val="88"/>
              </w:rPr>
              <w:t>Derivatives not designated as</w:t>
            </w:r>
          </w:p>
        </w:tc>
        <w:tc>
          <w:tcPr>
            <w:tcW w:w="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560" w:type="dxa"/>
            <w:vAlign w:val="bottom"/>
            <w:tcBorders>
              <w:top w:val="single" w:sz="8" w:color="auto"/>
            </w:tcBorders>
          </w:tcPr>
          <w:p>
            <w:pPr>
              <w:spacing w:after="0"/>
              <w:rPr>
                <w:sz w:val="18"/>
                <w:szCs w:val="18"/>
                <w:color w:val="auto"/>
              </w:rPr>
            </w:pPr>
          </w:p>
        </w:tc>
      </w:tr>
      <w:tr>
        <w:trPr>
          <w:trHeight w:val="230"/>
        </w:trPr>
        <w:tc>
          <w:tcPr>
            <w:tcW w:w="524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hedging instruments under</w:t>
            </w:r>
          </w:p>
        </w:tc>
        <w:tc>
          <w:tcPr>
            <w:tcW w:w="320" w:type="dxa"/>
            <w:vAlign w:val="bottom"/>
          </w:tcPr>
          <w:p>
            <w:pPr>
              <w:spacing w:after="0"/>
              <w:rPr>
                <w:sz w:val="19"/>
                <w:szCs w:val="19"/>
                <w:color w:val="auto"/>
              </w:rPr>
            </w:pPr>
          </w:p>
        </w:tc>
        <w:tc>
          <w:tcPr>
            <w:tcW w:w="1520" w:type="dxa"/>
            <w:vAlign w:val="bottom"/>
            <w:gridSpan w:val="2"/>
          </w:tcPr>
          <w:p>
            <w:pPr>
              <w:ind w:left="120"/>
              <w:spacing w:after="0"/>
              <w:rPr>
                <w:sz w:val="20"/>
                <w:szCs w:val="20"/>
                <w:color w:val="auto"/>
              </w:rPr>
            </w:pPr>
            <w:r>
              <w:rPr>
                <w:rFonts w:ascii="Arial" w:cs="Arial" w:eastAsia="Arial" w:hAnsi="Arial"/>
                <w:sz w:val="20"/>
                <w:szCs w:val="20"/>
                <w:color w:val="auto"/>
              </w:rPr>
              <w:t>Notional</w:t>
            </w:r>
          </w:p>
        </w:tc>
        <w:tc>
          <w:tcPr>
            <w:tcW w:w="340" w:type="dxa"/>
            <w:vAlign w:val="bottom"/>
          </w:tcPr>
          <w:p>
            <w:pPr>
              <w:spacing w:after="0"/>
              <w:rPr>
                <w:sz w:val="19"/>
                <w:szCs w:val="19"/>
                <w:color w:val="auto"/>
              </w:rPr>
            </w:pPr>
          </w:p>
        </w:tc>
        <w:tc>
          <w:tcPr>
            <w:tcW w:w="1060" w:type="dxa"/>
            <w:vAlign w:val="bottom"/>
          </w:tcPr>
          <w:p>
            <w:pPr>
              <w:jc w:val="right"/>
              <w:ind w:right="441"/>
              <w:spacing w:after="0"/>
              <w:rPr>
                <w:sz w:val="20"/>
                <w:szCs w:val="20"/>
                <w:color w:val="auto"/>
              </w:rPr>
            </w:pPr>
            <w:r>
              <w:rPr>
                <w:rFonts w:ascii="Arial" w:cs="Arial" w:eastAsia="Arial" w:hAnsi="Arial"/>
                <w:sz w:val="20"/>
                <w:szCs w:val="20"/>
                <w:color w:val="auto"/>
              </w:rPr>
              <w:t>Fair</w:t>
            </w: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55"/>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FASB ASC 815-20</w:t>
            </w:r>
          </w:p>
        </w:tc>
        <w:tc>
          <w:tcPr>
            <w:tcW w:w="2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Amount</w:t>
            </w:r>
          </w:p>
        </w:tc>
        <w:tc>
          <w:tcPr>
            <w:tcW w:w="3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Value</w:t>
            </w:r>
          </w:p>
        </w:tc>
        <w:tc>
          <w:tcPr>
            <w:tcW w:w="280" w:type="dxa"/>
            <w:vAlign w:val="bottom"/>
          </w:tcPr>
          <w:p>
            <w:pPr>
              <w:spacing w:after="0"/>
              <w:rPr>
                <w:sz w:val="22"/>
                <w:szCs w:val="22"/>
                <w:color w:val="auto"/>
              </w:rPr>
            </w:pPr>
          </w:p>
        </w:tc>
        <w:tc>
          <w:tcPr>
            <w:tcW w:w="2560" w:type="dxa"/>
            <w:vAlign w:val="bottom"/>
            <w:tcBorders>
              <w:bottom w:val="single" w:sz="8" w:color="auto"/>
            </w:tcBorders>
          </w:tcPr>
          <w:p>
            <w:pPr>
              <w:ind w:left="340"/>
              <w:spacing w:after="0"/>
              <w:rPr>
                <w:sz w:val="20"/>
                <w:szCs w:val="20"/>
                <w:color w:val="auto"/>
              </w:rPr>
            </w:pPr>
            <w:r>
              <w:rPr>
                <w:rFonts w:ascii="Arial" w:cs="Arial" w:eastAsia="Arial" w:hAnsi="Arial"/>
                <w:sz w:val="20"/>
                <w:szCs w:val="20"/>
                <w:color w:val="auto"/>
              </w:rPr>
              <w:t>Balance Sheet Location</w:t>
            </w:r>
          </w:p>
        </w:tc>
      </w:tr>
      <w:tr>
        <w:trPr>
          <w:trHeight w:val="292"/>
        </w:trPr>
        <w:tc>
          <w:tcPr>
            <w:tcW w:w="5240" w:type="dxa"/>
            <w:vAlign w:val="bottom"/>
            <w:gridSpan w:val="2"/>
          </w:tcPr>
          <w:p>
            <w:pPr>
              <w:spacing w:after="0"/>
              <w:rPr>
                <w:sz w:val="20"/>
                <w:szCs w:val="20"/>
                <w:color w:val="auto"/>
              </w:rPr>
            </w:pPr>
            <w:r>
              <w:rPr>
                <w:rFonts w:ascii="Arial" w:cs="Arial" w:eastAsia="Arial" w:hAnsi="Arial"/>
                <w:sz w:val="20"/>
                <w:szCs w:val="20"/>
                <w:color w:val="auto"/>
              </w:rPr>
              <w:t>Assets:</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30"/>
        </w:trPr>
        <w:tc>
          <w:tcPr>
            <w:tcW w:w="5240" w:type="dxa"/>
            <w:vAlign w:val="bottom"/>
            <w:gridSpan w:val="2"/>
          </w:tcPr>
          <w:p>
            <w:pPr>
              <w:ind w:left="320"/>
              <w:spacing w:after="0"/>
              <w:rPr>
                <w:sz w:val="20"/>
                <w:szCs w:val="20"/>
                <w:color w:val="auto"/>
              </w:rPr>
            </w:pPr>
            <w:r>
              <w:rPr>
                <w:rFonts w:ascii="Arial" w:cs="Arial" w:eastAsia="Arial" w:hAnsi="Arial"/>
                <w:sz w:val="20"/>
                <w:szCs w:val="20"/>
                <w:color w:val="auto"/>
              </w:rPr>
              <w:t>Foreign currency exchange contracts:</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30"/>
        </w:trPr>
        <w:tc>
          <w:tcPr>
            <w:tcW w:w="5240" w:type="dxa"/>
            <w:vAlign w:val="bottom"/>
            <w:gridSpan w:val="2"/>
          </w:tcPr>
          <w:p>
            <w:pPr>
              <w:ind w:left="900"/>
              <w:spacing w:after="0"/>
              <w:rPr>
                <w:sz w:val="20"/>
                <w:szCs w:val="20"/>
                <w:color w:val="auto"/>
              </w:rPr>
            </w:pPr>
            <w:r>
              <w:rPr>
                <w:rFonts w:ascii="Arial" w:cs="Arial" w:eastAsia="Arial" w:hAnsi="Arial"/>
                <w:sz w:val="20"/>
                <w:szCs w:val="20"/>
                <w:color w:val="auto"/>
              </w:rPr>
              <w:t>Receive CAD/pay USD</w:t>
            </w:r>
          </w:p>
        </w:tc>
        <w:tc>
          <w:tcPr>
            <w:tcW w:w="3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4,892</w:t>
            </w:r>
          </w:p>
        </w:tc>
        <w:tc>
          <w:tcPr>
            <w:tcW w:w="300" w:type="dxa"/>
            <w:vAlign w:val="bottom"/>
          </w:tcPr>
          <w:p>
            <w:pPr>
              <w:spacing w:after="0"/>
              <w:rPr>
                <w:sz w:val="19"/>
                <w:szCs w:val="19"/>
                <w:color w:val="auto"/>
              </w:rPr>
            </w:pPr>
          </w:p>
        </w:tc>
        <w:tc>
          <w:tcPr>
            <w:tcW w:w="3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61</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r>
      <w:tr>
        <w:trPr>
          <w:trHeight w:val="230"/>
        </w:trPr>
        <w:tc>
          <w:tcPr>
            <w:tcW w:w="5240" w:type="dxa"/>
            <w:vAlign w:val="bottom"/>
            <w:gridSpan w:val="2"/>
          </w:tcPr>
          <w:p>
            <w:pPr>
              <w:ind w:left="900"/>
              <w:spacing w:after="0"/>
              <w:rPr>
                <w:sz w:val="20"/>
                <w:szCs w:val="20"/>
                <w:color w:val="auto"/>
              </w:rPr>
            </w:pPr>
            <w:r>
              <w:rPr>
                <w:rFonts w:ascii="Arial" w:cs="Arial" w:eastAsia="Arial" w:hAnsi="Arial"/>
                <w:sz w:val="20"/>
                <w:szCs w:val="20"/>
                <w:color w:val="auto"/>
              </w:rPr>
              <w:t>Receive SGD/pay USD</w:t>
            </w:r>
          </w:p>
        </w:tc>
        <w:tc>
          <w:tcPr>
            <w:tcW w:w="32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223</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2</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r>
      <w:tr>
        <w:trPr>
          <w:trHeight w:val="230"/>
        </w:trPr>
        <w:tc>
          <w:tcPr>
            <w:tcW w:w="5240" w:type="dxa"/>
            <w:vAlign w:val="bottom"/>
            <w:gridSpan w:val="2"/>
          </w:tcPr>
          <w:p>
            <w:pPr>
              <w:ind w:left="900"/>
              <w:spacing w:after="0"/>
              <w:rPr>
                <w:sz w:val="20"/>
                <w:szCs w:val="20"/>
                <w:color w:val="auto"/>
              </w:rPr>
            </w:pPr>
            <w:r>
              <w:rPr>
                <w:rFonts w:ascii="Arial" w:cs="Arial" w:eastAsia="Arial" w:hAnsi="Arial"/>
                <w:sz w:val="20"/>
                <w:szCs w:val="20"/>
                <w:color w:val="auto"/>
              </w:rPr>
              <w:t>Receive NOK/pay USD</w:t>
            </w:r>
          </w:p>
        </w:tc>
        <w:tc>
          <w:tcPr>
            <w:tcW w:w="32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1,534</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18</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r>
      <w:tr>
        <w:trPr>
          <w:trHeight w:val="230"/>
        </w:trPr>
        <w:tc>
          <w:tcPr>
            <w:tcW w:w="5240" w:type="dxa"/>
            <w:vAlign w:val="bottom"/>
            <w:gridSpan w:val="2"/>
          </w:tcPr>
          <w:p>
            <w:pPr>
              <w:ind w:left="900"/>
              <w:spacing w:after="0"/>
              <w:rPr>
                <w:sz w:val="20"/>
                <w:szCs w:val="20"/>
                <w:color w:val="auto"/>
              </w:rPr>
            </w:pPr>
            <w:r>
              <w:rPr>
                <w:rFonts w:ascii="Arial" w:cs="Arial" w:eastAsia="Arial" w:hAnsi="Arial"/>
                <w:sz w:val="20"/>
                <w:szCs w:val="20"/>
                <w:color w:val="auto"/>
              </w:rPr>
              <w:t>Receive USD/pay BRL</w:t>
            </w:r>
          </w:p>
        </w:tc>
        <w:tc>
          <w:tcPr>
            <w:tcW w:w="32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1,806</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1</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r>
      <w:tr>
        <w:trPr>
          <w:trHeight w:val="250"/>
        </w:trPr>
        <w:tc>
          <w:tcPr>
            <w:tcW w:w="5240" w:type="dxa"/>
            <w:vAlign w:val="bottom"/>
            <w:gridSpan w:val="2"/>
          </w:tcPr>
          <w:p>
            <w:pPr>
              <w:ind w:left="900"/>
              <w:spacing w:after="0"/>
              <w:rPr>
                <w:sz w:val="20"/>
                <w:szCs w:val="20"/>
                <w:color w:val="auto"/>
              </w:rPr>
            </w:pPr>
            <w:r>
              <w:rPr>
                <w:rFonts w:ascii="Arial" w:cs="Arial" w:eastAsia="Arial" w:hAnsi="Arial"/>
                <w:sz w:val="20"/>
                <w:szCs w:val="20"/>
                <w:color w:val="auto"/>
              </w:rPr>
              <w:t>Receive USD/pay COP</w:t>
            </w:r>
          </w:p>
        </w:tc>
        <w:tc>
          <w:tcPr>
            <w:tcW w:w="320" w:type="dxa"/>
            <w:vAlign w:val="bottom"/>
          </w:tcPr>
          <w:p>
            <w:pPr>
              <w:spacing w:after="0"/>
              <w:rPr>
                <w:sz w:val="21"/>
                <w:szCs w:val="21"/>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2,803</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13</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r>
      <w:tr>
        <w:trPr>
          <w:trHeight w:val="668"/>
        </w:trPr>
        <w:tc>
          <w:tcPr>
            <w:tcW w:w="5240" w:type="dxa"/>
            <w:vAlign w:val="bottom"/>
            <w:gridSpan w:val="2"/>
          </w:tcPr>
          <w:p>
            <w:pPr>
              <w:spacing w:after="0"/>
              <w:rPr>
                <w:sz w:val="20"/>
                <w:szCs w:val="20"/>
                <w:color w:val="auto"/>
              </w:rPr>
            </w:pPr>
            <w:r>
              <w:rPr>
                <w:rFonts w:ascii="Arial" w:cs="Arial" w:eastAsia="Arial" w:hAnsi="Arial"/>
                <w:sz w:val="20"/>
                <w:szCs w:val="20"/>
                <w:color w:val="auto"/>
              </w:rPr>
              <w:t>Liabilities:</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30"/>
        </w:trPr>
        <w:tc>
          <w:tcPr>
            <w:tcW w:w="5240" w:type="dxa"/>
            <w:vAlign w:val="bottom"/>
            <w:gridSpan w:val="2"/>
          </w:tcPr>
          <w:p>
            <w:pPr>
              <w:ind w:left="320"/>
              <w:spacing w:after="0"/>
              <w:rPr>
                <w:sz w:val="20"/>
                <w:szCs w:val="20"/>
                <w:color w:val="auto"/>
              </w:rPr>
            </w:pPr>
            <w:r>
              <w:rPr>
                <w:rFonts w:ascii="Arial" w:cs="Arial" w:eastAsia="Arial" w:hAnsi="Arial"/>
                <w:sz w:val="20"/>
                <w:szCs w:val="20"/>
                <w:color w:val="auto"/>
              </w:rPr>
              <w:t>Foreign currency exchange contracts:</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30"/>
        </w:trPr>
        <w:tc>
          <w:tcPr>
            <w:tcW w:w="5240" w:type="dxa"/>
            <w:vAlign w:val="bottom"/>
            <w:gridSpan w:val="2"/>
          </w:tcPr>
          <w:p>
            <w:pPr>
              <w:ind w:left="900"/>
              <w:spacing w:after="0"/>
              <w:rPr>
                <w:sz w:val="20"/>
                <w:szCs w:val="20"/>
                <w:color w:val="auto"/>
              </w:rPr>
            </w:pPr>
            <w:r>
              <w:rPr>
                <w:rFonts w:ascii="Arial" w:cs="Arial" w:eastAsia="Arial" w:hAnsi="Arial"/>
                <w:sz w:val="20"/>
                <w:szCs w:val="20"/>
                <w:color w:val="auto"/>
              </w:rPr>
              <w:t>Receive USD/pay GBP</w:t>
            </w:r>
          </w:p>
        </w:tc>
        <w:tc>
          <w:tcPr>
            <w:tcW w:w="3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31,342</w:t>
            </w:r>
          </w:p>
        </w:tc>
        <w:tc>
          <w:tcPr>
            <w:tcW w:w="300" w:type="dxa"/>
            <w:vAlign w:val="bottom"/>
          </w:tcPr>
          <w:p>
            <w:pPr>
              <w:spacing w:after="0"/>
              <w:rPr>
                <w:sz w:val="19"/>
                <w:szCs w:val="19"/>
                <w:color w:val="auto"/>
              </w:rPr>
            </w:pPr>
          </w:p>
        </w:tc>
        <w:tc>
          <w:tcPr>
            <w:tcW w:w="3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(334)</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r>
      <w:tr>
        <w:trPr>
          <w:trHeight w:val="230"/>
        </w:trPr>
        <w:tc>
          <w:tcPr>
            <w:tcW w:w="5240" w:type="dxa"/>
            <w:vAlign w:val="bottom"/>
            <w:gridSpan w:val="2"/>
          </w:tcPr>
          <w:p>
            <w:pPr>
              <w:ind w:left="900"/>
              <w:spacing w:after="0"/>
              <w:rPr>
                <w:sz w:val="20"/>
                <w:szCs w:val="20"/>
                <w:color w:val="auto"/>
              </w:rPr>
            </w:pPr>
            <w:r>
              <w:rPr>
                <w:rFonts w:ascii="Arial" w:cs="Arial" w:eastAsia="Arial" w:hAnsi="Arial"/>
                <w:sz w:val="20"/>
                <w:szCs w:val="20"/>
                <w:color w:val="auto"/>
              </w:rPr>
              <w:t>Receive USD/pay EUR</w:t>
            </w:r>
          </w:p>
        </w:tc>
        <w:tc>
          <w:tcPr>
            <w:tcW w:w="32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65,131</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(642)</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r>
      <w:tr>
        <w:trPr>
          <w:trHeight w:val="230"/>
        </w:trPr>
        <w:tc>
          <w:tcPr>
            <w:tcW w:w="5240" w:type="dxa"/>
            <w:vAlign w:val="bottom"/>
            <w:gridSpan w:val="2"/>
          </w:tcPr>
          <w:p>
            <w:pPr>
              <w:ind w:left="900"/>
              <w:spacing w:after="0"/>
              <w:rPr>
                <w:sz w:val="20"/>
                <w:szCs w:val="20"/>
                <w:color w:val="auto"/>
              </w:rPr>
            </w:pPr>
            <w:r>
              <w:rPr>
                <w:rFonts w:ascii="Arial" w:cs="Arial" w:eastAsia="Arial" w:hAnsi="Arial"/>
                <w:sz w:val="20"/>
                <w:szCs w:val="20"/>
                <w:color w:val="auto"/>
              </w:rPr>
              <w:t>Receive USD/pay AUD</w:t>
            </w:r>
          </w:p>
        </w:tc>
        <w:tc>
          <w:tcPr>
            <w:tcW w:w="32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17,238</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(177)</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r>
      <w:tr>
        <w:trPr>
          <w:trHeight w:val="230"/>
        </w:trPr>
        <w:tc>
          <w:tcPr>
            <w:tcW w:w="5240" w:type="dxa"/>
            <w:vAlign w:val="bottom"/>
            <w:gridSpan w:val="2"/>
          </w:tcPr>
          <w:p>
            <w:pPr>
              <w:ind w:left="900"/>
              <w:spacing w:after="0"/>
              <w:rPr>
                <w:sz w:val="20"/>
                <w:szCs w:val="20"/>
                <w:color w:val="auto"/>
              </w:rPr>
            </w:pPr>
            <w:r>
              <w:rPr>
                <w:rFonts w:ascii="Arial" w:cs="Arial" w:eastAsia="Arial" w:hAnsi="Arial"/>
                <w:sz w:val="20"/>
                <w:szCs w:val="20"/>
                <w:color w:val="auto"/>
              </w:rPr>
              <w:t>Receive USD/pay ZAR</w:t>
            </w:r>
          </w:p>
        </w:tc>
        <w:tc>
          <w:tcPr>
            <w:tcW w:w="32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21,311</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(222)</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r>
      <w:tr>
        <w:trPr>
          <w:trHeight w:val="250"/>
        </w:trPr>
        <w:tc>
          <w:tcPr>
            <w:tcW w:w="5240" w:type="dxa"/>
            <w:vAlign w:val="bottom"/>
            <w:gridSpan w:val="2"/>
          </w:tcPr>
          <w:p>
            <w:pPr>
              <w:ind w:left="900"/>
              <w:spacing w:after="0"/>
              <w:rPr>
                <w:sz w:val="20"/>
                <w:szCs w:val="20"/>
                <w:color w:val="auto"/>
              </w:rPr>
            </w:pPr>
            <w:r>
              <w:rPr>
                <w:rFonts w:ascii="Arial" w:cs="Arial" w:eastAsia="Arial" w:hAnsi="Arial"/>
                <w:sz w:val="20"/>
                <w:szCs w:val="20"/>
                <w:color w:val="auto"/>
              </w:rPr>
              <w:t>Receive USD/pay MXN</w:t>
            </w:r>
          </w:p>
        </w:tc>
        <w:tc>
          <w:tcPr>
            <w:tcW w:w="320" w:type="dxa"/>
            <w:vAlign w:val="bottom"/>
          </w:tcPr>
          <w:p>
            <w:pPr>
              <w:spacing w:after="0"/>
              <w:rPr>
                <w:sz w:val="21"/>
                <w:szCs w:val="21"/>
                <w:color w:val="auto"/>
              </w:rPr>
            </w:pPr>
          </w:p>
        </w:tc>
        <w:tc>
          <w:tcPr>
            <w:tcW w:w="1220" w:type="dxa"/>
            <w:vAlign w:val="bottom"/>
          </w:tcPr>
          <w:p>
            <w:pPr>
              <w:jc w:val="right"/>
              <w:ind w:right="1"/>
              <w:spacing w:after="0"/>
              <w:rPr>
                <w:sz w:val="20"/>
                <w:szCs w:val="20"/>
                <w:color w:val="auto"/>
              </w:rPr>
            </w:pPr>
            <w:r>
              <w:rPr>
                <w:rFonts w:ascii="Arial" w:cs="Arial" w:eastAsia="Arial" w:hAnsi="Arial"/>
                <w:sz w:val="20"/>
                <w:szCs w:val="20"/>
                <w:color w:val="auto"/>
              </w:rPr>
              <w:t>7,720</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(126)</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r>
    </w:tbl>
    <w:p>
      <w:pPr>
        <w:sectPr>
          <w:pgSz w:w="11900" w:h="16838" w:orient="portrait"/>
          <w:cols w:equalWidth="0" w:num="1">
            <w:col w:w="11460"/>
          </w:cols>
          <w:pgMar w:left="240" w:top="118" w:right="199" w:bottom="0" w:gutter="0" w:footer="0" w:header="0"/>
        </w:sectPr>
      </w:pPr>
    </w:p>
    <w:bookmarkStart w:id="11" w:name="page12"/>
    <w:bookmarkEnd w:id="11"/>
    <w:p>
      <w:pPr>
        <w:spacing w:after="0" w:line="1" w:lineRule="exact"/>
        <w:rPr>
          <w:sz w:val="20"/>
          <w:szCs w:val="20"/>
          <w:color w:val="auto"/>
        </w:rPr>
      </w:pPr>
    </w:p>
    <w:tbl>
      <w:tblPr>
        <w:tblLayout w:type="fixed"/>
        <w:tblInd w:w="900" w:type="dxa"/>
        <w:tblCellMar>
          <w:top w:w="0" w:type="dxa"/>
          <w:left w:w="0" w:type="dxa"/>
          <w:bottom w:w="0" w:type="dxa"/>
          <w:right w:w="0" w:type="dxa"/>
        </w:tblCellMar>
      </w:tblPr>
      <w:tr>
        <w:trPr>
          <w:trHeight w:val="231"/>
        </w:trPr>
        <w:tc>
          <w:tcPr>
            <w:tcW w:w="3620" w:type="dxa"/>
            <w:vAlign w:val="bottom"/>
          </w:tcPr>
          <w:p>
            <w:pPr>
              <w:spacing w:after="0"/>
              <w:rPr>
                <w:sz w:val="20"/>
                <w:szCs w:val="20"/>
                <w:color w:val="auto"/>
              </w:rPr>
            </w:pPr>
            <w:r>
              <w:rPr>
                <w:rFonts w:ascii="Arial" w:cs="Arial" w:eastAsia="Arial" w:hAnsi="Arial"/>
                <w:sz w:val="20"/>
                <w:szCs w:val="20"/>
                <w:color w:val="auto"/>
              </w:rPr>
              <w:t>Receive USD/pay NZD</w:t>
            </w:r>
          </w:p>
        </w:tc>
        <w:tc>
          <w:tcPr>
            <w:tcW w:w="2880" w:type="dxa"/>
            <w:vAlign w:val="bottom"/>
          </w:tcPr>
          <w:p>
            <w:pPr>
              <w:jc w:val="right"/>
              <w:ind w:right="621"/>
              <w:spacing w:after="0"/>
              <w:rPr>
                <w:sz w:val="20"/>
                <w:szCs w:val="20"/>
                <w:color w:val="auto"/>
              </w:rPr>
            </w:pPr>
            <w:r>
              <w:rPr>
                <w:rFonts w:ascii="Arial" w:cs="Arial" w:eastAsia="Arial" w:hAnsi="Arial"/>
                <w:sz w:val="20"/>
                <w:szCs w:val="20"/>
                <w:color w:val="auto"/>
              </w:rPr>
              <w:t>1,826</w:t>
            </w:r>
          </w:p>
        </w:tc>
        <w:tc>
          <w:tcPr>
            <w:tcW w:w="1200" w:type="dxa"/>
            <w:vAlign w:val="bottom"/>
          </w:tcPr>
          <w:p>
            <w:pPr>
              <w:jc w:val="right"/>
              <w:ind w:right="41"/>
              <w:spacing w:after="0"/>
              <w:rPr>
                <w:sz w:val="20"/>
                <w:szCs w:val="20"/>
                <w:color w:val="auto"/>
              </w:rPr>
            </w:pPr>
            <w:r>
              <w:rPr>
                <w:rFonts w:ascii="Arial" w:cs="Arial" w:eastAsia="Arial" w:hAnsi="Arial"/>
                <w:sz w:val="20"/>
                <w:szCs w:val="20"/>
                <w:color w:val="auto"/>
              </w:rPr>
              <w:t>(18)</w:t>
            </w:r>
          </w:p>
        </w:tc>
        <w:tc>
          <w:tcPr>
            <w:tcW w:w="1620" w:type="dxa"/>
            <w:vAlign w:val="bottom"/>
          </w:tcPr>
          <w:p>
            <w:pPr>
              <w:ind w:left="160"/>
              <w:spacing w:after="0"/>
              <w:rPr>
                <w:sz w:val="20"/>
                <w:szCs w:val="20"/>
                <w:color w:val="auto"/>
              </w:rPr>
            </w:pPr>
            <w:r>
              <w:rPr>
                <w:rFonts w:ascii="Arial" w:cs="Arial" w:eastAsia="Arial" w:hAnsi="Arial"/>
                <w:sz w:val="20"/>
                <w:szCs w:val="20"/>
                <w:color w:val="auto"/>
                <w:w w:val="93"/>
              </w:rPr>
              <w:t>Accrued liabilities</w:t>
            </w:r>
          </w:p>
        </w:tc>
      </w:tr>
      <w:tr>
        <w:trPr>
          <w:trHeight w:val="230"/>
        </w:trPr>
        <w:tc>
          <w:tcPr>
            <w:tcW w:w="3620" w:type="dxa"/>
            <w:vAlign w:val="bottom"/>
          </w:tcPr>
          <w:p>
            <w:pPr>
              <w:spacing w:after="0"/>
              <w:rPr>
                <w:sz w:val="20"/>
                <w:szCs w:val="20"/>
                <w:color w:val="auto"/>
              </w:rPr>
            </w:pPr>
            <w:r>
              <w:rPr>
                <w:rFonts w:ascii="Arial" w:cs="Arial" w:eastAsia="Arial" w:hAnsi="Arial"/>
                <w:sz w:val="20"/>
                <w:szCs w:val="20"/>
                <w:color w:val="auto"/>
              </w:rPr>
              <w:t>Receive USD/pay TRY</w:t>
            </w:r>
          </w:p>
        </w:tc>
        <w:tc>
          <w:tcPr>
            <w:tcW w:w="2880" w:type="dxa"/>
            <w:vAlign w:val="bottom"/>
          </w:tcPr>
          <w:p>
            <w:pPr>
              <w:jc w:val="right"/>
              <w:ind w:right="621"/>
              <w:spacing w:after="0"/>
              <w:rPr>
                <w:sz w:val="20"/>
                <w:szCs w:val="20"/>
                <w:color w:val="auto"/>
              </w:rPr>
            </w:pPr>
            <w:r>
              <w:rPr>
                <w:rFonts w:ascii="Arial" w:cs="Arial" w:eastAsia="Arial" w:hAnsi="Arial"/>
                <w:sz w:val="20"/>
                <w:szCs w:val="20"/>
                <w:color w:val="auto"/>
              </w:rPr>
              <w:t>5,483</w:t>
            </w:r>
          </w:p>
        </w:tc>
        <w:tc>
          <w:tcPr>
            <w:tcW w:w="1200" w:type="dxa"/>
            <w:vAlign w:val="bottom"/>
          </w:tcPr>
          <w:p>
            <w:pPr>
              <w:jc w:val="right"/>
              <w:ind w:right="41"/>
              <w:spacing w:after="0"/>
              <w:rPr>
                <w:sz w:val="20"/>
                <w:szCs w:val="20"/>
                <w:color w:val="auto"/>
              </w:rPr>
            </w:pPr>
            <w:r>
              <w:rPr>
                <w:rFonts w:ascii="Arial" w:cs="Arial" w:eastAsia="Arial" w:hAnsi="Arial"/>
                <w:sz w:val="20"/>
                <w:szCs w:val="20"/>
                <w:color w:val="auto"/>
              </w:rPr>
              <w:t>(52)</w:t>
            </w:r>
          </w:p>
        </w:tc>
        <w:tc>
          <w:tcPr>
            <w:tcW w:w="1620" w:type="dxa"/>
            <w:vAlign w:val="bottom"/>
          </w:tcPr>
          <w:p>
            <w:pPr>
              <w:ind w:left="160"/>
              <w:spacing w:after="0"/>
              <w:rPr>
                <w:sz w:val="20"/>
                <w:szCs w:val="20"/>
                <w:color w:val="auto"/>
              </w:rPr>
            </w:pPr>
            <w:r>
              <w:rPr>
                <w:rFonts w:ascii="Arial" w:cs="Arial" w:eastAsia="Arial" w:hAnsi="Arial"/>
                <w:sz w:val="20"/>
                <w:szCs w:val="20"/>
                <w:color w:val="auto"/>
                <w:w w:val="93"/>
              </w:rPr>
              <w:t>Accrued liabilities</w:t>
            </w:r>
          </w:p>
        </w:tc>
      </w:tr>
      <w:tr>
        <w:trPr>
          <w:trHeight w:val="250"/>
        </w:trPr>
        <w:tc>
          <w:tcPr>
            <w:tcW w:w="3620" w:type="dxa"/>
            <w:vAlign w:val="bottom"/>
          </w:tcPr>
          <w:p>
            <w:pPr>
              <w:spacing w:after="0"/>
              <w:rPr>
                <w:sz w:val="20"/>
                <w:szCs w:val="20"/>
                <w:color w:val="auto"/>
              </w:rPr>
            </w:pPr>
            <w:r>
              <w:rPr>
                <w:rFonts w:ascii="Arial" w:cs="Arial" w:eastAsia="Arial" w:hAnsi="Arial"/>
                <w:sz w:val="20"/>
                <w:szCs w:val="20"/>
                <w:color w:val="auto"/>
              </w:rPr>
              <w:t>Receive USD/pay CLP</w:t>
            </w:r>
          </w:p>
        </w:tc>
        <w:tc>
          <w:tcPr>
            <w:tcW w:w="2880" w:type="dxa"/>
            <w:vAlign w:val="bottom"/>
          </w:tcPr>
          <w:p>
            <w:pPr>
              <w:jc w:val="right"/>
              <w:ind w:right="621"/>
              <w:spacing w:after="0"/>
              <w:rPr>
                <w:sz w:val="20"/>
                <w:szCs w:val="20"/>
                <w:color w:val="auto"/>
              </w:rPr>
            </w:pPr>
            <w:r>
              <w:rPr>
                <w:rFonts w:ascii="Arial" w:cs="Arial" w:eastAsia="Arial" w:hAnsi="Arial"/>
                <w:sz w:val="20"/>
                <w:szCs w:val="20"/>
                <w:color w:val="auto"/>
              </w:rPr>
              <w:t>1,112</w:t>
            </w:r>
          </w:p>
        </w:tc>
        <w:tc>
          <w:tcPr>
            <w:tcW w:w="1200" w:type="dxa"/>
            <w:vAlign w:val="bottom"/>
          </w:tcPr>
          <w:p>
            <w:pPr>
              <w:jc w:val="right"/>
              <w:ind w:right="41"/>
              <w:spacing w:after="0"/>
              <w:rPr>
                <w:sz w:val="20"/>
                <w:szCs w:val="20"/>
                <w:color w:val="auto"/>
              </w:rPr>
            </w:pPr>
            <w:r>
              <w:rPr>
                <w:rFonts w:ascii="Arial" w:cs="Arial" w:eastAsia="Arial" w:hAnsi="Arial"/>
                <w:sz w:val="20"/>
                <w:szCs w:val="20"/>
                <w:color w:val="auto"/>
              </w:rPr>
              <w:t>(8)</w:t>
            </w:r>
          </w:p>
        </w:tc>
        <w:tc>
          <w:tcPr>
            <w:tcW w:w="1620" w:type="dxa"/>
            <w:vAlign w:val="bottom"/>
          </w:tcPr>
          <w:p>
            <w:pPr>
              <w:ind w:left="160"/>
              <w:spacing w:after="0"/>
              <w:rPr>
                <w:sz w:val="20"/>
                <w:szCs w:val="20"/>
                <w:color w:val="auto"/>
              </w:rPr>
            </w:pPr>
            <w:r>
              <w:rPr>
                <w:rFonts w:ascii="Arial" w:cs="Arial" w:eastAsia="Arial" w:hAnsi="Arial"/>
                <w:sz w:val="20"/>
                <w:szCs w:val="20"/>
                <w:color w:val="auto"/>
                <w:w w:val="93"/>
              </w:rPr>
              <w:t>Accrued liabilities</w:t>
            </w:r>
          </w:p>
        </w:tc>
      </w:tr>
    </w:tbl>
    <w:p>
      <w:pPr>
        <w:spacing w:after="0" w:line="20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net (losses) gains on derivative instruments in the condensed consolidated statements of income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80" w:type="dxa"/>
            <w:vAlign w:val="bottom"/>
            <w:gridSpan w:val="4"/>
          </w:tcPr>
          <w:p>
            <w:pPr>
              <w:jc w:val="center"/>
              <w:ind w:right="281"/>
              <w:spacing w:after="0"/>
              <w:rPr>
                <w:sz w:val="20"/>
                <w:szCs w:val="20"/>
                <w:color w:val="auto"/>
              </w:rPr>
            </w:pPr>
            <w:r>
              <w:rPr>
                <w:rFonts w:ascii="Arial" w:cs="Arial" w:eastAsia="Arial" w:hAnsi="Arial"/>
                <w:sz w:val="20"/>
                <w:szCs w:val="20"/>
                <w:color w:val="auto"/>
                <w:w w:val="92"/>
              </w:rPr>
              <w:t>Amount of (loss) gain</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80" w:type="dxa"/>
            <w:vAlign w:val="bottom"/>
            <w:gridSpan w:val="4"/>
          </w:tcPr>
          <w:p>
            <w:pPr>
              <w:jc w:val="center"/>
              <w:ind w:right="261"/>
              <w:spacing w:after="0"/>
              <w:rPr>
                <w:sz w:val="20"/>
                <w:szCs w:val="20"/>
                <w:color w:val="auto"/>
              </w:rPr>
            </w:pPr>
            <w:r>
              <w:rPr>
                <w:rFonts w:ascii="Arial" w:cs="Arial" w:eastAsia="Arial" w:hAnsi="Arial"/>
                <w:sz w:val="20"/>
                <w:szCs w:val="20"/>
                <w:color w:val="auto"/>
                <w:w w:val="90"/>
              </w:rPr>
              <w:t>recognized in income on</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3"/>
          </w:tcPr>
          <w:p>
            <w:pPr>
              <w:jc w:val="center"/>
              <w:ind w:left="901"/>
              <w:spacing w:after="0"/>
              <w:rPr>
                <w:sz w:val="20"/>
                <w:szCs w:val="20"/>
                <w:color w:val="auto"/>
              </w:rPr>
            </w:pPr>
            <w:r>
              <w:rPr>
                <w:rFonts w:ascii="Arial" w:cs="Arial" w:eastAsia="Arial" w:hAnsi="Arial"/>
                <w:sz w:val="20"/>
                <w:szCs w:val="20"/>
                <w:color w:val="auto"/>
                <w:w w:val="89"/>
              </w:rPr>
              <w:t>derivatives</w:t>
            </w:r>
          </w:p>
        </w:tc>
        <w:tc>
          <w:tcPr>
            <w:tcW w:w="138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00" w:type="dxa"/>
            <w:vAlign w:val="bottom"/>
            <w:gridSpan w:val="2"/>
            <w:vMerge w:val="restart"/>
          </w:tcPr>
          <w:p>
            <w:pPr>
              <w:jc w:val="center"/>
              <w:ind w:right="280"/>
              <w:spacing w:after="0"/>
              <w:rPr>
                <w:sz w:val="20"/>
                <w:szCs w:val="20"/>
                <w:color w:val="auto"/>
              </w:rPr>
            </w:pPr>
            <w:r>
              <w:rPr>
                <w:rFonts w:ascii="Arial" w:cs="Arial" w:eastAsia="Arial" w:hAnsi="Arial"/>
                <w:sz w:val="20"/>
                <w:szCs w:val="20"/>
                <w:color w:val="auto"/>
                <w:w w:val="88"/>
              </w:rPr>
              <w:t>Derivatives not designated as</w:t>
            </w:r>
          </w:p>
        </w:tc>
        <w:tc>
          <w:tcPr>
            <w:tcW w:w="3580" w:type="dxa"/>
            <w:vAlign w:val="bottom"/>
            <w:gridSpan w:val="2"/>
            <w:vMerge w:val="restart"/>
          </w:tcPr>
          <w:p>
            <w:pPr>
              <w:jc w:val="center"/>
              <w:ind w:right="220"/>
              <w:spacing w:after="0"/>
              <w:rPr>
                <w:sz w:val="20"/>
                <w:szCs w:val="20"/>
                <w:color w:val="auto"/>
              </w:rPr>
            </w:pPr>
            <w:r>
              <w:rPr>
                <w:rFonts w:ascii="Arial" w:cs="Arial" w:eastAsia="Arial" w:hAnsi="Arial"/>
                <w:sz w:val="20"/>
                <w:szCs w:val="20"/>
                <w:color w:val="auto"/>
                <w:w w:val="91"/>
              </w:rPr>
              <w:t>Location of (loss) gain</w:t>
            </w:r>
          </w:p>
        </w:tc>
        <w:tc>
          <w:tcPr>
            <w:tcW w:w="36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4"/>
          </w:tcPr>
          <w:p>
            <w:pPr>
              <w:jc w:val="center"/>
              <w:ind w:right="261"/>
              <w:spacing w:after="0" w:line="223" w:lineRule="exact"/>
              <w:rPr>
                <w:sz w:val="20"/>
                <w:szCs w:val="20"/>
                <w:color w:val="auto"/>
              </w:rPr>
            </w:pPr>
            <w:r>
              <w:rPr>
                <w:rFonts w:ascii="Arial" w:cs="Arial" w:eastAsia="Arial" w:hAnsi="Arial"/>
                <w:sz w:val="20"/>
                <w:szCs w:val="20"/>
                <w:color w:val="auto"/>
                <w:w w:val="88"/>
              </w:rPr>
              <w:t>Three-months ended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000" w:type="dxa"/>
            <w:vAlign w:val="bottom"/>
            <w:gridSpan w:val="2"/>
            <w:vMerge w:val="continue"/>
          </w:tcPr>
          <w:p>
            <w:pPr>
              <w:spacing w:after="0"/>
              <w:rPr>
                <w:sz w:val="16"/>
                <w:szCs w:val="16"/>
                <w:color w:val="auto"/>
              </w:rPr>
            </w:pPr>
          </w:p>
        </w:tc>
        <w:tc>
          <w:tcPr>
            <w:tcW w:w="35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hedging instruments under</w:t>
            </w:r>
          </w:p>
        </w:tc>
        <w:tc>
          <w:tcPr>
            <w:tcW w:w="3580" w:type="dxa"/>
            <w:vAlign w:val="bottom"/>
            <w:gridSpan w:val="2"/>
          </w:tcPr>
          <w:p>
            <w:pPr>
              <w:jc w:val="center"/>
              <w:ind w:right="220"/>
              <w:spacing w:after="0"/>
              <w:rPr>
                <w:sz w:val="20"/>
                <w:szCs w:val="20"/>
                <w:color w:val="auto"/>
              </w:rPr>
            </w:pPr>
            <w:r>
              <w:rPr>
                <w:rFonts w:ascii="Arial" w:cs="Arial" w:eastAsia="Arial" w:hAnsi="Arial"/>
                <w:sz w:val="20"/>
                <w:szCs w:val="20"/>
                <w:color w:val="auto"/>
                <w:w w:val="90"/>
              </w:rPr>
              <w:t>recognized in income on</w:t>
            </w:r>
          </w:p>
        </w:tc>
        <w:tc>
          <w:tcPr>
            <w:tcW w:w="360" w:type="dxa"/>
            <w:vAlign w:val="bottom"/>
          </w:tcPr>
          <w:p>
            <w:pPr>
              <w:spacing w:after="0"/>
              <w:rPr>
                <w:sz w:val="19"/>
                <w:szCs w:val="19"/>
                <w:color w:val="auto"/>
              </w:rPr>
            </w:pPr>
          </w:p>
        </w:tc>
        <w:tc>
          <w:tcPr>
            <w:tcW w:w="1740" w:type="dxa"/>
            <w:vAlign w:val="bottom"/>
            <w:gridSpan w:val="2"/>
          </w:tcPr>
          <w:p>
            <w:pPr>
              <w:jc w:val="center"/>
              <w:ind w:right="560"/>
              <w:spacing w:after="0"/>
              <w:rPr>
                <w:sz w:val="20"/>
                <w:szCs w:val="20"/>
                <w:color w:val="auto"/>
              </w:rPr>
            </w:pPr>
            <w:r>
              <w:rPr>
                <w:rFonts w:ascii="Arial" w:cs="Arial" w:eastAsia="Arial" w:hAnsi="Arial"/>
                <w:sz w:val="20"/>
                <w:szCs w:val="20"/>
                <w:color w:val="auto"/>
                <w:w w:val="92"/>
              </w:rPr>
              <w:t>March 31,</w:t>
            </w:r>
          </w:p>
        </w:tc>
        <w:tc>
          <w:tcPr>
            <w:tcW w:w="360" w:type="dxa"/>
            <w:vAlign w:val="bottom"/>
          </w:tcPr>
          <w:p>
            <w:pPr>
              <w:spacing w:after="0"/>
              <w:rPr>
                <w:sz w:val="19"/>
                <w:szCs w:val="19"/>
                <w:color w:val="auto"/>
              </w:rPr>
            </w:pPr>
          </w:p>
        </w:tc>
        <w:tc>
          <w:tcPr>
            <w:tcW w:w="1380" w:type="dxa"/>
            <w:vAlign w:val="bottom"/>
          </w:tcPr>
          <w:p>
            <w:pPr>
              <w:jc w:val="center"/>
              <w:ind w:right="261"/>
              <w:spacing w:after="0"/>
              <w:rPr>
                <w:sz w:val="20"/>
                <w:szCs w:val="20"/>
                <w:color w:val="auto"/>
              </w:rPr>
            </w:pPr>
            <w:r>
              <w:rPr>
                <w:rFonts w:ascii="Arial" w:cs="Arial" w:eastAsia="Arial" w:hAnsi="Arial"/>
                <w:sz w:val="20"/>
                <w:szCs w:val="20"/>
                <w:color w:val="auto"/>
                <w:w w:val="92"/>
              </w:rPr>
              <w:t>March 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FASB ASC 815-20</w:t>
            </w:r>
          </w:p>
        </w:tc>
        <w:tc>
          <w:tcPr>
            <w:tcW w:w="280" w:type="dxa"/>
            <w:vAlign w:val="bottom"/>
          </w:tcPr>
          <w:p>
            <w:pPr>
              <w:spacing w:after="0"/>
              <w:rPr>
                <w:sz w:val="21"/>
                <w:szCs w:val="21"/>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derivatives</w:t>
            </w: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661"/>
              <w:spacing w:after="0"/>
              <w:rPr>
                <w:sz w:val="20"/>
                <w:szCs w:val="20"/>
                <w:color w:val="auto"/>
              </w:rPr>
            </w:pPr>
            <w:r>
              <w:rPr>
                <w:rFonts w:ascii="Arial" w:cs="Arial" w:eastAsia="Arial" w:hAnsi="Arial"/>
                <w:sz w:val="20"/>
                <w:szCs w:val="20"/>
                <w:color w:val="auto"/>
              </w:rPr>
              <w:t>2018</w:t>
            </w:r>
          </w:p>
        </w:tc>
        <w:tc>
          <w:tcPr>
            <w:tcW w:w="2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color w:val="auto"/>
              </w:rPr>
              <w:t>2017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8"/>
        </w:trPr>
        <w:tc>
          <w:tcPr>
            <w:tcW w:w="4000" w:type="dxa"/>
            <w:vAlign w:val="bottom"/>
            <w:gridSpan w:val="2"/>
          </w:tcPr>
          <w:p>
            <w:pPr>
              <w:spacing w:after="0"/>
              <w:rPr>
                <w:sz w:val="20"/>
                <w:szCs w:val="20"/>
                <w:color w:val="auto"/>
              </w:rPr>
            </w:pPr>
            <w:r>
              <w:rPr>
                <w:rFonts w:ascii="Arial" w:cs="Arial" w:eastAsia="Arial" w:hAnsi="Arial"/>
                <w:sz w:val="20"/>
                <w:szCs w:val="20"/>
                <w:color w:val="auto"/>
              </w:rPr>
              <w:t>Foreign currency exchange contracts</w:t>
            </w:r>
          </w:p>
        </w:tc>
        <w:tc>
          <w:tcPr>
            <w:tcW w:w="3580" w:type="dxa"/>
            <w:vAlign w:val="bottom"/>
            <w:gridSpan w:val="2"/>
          </w:tcPr>
          <w:p>
            <w:pPr>
              <w:jc w:val="center"/>
              <w:ind w:right="220"/>
              <w:spacing w:after="0"/>
              <w:rPr>
                <w:sz w:val="20"/>
                <w:szCs w:val="20"/>
                <w:color w:val="auto"/>
              </w:rPr>
            </w:pPr>
            <w:r>
              <w:rPr>
                <w:rFonts w:ascii="Arial" w:cs="Arial" w:eastAsia="Arial" w:hAnsi="Arial"/>
                <w:sz w:val="20"/>
                <w:szCs w:val="20"/>
                <w:color w:val="auto"/>
                <w:w w:val="88"/>
              </w:rPr>
              <w:t>Interest and other income, net</w:t>
            </w:r>
          </w:p>
        </w:tc>
        <w:tc>
          <w:tcPr>
            <w:tcW w:w="36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(4,659)</w:t>
            </w:r>
          </w:p>
        </w:tc>
        <w:tc>
          <w:tcPr>
            <w:tcW w:w="200" w:type="dxa"/>
            <w:vAlign w:val="bottom"/>
          </w:tcPr>
          <w:p>
            <w:pPr>
              <w:spacing w:after="0"/>
              <w:rPr>
                <w:sz w:val="24"/>
                <w:szCs w:val="24"/>
                <w:color w:val="auto"/>
              </w:rPr>
            </w:pPr>
          </w:p>
        </w:tc>
        <w:tc>
          <w:tcPr>
            <w:tcW w:w="3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(5,028)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60" w:type="dxa"/>
            <w:vAlign w:val="bottom"/>
            <w:vMerge w:val="restart"/>
          </w:tcPr>
          <w:p>
            <w:pPr>
              <w:jc w:val="right"/>
              <w:ind w:right="1463"/>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7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3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5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INVENTORIES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Inventories consist of the following at:</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60" w:type="dxa"/>
            <w:vAlign w:val="bottom"/>
            <w:gridSpan w:val="2"/>
          </w:tcPr>
          <w:p>
            <w:pPr>
              <w:ind w:left="140"/>
              <w:spacing w:after="0"/>
              <w:rPr>
                <w:sz w:val="20"/>
                <w:szCs w:val="20"/>
                <w:color w:val="auto"/>
              </w:rPr>
            </w:pPr>
            <w:r>
              <w:rPr>
                <w:rFonts w:ascii="Arial" w:cs="Arial" w:eastAsia="Arial" w:hAnsi="Arial"/>
                <w:sz w:val="20"/>
                <w:szCs w:val="20"/>
                <w:color w:val="auto"/>
              </w:rPr>
              <w:t>March 31,</w:t>
            </w:r>
          </w:p>
        </w:tc>
        <w:tc>
          <w:tcPr>
            <w:tcW w:w="260" w:type="dxa"/>
            <w:vAlign w:val="bottom"/>
          </w:tcPr>
          <w:p>
            <w:pPr>
              <w:spacing w:after="0"/>
              <w:rPr>
                <w:sz w:val="19"/>
                <w:szCs w:val="19"/>
                <w:color w:val="auto"/>
              </w:rPr>
            </w:pPr>
          </w:p>
        </w:tc>
        <w:tc>
          <w:tcPr>
            <w:tcW w:w="1440" w:type="dxa"/>
            <w:vAlign w:val="bottom"/>
          </w:tcPr>
          <w:p>
            <w:pPr>
              <w:jc w:val="right"/>
              <w:ind w:right="181"/>
              <w:spacing w:after="0"/>
              <w:rPr>
                <w:sz w:val="20"/>
                <w:szCs w:val="20"/>
                <w:color w:val="auto"/>
              </w:rPr>
            </w:pPr>
            <w:r>
              <w:rPr>
                <w:rFonts w:ascii="Arial" w:cs="Arial" w:eastAsia="Arial" w:hAnsi="Arial"/>
                <w:sz w:val="20"/>
                <w:szCs w:val="20"/>
                <w:color w:val="auto"/>
                <w:w w:val="90"/>
              </w:rPr>
              <w:t>December 31,</w:t>
            </w:r>
          </w:p>
        </w:tc>
        <w:tc>
          <w:tcPr>
            <w:tcW w:w="0" w:type="dxa"/>
            <w:vAlign w:val="bottom"/>
          </w:tcPr>
          <w:p>
            <w:pPr>
              <w:spacing w:after="0"/>
              <w:rPr>
                <w:sz w:val="1"/>
                <w:szCs w:val="1"/>
                <w:color w:val="auto"/>
              </w:rPr>
            </w:pPr>
          </w:p>
        </w:tc>
      </w:tr>
      <w:tr>
        <w:trPr>
          <w:trHeight w:val="246"/>
        </w:trPr>
        <w:tc>
          <w:tcPr>
            <w:tcW w:w="6420" w:type="dxa"/>
            <w:vAlign w:val="bottom"/>
            <w:vMerge w:val="restart"/>
          </w:tcPr>
          <w:p>
            <w:pPr>
              <w:spacing w:after="0"/>
              <w:rPr>
                <w:sz w:val="20"/>
                <w:szCs w:val="20"/>
                <w:color w:val="auto"/>
              </w:rPr>
            </w:pPr>
            <w:r>
              <w:rPr>
                <w:rFonts w:ascii="Arial" w:cs="Arial" w:eastAsia="Arial" w:hAnsi="Arial"/>
                <w:sz w:val="20"/>
                <w:szCs w:val="20"/>
                <w:color w:val="auto"/>
              </w:rPr>
              <w:t>Raw materials</w:t>
            </w:r>
          </w:p>
        </w:tc>
        <w:tc>
          <w:tcPr>
            <w:tcW w:w="3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2018</w:t>
            </w:r>
          </w:p>
        </w:tc>
        <w:tc>
          <w:tcPr>
            <w:tcW w:w="5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color w:val="auto"/>
              </w:rPr>
              <w:t>2017</w:t>
            </w:r>
          </w:p>
        </w:tc>
        <w:tc>
          <w:tcPr>
            <w:tcW w:w="0" w:type="dxa"/>
            <w:vAlign w:val="bottom"/>
          </w:tcPr>
          <w:p>
            <w:pPr>
              <w:spacing w:after="0"/>
              <w:rPr>
                <w:sz w:val="1"/>
                <w:szCs w:val="1"/>
                <w:color w:val="auto"/>
              </w:rPr>
            </w:pPr>
          </w:p>
        </w:tc>
      </w:tr>
      <w:tr>
        <w:trPr>
          <w:trHeight w:val="206"/>
        </w:trPr>
        <w:tc>
          <w:tcPr>
            <w:tcW w:w="6420" w:type="dxa"/>
            <w:vAlign w:val="bottom"/>
            <w:vMerge w:val="continue"/>
          </w:tcPr>
          <w:p>
            <w:pPr>
              <w:spacing w:after="0"/>
              <w:rPr>
                <w:sz w:val="17"/>
                <w:szCs w:val="17"/>
                <w:color w:val="auto"/>
              </w:rPr>
            </w:pPr>
          </w:p>
        </w:tc>
        <w:tc>
          <w:tcPr>
            <w:tcW w:w="32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1400" w:type="dxa"/>
            <w:vAlign w:val="bottom"/>
          </w:tcPr>
          <w:p>
            <w:pPr>
              <w:jc w:val="right"/>
              <w:ind w:right="1"/>
              <w:spacing w:after="0" w:line="207" w:lineRule="exact"/>
              <w:rPr>
                <w:sz w:val="20"/>
                <w:szCs w:val="20"/>
                <w:color w:val="auto"/>
              </w:rPr>
            </w:pPr>
            <w:r>
              <w:rPr>
                <w:rFonts w:ascii="Arial" w:cs="Arial" w:eastAsia="Arial" w:hAnsi="Arial"/>
                <w:sz w:val="20"/>
                <w:szCs w:val="20"/>
                <w:color w:val="auto"/>
              </w:rPr>
              <w:t>84,594</w:t>
            </w:r>
          </w:p>
        </w:tc>
        <w:tc>
          <w:tcPr>
            <w:tcW w:w="560" w:type="dxa"/>
            <w:vAlign w:val="bottom"/>
          </w:tcPr>
          <w:p>
            <w:pPr>
              <w:spacing w:after="0"/>
              <w:rPr>
                <w:sz w:val="17"/>
                <w:szCs w:val="17"/>
                <w:color w:val="auto"/>
              </w:rPr>
            </w:pPr>
          </w:p>
        </w:tc>
        <w:tc>
          <w:tcPr>
            <w:tcW w:w="26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440" w:type="dxa"/>
            <w:vAlign w:val="bottom"/>
          </w:tcPr>
          <w:p>
            <w:pPr>
              <w:jc w:val="right"/>
              <w:ind w:right="1"/>
              <w:spacing w:after="0" w:line="207" w:lineRule="exact"/>
              <w:rPr>
                <w:sz w:val="20"/>
                <w:szCs w:val="20"/>
                <w:color w:val="auto"/>
              </w:rPr>
            </w:pPr>
            <w:r>
              <w:rPr>
                <w:rFonts w:ascii="Arial" w:cs="Arial" w:eastAsia="Arial" w:hAnsi="Arial"/>
                <w:sz w:val="20"/>
                <w:szCs w:val="20"/>
                <w:color w:val="auto"/>
              </w:rPr>
              <w:t>78,834</w:t>
            </w:r>
          </w:p>
        </w:tc>
        <w:tc>
          <w:tcPr>
            <w:tcW w:w="0" w:type="dxa"/>
            <w:vAlign w:val="bottom"/>
          </w:tcPr>
          <w:p>
            <w:pPr>
              <w:spacing w:after="0"/>
              <w:rPr>
                <w:sz w:val="1"/>
                <w:szCs w:val="1"/>
                <w:color w:val="auto"/>
              </w:rPr>
            </w:pPr>
          </w:p>
        </w:tc>
      </w:tr>
      <w:tr>
        <w:trPr>
          <w:trHeight w:val="246"/>
        </w:trPr>
        <w:tc>
          <w:tcPr>
            <w:tcW w:w="6420" w:type="dxa"/>
            <w:vAlign w:val="bottom"/>
          </w:tcPr>
          <w:p>
            <w:pPr>
              <w:spacing w:after="0"/>
              <w:rPr>
                <w:sz w:val="20"/>
                <w:szCs w:val="20"/>
                <w:color w:val="auto"/>
              </w:rPr>
            </w:pPr>
            <w:r>
              <w:rPr>
                <w:rFonts w:ascii="Arial" w:cs="Arial" w:eastAsia="Arial" w:hAnsi="Arial"/>
                <w:sz w:val="20"/>
                <w:szCs w:val="20"/>
                <w:color w:val="auto"/>
              </w:rPr>
              <w:t>Finished goods</w:t>
            </w:r>
          </w:p>
        </w:tc>
        <w:tc>
          <w:tcPr>
            <w:tcW w:w="3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184,013</w:t>
            </w:r>
          </w:p>
        </w:tc>
        <w:tc>
          <w:tcPr>
            <w:tcW w:w="5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176,911</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19"/>
                <w:szCs w:val="19"/>
                <w:color w:val="auto"/>
              </w:rPr>
            </w:pPr>
          </w:p>
        </w:tc>
        <w:tc>
          <w:tcPr>
            <w:tcW w:w="32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4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268,607</w:t>
            </w:r>
          </w:p>
        </w:tc>
        <w:tc>
          <w:tcPr>
            <w:tcW w:w="560" w:type="dxa"/>
            <w:vAlign w:val="bottom"/>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255,745</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PROPERTY AND EQUIPMENT, NET</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Property and equipment consist of the following at:</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60" w:type="dxa"/>
            <w:vAlign w:val="bottom"/>
            <w:gridSpan w:val="2"/>
          </w:tcPr>
          <w:p>
            <w:pPr>
              <w:ind w:left="120"/>
              <w:spacing w:after="0"/>
              <w:rPr>
                <w:sz w:val="20"/>
                <w:szCs w:val="20"/>
                <w:color w:val="auto"/>
              </w:rPr>
            </w:pPr>
            <w:r>
              <w:rPr>
                <w:rFonts w:ascii="Arial" w:cs="Arial" w:eastAsia="Arial" w:hAnsi="Arial"/>
                <w:sz w:val="20"/>
                <w:szCs w:val="20"/>
                <w:color w:val="auto"/>
              </w:rPr>
              <w:t>March 31,</w:t>
            </w:r>
          </w:p>
        </w:tc>
        <w:tc>
          <w:tcPr>
            <w:tcW w:w="260" w:type="dxa"/>
            <w:vAlign w:val="bottom"/>
          </w:tcPr>
          <w:p>
            <w:pPr>
              <w:spacing w:after="0"/>
              <w:rPr>
                <w:sz w:val="19"/>
                <w:szCs w:val="19"/>
                <w:color w:val="auto"/>
              </w:rPr>
            </w:pPr>
          </w:p>
        </w:tc>
        <w:tc>
          <w:tcPr>
            <w:tcW w:w="1460" w:type="dxa"/>
            <w:vAlign w:val="bottom"/>
          </w:tcPr>
          <w:p>
            <w:pPr>
              <w:jc w:val="right"/>
              <w:ind w:right="201"/>
              <w:spacing w:after="0"/>
              <w:rPr>
                <w:sz w:val="20"/>
                <w:szCs w:val="20"/>
                <w:color w:val="auto"/>
              </w:rPr>
            </w:pPr>
            <w:r>
              <w:rPr>
                <w:rFonts w:ascii="Arial" w:cs="Arial" w:eastAsia="Arial" w:hAnsi="Arial"/>
                <w:sz w:val="20"/>
                <w:szCs w:val="20"/>
                <w:color w:val="auto"/>
                <w:w w:val="90"/>
              </w:rPr>
              <w:t>December 31,</w:t>
            </w:r>
          </w:p>
        </w:tc>
        <w:tc>
          <w:tcPr>
            <w:tcW w:w="0" w:type="dxa"/>
            <w:vAlign w:val="bottom"/>
          </w:tcPr>
          <w:p>
            <w:pPr>
              <w:spacing w:after="0"/>
              <w:rPr>
                <w:sz w:val="1"/>
                <w:szCs w:val="1"/>
                <w:color w:val="auto"/>
              </w:rPr>
            </w:pPr>
          </w:p>
        </w:tc>
      </w:tr>
      <w:tr>
        <w:trPr>
          <w:trHeight w:val="246"/>
        </w:trPr>
        <w:tc>
          <w:tcPr>
            <w:tcW w:w="6400" w:type="dxa"/>
            <w:vAlign w:val="bottom"/>
            <w:vMerge w:val="restart"/>
          </w:tcPr>
          <w:p>
            <w:pPr>
              <w:spacing w:after="0"/>
              <w:rPr>
                <w:sz w:val="20"/>
                <w:szCs w:val="20"/>
                <w:color w:val="auto"/>
              </w:rPr>
            </w:pPr>
            <w:r>
              <w:rPr>
                <w:rFonts w:ascii="Arial" w:cs="Arial" w:eastAsia="Arial" w:hAnsi="Arial"/>
                <w:sz w:val="20"/>
                <w:szCs w:val="20"/>
                <w:color w:val="auto"/>
              </w:rPr>
              <w:t>Land</w:t>
            </w:r>
          </w:p>
        </w:tc>
        <w:tc>
          <w:tcPr>
            <w:tcW w:w="3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2018</w:t>
            </w:r>
          </w:p>
        </w:tc>
        <w:tc>
          <w:tcPr>
            <w:tcW w:w="5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2017</w:t>
            </w:r>
          </w:p>
        </w:tc>
        <w:tc>
          <w:tcPr>
            <w:tcW w:w="0" w:type="dxa"/>
            <w:vAlign w:val="bottom"/>
          </w:tcPr>
          <w:p>
            <w:pPr>
              <w:spacing w:after="0"/>
              <w:rPr>
                <w:sz w:val="1"/>
                <w:szCs w:val="1"/>
                <w:color w:val="auto"/>
              </w:rPr>
            </w:pPr>
          </w:p>
        </w:tc>
      </w:tr>
      <w:tr>
        <w:trPr>
          <w:trHeight w:val="206"/>
        </w:trPr>
        <w:tc>
          <w:tcPr>
            <w:tcW w:w="6400" w:type="dxa"/>
            <w:vAlign w:val="bottom"/>
            <w:vMerge w:val="continue"/>
          </w:tcPr>
          <w:p>
            <w:pPr>
              <w:spacing w:after="0"/>
              <w:rPr>
                <w:sz w:val="17"/>
                <w:szCs w:val="17"/>
                <w:color w:val="auto"/>
              </w:rPr>
            </w:pPr>
          </w:p>
        </w:tc>
        <w:tc>
          <w:tcPr>
            <w:tcW w:w="32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1400" w:type="dxa"/>
            <w:vAlign w:val="bottom"/>
          </w:tcPr>
          <w:p>
            <w:pPr>
              <w:jc w:val="right"/>
              <w:ind w:right="21"/>
              <w:spacing w:after="0" w:line="207" w:lineRule="exact"/>
              <w:rPr>
                <w:sz w:val="20"/>
                <w:szCs w:val="20"/>
                <w:color w:val="auto"/>
              </w:rPr>
            </w:pPr>
            <w:r>
              <w:rPr>
                <w:rFonts w:ascii="Arial" w:cs="Arial" w:eastAsia="Arial" w:hAnsi="Arial"/>
                <w:sz w:val="20"/>
                <w:szCs w:val="20"/>
                <w:color w:val="auto"/>
              </w:rPr>
              <w:t>44,260</w:t>
            </w:r>
          </w:p>
        </w:tc>
        <w:tc>
          <w:tcPr>
            <w:tcW w:w="560" w:type="dxa"/>
            <w:vAlign w:val="bottom"/>
          </w:tcPr>
          <w:p>
            <w:pPr>
              <w:spacing w:after="0"/>
              <w:rPr>
                <w:sz w:val="17"/>
                <w:szCs w:val="17"/>
                <w:color w:val="auto"/>
              </w:rPr>
            </w:pPr>
          </w:p>
        </w:tc>
        <w:tc>
          <w:tcPr>
            <w:tcW w:w="26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460" w:type="dxa"/>
            <w:vAlign w:val="bottom"/>
          </w:tcPr>
          <w:p>
            <w:pPr>
              <w:jc w:val="right"/>
              <w:ind w:right="1"/>
              <w:spacing w:after="0" w:line="207" w:lineRule="exact"/>
              <w:rPr>
                <w:sz w:val="20"/>
                <w:szCs w:val="20"/>
                <w:color w:val="auto"/>
              </w:rPr>
            </w:pPr>
            <w:r>
              <w:rPr>
                <w:rFonts w:ascii="Arial" w:cs="Arial" w:eastAsia="Arial" w:hAnsi="Arial"/>
                <w:sz w:val="20"/>
                <w:szCs w:val="20"/>
                <w:color w:val="auto"/>
              </w:rPr>
              <w:t>47,373</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20"/>
                <w:szCs w:val="20"/>
                <w:color w:val="auto"/>
              </w:rPr>
              <w:t>Leasehold improvements</w:t>
            </w:r>
          </w:p>
        </w:tc>
        <w:tc>
          <w:tcPr>
            <w:tcW w:w="320" w:type="dxa"/>
            <w:vAlign w:val="bottom"/>
          </w:tcPr>
          <w:p>
            <w:pPr>
              <w:spacing w:after="0"/>
              <w:rPr>
                <w:sz w:val="19"/>
                <w:szCs w:val="19"/>
                <w:color w:val="auto"/>
              </w:rPr>
            </w:pPr>
          </w:p>
        </w:tc>
        <w:tc>
          <w:tcPr>
            <w:tcW w:w="1400" w:type="dxa"/>
            <w:vAlign w:val="bottom"/>
          </w:tcPr>
          <w:p>
            <w:pPr>
              <w:jc w:val="right"/>
              <w:ind w:right="21"/>
              <w:spacing w:after="0"/>
              <w:rPr>
                <w:sz w:val="20"/>
                <w:szCs w:val="20"/>
                <w:color w:val="auto"/>
              </w:rPr>
            </w:pPr>
            <w:r>
              <w:rPr>
                <w:rFonts w:ascii="Arial" w:cs="Arial" w:eastAsia="Arial" w:hAnsi="Arial"/>
                <w:sz w:val="20"/>
                <w:szCs w:val="20"/>
                <w:color w:val="auto"/>
              </w:rPr>
              <w:t>3,281</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3,109</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20"/>
                <w:szCs w:val="20"/>
                <w:color w:val="auto"/>
              </w:rPr>
              <w:t>Furniture and fixtures</w:t>
            </w:r>
          </w:p>
        </w:tc>
        <w:tc>
          <w:tcPr>
            <w:tcW w:w="320" w:type="dxa"/>
            <w:vAlign w:val="bottom"/>
          </w:tcPr>
          <w:p>
            <w:pPr>
              <w:spacing w:after="0"/>
              <w:rPr>
                <w:sz w:val="19"/>
                <w:szCs w:val="19"/>
                <w:color w:val="auto"/>
              </w:rPr>
            </w:pPr>
          </w:p>
        </w:tc>
        <w:tc>
          <w:tcPr>
            <w:tcW w:w="1400" w:type="dxa"/>
            <w:vAlign w:val="bottom"/>
          </w:tcPr>
          <w:p>
            <w:pPr>
              <w:jc w:val="right"/>
              <w:ind w:right="21"/>
              <w:spacing w:after="0"/>
              <w:rPr>
                <w:sz w:val="20"/>
                <w:szCs w:val="20"/>
                <w:color w:val="auto"/>
              </w:rPr>
            </w:pPr>
            <w:r>
              <w:rPr>
                <w:rFonts w:ascii="Arial" w:cs="Arial" w:eastAsia="Arial" w:hAnsi="Arial"/>
                <w:sz w:val="20"/>
                <w:szCs w:val="20"/>
                <w:color w:val="auto"/>
              </w:rPr>
              <w:t>6,397</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6,461</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20"/>
                <w:szCs w:val="20"/>
                <w:color w:val="auto"/>
              </w:rPr>
              <w:t>Office and computer equipment</w:t>
            </w:r>
          </w:p>
        </w:tc>
        <w:tc>
          <w:tcPr>
            <w:tcW w:w="320" w:type="dxa"/>
            <w:vAlign w:val="bottom"/>
          </w:tcPr>
          <w:p>
            <w:pPr>
              <w:spacing w:after="0"/>
              <w:rPr>
                <w:sz w:val="19"/>
                <w:szCs w:val="19"/>
                <w:color w:val="auto"/>
              </w:rPr>
            </w:pPr>
          </w:p>
        </w:tc>
        <w:tc>
          <w:tcPr>
            <w:tcW w:w="1400" w:type="dxa"/>
            <w:vAlign w:val="bottom"/>
          </w:tcPr>
          <w:p>
            <w:pPr>
              <w:jc w:val="right"/>
              <w:ind w:right="21"/>
              <w:spacing w:after="0"/>
              <w:rPr>
                <w:sz w:val="20"/>
                <w:szCs w:val="20"/>
                <w:color w:val="auto"/>
              </w:rPr>
            </w:pPr>
            <w:r>
              <w:rPr>
                <w:rFonts w:ascii="Arial" w:cs="Arial" w:eastAsia="Arial" w:hAnsi="Arial"/>
                <w:sz w:val="20"/>
                <w:szCs w:val="20"/>
                <w:color w:val="auto"/>
              </w:rPr>
              <w:t>15,191</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14,506</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20"/>
                <w:szCs w:val="20"/>
                <w:color w:val="auto"/>
              </w:rPr>
              <w:t>Computer software</w:t>
            </w:r>
          </w:p>
        </w:tc>
        <w:tc>
          <w:tcPr>
            <w:tcW w:w="320" w:type="dxa"/>
            <w:vAlign w:val="bottom"/>
          </w:tcPr>
          <w:p>
            <w:pPr>
              <w:spacing w:after="0"/>
              <w:rPr>
                <w:sz w:val="19"/>
                <w:szCs w:val="19"/>
                <w:color w:val="auto"/>
              </w:rPr>
            </w:pPr>
          </w:p>
        </w:tc>
        <w:tc>
          <w:tcPr>
            <w:tcW w:w="1400" w:type="dxa"/>
            <w:vAlign w:val="bottom"/>
          </w:tcPr>
          <w:p>
            <w:pPr>
              <w:jc w:val="right"/>
              <w:ind w:right="21"/>
              <w:spacing w:after="0"/>
              <w:rPr>
                <w:sz w:val="20"/>
                <w:szCs w:val="20"/>
                <w:color w:val="auto"/>
              </w:rPr>
            </w:pPr>
            <w:r>
              <w:rPr>
                <w:rFonts w:ascii="Arial" w:cs="Arial" w:eastAsia="Arial" w:hAnsi="Arial"/>
                <w:sz w:val="20"/>
                <w:szCs w:val="20"/>
                <w:color w:val="auto"/>
              </w:rPr>
              <w:t>3,593</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3,650</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20"/>
                <w:szCs w:val="20"/>
                <w:color w:val="auto"/>
              </w:rPr>
              <w:t>Equipment</w:t>
            </w:r>
          </w:p>
        </w:tc>
        <w:tc>
          <w:tcPr>
            <w:tcW w:w="320" w:type="dxa"/>
            <w:vAlign w:val="bottom"/>
          </w:tcPr>
          <w:p>
            <w:pPr>
              <w:spacing w:after="0"/>
              <w:rPr>
                <w:sz w:val="19"/>
                <w:szCs w:val="19"/>
                <w:color w:val="auto"/>
              </w:rPr>
            </w:pPr>
          </w:p>
        </w:tc>
        <w:tc>
          <w:tcPr>
            <w:tcW w:w="1400" w:type="dxa"/>
            <w:vAlign w:val="bottom"/>
          </w:tcPr>
          <w:p>
            <w:pPr>
              <w:jc w:val="right"/>
              <w:ind w:right="21"/>
              <w:spacing w:after="0"/>
              <w:rPr>
                <w:sz w:val="20"/>
                <w:szCs w:val="20"/>
                <w:color w:val="auto"/>
              </w:rPr>
            </w:pPr>
            <w:r>
              <w:rPr>
                <w:rFonts w:ascii="Arial" w:cs="Arial" w:eastAsia="Arial" w:hAnsi="Arial"/>
                <w:sz w:val="20"/>
                <w:szCs w:val="20"/>
                <w:color w:val="auto"/>
              </w:rPr>
              <w:t>156,626</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148,434</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20"/>
                <w:szCs w:val="20"/>
                <w:color w:val="auto"/>
              </w:rPr>
              <w:t>Buildings</w:t>
            </w:r>
          </w:p>
        </w:tc>
        <w:tc>
          <w:tcPr>
            <w:tcW w:w="320" w:type="dxa"/>
            <w:vAlign w:val="bottom"/>
          </w:tcPr>
          <w:p>
            <w:pPr>
              <w:spacing w:after="0"/>
              <w:rPr>
                <w:sz w:val="19"/>
                <w:szCs w:val="19"/>
                <w:color w:val="auto"/>
              </w:rPr>
            </w:pPr>
          </w:p>
        </w:tc>
        <w:tc>
          <w:tcPr>
            <w:tcW w:w="1400" w:type="dxa"/>
            <w:vAlign w:val="bottom"/>
          </w:tcPr>
          <w:p>
            <w:pPr>
              <w:jc w:val="right"/>
              <w:ind w:right="21"/>
              <w:spacing w:after="0"/>
              <w:rPr>
                <w:sz w:val="20"/>
                <w:szCs w:val="20"/>
                <w:color w:val="auto"/>
              </w:rPr>
            </w:pPr>
            <w:r>
              <w:rPr>
                <w:rFonts w:ascii="Arial" w:cs="Arial" w:eastAsia="Arial" w:hAnsi="Arial"/>
                <w:sz w:val="20"/>
                <w:szCs w:val="20"/>
                <w:color w:val="auto"/>
              </w:rPr>
              <w:t>110,978</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107,374</w:t>
            </w:r>
          </w:p>
        </w:tc>
        <w:tc>
          <w:tcPr>
            <w:tcW w:w="0" w:type="dxa"/>
            <w:vAlign w:val="bottom"/>
          </w:tcPr>
          <w:p>
            <w:pPr>
              <w:spacing w:after="0"/>
              <w:rPr>
                <w:sz w:val="1"/>
                <w:szCs w:val="1"/>
                <w:color w:val="auto"/>
              </w:rPr>
            </w:pPr>
          </w:p>
        </w:tc>
      </w:tr>
      <w:tr>
        <w:trPr>
          <w:trHeight w:val="246"/>
        </w:trPr>
        <w:tc>
          <w:tcPr>
            <w:tcW w:w="6400" w:type="dxa"/>
            <w:vAlign w:val="bottom"/>
          </w:tcPr>
          <w:p>
            <w:pPr>
              <w:spacing w:after="0"/>
              <w:rPr>
                <w:sz w:val="20"/>
                <w:szCs w:val="20"/>
                <w:color w:val="auto"/>
              </w:rPr>
            </w:pPr>
            <w:r>
              <w:rPr>
                <w:rFonts w:ascii="Arial" w:cs="Arial" w:eastAsia="Arial" w:hAnsi="Arial"/>
                <w:sz w:val="20"/>
                <w:szCs w:val="20"/>
                <w:color w:val="auto"/>
              </w:rPr>
              <w:t>Vehicles</w:t>
            </w:r>
          </w:p>
        </w:tc>
        <w:tc>
          <w:tcPr>
            <w:tcW w:w="3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39,522</w:t>
            </w:r>
          </w:p>
        </w:tc>
        <w:tc>
          <w:tcPr>
            <w:tcW w:w="5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38,179</w:t>
            </w:r>
          </w:p>
        </w:tc>
        <w:tc>
          <w:tcPr>
            <w:tcW w:w="0" w:type="dxa"/>
            <w:vAlign w:val="bottom"/>
          </w:tcPr>
          <w:p>
            <w:pPr>
              <w:spacing w:after="0"/>
              <w:rPr>
                <w:sz w:val="1"/>
                <w:szCs w:val="1"/>
                <w:color w:val="auto"/>
              </w:rPr>
            </w:pPr>
          </w:p>
        </w:tc>
      </w:tr>
      <w:tr>
        <w:trPr>
          <w:trHeight w:val="206"/>
        </w:trPr>
        <w:tc>
          <w:tcPr>
            <w:tcW w:w="6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jc w:val="right"/>
              <w:ind w:right="21"/>
              <w:spacing w:after="0" w:line="207" w:lineRule="exact"/>
              <w:rPr>
                <w:sz w:val="20"/>
                <w:szCs w:val="20"/>
                <w:color w:val="auto"/>
              </w:rPr>
            </w:pPr>
            <w:r>
              <w:rPr>
                <w:rFonts w:ascii="Arial" w:cs="Arial" w:eastAsia="Arial" w:hAnsi="Arial"/>
                <w:sz w:val="20"/>
                <w:szCs w:val="20"/>
                <w:color w:val="auto"/>
              </w:rPr>
              <w:t>379,848</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right"/>
              <w:ind w:right="1"/>
              <w:spacing w:after="0" w:line="207" w:lineRule="exact"/>
              <w:rPr>
                <w:sz w:val="20"/>
                <w:szCs w:val="20"/>
                <w:color w:val="auto"/>
              </w:rPr>
            </w:pPr>
            <w:r>
              <w:rPr>
                <w:rFonts w:ascii="Arial" w:cs="Arial" w:eastAsia="Arial" w:hAnsi="Arial"/>
                <w:sz w:val="20"/>
                <w:szCs w:val="20"/>
                <w:color w:val="auto"/>
              </w:rPr>
              <w:t>369,086</w:t>
            </w:r>
          </w:p>
        </w:tc>
        <w:tc>
          <w:tcPr>
            <w:tcW w:w="0" w:type="dxa"/>
            <w:vAlign w:val="bottom"/>
          </w:tcPr>
          <w:p>
            <w:pPr>
              <w:spacing w:after="0"/>
              <w:rPr>
                <w:sz w:val="1"/>
                <w:szCs w:val="1"/>
                <w:color w:val="auto"/>
              </w:rPr>
            </w:pPr>
          </w:p>
        </w:tc>
      </w:tr>
      <w:tr>
        <w:trPr>
          <w:trHeight w:val="246"/>
        </w:trPr>
        <w:tc>
          <w:tcPr>
            <w:tcW w:w="6400" w:type="dxa"/>
            <w:vAlign w:val="bottom"/>
          </w:tcPr>
          <w:p>
            <w:pPr>
              <w:spacing w:after="0"/>
              <w:rPr>
                <w:sz w:val="20"/>
                <w:szCs w:val="20"/>
                <w:color w:val="auto"/>
              </w:rPr>
            </w:pPr>
            <w:r>
              <w:rPr>
                <w:rFonts w:ascii="Arial" w:cs="Arial" w:eastAsia="Arial" w:hAnsi="Arial"/>
                <w:sz w:val="20"/>
                <w:szCs w:val="20"/>
                <w:color w:val="auto"/>
              </w:rPr>
              <w:t>Less: accumulated depreciation and amortization</w:t>
            </w:r>
          </w:p>
        </w:tc>
        <w:tc>
          <w:tcPr>
            <w:tcW w:w="3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(148,649)</w:t>
            </w:r>
          </w:p>
        </w:tc>
        <w:tc>
          <w:tcPr>
            <w:tcW w:w="5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(138,810)</w:t>
            </w:r>
          </w:p>
        </w:tc>
        <w:tc>
          <w:tcPr>
            <w:tcW w:w="0" w:type="dxa"/>
            <w:vAlign w:val="bottom"/>
          </w:tcPr>
          <w:p>
            <w:pPr>
              <w:spacing w:after="0"/>
              <w:rPr>
                <w:sz w:val="1"/>
                <w:szCs w:val="1"/>
                <w:color w:val="auto"/>
              </w:rPr>
            </w:pPr>
          </w:p>
        </w:tc>
      </w:tr>
      <w:tr>
        <w:trPr>
          <w:trHeight w:val="223"/>
        </w:trPr>
        <w:tc>
          <w:tcPr>
            <w:tcW w:w="6400" w:type="dxa"/>
            <w:vAlign w:val="bottom"/>
          </w:tcPr>
          <w:p>
            <w:pPr>
              <w:spacing w:after="0"/>
              <w:rPr>
                <w:sz w:val="19"/>
                <w:szCs w:val="19"/>
                <w:color w:val="auto"/>
              </w:rPr>
            </w:pPr>
          </w:p>
        </w:tc>
        <w:tc>
          <w:tcPr>
            <w:tcW w:w="32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40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231,199</w:t>
            </w:r>
          </w:p>
        </w:tc>
        <w:tc>
          <w:tcPr>
            <w:tcW w:w="560" w:type="dxa"/>
            <w:vAlign w:val="bottom"/>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4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230,276</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Total depreciation and amortization expense recorded was $10.9 million and $8.2 million for the three-months ended March 31, 2018 and 2017, respectively.</w:t>
      </w:r>
    </w:p>
    <w:p>
      <w:pPr>
        <w:spacing w:after="0" w:line="190"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GOODWILL AND OTHER INTANGIBLE ASSETS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The following is a roll-forward of goodwill for the three-months ended March 31, 2018 and 2017 by reportable segment: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20"/>
                <w:szCs w:val="20"/>
                <w:color w:val="auto"/>
                <w:w w:val="91"/>
              </w:rPr>
              <w:t>Monster</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center"/>
              <w:ind w:right="580"/>
              <w:spacing w:after="0"/>
              <w:rPr>
                <w:sz w:val="20"/>
                <w:szCs w:val="20"/>
                <w:color w:val="auto"/>
              </w:rPr>
            </w:pPr>
            <w:r>
              <w:rPr>
                <w:rFonts w:ascii="Arial" w:cs="Arial" w:eastAsia="Arial" w:hAnsi="Arial"/>
                <w:sz w:val="20"/>
                <w:szCs w:val="20"/>
                <w:color w:val="auto"/>
                <w:w w:val="92"/>
              </w:rPr>
              <w:t>Energy®</w:t>
            </w:r>
          </w:p>
        </w:tc>
        <w:tc>
          <w:tcPr>
            <w:tcW w:w="260" w:type="dxa"/>
            <w:vAlign w:val="bottom"/>
          </w:tcPr>
          <w:p>
            <w:pPr>
              <w:spacing w:after="0"/>
              <w:rPr>
                <w:sz w:val="19"/>
                <w:szCs w:val="19"/>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20"/>
                <w:szCs w:val="20"/>
                <w:color w:val="auto"/>
                <w:w w:val="88"/>
              </w:rPr>
              <w:t>Strategic</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900" w:type="dxa"/>
            <w:vAlign w:val="bottom"/>
            <w:vMerge w:val="restart"/>
          </w:tcPr>
          <w:p>
            <w:pPr>
              <w:ind w:left="660"/>
              <w:spacing w:after="0"/>
              <w:rPr>
                <w:sz w:val="20"/>
                <w:szCs w:val="20"/>
                <w:color w:val="auto"/>
              </w:rPr>
            </w:pPr>
            <w:r>
              <w:rPr>
                <w:rFonts w:ascii="Arial" w:cs="Arial" w:eastAsia="Arial" w:hAnsi="Arial"/>
                <w:sz w:val="20"/>
                <w:szCs w:val="20"/>
                <w:color w:val="auto"/>
              </w:rPr>
              <w:t>Balance at December 31, 2017</w:t>
            </w:r>
          </w:p>
        </w:tc>
        <w:tc>
          <w:tcPr>
            <w:tcW w:w="260" w:type="dxa"/>
            <w:vAlign w:val="bottom"/>
          </w:tcPr>
          <w:p>
            <w:pPr>
              <w:spacing w:after="0"/>
              <w:rPr>
                <w:sz w:val="21"/>
                <w:szCs w:val="21"/>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20"/>
                <w:szCs w:val="20"/>
                <w:color w:val="auto"/>
                <w:w w:val="95"/>
              </w:rPr>
              <w:t>Drinks</w:t>
            </w:r>
          </w:p>
        </w:tc>
        <w:tc>
          <w:tcPr>
            <w:tcW w:w="260" w:type="dxa"/>
            <w:vAlign w:val="bottom"/>
          </w:tcPr>
          <w:p>
            <w:pPr>
              <w:spacing w:after="0"/>
              <w:rPr>
                <w:sz w:val="21"/>
                <w:szCs w:val="21"/>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20"/>
                <w:szCs w:val="20"/>
                <w:color w:val="auto"/>
                <w:w w:val="88"/>
              </w:rPr>
              <w:t>Brands</w:t>
            </w: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Other</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461"/>
              <w:spacing w:after="0"/>
              <w:rPr>
                <w:sz w:val="20"/>
                <w:szCs w:val="20"/>
                <w:color w:val="auto"/>
              </w:rPr>
            </w:pPr>
            <w:r>
              <w:rPr>
                <w:rFonts w:ascii="Arial" w:cs="Arial" w:eastAsia="Arial" w:hAnsi="Arial"/>
                <w:sz w:val="20"/>
                <w:szCs w:val="20"/>
                <w:color w:val="auto"/>
              </w:rPr>
              <w:t>Total</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900" w:type="dxa"/>
            <w:vAlign w:val="bottom"/>
            <w:vMerge w:val="continue"/>
          </w:tcPr>
          <w:p>
            <w:pPr>
              <w:spacing w:after="0"/>
              <w:rPr>
                <w:sz w:val="17"/>
                <w:szCs w:val="17"/>
                <w:color w:val="auto"/>
              </w:rPr>
            </w:pPr>
          </w:p>
        </w:tc>
        <w:tc>
          <w:tcPr>
            <w:tcW w:w="2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120" w:type="dxa"/>
            <w:vAlign w:val="bottom"/>
            <w:tcBorders>
              <w:top w:val="single" w:sz="8" w:color="auto"/>
            </w:tcBorders>
          </w:tcPr>
          <w:p>
            <w:pPr>
              <w:jc w:val="right"/>
              <w:ind w:right="2"/>
              <w:spacing w:after="0" w:line="207" w:lineRule="exact"/>
              <w:rPr>
                <w:sz w:val="20"/>
                <w:szCs w:val="20"/>
                <w:color w:val="auto"/>
              </w:rPr>
            </w:pPr>
            <w:r>
              <w:rPr>
                <w:rFonts w:ascii="Arial" w:cs="Arial" w:eastAsia="Arial" w:hAnsi="Arial"/>
                <w:sz w:val="20"/>
                <w:szCs w:val="20"/>
                <w:color w:val="auto"/>
              </w:rPr>
              <w:t>693,644</w:t>
            </w:r>
          </w:p>
        </w:tc>
        <w:tc>
          <w:tcPr>
            <w:tcW w:w="300" w:type="dxa"/>
            <w:vAlign w:val="bottom"/>
          </w:tcPr>
          <w:p>
            <w:pPr>
              <w:spacing w:after="0"/>
              <w:rPr>
                <w:sz w:val="17"/>
                <w:szCs w:val="17"/>
                <w:color w:val="auto"/>
              </w:rPr>
            </w:pPr>
          </w:p>
        </w:tc>
        <w:tc>
          <w:tcPr>
            <w:tcW w:w="2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08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637,999</w:t>
            </w:r>
          </w:p>
        </w:tc>
        <w:tc>
          <w:tcPr>
            <w:tcW w:w="280" w:type="dxa"/>
            <w:vAlign w:val="bottom"/>
          </w:tcPr>
          <w:p>
            <w:pPr>
              <w:spacing w:after="0"/>
              <w:rPr>
                <w:sz w:val="17"/>
                <w:szCs w:val="17"/>
                <w:color w:val="auto"/>
              </w:rPr>
            </w:pPr>
          </w:p>
        </w:tc>
        <w:tc>
          <w:tcPr>
            <w:tcW w:w="920" w:type="dxa"/>
            <w:vAlign w:val="bottom"/>
            <w:tcBorders>
              <w:top w:val="single" w:sz="8" w:color="auto"/>
            </w:tcBorders>
          </w:tcPr>
          <w:p>
            <w:pPr>
              <w:jc w:val="right"/>
              <w:ind w:right="621"/>
              <w:spacing w:after="0" w:line="207" w:lineRule="exact"/>
              <w:rPr>
                <w:sz w:val="20"/>
                <w:szCs w:val="20"/>
                <w:color w:val="auto"/>
              </w:rPr>
            </w:pPr>
            <w:r>
              <w:rPr>
                <w:rFonts w:ascii="Arial" w:cs="Arial" w:eastAsia="Arial" w:hAnsi="Arial"/>
                <w:sz w:val="20"/>
                <w:szCs w:val="20"/>
                <w:color w:val="auto"/>
              </w:rPr>
              <w:t>$</w:t>
            </w:r>
          </w:p>
        </w:tc>
        <w:tc>
          <w:tcPr>
            <w:tcW w:w="28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w:t>
            </w:r>
          </w:p>
        </w:tc>
        <w:tc>
          <w:tcPr>
            <w:tcW w:w="280" w:type="dxa"/>
            <w:vAlign w:val="bottom"/>
          </w:tcPr>
          <w:p>
            <w:pPr>
              <w:spacing w:after="0"/>
              <w:rPr>
                <w:sz w:val="17"/>
                <w:szCs w:val="17"/>
                <w:color w:val="auto"/>
              </w:rPr>
            </w:pPr>
          </w:p>
        </w:tc>
        <w:tc>
          <w:tcPr>
            <w:tcW w:w="380" w:type="dxa"/>
            <w:vAlign w:val="bottom"/>
            <w:tcBorders>
              <w:top w:val="single" w:sz="8" w:color="auto"/>
            </w:tcBorders>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1,331,643</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4900" w:type="dxa"/>
            <w:vAlign w:val="bottom"/>
          </w:tcPr>
          <w:p>
            <w:pPr>
              <w:ind w:left="660"/>
              <w:spacing w:after="0"/>
              <w:rPr>
                <w:sz w:val="20"/>
                <w:szCs w:val="20"/>
                <w:color w:val="auto"/>
              </w:rPr>
            </w:pPr>
            <w:r>
              <w:rPr>
                <w:rFonts w:ascii="Arial" w:cs="Arial" w:eastAsia="Arial" w:hAnsi="Arial"/>
                <w:sz w:val="20"/>
                <w:szCs w:val="20"/>
                <w:color w:val="auto"/>
              </w:rPr>
              <w:t>Acquisitions</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660"/>
              <w:spacing w:after="0" w:line="220" w:lineRule="exact"/>
              <w:rPr>
                <w:sz w:val="20"/>
                <w:szCs w:val="20"/>
                <w:color w:val="auto"/>
              </w:rPr>
            </w:pPr>
            <w:r>
              <w:rPr>
                <w:rFonts w:ascii="Arial" w:cs="Arial" w:eastAsia="Arial" w:hAnsi="Arial"/>
                <w:sz w:val="20"/>
                <w:szCs w:val="20"/>
                <w:color w:val="auto"/>
              </w:rPr>
              <w:t>Balance at March 31, 2018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693,644</w:t>
            </w:r>
          </w:p>
        </w:tc>
        <w:tc>
          <w:tcPr>
            <w:tcW w:w="30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637,999</w:t>
            </w:r>
          </w:p>
        </w:tc>
        <w:tc>
          <w:tcPr>
            <w:tcW w:w="280" w:type="dxa"/>
            <w:vAlign w:val="bottom"/>
          </w:tcPr>
          <w:p>
            <w:pPr>
              <w:spacing w:after="0"/>
              <w:rPr>
                <w:sz w:val="19"/>
                <w:szCs w:val="19"/>
                <w:color w:val="auto"/>
              </w:rPr>
            </w:pPr>
          </w:p>
        </w:tc>
        <w:tc>
          <w:tcPr>
            <w:tcW w:w="920" w:type="dxa"/>
            <w:vAlign w:val="bottom"/>
            <w:tcBorders>
              <w:bottom w:val="single" w:sz="8" w:color="auto"/>
            </w:tcBorders>
          </w:tcPr>
          <w:p>
            <w:pPr>
              <w:jc w:val="right"/>
              <w:ind w:right="621"/>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3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1,331,643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382"/>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9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p>
      <w:pPr>
        <w:spacing w:after="0" w:line="334"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60"/>
          </w:cols>
          <w:pgMar w:left="240" w:top="121" w:right="199" w:bottom="0" w:gutter="0" w:footer="0" w:header="0"/>
          <w:type w:val="continuous"/>
        </w:sectPr>
      </w:pPr>
    </w:p>
    <w:bookmarkStart w:id="12" w:name="page13"/>
    <w:bookmarkEnd w:id="12"/>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center"/>
              <w:ind w:right="580"/>
              <w:spacing w:after="0"/>
              <w:rPr>
                <w:sz w:val="20"/>
                <w:szCs w:val="20"/>
                <w:color w:val="auto"/>
              </w:rPr>
            </w:pPr>
            <w:r>
              <w:rPr>
                <w:rFonts w:ascii="Arial" w:cs="Arial" w:eastAsia="Arial" w:hAnsi="Arial"/>
                <w:sz w:val="20"/>
                <w:szCs w:val="20"/>
                <w:color w:val="auto"/>
                <w:w w:val="91"/>
              </w:rPr>
              <w:t>Monster</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center"/>
              <w:ind w:right="600"/>
              <w:spacing w:after="0"/>
              <w:rPr>
                <w:sz w:val="20"/>
                <w:szCs w:val="20"/>
                <w:color w:val="auto"/>
              </w:rPr>
            </w:pPr>
            <w:r>
              <w:rPr>
                <w:rFonts w:ascii="Arial" w:cs="Arial" w:eastAsia="Arial" w:hAnsi="Arial"/>
                <w:sz w:val="20"/>
                <w:szCs w:val="20"/>
                <w:color w:val="auto"/>
                <w:w w:val="92"/>
              </w:rPr>
              <w:t>Energy®</w:t>
            </w:r>
          </w:p>
        </w:tc>
        <w:tc>
          <w:tcPr>
            <w:tcW w:w="280" w:type="dxa"/>
            <w:vAlign w:val="bottom"/>
          </w:tcPr>
          <w:p>
            <w:pPr>
              <w:spacing w:after="0"/>
              <w:rPr>
                <w:sz w:val="19"/>
                <w:szCs w:val="19"/>
                <w:color w:val="auto"/>
              </w:rPr>
            </w:pPr>
          </w:p>
        </w:tc>
        <w:tc>
          <w:tcPr>
            <w:tcW w:w="980" w:type="dxa"/>
            <w:vAlign w:val="bottom"/>
            <w:gridSpan w:val="2"/>
          </w:tcPr>
          <w:p>
            <w:pPr>
              <w:ind w:left="40"/>
              <w:spacing w:after="0"/>
              <w:rPr>
                <w:sz w:val="20"/>
                <w:szCs w:val="20"/>
                <w:color w:val="auto"/>
              </w:rPr>
            </w:pPr>
            <w:r>
              <w:rPr>
                <w:rFonts w:ascii="Arial" w:cs="Arial" w:eastAsia="Arial" w:hAnsi="Arial"/>
                <w:sz w:val="20"/>
                <w:szCs w:val="20"/>
                <w:color w:val="auto"/>
              </w:rPr>
              <w:t>Strategic</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240" w:type="dxa"/>
            <w:vAlign w:val="bottom"/>
            <w:vMerge w:val="restart"/>
          </w:tcPr>
          <w:p>
            <w:pPr>
              <w:spacing w:after="0"/>
              <w:rPr>
                <w:sz w:val="20"/>
                <w:szCs w:val="20"/>
                <w:color w:val="auto"/>
              </w:rPr>
            </w:pPr>
            <w:r>
              <w:rPr>
                <w:rFonts w:ascii="Arial" w:cs="Arial" w:eastAsia="Arial" w:hAnsi="Arial"/>
                <w:sz w:val="20"/>
                <w:szCs w:val="20"/>
                <w:color w:val="auto"/>
              </w:rPr>
              <w:t>Balance at December 31, 2016</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580"/>
              <w:spacing w:after="0"/>
              <w:rPr>
                <w:sz w:val="20"/>
                <w:szCs w:val="20"/>
                <w:color w:val="auto"/>
              </w:rPr>
            </w:pPr>
            <w:r>
              <w:rPr>
                <w:rFonts w:ascii="Arial" w:cs="Arial" w:eastAsia="Arial" w:hAnsi="Arial"/>
                <w:sz w:val="20"/>
                <w:szCs w:val="20"/>
                <w:color w:val="auto"/>
                <w:w w:val="95"/>
              </w:rPr>
              <w:t>Drinks</w:t>
            </w:r>
          </w:p>
        </w:tc>
        <w:tc>
          <w:tcPr>
            <w:tcW w:w="280" w:type="dxa"/>
            <w:vAlign w:val="bottom"/>
          </w:tcPr>
          <w:p>
            <w:pPr>
              <w:spacing w:after="0"/>
              <w:rPr>
                <w:sz w:val="21"/>
                <w:szCs w:val="21"/>
                <w:color w:val="auto"/>
              </w:rPr>
            </w:pPr>
          </w:p>
        </w:tc>
        <w:tc>
          <w:tcPr>
            <w:tcW w:w="980" w:type="dxa"/>
            <w:vAlign w:val="bottom"/>
            <w:gridSpan w:val="2"/>
          </w:tcPr>
          <w:p>
            <w:pPr>
              <w:ind w:left="120"/>
              <w:spacing w:after="0"/>
              <w:rPr>
                <w:sz w:val="20"/>
                <w:szCs w:val="20"/>
                <w:color w:val="auto"/>
              </w:rPr>
            </w:pPr>
            <w:r>
              <w:rPr>
                <w:rFonts w:ascii="Arial" w:cs="Arial" w:eastAsia="Arial" w:hAnsi="Arial"/>
                <w:sz w:val="20"/>
                <w:szCs w:val="20"/>
                <w:color w:val="auto"/>
              </w:rPr>
              <w:t>Brands</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ind w:left="100"/>
              <w:spacing w:after="0"/>
              <w:rPr>
                <w:sz w:val="20"/>
                <w:szCs w:val="20"/>
                <w:color w:val="auto"/>
              </w:rPr>
            </w:pPr>
            <w:r>
              <w:rPr>
                <w:rFonts w:ascii="Arial" w:cs="Arial" w:eastAsia="Arial" w:hAnsi="Arial"/>
                <w:sz w:val="20"/>
                <w:szCs w:val="20"/>
                <w:color w:val="auto"/>
              </w:rPr>
              <w:t>Other</w:t>
            </w:r>
          </w:p>
        </w:tc>
        <w:tc>
          <w:tcPr>
            <w:tcW w:w="380" w:type="dxa"/>
            <w:vAlign w:val="bottom"/>
          </w:tcPr>
          <w:p>
            <w:pPr>
              <w:spacing w:after="0"/>
              <w:rPr>
                <w:sz w:val="21"/>
                <w:szCs w:val="21"/>
                <w:color w:val="auto"/>
              </w:rPr>
            </w:pPr>
          </w:p>
        </w:tc>
        <w:tc>
          <w:tcPr>
            <w:tcW w:w="1140" w:type="dxa"/>
            <w:vAlign w:val="bottom"/>
          </w:tcPr>
          <w:p>
            <w:pPr>
              <w:jc w:val="right"/>
              <w:ind w:right="46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4240" w:type="dxa"/>
            <w:vAlign w:val="bottom"/>
            <w:vMerge w:val="continue"/>
          </w:tcPr>
          <w:p>
            <w:pPr>
              <w:spacing w:after="0"/>
              <w:rPr>
                <w:sz w:val="17"/>
                <w:szCs w:val="17"/>
                <w:color w:val="auto"/>
              </w:rPr>
            </w:pPr>
          </w:p>
        </w:tc>
        <w:tc>
          <w:tcPr>
            <w:tcW w:w="300" w:type="dxa"/>
            <w:vAlign w:val="bottom"/>
            <w:tcBorders>
              <w:top w:val="single" w:sz="8" w:color="auto"/>
            </w:tcBorders>
            <w:gridSpan w:val="2"/>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08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693,644</w:t>
            </w:r>
          </w:p>
        </w:tc>
        <w:tc>
          <w:tcPr>
            <w:tcW w:w="280" w:type="dxa"/>
            <w:vAlign w:val="bottom"/>
          </w:tcPr>
          <w:p>
            <w:pPr>
              <w:spacing w:after="0"/>
              <w:rPr>
                <w:sz w:val="17"/>
                <w:szCs w:val="17"/>
                <w:color w:val="auto"/>
              </w:rPr>
            </w:pPr>
          </w:p>
        </w:tc>
        <w:tc>
          <w:tcPr>
            <w:tcW w:w="28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2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w w:val="96"/>
              </w:rPr>
              <w:t>637,999</w:t>
            </w:r>
          </w:p>
        </w:tc>
        <w:tc>
          <w:tcPr>
            <w:tcW w:w="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94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w:t>
            </w:r>
          </w:p>
        </w:tc>
        <w:tc>
          <w:tcPr>
            <w:tcW w:w="280" w:type="dxa"/>
            <w:vAlign w:val="bottom"/>
          </w:tcPr>
          <w:p>
            <w:pPr>
              <w:spacing w:after="0"/>
              <w:rPr>
                <w:sz w:val="17"/>
                <w:szCs w:val="17"/>
                <w:color w:val="auto"/>
              </w:rPr>
            </w:pPr>
          </w:p>
        </w:tc>
        <w:tc>
          <w:tcPr>
            <w:tcW w:w="380" w:type="dxa"/>
            <w:vAlign w:val="bottom"/>
            <w:tcBorders>
              <w:top w:val="single" w:sz="8" w:color="auto"/>
            </w:tcBorders>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1,331,643</w:t>
            </w:r>
          </w:p>
        </w:tc>
        <w:tc>
          <w:tcPr>
            <w:tcW w:w="0" w:type="dxa"/>
            <w:vAlign w:val="bottom"/>
          </w:tcPr>
          <w:p>
            <w:pPr>
              <w:spacing w:after="0"/>
              <w:rPr>
                <w:sz w:val="1"/>
                <w:szCs w:val="1"/>
                <w:color w:val="auto"/>
              </w:rPr>
            </w:pPr>
          </w:p>
        </w:tc>
      </w:tr>
      <w:tr>
        <w:trPr>
          <w:trHeight w:val="240"/>
        </w:trPr>
        <w:tc>
          <w:tcPr>
            <w:tcW w:w="4240" w:type="dxa"/>
            <w:vAlign w:val="bottom"/>
          </w:tcPr>
          <w:p>
            <w:pPr>
              <w:spacing w:after="0"/>
              <w:rPr>
                <w:sz w:val="20"/>
                <w:szCs w:val="20"/>
                <w:color w:val="auto"/>
              </w:rPr>
            </w:pPr>
            <w:r>
              <w:rPr>
                <w:rFonts w:ascii="Arial" w:cs="Arial" w:eastAsia="Arial" w:hAnsi="Arial"/>
                <w:sz w:val="20"/>
                <w:szCs w:val="20"/>
                <w:color w:val="auto"/>
              </w:rPr>
              <w:t>Acquisitions</w:t>
            </w: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240" w:type="dxa"/>
            <w:vAlign w:val="bottom"/>
          </w:tcPr>
          <w:p>
            <w:pPr>
              <w:spacing w:after="0" w:line="220" w:lineRule="exact"/>
              <w:rPr>
                <w:sz w:val="20"/>
                <w:szCs w:val="20"/>
                <w:color w:val="auto"/>
              </w:rPr>
            </w:pPr>
            <w:r>
              <w:rPr>
                <w:rFonts w:ascii="Arial" w:cs="Arial" w:eastAsia="Arial" w:hAnsi="Arial"/>
                <w:sz w:val="20"/>
                <w:szCs w:val="20"/>
                <w:color w:val="auto"/>
              </w:rPr>
              <w:t>Balance at March 31, 2017</w:t>
            </w:r>
          </w:p>
        </w:tc>
        <w:tc>
          <w:tcPr>
            <w:tcW w:w="30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693,644</w:t>
            </w:r>
          </w:p>
        </w:tc>
        <w:tc>
          <w:tcPr>
            <w:tcW w:w="28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6"/>
              </w:rPr>
              <w:t>637,999</w:t>
            </w:r>
          </w:p>
        </w:tc>
        <w:tc>
          <w:tcPr>
            <w:tcW w:w="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3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1,331,643</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20"/>
                <w:szCs w:val="20"/>
                <w:color w:val="auto"/>
              </w:rPr>
              <w:t>Intangible assets consist of the following at:</w:t>
            </w: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42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4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20"/>
                <w:szCs w:val="20"/>
                <w:color w:val="auto"/>
              </w:rPr>
              <w:t>March 31,</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4"/>
          </w:tcPr>
          <w:p>
            <w:pPr>
              <w:jc w:val="center"/>
              <w:ind w:right="141"/>
              <w:spacing w:after="0"/>
              <w:rPr>
                <w:sz w:val="20"/>
                <w:szCs w:val="20"/>
                <w:color w:val="auto"/>
              </w:rPr>
            </w:pPr>
            <w:r>
              <w:rPr>
                <w:rFonts w:ascii="Arial" w:cs="Arial" w:eastAsia="Arial" w:hAnsi="Arial"/>
                <w:sz w:val="20"/>
                <w:szCs w:val="20"/>
                <w:color w:val="auto"/>
                <w:w w:val="87"/>
              </w:rPr>
              <w:t>December 31,</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4240" w:type="dxa"/>
            <w:vAlign w:val="bottom"/>
            <w:vMerge w:val="restart"/>
          </w:tcPr>
          <w:p>
            <w:pPr>
              <w:spacing w:after="0"/>
              <w:rPr>
                <w:sz w:val="20"/>
                <w:szCs w:val="20"/>
                <w:color w:val="auto"/>
              </w:rPr>
            </w:pPr>
            <w:r>
              <w:rPr>
                <w:rFonts w:ascii="Arial" w:cs="Arial" w:eastAsia="Arial" w:hAnsi="Arial"/>
                <w:sz w:val="20"/>
                <w:szCs w:val="20"/>
                <w:color w:val="auto"/>
              </w:rPr>
              <w:t>Amortizing intangibles</w:t>
            </w: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color w:val="auto"/>
              </w:rPr>
              <w:t>2018</w:t>
            </w:r>
          </w:p>
        </w:tc>
        <w:tc>
          <w:tcPr>
            <w:tcW w:w="2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2017</w:t>
            </w:r>
          </w:p>
        </w:tc>
        <w:tc>
          <w:tcPr>
            <w:tcW w:w="3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2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360" w:type="dxa"/>
            <w:vAlign w:val="bottom"/>
            <w:gridSpan w:val="2"/>
          </w:tcPr>
          <w:p>
            <w:pPr>
              <w:jc w:val="right"/>
              <w:ind w:right="100"/>
              <w:spacing w:after="0" w:line="207" w:lineRule="exact"/>
              <w:rPr>
                <w:sz w:val="20"/>
                <w:szCs w:val="20"/>
                <w:color w:val="auto"/>
              </w:rPr>
            </w:pPr>
            <w:r>
              <w:rPr>
                <w:rFonts w:ascii="Arial" w:cs="Arial" w:eastAsia="Arial" w:hAnsi="Arial"/>
                <w:sz w:val="20"/>
                <w:szCs w:val="20"/>
                <w:color w:val="auto"/>
              </w:rPr>
              <w:t>71,350</w:t>
            </w:r>
          </w:p>
        </w:tc>
        <w:tc>
          <w:tcPr>
            <w:tcW w:w="280" w:type="dxa"/>
            <w:vAlign w:val="bottom"/>
          </w:tcPr>
          <w:p>
            <w:pPr>
              <w:spacing w:after="0"/>
              <w:rPr>
                <w:sz w:val="17"/>
                <w:szCs w:val="17"/>
                <w:color w:val="auto"/>
              </w:rPr>
            </w:pPr>
          </w:p>
        </w:tc>
        <w:tc>
          <w:tcPr>
            <w:tcW w:w="240" w:type="dxa"/>
            <w:vAlign w:val="bottom"/>
          </w:tcPr>
          <w:p>
            <w:pPr>
              <w:ind w:left="100"/>
              <w:spacing w:after="0" w:line="207" w:lineRule="exact"/>
              <w:rPr>
                <w:sz w:val="20"/>
                <w:szCs w:val="20"/>
                <w:color w:val="auto"/>
              </w:rPr>
            </w:pPr>
            <w:r>
              <w:rPr>
                <w:rFonts w:ascii="Arial" w:cs="Arial" w:eastAsia="Arial" w:hAnsi="Arial"/>
                <w:sz w:val="20"/>
                <w:szCs w:val="20"/>
                <w:color w:val="auto"/>
              </w:rPr>
              <w:t>$</w:t>
            </w:r>
          </w:p>
        </w:tc>
        <w:tc>
          <w:tcPr>
            <w:tcW w:w="740" w:type="dxa"/>
            <w:vAlign w:val="bottom"/>
          </w:tcPr>
          <w:p>
            <w:pPr>
              <w:spacing w:after="0"/>
              <w:rPr>
                <w:sz w:val="17"/>
                <w:szCs w:val="17"/>
                <w:color w:val="auto"/>
              </w:rPr>
            </w:pPr>
          </w:p>
        </w:tc>
        <w:tc>
          <w:tcPr>
            <w:tcW w:w="640" w:type="dxa"/>
            <w:vAlign w:val="bottom"/>
            <w:gridSpan w:val="3"/>
          </w:tcPr>
          <w:p>
            <w:pPr>
              <w:jc w:val="right"/>
              <w:ind w:right="1"/>
              <w:spacing w:after="0" w:line="207" w:lineRule="exact"/>
              <w:rPr>
                <w:sz w:val="20"/>
                <w:szCs w:val="20"/>
                <w:color w:val="auto"/>
              </w:rPr>
            </w:pPr>
            <w:r>
              <w:rPr>
                <w:rFonts w:ascii="Arial" w:cs="Arial" w:eastAsia="Arial" w:hAnsi="Arial"/>
                <w:sz w:val="20"/>
                <w:szCs w:val="20"/>
                <w:color w:val="auto"/>
                <w:w w:val="84"/>
              </w:rPr>
              <w:t>71,400</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240" w:type="dxa"/>
            <w:vAlign w:val="bottom"/>
          </w:tcPr>
          <w:p>
            <w:pPr>
              <w:spacing w:after="0"/>
              <w:rPr>
                <w:sz w:val="20"/>
                <w:szCs w:val="20"/>
                <w:color w:val="auto"/>
              </w:rPr>
            </w:pPr>
            <w:r>
              <w:rPr>
                <w:rFonts w:ascii="Arial" w:cs="Arial" w:eastAsia="Arial" w:hAnsi="Arial"/>
                <w:sz w:val="20"/>
                <w:szCs w:val="20"/>
                <w:color w:val="auto"/>
              </w:rPr>
              <w:t>Accumulated amortization</w:t>
            </w: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20"/>
                <w:szCs w:val="20"/>
                <w:color w:val="auto"/>
              </w:rPr>
              <w:t>(29,425)</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color w:val="auto"/>
              </w:rPr>
              <w:t>(26,383)</w:t>
            </w: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100"/>
              <w:spacing w:after="0" w:line="207" w:lineRule="exact"/>
              <w:rPr>
                <w:sz w:val="20"/>
                <w:szCs w:val="20"/>
                <w:color w:val="auto"/>
              </w:rPr>
            </w:pPr>
            <w:r>
              <w:rPr>
                <w:rFonts w:ascii="Arial" w:cs="Arial" w:eastAsia="Arial" w:hAnsi="Arial"/>
                <w:sz w:val="20"/>
                <w:szCs w:val="20"/>
                <w:color w:val="auto"/>
              </w:rPr>
              <w:t>41,925</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gridSpan w:val="3"/>
          </w:tcPr>
          <w:p>
            <w:pPr>
              <w:jc w:val="right"/>
              <w:ind w:right="1"/>
              <w:spacing w:after="0" w:line="207" w:lineRule="exact"/>
              <w:rPr>
                <w:sz w:val="20"/>
                <w:szCs w:val="20"/>
                <w:color w:val="auto"/>
              </w:rPr>
            </w:pPr>
            <w:r>
              <w:rPr>
                <w:rFonts w:ascii="Arial" w:cs="Arial" w:eastAsia="Arial" w:hAnsi="Arial"/>
                <w:sz w:val="20"/>
                <w:szCs w:val="20"/>
                <w:color w:val="auto"/>
                <w:w w:val="84"/>
              </w:rPr>
              <w:t>45,017</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240" w:type="dxa"/>
            <w:vAlign w:val="bottom"/>
          </w:tcPr>
          <w:p>
            <w:pPr>
              <w:spacing w:after="0"/>
              <w:rPr>
                <w:sz w:val="20"/>
                <w:szCs w:val="20"/>
                <w:color w:val="auto"/>
              </w:rPr>
            </w:pPr>
            <w:r>
              <w:rPr>
                <w:rFonts w:ascii="Arial" w:cs="Arial" w:eastAsia="Arial" w:hAnsi="Arial"/>
                <w:sz w:val="20"/>
                <w:szCs w:val="20"/>
                <w:color w:val="auto"/>
              </w:rPr>
              <w:t>Non-amortizing intangibles</w:t>
            </w: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994,736</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20"/>
                <w:szCs w:val="20"/>
                <w:color w:val="auto"/>
              </w:rPr>
              <w:t>989,068</w:t>
            </w: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360" w:type="dxa"/>
            <w:vAlign w:val="bottom"/>
            <w:tcBorders>
              <w:bottom w:val="single" w:sz="8" w:color="auto"/>
            </w:tcBorders>
            <w:gridSpan w:val="2"/>
          </w:tcPr>
          <w:p>
            <w:pPr>
              <w:jc w:val="right"/>
              <w:ind w:right="100"/>
              <w:spacing w:after="0" w:line="223" w:lineRule="exact"/>
              <w:rPr>
                <w:sz w:val="20"/>
                <w:szCs w:val="20"/>
                <w:color w:val="auto"/>
              </w:rPr>
            </w:pPr>
            <w:r>
              <w:rPr>
                <w:rFonts w:ascii="Arial" w:cs="Arial" w:eastAsia="Arial" w:hAnsi="Arial"/>
                <w:sz w:val="20"/>
                <w:szCs w:val="20"/>
                <w:color w:val="auto"/>
              </w:rPr>
              <w:t>1,036,661</w:t>
            </w:r>
          </w:p>
        </w:tc>
        <w:tc>
          <w:tcPr>
            <w:tcW w:w="280" w:type="dxa"/>
            <w:vAlign w:val="bottom"/>
          </w:tcPr>
          <w:p>
            <w:pPr>
              <w:spacing w:after="0"/>
              <w:rPr>
                <w:sz w:val="19"/>
                <w:szCs w:val="19"/>
                <w:color w:val="auto"/>
              </w:rPr>
            </w:pPr>
          </w:p>
        </w:tc>
        <w:tc>
          <w:tcPr>
            <w:tcW w:w="240" w:type="dxa"/>
            <w:vAlign w:val="bottom"/>
            <w:tcBorders>
              <w:bottom w:val="single" w:sz="8" w:color="auto"/>
            </w:tcBorders>
          </w:tcPr>
          <w:p>
            <w:pPr>
              <w:ind w:left="100"/>
              <w:spacing w:after="0" w:line="223" w:lineRule="exact"/>
              <w:rPr>
                <w:sz w:val="20"/>
                <w:szCs w:val="20"/>
                <w:color w:val="auto"/>
              </w:rPr>
            </w:pPr>
            <w:r>
              <w:rPr>
                <w:rFonts w:ascii="Arial" w:cs="Arial" w:eastAsia="Arial" w:hAnsi="Arial"/>
                <w:sz w:val="20"/>
                <w:szCs w:val="20"/>
                <w:color w:val="auto"/>
              </w:rPr>
              <w:t>$</w:t>
            </w:r>
          </w:p>
        </w:tc>
        <w:tc>
          <w:tcPr>
            <w:tcW w:w="1380" w:type="dxa"/>
            <w:vAlign w:val="bottom"/>
            <w:tcBorders>
              <w:bottom w:val="single" w:sz="8" w:color="auto"/>
            </w:tcBorders>
            <w:gridSpan w:val="4"/>
          </w:tcPr>
          <w:p>
            <w:pPr>
              <w:jc w:val="right"/>
              <w:ind w:right="1"/>
              <w:spacing w:after="0" w:line="223" w:lineRule="exact"/>
              <w:rPr>
                <w:sz w:val="20"/>
                <w:szCs w:val="20"/>
                <w:color w:val="auto"/>
              </w:rPr>
            </w:pPr>
            <w:r>
              <w:rPr>
                <w:rFonts w:ascii="Arial" w:cs="Arial" w:eastAsia="Arial" w:hAnsi="Arial"/>
                <w:sz w:val="20"/>
                <w:szCs w:val="20"/>
                <w:color w:val="auto"/>
              </w:rPr>
              <w:t>1,034,085</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Amortizing intangibles primarily consist of customer relationships. All amortizing intangibles have been assigned an estimated finite useful life and such intangibles are amortized on a straight-line basis over the number of years that approximate their respective useful lives, generally five to seven years. Total amortization expense recorded was $3.1 million and $3.0 million for the three-months ended March 31, 2018 and 2017, respectively.</w:t>
      </w:r>
    </w:p>
    <w:p>
      <w:pPr>
        <w:spacing w:after="0" w:line="205"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DISTRIBUTION AGREEMENTS</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accordance with ASC No. 420 “Exit or Disposal Cost Obligations”, the Company expenses distributor termination costs in the period in which the written notification of termination occurs. The Company incurred termination costs of $7.0 million and $19.9 million for the three-months ended March 31, 2018 and 2017, respectively. Such termination costs have been expensed in full and are included in operating expenses for the three-months ended March 31, 2018 and 2017.</w:t>
      </w:r>
    </w:p>
    <w:p>
      <w:pPr>
        <w:spacing w:after="0" w:line="2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In the normal course of business, amounts received pursuant to new and/or amended distribution agreements entered into with certain distributors, relating to the costs associated with terminating agreements with the Company’s prior distributors, are accounted for as deferred revenue and are recognized as revenue ratably over the anticipated life of the respective distribution agreement, generally 20 years. Revenue recognized was $11.2 million and $10.0 million for the three-months ended March 31, 2018 and 2017, respectively.</w:t>
      </w:r>
    </w:p>
    <w:p>
      <w:pPr>
        <w:spacing w:after="0" w:line="190" w:lineRule="exact"/>
        <w:rPr>
          <w:sz w:val="20"/>
          <w:szCs w:val="20"/>
          <w:color w:val="auto"/>
        </w:rPr>
      </w:pPr>
    </w:p>
    <w:p>
      <w:pPr>
        <w:ind w:left="620" w:hanging="612"/>
        <w:spacing w:after="0"/>
        <w:tabs>
          <w:tab w:leader="none" w:pos="6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COMMITMENTS AND CONTINGENCIES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had purchase commitments aggregating approximately $56.5 million at March 31, 2018, which represented commitments made by the Company and its subsidiaries to various suppliers of raw materials for the production of its products. These obligations vary in terms, but are generally satisfied within one year.</w:t>
      </w:r>
    </w:p>
    <w:p>
      <w:pPr>
        <w:spacing w:after="0" w:line="20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Company had contractual obligations aggregating approximately $170.2 million at March 31, 2018, which related primarily to sponsorships and other marketing activities.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had operating lease commitments aggregating approximately $16.4 million at March 31, 2018, which related primarily to warehouse and office space.</w:t>
      </w:r>
    </w:p>
    <w:p>
      <w:pPr>
        <w:spacing w:after="0" w:line="177" w:lineRule="exact"/>
        <w:rPr>
          <w:sz w:val="20"/>
          <w:szCs w:val="20"/>
          <w:color w:val="auto"/>
        </w:rPr>
      </w:pPr>
    </w:p>
    <w:p>
      <w:pPr>
        <w:jc w:val="both"/>
        <w:ind w:firstLine="689"/>
        <w:spacing w:after="0" w:line="263" w:lineRule="auto"/>
        <w:rPr>
          <w:sz w:val="20"/>
          <w:szCs w:val="20"/>
          <w:color w:val="auto"/>
        </w:rPr>
      </w:pPr>
      <w:r>
        <w:rPr>
          <w:rFonts w:ascii="Arial" w:cs="Arial" w:eastAsia="Arial" w:hAnsi="Arial"/>
          <w:sz w:val="19"/>
          <w:szCs w:val="19"/>
          <w:color w:val="auto"/>
        </w:rPr>
        <w:t>In February 2018, the working capital line limit for the Company’s credit facility with HSBC Bank (China) Company Limited, Shanghai Branch was increased from $9.0 million to $15.0 million. Interest on borrowings under the line of credit is based on the People’s Bank of China benchmark lending rates multiplied by 1.10. As of March 31, 2018, the Company had $10.6 million outstanding on this line of credit, including interest, which is included in accounts payable in the condensed consolidated balance sheet.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Legal Proceedings</w:t>
      </w:r>
    </w:p>
    <w:p>
      <w:pPr>
        <w:spacing w:after="0" w:line="216" w:lineRule="exact"/>
        <w:rPr>
          <w:sz w:val="20"/>
          <w:szCs w:val="20"/>
          <w:color w:val="auto"/>
        </w:rPr>
      </w:pPr>
    </w:p>
    <w:p>
      <w:pPr>
        <w:jc w:val="both"/>
        <w:ind w:firstLine="689"/>
        <w:spacing w:after="0" w:line="291" w:lineRule="auto"/>
        <w:rPr>
          <w:sz w:val="20"/>
          <w:szCs w:val="20"/>
          <w:color w:val="auto"/>
        </w:rPr>
      </w:pPr>
      <w:r>
        <w:rPr>
          <w:rFonts w:ascii="Arial" w:cs="Arial" w:eastAsia="Arial" w:hAnsi="Arial"/>
          <w:sz w:val="18"/>
          <w:szCs w:val="18"/>
          <w:i w:val="1"/>
          <w:iCs w:val="1"/>
          <w:color w:val="auto"/>
        </w:rPr>
        <w:t xml:space="preserve">Litigation – </w:t>
      </w:r>
      <w:r>
        <w:rPr>
          <w:rFonts w:ascii="Arial" w:cs="Arial" w:eastAsia="Arial" w:hAnsi="Arial"/>
          <w:sz w:val="18"/>
          <w:szCs w:val="18"/>
          <w:color w:val="auto"/>
        </w:rPr>
        <w:t>The Company has been named a defendant in numerous personal injury lawsuits, claiming that the death or other serious</w:t>
      </w:r>
      <w:r>
        <w:rPr>
          <w:rFonts w:ascii="Arial" w:cs="Arial" w:eastAsia="Arial" w:hAnsi="Arial"/>
          <w:sz w:val="18"/>
          <w:szCs w:val="18"/>
          <w:i w:val="1"/>
          <w:iCs w:val="1"/>
          <w:color w:val="auto"/>
        </w:rPr>
        <w:t xml:space="preserve"> </w:t>
      </w:r>
      <w:r>
        <w:rPr>
          <w:rFonts w:ascii="Arial" w:cs="Arial" w:eastAsia="Arial" w:hAnsi="Arial"/>
          <w:sz w:val="18"/>
          <w:szCs w:val="18"/>
          <w:color w:val="auto"/>
        </w:rPr>
        <w:t>injury of the plaintiffs was caused by consumption of Monster Energy® brand energy drinks. The plaintiffs in these lawsuits allege strict product liability, negligence, fraudulent concealment, breach of implied warranties and wrongful death. The Company believes that each</w:t>
      </w:r>
    </w:p>
    <w:p>
      <w:pPr>
        <w:sectPr>
          <w:pgSz w:w="11900" w:h="16838" w:orient="portrait"/>
          <w:cols w:equalWidth="0" w:num="1">
            <w:col w:w="11420"/>
          </w:cols>
          <w:pgMar w:left="240" w:top="346" w:right="239" w:bottom="0" w:gutter="0" w:footer="0" w:header="0"/>
        </w:sectPr>
      </w:pPr>
    </w:p>
    <w:bookmarkStart w:id="13" w:name="page14"/>
    <w:bookmarkEnd w:id="13"/>
    <w:p>
      <w:pPr>
        <w:jc w:val="both"/>
        <w:spacing w:after="0" w:line="262" w:lineRule="auto"/>
        <w:rPr>
          <w:sz w:val="20"/>
          <w:szCs w:val="20"/>
          <w:color w:val="auto"/>
        </w:rPr>
      </w:pPr>
      <w:r>
        <w:rPr>
          <w:rFonts w:ascii="Arial" w:cs="Arial" w:eastAsia="Arial" w:hAnsi="Arial"/>
          <w:sz w:val="20"/>
          <w:szCs w:val="20"/>
          <w:color w:val="auto"/>
        </w:rPr>
        <w:t>complaint is without merit and plans a vigorous defense. The Company also believes that any damages, if awarded, would not have a material adverse effect on the Company’s financial position or results of operations.</w:t>
      </w:r>
    </w:p>
    <w:p>
      <w:pPr>
        <w:spacing w:after="0" w:line="17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i w:val="1"/>
          <w:iCs w:val="1"/>
          <w:color w:val="auto"/>
        </w:rPr>
        <w:t xml:space="preserve">State Attorney General Inquiry </w:t>
      </w:r>
      <w:r>
        <w:rPr>
          <w:rFonts w:ascii="Arial" w:cs="Arial" w:eastAsia="Arial" w:hAnsi="Arial"/>
          <w:sz w:val="18"/>
          <w:szCs w:val="18"/>
          <w:color w:val="auto"/>
        </w:rPr>
        <w:t>– In July 2012, the Company received a subpoena from the Attorney General for the State of New York</w:t>
      </w:r>
      <w:r>
        <w:rPr>
          <w:rFonts w:ascii="Arial" w:cs="Arial" w:eastAsia="Arial" w:hAnsi="Arial"/>
          <w:sz w:val="18"/>
          <w:szCs w:val="18"/>
          <w:i w:val="1"/>
          <w:iCs w:val="1"/>
          <w:color w:val="auto"/>
        </w:rPr>
        <w:t xml:space="preserve"> </w:t>
      </w:r>
      <w:r>
        <w:rPr>
          <w:rFonts w:ascii="Arial" w:cs="Arial" w:eastAsia="Arial" w:hAnsi="Arial"/>
          <w:sz w:val="18"/>
          <w:szCs w:val="18"/>
          <w:color w:val="auto"/>
        </w:rPr>
        <w:t>in connection with its investigation concerning the Company’s advertising, marketing, promotion, ingredients, usage and sale of its Monster Energy® brand energy drinks. Production of documents pursuant to that subpoena was completed in approximately May 2014. On August 6, 2014, the Attorney General for the State of New York issued a second subpoena seeking additional documents and the deposition of a Company employee. On September 8, 2014, the Company moved to quash the second subpoena in the Supreme Court, New York County. The motion was fully briefed and was argued on March 17, 2015. On January 13, 2017, the Court issued an opinion in which it agreed with certain Company arguments regarding the scope of the subpoena and the Attorney General’s investigation, but denied the motion to quash and granted the Attorney General’s cross-motion to compel compliance. It is unknown what, if any, action the state Attorney General may take against the Company, the relief which may be sought in the event of any such proceeding or whether such proceeding could have a material adverse effect on the Company’s business, financial condition or results of operations. As there has been no activity on this matter for the past eight months, the Company intends to remove it from future reports.</w:t>
      </w:r>
    </w:p>
    <w:p>
      <w:pPr>
        <w:spacing w:after="0" w:line="17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Furthermore, from time to time in the normal course of business, the Company is named in other litigation, including consumer class actions, intellectual property litigation and claims from prior distributors. Although it is not possible to predict the ultimate outcome of such litigation, based on the facts known to the Company, management believes that such litigation in the aggregate will likely not have a material adverse effect on the Company’s financial position or results of operations.</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Company evaluates, on a quarterly basis, developments in legal proceedings and other matters that could cause an increase or decrease in the amount of the liability that is accrued, if any, or in the amount of any related insurance reimbursements recorded. As of March 31, 2018, the Company’s condensed consolidated balance sheet includes accrued loss contingencies of approximately $1.6 million.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ACCUMULATED OTHER COMPREHENSIVE LOSS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Changes in accumulated other comprehensive loss by component, after tax, for the three-months ended March 31, 2018 are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gridSpan w:val="2"/>
          </w:tcPr>
          <w:p>
            <w:pPr>
              <w:jc w:val="center"/>
              <w:ind w:right="500"/>
              <w:spacing w:after="0"/>
              <w:rPr>
                <w:sz w:val="20"/>
                <w:szCs w:val="20"/>
                <w:color w:val="auto"/>
              </w:rPr>
            </w:pPr>
            <w:r>
              <w:rPr>
                <w:rFonts w:ascii="Arial" w:cs="Arial" w:eastAsia="Arial" w:hAnsi="Arial"/>
                <w:sz w:val="20"/>
                <w:szCs w:val="20"/>
                <w:color w:val="auto"/>
                <w:w w:val="89"/>
              </w:rPr>
              <w:t>Unrealized</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gridSpan w:val="2"/>
          </w:tcPr>
          <w:p>
            <w:pPr>
              <w:jc w:val="center"/>
              <w:ind w:right="620"/>
              <w:spacing w:after="0"/>
              <w:rPr>
                <w:sz w:val="20"/>
                <w:szCs w:val="20"/>
                <w:color w:val="auto"/>
              </w:rPr>
            </w:pPr>
            <w:r>
              <w:rPr>
                <w:rFonts w:ascii="Arial" w:cs="Arial" w:eastAsia="Arial" w:hAnsi="Arial"/>
                <w:sz w:val="20"/>
                <w:szCs w:val="20"/>
                <w:color w:val="auto"/>
                <w:w w:val="91"/>
              </w:rPr>
              <w:t>Currency</w:t>
            </w:r>
          </w:p>
        </w:tc>
        <w:tc>
          <w:tcPr>
            <w:tcW w:w="240" w:type="dxa"/>
            <w:vAlign w:val="bottom"/>
          </w:tcPr>
          <w:p>
            <w:pPr>
              <w:spacing w:after="0"/>
              <w:rPr>
                <w:sz w:val="19"/>
                <w:szCs w:val="19"/>
                <w:color w:val="auto"/>
              </w:rPr>
            </w:pPr>
          </w:p>
        </w:tc>
        <w:tc>
          <w:tcPr>
            <w:tcW w:w="1920" w:type="dxa"/>
            <w:vAlign w:val="bottom"/>
            <w:gridSpan w:val="2"/>
          </w:tcPr>
          <w:p>
            <w:pPr>
              <w:jc w:val="center"/>
              <w:ind w:right="500"/>
              <w:spacing w:after="0"/>
              <w:rPr>
                <w:sz w:val="20"/>
                <w:szCs w:val="20"/>
                <w:color w:val="auto"/>
              </w:rPr>
            </w:pPr>
            <w:r>
              <w:rPr>
                <w:rFonts w:ascii="Arial" w:cs="Arial" w:eastAsia="Arial" w:hAnsi="Arial"/>
                <w:sz w:val="20"/>
                <w:szCs w:val="20"/>
                <w:color w:val="auto"/>
                <w:w w:val="87"/>
              </w:rPr>
              <w:t>(Gains) Losses</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gridSpan w:val="2"/>
          </w:tcPr>
          <w:p>
            <w:pPr>
              <w:jc w:val="center"/>
              <w:ind w:right="620"/>
              <w:spacing w:after="0"/>
              <w:rPr>
                <w:sz w:val="20"/>
                <w:szCs w:val="20"/>
                <w:color w:val="auto"/>
              </w:rPr>
            </w:pPr>
            <w:r>
              <w:rPr>
                <w:rFonts w:ascii="Arial" w:cs="Arial" w:eastAsia="Arial" w:hAnsi="Arial"/>
                <w:sz w:val="20"/>
                <w:szCs w:val="20"/>
                <w:color w:val="auto"/>
                <w:w w:val="90"/>
              </w:rPr>
              <w:t>Translation</w:t>
            </w:r>
          </w:p>
        </w:tc>
        <w:tc>
          <w:tcPr>
            <w:tcW w:w="240" w:type="dxa"/>
            <w:vAlign w:val="bottom"/>
          </w:tcPr>
          <w:p>
            <w:pPr>
              <w:spacing w:after="0"/>
              <w:rPr>
                <w:sz w:val="19"/>
                <w:szCs w:val="19"/>
                <w:color w:val="auto"/>
              </w:rPr>
            </w:pPr>
          </w:p>
        </w:tc>
        <w:tc>
          <w:tcPr>
            <w:tcW w:w="1920" w:type="dxa"/>
            <w:vAlign w:val="bottom"/>
            <w:gridSpan w:val="2"/>
          </w:tcPr>
          <w:p>
            <w:pPr>
              <w:jc w:val="center"/>
              <w:ind w:right="500"/>
              <w:spacing w:after="0"/>
              <w:rPr>
                <w:sz w:val="20"/>
                <w:szCs w:val="20"/>
                <w:color w:val="auto"/>
              </w:rPr>
            </w:pPr>
            <w:r>
              <w:rPr>
                <w:rFonts w:ascii="Arial" w:cs="Arial" w:eastAsia="Arial" w:hAnsi="Arial"/>
                <w:sz w:val="20"/>
                <w:szCs w:val="20"/>
                <w:color w:val="auto"/>
                <w:w w:val="92"/>
              </w:rPr>
              <w:t>on Available-for-</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620" w:type="dxa"/>
            <w:vAlign w:val="bottom"/>
            <w:vMerge w:val="restart"/>
          </w:tcPr>
          <w:p>
            <w:pPr>
              <w:spacing w:after="0"/>
              <w:rPr>
                <w:sz w:val="20"/>
                <w:szCs w:val="20"/>
                <w:color w:val="auto"/>
              </w:rPr>
            </w:pPr>
            <w:r>
              <w:rPr>
                <w:rFonts w:ascii="Arial" w:cs="Arial" w:eastAsia="Arial" w:hAnsi="Arial"/>
                <w:sz w:val="20"/>
                <w:szCs w:val="20"/>
                <w:color w:val="auto"/>
              </w:rPr>
              <w:t>Balance at December 31, 2017</w:t>
            </w:r>
          </w:p>
        </w:tc>
        <w:tc>
          <w:tcPr>
            <w:tcW w:w="300" w:type="dxa"/>
            <w:vAlign w:val="bottom"/>
          </w:tcPr>
          <w:p>
            <w:pPr>
              <w:spacing w:after="0"/>
              <w:rPr>
                <w:sz w:val="21"/>
                <w:szCs w:val="21"/>
                <w:color w:val="auto"/>
              </w:rPr>
            </w:pPr>
          </w:p>
        </w:tc>
        <w:tc>
          <w:tcPr>
            <w:tcW w:w="1720" w:type="dxa"/>
            <w:vAlign w:val="bottom"/>
            <w:gridSpan w:val="2"/>
          </w:tcPr>
          <w:p>
            <w:pPr>
              <w:jc w:val="center"/>
              <w:ind w:right="620"/>
              <w:spacing w:after="0"/>
              <w:rPr>
                <w:sz w:val="20"/>
                <w:szCs w:val="20"/>
                <w:color w:val="auto"/>
              </w:rPr>
            </w:pPr>
            <w:r>
              <w:rPr>
                <w:rFonts w:ascii="Arial" w:cs="Arial" w:eastAsia="Arial" w:hAnsi="Arial"/>
                <w:sz w:val="20"/>
                <w:szCs w:val="20"/>
                <w:color w:val="auto"/>
                <w:w w:val="85"/>
              </w:rPr>
              <w:t>Losses</w:t>
            </w:r>
          </w:p>
        </w:tc>
        <w:tc>
          <w:tcPr>
            <w:tcW w:w="240" w:type="dxa"/>
            <w:vAlign w:val="bottom"/>
          </w:tcPr>
          <w:p>
            <w:pPr>
              <w:spacing w:after="0"/>
              <w:rPr>
                <w:sz w:val="21"/>
                <w:szCs w:val="21"/>
                <w:color w:val="auto"/>
              </w:rPr>
            </w:pPr>
          </w:p>
        </w:tc>
        <w:tc>
          <w:tcPr>
            <w:tcW w:w="1920" w:type="dxa"/>
            <w:vAlign w:val="bottom"/>
            <w:gridSpan w:val="2"/>
          </w:tcPr>
          <w:p>
            <w:pPr>
              <w:jc w:val="center"/>
              <w:ind w:right="500"/>
              <w:spacing w:after="0"/>
              <w:rPr>
                <w:sz w:val="20"/>
                <w:szCs w:val="20"/>
                <w:color w:val="auto"/>
              </w:rPr>
            </w:pPr>
            <w:r>
              <w:rPr>
                <w:rFonts w:ascii="Arial" w:cs="Arial" w:eastAsia="Arial" w:hAnsi="Arial"/>
                <w:sz w:val="20"/>
                <w:szCs w:val="20"/>
                <w:color w:val="auto"/>
                <w:w w:val="88"/>
              </w:rPr>
              <w:t>Sale Securities</w:t>
            </w:r>
          </w:p>
        </w:tc>
        <w:tc>
          <w:tcPr>
            <w:tcW w:w="380" w:type="dxa"/>
            <w:vAlign w:val="bottom"/>
          </w:tcPr>
          <w:p>
            <w:pPr>
              <w:spacing w:after="0"/>
              <w:rPr>
                <w:sz w:val="21"/>
                <w:szCs w:val="21"/>
                <w:color w:val="auto"/>
              </w:rPr>
            </w:pPr>
          </w:p>
        </w:tc>
        <w:tc>
          <w:tcPr>
            <w:tcW w:w="1140" w:type="dxa"/>
            <w:vAlign w:val="bottom"/>
          </w:tcPr>
          <w:p>
            <w:pPr>
              <w:jc w:val="right"/>
              <w:ind w:right="46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5620" w:type="dxa"/>
            <w:vAlign w:val="bottom"/>
            <w:vMerge w:val="continue"/>
          </w:tcPr>
          <w:p>
            <w:pPr>
              <w:spacing w:after="0"/>
              <w:rPr>
                <w:sz w:val="17"/>
                <w:szCs w:val="17"/>
                <w:color w:val="auto"/>
              </w:rPr>
            </w:pPr>
          </w:p>
        </w:tc>
        <w:tc>
          <w:tcPr>
            <w:tcW w:w="30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42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15,818</w:t>
            </w:r>
          </w:p>
        </w:tc>
        <w:tc>
          <w:tcPr>
            <w:tcW w:w="300" w:type="dxa"/>
            <w:vAlign w:val="bottom"/>
          </w:tcPr>
          <w:p>
            <w:pPr>
              <w:spacing w:after="0"/>
              <w:rPr>
                <w:sz w:val="17"/>
                <w:szCs w:val="17"/>
                <w:color w:val="auto"/>
              </w:rPr>
            </w:pPr>
          </w:p>
        </w:tc>
        <w:tc>
          <w:tcPr>
            <w:tcW w:w="2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6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841</w:t>
            </w:r>
          </w:p>
        </w:tc>
        <w:tc>
          <w:tcPr>
            <w:tcW w:w="260" w:type="dxa"/>
            <w:vAlign w:val="bottom"/>
          </w:tcPr>
          <w:p>
            <w:pPr>
              <w:spacing w:after="0"/>
              <w:rPr>
                <w:sz w:val="17"/>
                <w:szCs w:val="17"/>
                <w:color w:val="auto"/>
              </w:rPr>
            </w:pPr>
          </w:p>
        </w:tc>
        <w:tc>
          <w:tcPr>
            <w:tcW w:w="380" w:type="dxa"/>
            <w:vAlign w:val="bottom"/>
            <w:tcBorders>
              <w:top w:val="single" w:sz="8" w:color="auto"/>
            </w:tcBorders>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16,659</w:t>
            </w: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20"/>
                <w:szCs w:val="20"/>
                <w:color w:val="auto"/>
              </w:rPr>
              <w:t>Other comprehensive loss (gain) before reclassifications</w:t>
            </w:r>
          </w:p>
        </w:tc>
        <w:tc>
          <w:tcPr>
            <w:tcW w:w="300" w:type="dxa"/>
            <w:vAlign w:val="bottom"/>
          </w:tcPr>
          <w:p>
            <w:pPr>
              <w:spacing w:after="0"/>
              <w:rPr>
                <w:sz w:val="19"/>
                <w:szCs w:val="19"/>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20"/>
                <w:szCs w:val="20"/>
                <w:color w:val="auto"/>
              </w:rPr>
              <w:t>(2,723)</w:t>
            </w:r>
          </w:p>
        </w:tc>
        <w:tc>
          <w:tcPr>
            <w:tcW w:w="240" w:type="dxa"/>
            <w:vAlign w:val="bottom"/>
          </w:tcPr>
          <w:p>
            <w:pPr>
              <w:spacing w:after="0"/>
              <w:rPr>
                <w:sz w:val="19"/>
                <w:szCs w:val="19"/>
                <w:color w:val="auto"/>
              </w:rPr>
            </w:pPr>
          </w:p>
        </w:tc>
        <w:tc>
          <w:tcPr>
            <w:tcW w:w="1920" w:type="dxa"/>
            <w:vAlign w:val="bottom"/>
            <w:gridSpan w:val="2"/>
          </w:tcPr>
          <w:p>
            <w:pPr>
              <w:jc w:val="right"/>
              <w:ind w:right="260"/>
              <w:spacing w:after="0"/>
              <w:rPr>
                <w:sz w:val="20"/>
                <w:szCs w:val="20"/>
                <w:color w:val="auto"/>
              </w:rPr>
            </w:pPr>
            <w:r>
              <w:rPr>
                <w:rFonts w:ascii="Arial" w:cs="Arial" w:eastAsia="Arial" w:hAnsi="Arial"/>
                <w:sz w:val="20"/>
                <w:szCs w:val="20"/>
                <w:color w:val="auto"/>
              </w:rPr>
              <w:t>(215)</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(2,938)</w:t>
            </w: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20"/>
                <w:szCs w:val="20"/>
                <w:color w:val="auto"/>
              </w:rPr>
              <w:t>Amounts reclassified from accumulated other comprehensive</w:t>
            </w: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360"/>
              <w:spacing w:after="0"/>
              <w:rPr>
                <w:sz w:val="20"/>
                <w:szCs w:val="20"/>
                <w:color w:val="auto"/>
              </w:rPr>
            </w:pPr>
            <w:r>
              <w:rPr>
                <w:rFonts w:ascii="Arial" w:cs="Arial" w:eastAsia="Arial" w:hAnsi="Arial"/>
                <w:sz w:val="20"/>
                <w:szCs w:val="20"/>
                <w:color w:val="auto"/>
              </w:rPr>
              <w:t>loss (gain)</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5620" w:type="dxa"/>
            <w:vAlign w:val="bottom"/>
          </w:tcPr>
          <w:p>
            <w:pPr>
              <w:ind w:left="180"/>
              <w:spacing w:after="0"/>
              <w:rPr>
                <w:sz w:val="20"/>
                <w:szCs w:val="20"/>
                <w:color w:val="auto"/>
              </w:rPr>
            </w:pPr>
            <w:r>
              <w:rPr>
                <w:rFonts w:ascii="Arial" w:cs="Arial" w:eastAsia="Arial" w:hAnsi="Arial"/>
                <w:sz w:val="20"/>
                <w:szCs w:val="20"/>
                <w:color w:val="auto"/>
              </w:rPr>
              <w:t>Net current-period other comprehensive loss (gain)</w:t>
            </w:r>
          </w:p>
        </w:tc>
        <w:tc>
          <w:tcPr>
            <w:tcW w:w="300" w:type="dxa"/>
            <w:vAlign w:val="bottom"/>
          </w:tcPr>
          <w:p>
            <w:pPr>
              <w:spacing w:after="0"/>
              <w:rPr>
                <w:sz w:val="20"/>
                <w:szCs w:val="20"/>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20"/>
                <w:szCs w:val="20"/>
                <w:color w:val="auto"/>
              </w:rPr>
              <w:t>(2,723)</w:t>
            </w:r>
          </w:p>
        </w:tc>
        <w:tc>
          <w:tcPr>
            <w:tcW w:w="240" w:type="dxa"/>
            <w:vAlign w:val="bottom"/>
          </w:tcPr>
          <w:p>
            <w:pPr>
              <w:spacing w:after="0"/>
              <w:rPr>
                <w:sz w:val="20"/>
                <w:szCs w:val="20"/>
                <w:color w:val="auto"/>
              </w:rPr>
            </w:pPr>
          </w:p>
        </w:tc>
        <w:tc>
          <w:tcPr>
            <w:tcW w:w="1920" w:type="dxa"/>
            <w:vAlign w:val="bottom"/>
            <w:gridSpan w:val="2"/>
          </w:tcPr>
          <w:p>
            <w:pPr>
              <w:jc w:val="right"/>
              <w:ind w:right="260"/>
              <w:spacing w:after="0"/>
              <w:rPr>
                <w:sz w:val="20"/>
                <w:szCs w:val="20"/>
                <w:color w:val="auto"/>
              </w:rPr>
            </w:pPr>
            <w:r>
              <w:rPr>
                <w:rFonts w:ascii="Arial" w:cs="Arial" w:eastAsia="Arial" w:hAnsi="Arial"/>
                <w:sz w:val="20"/>
                <w:szCs w:val="20"/>
                <w:color w:val="auto"/>
              </w:rPr>
              <w:t>(215)</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(2,938)</w:t>
            </w:r>
          </w:p>
        </w:tc>
        <w:tc>
          <w:tcPr>
            <w:tcW w:w="0" w:type="dxa"/>
            <w:vAlign w:val="bottom"/>
          </w:tcPr>
          <w:p>
            <w:pPr>
              <w:spacing w:after="0"/>
              <w:rPr>
                <w:sz w:val="1"/>
                <w:szCs w:val="1"/>
                <w:color w:val="auto"/>
              </w:rPr>
            </w:pPr>
          </w:p>
        </w:tc>
      </w:tr>
      <w:tr>
        <w:trPr>
          <w:trHeight w:val="230"/>
        </w:trPr>
        <w:tc>
          <w:tcPr>
            <w:tcW w:w="5620" w:type="dxa"/>
            <w:vAlign w:val="bottom"/>
          </w:tcPr>
          <w:p>
            <w:pPr>
              <w:spacing w:after="0" w:line="220" w:lineRule="exact"/>
              <w:rPr>
                <w:sz w:val="20"/>
                <w:szCs w:val="20"/>
                <w:color w:val="auto"/>
              </w:rPr>
            </w:pPr>
            <w:r>
              <w:rPr>
                <w:rFonts w:ascii="Arial" w:cs="Arial" w:eastAsia="Arial" w:hAnsi="Arial"/>
                <w:sz w:val="20"/>
                <w:szCs w:val="20"/>
                <w:color w:val="auto"/>
              </w:rPr>
              <w:t>Balance at March 31, 2018</w:t>
            </w:r>
          </w:p>
        </w:tc>
        <w:tc>
          <w:tcPr>
            <w:tcW w:w="3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13,095</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626</w:t>
            </w:r>
          </w:p>
        </w:tc>
        <w:tc>
          <w:tcPr>
            <w:tcW w:w="2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13,721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TREASURY STOCK</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On February 28, 2017, the Company’s Board of Directors authorized a share repurchase program for the purchase of up to $500.0 million of the Company’s outstanding common stock (the “February 2017 Repurchase Plan”). During the three-months ended March 31, 2018, the Company purchased 4.3 million shares of common stock at an average purchase price of $57.74 per share, for a total amount of $249.9 million (excluding broker commissions), under the February 2017 Repurchase Plan, which exhausted the availability under the February 2017 Repurchase Plan. Such shares are included in common stock in treasury in the accompanying condensed consolidated balance sheet at March 31, 2018.</w:t>
      </w:r>
    </w:p>
    <w:p>
      <w:pPr>
        <w:spacing w:after="0" w:line="1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February 27, 2018, the Company’s Board of Directors authorized a new share repurchase program for the purchase of up to $250.0 million of the Company’s outstanding common stock (the “February 2018 Repurchase Plan”). As of May 10, 2018, no shares have been repurchased pursuant to the February 2018 Repurchase Plan.</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During the three-months ended March 31, 2018, 34,303 shares of common stock were purchased from employees in lieu of cash payments for options exercised or withholding taxes due, for a total amount of $2.0 million. While such purchases are considered common stock repurchases, they are not counted as purchases against the Company’s authorized share repurchase programs. Such shares are included in common stock in treasury in the accompanying condensed consolidated balance sheet at March 31, 2018.</w:t>
      </w:r>
    </w:p>
    <w:p>
      <w:pPr>
        <w:spacing w:after="0" w:line="177"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STOCK-BASED COMPENSATION</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Company has two stock-based compensation plans under which shares were available for grant at March 31, 2018: the Monster Beverage Corporation 2011 Omnibus Incentive Plan (the “2011 Omnibus Incentive Plan”), including the Monster Beverage Deferred Compensation Plan (the “Deferred Compensation Plan”) as a sub plan thereunder, and the Monster Beverage Corporation 2017 Compensation</w:t>
      </w:r>
    </w:p>
    <w:p>
      <w:pPr>
        <w:sectPr>
          <w:pgSz w:w="11900" w:h="16838" w:orient="portrait"/>
          <w:cols w:equalWidth="0" w:num="1">
            <w:col w:w="11420"/>
          </w:cols>
          <w:pgMar w:left="240" w:top="122" w:right="239" w:bottom="0" w:gutter="0" w:footer="0" w:header="0"/>
        </w:sectPr>
      </w:pPr>
    </w:p>
    <w:bookmarkStart w:id="14" w:name="page15"/>
    <w:bookmarkEnd w:id="14"/>
    <w:p>
      <w:pPr>
        <w:spacing w:after="0" w:line="9"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Plan for Non-Employee Directors (the “2017 Directors Plan”), including the Monster Beverage Deferred Compensation Plan for Non-Employee Directors (the “Non-Employee Director Deferral Plan”) as a sub plan thereunder.</w:t>
      </w:r>
    </w:p>
    <w:p>
      <w:pPr>
        <w:spacing w:after="0" w:line="17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recorded $13.4 million and $13.1 million of compensation expense relating to outstanding options and restricted stock units during the three-months ended March 31, 2018 and 2017, respectively.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The excess tax benefit for tax deductions from non-qualified stock option exercises, disqualifying dispositions of incentive stock options and vesting of restricted stock units for the three-months ended March 31, 2018 and 2017 was $2.8 million and $9.4 million,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Stock Options</w:t>
      </w:r>
    </w:p>
    <w:p>
      <w:pPr>
        <w:spacing w:after="0" w:line="21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Under the Company’s stock-based compensation plans, all stock options granted as of March 31, 2018 were granted at prices based on the fair value of the Company’s common stock on the date of grant. The Company records compensation expense for employee stock options based on the estimated fair value of the options on the date of grant using the Black-Scholes-Merton option pricing formula with the assumptions included in the table below. The Company records compensation expense for non-employee stock options based on the estimated fair value of the options as of the earlier of (1) the date at which a commitment for performance by the non-employee to earn the stock option is reached or (2) the date at which the non-employee’s performance is complete, using the Black-Scholes-Merton option pricing formula with the assumptions included in the table below. The Company uses historical data to determine the exercise behavior, volatility and forfeiture rate of the options.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weighted-average assumptions were used to estimate the fair value of options granted during:</w:t>
      </w:r>
    </w:p>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246"/>
        </w:trPr>
        <w:tc>
          <w:tcPr>
            <w:tcW w:w="3620" w:type="dxa"/>
            <w:vAlign w:val="bottom"/>
          </w:tcPr>
          <w:p>
            <w:pPr>
              <w:spacing w:after="0"/>
              <w:rPr>
                <w:sz w:val="21"/>
                <w:szCs w:val="21"/>
                <w:color w:val="auto"/>
              </w:rPr>
            </w:pPr>
          </w:p>
        </w:tc>
        <w:tc>
          <w:tcPr>
            <w:tcW w:w="3440" w:type="dxa"/>
            <w:vAlign w:val="bottom"/>
            <w:tcBorders>
              <w:bottom w:val="single" w:sz="8" w:color="auto"/>
            </w:tcBorders>
            <w:gridSpan w:val="3"/>
          </w:tcPr>
          <w:p>
            <w:pPr>
              <w:jc w:val="right"/>
              <w:ind w:right="341"/>
              <w:spacing w:after="0"/>
              <w:rPr>
                <w:sz w:val="20"/>
                <w:szCs w:val="20"/>
                <w:color w:val="auto"/>
              </w:rPr>
            </w:pPr>
            <w:r>
              <w:rPr>
                <w:rFonts w:ascii="Arial" w:cs="Arial" w:eastAsia="Arial" w:hAnsi="Arial"/>
                <w:sz w:val="20"/>
                <w:szCs w:val="20"/>
                <w:color w:val="auto"/>
              </w:rPr>
              <w:t>Three-Months Ended March 31,</w:t>
            </w:r>
          </w:p>
        </w:tc>
        <w:tc>
          <w:tcPr>
            <w:tcW w:w="0" w:type="dxa"/>
            <w:vAlign w:val="bottom"/>
          </w:tcPr>
          <w:p>
            <w:pPr>
              <w:spacing w:after="0"/>
              <w:rPr>
                <w:sz w:val="1"/>
                <w:szCs w:val="1"/>
                <w:color w:val="auto"/>
              </w:rPr>
            </w:pPr>
          </w:p>
        </w:tc>
      </w:tr>
      <w:tr>
        <w:trPr>
          <w:trHeight w:val="223"/>
        </w:trPr>
        <w:tc>
          <w:tcPr>
            <w:tcW w:w="3620" w:type="dxa"/>
            <w:vAlign w:val="bottom"/>
            <w:vMerge w:val="restart"/>
          </w:tcPr>
          <w:p>
            <w:pPr>
              <w:spacing w:after="0"/>
              <w:rPr>
                <w:sz w:val="20"/>
                <w:szCs w:val="20"/>
                <w:color w:val="auto"/>
              </w:rPr>
            </w:pPr>
            <w:r>
              <w:rPr>
                <w:rFonts w:ascii="Arial" w:cs="Arial" w:eastAsia="Arial" w:hAnsi="Arial"/>
                <w:sz w:val="20"/>
                <w:szCs w:val="20"/>
                <w:color w:val="auto"/>
              </w:rPr>
              <w:t>Dividend yield</w:t>
            </w:r>
          </w:p>
        </w:tc>
        <w:tc>
          <w:tcPr>
            <w:tcW w:w="1580" w:type="dxa"/>
            <w:vAlign w:val="bottom"/>
            <w:tcBorders>
              <w:bottom w:val="single" w:sz="8" w:color="auto"/>
            </w:tcBorders>
          </w:tcPr>
          <w:p>
            <w:pPr>
              <w:jc w:val="right"/>
              <w:ind w:right="481"/>
              <w:spacing w:after="0" w:line="223" w:lineRule="exact"/>
              <w:rPr>
                <w:sz w:val="20"/>
                <w:szCs w:val="20"/>
                <w:color w:val="auto"/>
              </w:rPr>
            </w:pPr>
            <w:r>
              <w:rPr>
                <w:rFonts w:ascii="Arial" w:cs="Arial" w:eastAsia="Arial" w:hAnsi="Arial"/>
                <w:sz w:val="20"/>
                <w:szCs w:val="20"/>
                <w:color w:val="auto"/>
              </w:rPr>
              <w:t>2018</w:t>
            </w:r>
          </w:p>
        </w:tc>
        <w:tc>
          <w:tcPr>
            <w:tcW w:w="280" w:type="dxa"/>
            <w:vAlign w:val="bottom"/>
          </w:tcPr>
          <w:p>
            <w:pPr>
              <w:spacing w:after="0"/>
              <w:rPr>
                <w:sz w:val="19"/>
                <w:szCs w:val="19"/>
                <w:color w:val="auto"/>
              </w:rPr>
            </w:pPr>
          </w:p>
        </w:tc>
        <w:tc>
          <w:tcPr>
            <w:tcW w:w="1580" w:type="dxa"/>
            <w:vAlign w:val="bottom"/>
            <w:tcBorders>
              <w:bottom w:val="single" w:sz="8" w:color="auto"/>
            </w:tcBorders>
          </w:tcPr>
          <w:p>
            <w:pPr>
              <w:jc w:val="right"/>
              <w:ind w:right="481"/>
              <w:spacing w:after="0" w:line="223" w:lineRule="exact"/>
              <w:rPr>
                <w:sz w:val="20"/>
                <w:szCs w:val="20"/>
                <w:color w:val="auto"/>
              </w:rPr>
            </w:pPr>
            <w:r>
              <w:rPr>
                <w:rFonts w:ascii="Arial" w:cs="Arial" w:eastAsia="Arial" w:hAnsi="Arial"/>
                <w:sz w:val="20"/>
                <w:szCs w:val="20"/>
                <w:color w:val="auto"/>
              </w:rPr>
              <w:t>2017</w:t>
            </w:r>
          </w:p>
        </w:tc>
        <w:tc>
          <w:tcPr>
            <w:tcW w:w="0" w:type="dxa"/>
            <w:vAlign w:val="bottom"/>
          </w:tcPr>
          <w:p>
            <w:pPr>
              <w:spacing w:after="0"/>
              <w:rPr>
                <w:sz w:val="1"/>
                <w:szCs w:val="1"/>
                <w:color w:val="auto"/>
              </w:rPr>
            </w:pPr>
          </w:p>
        </w:tc>
      </w:tr>
      <w:tr>
        <w:trPr>
          <w:trHeight w:val="206"/>
        </w:trPr>
        <w:tc>
          <w:tcPr>
            <w:tcW w:w="3620" w:type="dxa"/>
            <w:vAlign w:val="bottom"/>
            <w:vMerge w:val="continue"/>
          </w:tcPr>
          <w:p>
            <w:pPr>
              <w:spacing w:after="0"/>
              <w:rPr>
                <w:sz w:val="17"/>
                <w:szCs w:val="17"/>
                <w:color w:val="auto"/>
              </w:rPr>
            </w:pPr>
          </w:p>
        </w:tc>
        <w:tc>
          <w:tcPr>
            <w:tcW w:w="1580" w:type="dxa"/>
            <w:vAlign w:val="bottom"/>
          </w:tcPr>
          <w:p>
            <w:pPr>
              <w:jc w:val="right"/>
              <w:ind w:right="161"/>
              <w:spacing w:after="0" w:line="207" w:lineRule="exact"/>
              <w:rPr>
                <w:sz w:val="20"/>
                <w:szCs w:val="20"/>
                <w:color w:val="auto"/>
              </w:rPr>
            </w:pPr>
            <w:r>
              <w:rPr>
                <w:rFonts w:ascii="Arial" w:cs="Arial" w:eastAsia="Arial" w:hAnsi="Arial"/>
                <w:sz w:val="20"/>
                <w:szCs w:val="20"/>
                <w:color w:val="auto"/>
              </w:rPr>
              <w:t>0.0%</w:t>
            </w:r>
          </w:p>
        </w:tc>
        <w:tc>
          <w:tcPr>
            <w:tcW w:w="280" w:type="dxa"/>
            <w:vAlign w:val="bottom"/>
          </w:tcPr>
          <w:p>
            <w:pPr>
              <w:spacing w:after="0"/>
              <w:rPr>
                <w:sz w:val="17"/>
                <w:szCs w:val="17"/>
                <w:color w:val="auto"/>
              </w:rPr>
            </w:pPr>
          </w:p>
        </w:tc>
        <w:tc>
          <w:tcPr>
            <w:tcW w:w="1580" w:type="dxa"/>
            <w:vAlign w:val="bottom"/>
          </w:tcPr>
          <w:p>
            <w:pPr>
              <w:jc w:val="right"/>
              <w:ind w:right="141"/>
              <w:spacing w:after="0" w:line="207" w:lineRule="exact"/>
              <w:rPr>
                <w:sz w:val="20"/>
                <w:szCs w:val="20"/>
                <w:color w:val="auto"/>
              </w:rPr>
            </w:pPr>
            <w:r>
              <w:rPr>
                <w:rFonts w:ascii="Arial" w:cs="Arial" w:eastAsia="Arial" w:hAnsi="Arial"/>
                <w:sz w:val="20"/>
                <w:szCs w:val="20"/>
                <w:color w:val="auto"/>
              </w:rPr>
              <w:t>0.0%</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20"/>
                <w:szCs w:val="20"/>
                <w:color w:val="auto"/>
              </w:rPr>
              <w:t>Expected volatility</w:t>
            </w:r>
          </w:p>
        </w:tc>
        <w:tc>
          <w:tcPr>
            <w:tcW w:w="1580" w:type="dxa"/>
            <w:vAlign w:val="bottom"/>
          </w:tcPr>
          <w:p>
            <w:pPr>
              <w:jc w:val="right"/>
              <w:ind w:right="161"/>
              <w:spacing w:after="0"/>
              <w:rPr>
                <w:sz w:val="20"/>
                <w:szCs w:val="20"/>
                <w:color w:val="auto"/>
              </w:rPr>
            </w:pPr>
            <w:r>
              <w:rPr>
                <w:rFonts w:ascii="Arial" w:cs="Arial" w:eastAsia="Arial" w:hAnsi="Arial"/>
                <w:sz w:val="20"/>
                <w:szCs w:val="20"/>
                <w:color w:val="auto"/>
              </w:rPr>
              <w:t>34.9%</w:t>
            </w:r>
          </w:p>
        </w:tc>
        <w:tc>
          <w:tcPr>
            <w:tcW w:w="280" w:type="dxa"/>
            <w:vAlign w:val="bottom"/>
          </w:tcPr>
          <w:p>
            <w:pPr>
              <w:spacing w:after="0"/>
              <w:rPr>
                <w:sz w:val="19"/>
                <w:szCs w:val="19"/>
                <w:color w:val="auto"/>
              </w:rPr>
            </w:pPr>
          </w:p>
        </w:tc>
        <w:tc>
          <w:tcPr>
            <w:tcW w:w="1580" w:type="dxa"/>
            <w:vAlign w:val="bottom"/>
          </w:tcPr>
          <w:p>
            <w:pPr>
              <w:jc w:val="right"/>
              <w:ind w:right="141"/>
              <w:spacing w:after="0"/>
              <w:rPr>
                <w:sz w:val="20"/>
                <w:szCs w:val="20"/>
                <w:color w:val="auto"/>
              </w:rPr>
            </w:pPr>
            <w:r>
              <w:rPr>
                <w:rFonts w:ascii="Arial" w:cs="Arial" w:eastAsia="Arial" w:hAnsi="Arial"/>
                <w:sz w:val="20"/>
                <w:szCs w:val="20"/>
                <w:color w:val="auto"/>
              </w:rPr>
              <w:t>36.6%</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20"/>
                <w:szCs w:val="20"/>
                <w:color w:val="auto"/>
              </w:rPr>
              <w:t>Risk-free interest rate</w:t>
            </w:r>
          </w:p>
        </w:tc>
        <w:tc>
          <w:tcPr>
            <w:tcW w:w="1580" w:type="dxa"/>
            <w:vAlign w:val="bottom"/>
          </w:tcPr>
          <w:p>
            <w:pPr>
              <w:jc w:val="right"/>
              <w:ind w:right="161"/>
              <w:spacing w:after="0"/>
              <w:rPr>
                <w:sz w:val="20"/>
                <w:szCs w:val="20"/>
                <w:color w:val="auto"/>
              </w:rPr>
            </w:pPr>
            <w:r>
              <w:rPr>
                <w:rFonts w:ascii="Arial" w:cs="Arial" w:eastAsia="Arial" w:hAnsi="Arial"/>
                <w:sz w:val="20"/>
                <w:szCs w:val="20"/>
                <w:color w:val="auto"/>
              </w:rPr>
              <w:t>2.8%</w:t>
            </w:r>
          </w:p>
        </w:tc>
        <w:tc>
          <w:tcPr>
            <w:tcW w:w="280" w:type="dxa"/>
            <w:vAlign w:val="bottom"/>
          </w:tcPr>
          <w:p>
            <w:pPr>
              <w:spacing w:after="0"/>
              <w:rPr>
                <w:sz w:val="19"/>
                <w:szCs w:val="19"/>
                <w:color w:val="auto"/>
              </w:rPr>
            </w:pPr>
          </w:p>
        </w:tc>
        <w:tc>
          <w:tcPr>
            <w:tcW w:w="1580" w:type="dxa"/>
            <w:vAlign w:val="bottom"/>
          </w:tcPr>
          <w:p>
            <w:pPr>
              <w:jc w:val="right"/>
              <w:ind w:right="141"/>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250"/>
        </w:trPr>
        <w:tc>
          <w:tcPr>
            <w:tcW w:w="3620" w:type="dxa"/>
            <w:vAlign w:val="bottom"/>
          </w:tcPr>
          <w:p>
            <w:pPr>
              <w:spacing w:after="0"/>
              <w:rPr>
                <w:sz w:val="20"/>
                <w:szCs w:val="20"/>
                <w:color w:val="auto"/>
              </w:rPr>
            </w:pPr>
            <w:r>
              <w:rPr>
                <w:rFonts w:ascii="Arial" w:cs="Arial" w:eastAsia="Arial" w:hAnsi="Arial"/>
                <w:sz w:val="20"/>
                <w:szCs w:val="20"/>
                <w:color w:val="auto"/>
              </w:rPr>
              <w:t>Expected term</w:t>
            </w:r>
          </w:p>
        </w:tc>
        <w:tc>
          <w:tcPr>
            <w:tcW w:w="1860" w:type="dxa"/>
            <w:vAlign w:val="bottom"/>
            <w:gridSpan w:val="2"/>
          </w:tcPr>
          <w:p>
            <w:pPr>
              <w:ind w:left="620"/>
              <w:spacing w:after="0"/>
              <w:rPr>
                <w:sz w:val="20"/>
                <w:szCs w:val="20"/>
                <w:color w:val="auto"/>
              </w:rPr>
            </w:pPr>
            <w:r>
              <w:rPr>
                <w:rFonts w:ascii="Arial" w:cs="Arial" w:eastAsia="Arial" w:hAnsi="Arial"/>
                <w:sz w:val="20"/>
                <w:szCs w:val="20"/>
                <w:color w:val="auto"/>
              </w:rPr>
              <w:t>6.0 years</w:t>
            </w:r>
          </w:p>
        </w:tc>
        <w:tc>
          <w:tcPr>
            <w:tcW w:w="1580" w:type="dxa"/>
            <w:vAlign w:val="bottom"/>
          </w:tcPr>
          <w:p>
            <w:pPr>
              <w:jc w:val="right"/>
              <w:ind w:right="161"/>
              <w:spacing w:after="0"/>
              <w:rPr>
                <w:sz w:val="20"/>
                <w:szCs w:val="20"/>
                <w:color w:val="auto"/>
              </w:rPr>
            </w:pPr>
            <w:r>
              <w:rPr>
                <w:rFonts w:ascii="Arial" w:cs="Arial" w:eastAsia="Arial" w:hAnsi="Arial"/>
                <w:sz w:val="20"/>
                <w:szCs w:val="20"/>
                <w:color w:val="auto"/>
              </w:rPr>
              <w:t>6.1 years</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Company uses historical volatility as it provides a reasonable estimate of the expected volatility.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is based on the most recent volatility of the stock price over a period of time equivalent to the expected term of the option.</w:t>
      </w:r>
    </w:p>
    <w:p>
      <w:pPr>
        <w:spacing w:after="0" w:line="13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i w:val="1"/>
          <w:iCs w:val="1"/>
          <w:color w:val="auto"/>
        </w:rPr>
        <w:t>Risk-Free Interest Rate</w:t>
      </w:r>
      <w:r>
        <w:rPr>
          <w:rFonts w:ascii="Arial" w:cs="Arial" w:eastAsia="Arial" w:hAnsi="Arial"/>
          <w:sz w:val="20"/>
          <w:szCs w:val="20"/>
          <w:color w:val="auto"/>
        </w:rPr>
        <w:t>: The risk-free interest rate is based on the U.S. Treasury zero coupon yield curve in effect at the time of grant</w:t>
      </w:r>
      <w:r>
        <w:rPr>
          <w:rFonts w:ascii="Arial" w:cs="Arial" w:eastAsia="Arial" w:hAnsi="Arial"/>
          <w:sz w:val="20"/>
          <w:szCs w:val="20"/>
          <w:i w:val="1"/>
          <w:iCs w:val="1"/>
          <w:color w:val="auto"/>
        </w:rPr>
        <w:t xml:space="preserve"> </w:t>
      </w:r>
      <w:r>
        <w:rPr>
          <w:rFonts w:ascii="Arial" w:cs="Arial" w:eastAsia="Arial" w:hAnsi="Arial"/>
          <w:sz w:val="20"/>
          <w:szCs w:val="20"/>
          <w:color w:val="auto"/>
        </w:rPr>
        <w:t>for the expected term of the option.</w:t>
      </w:r>
    </w:p>
    <w:p>
      <w:pPr>
        <w:spacing w:after="0" w:line="17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 The Company’s expected term represents the weighted-average period that the Company’s stock options are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to be outstanding. The expected term is based on expected time to post-vesting exercise of options by employees. The Company uses historical exercise patterns of previously granted options to derive employee behavioral patterns used to forecast expected exercise patterns.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Company’s activities with respect to its stock option plans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20"/>
                <w:szCs w:val="20"/>
                <w:color w:val="auto"/>
                <w:w w:val="89"/>
              </w:rPr>
              <w:t>Weighted-</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20"/>
                <w:szCs w:val="20"/>
                <w:color w:val="auto"/>
                <w:w w:val="89"/>
              </w:rPr>
              <w:t>Weighted-</w:t>
            </w:r>
          </w:p>
        </w:tc>
        <w:tc>
          <w:tcPr>
            <w:tcW w:w="1640" w:type="dxa"/>
            <w:vAlign w:val="bottom"/>
            <w:gridSpan w:val="2"/>
          </w:tcPr>
          <w:p>
            <w:pPr>
              <w:jc w:val="center"/>
              <w:ind w:right="340"/>
              <w:spacing w:after="0"/>
              <w:rPr>
                <w:sz w:val="20"/>
                <w:szCs w:val="20"/>
                <w:color w:val="auto"/>
              </w:rPr>
            </w:pPr>
            <w:r>
              <w:rPr>
                <w:rFonts w:ascii="Arial" w:cs="Arial" w:eastAsia="Arial" w:hAnsi="Arial"/>
                <w:sz w:val="20"/>
                <w:szCs w:val="20"/>
                <w:color w:val="auto"/>
                <w:w w:val="88"/>
              </w:rPr>
              <w:t>Average</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80"/>
              <w:spacing w:after="0"/>
              <w:rPr>
                <w:sz w:val="20"/>
                <w:szCs w:val="20"/>
                <w:color w:val="auto"/>
              </w:rPr>
            </w:pPr>
            <w:r>
              <w:rPr>
                <w:rFonts w:ascii="Arial" w:cs="Arial" w:eastAsia="Arial" w:hAnsi="Arial"/>
                <w:sz w:val="20"/>
                <w:szCs w:val="20"/>
                <w:color w:val="auto"/>
              </w:rPr>
              <w:t>Average</w:t>
            </w:r>
          </w:p>
        </w:tc>
        <w:tc>
          <w:tcPr>
            <w:tcW w:w="1640" w:type="dxa"/>
            <w:vAlign w:val="bottom"/>
            <w:gridSpan w:val="2"/>
          </w:tcPr>
          <w:p>
            <w:pPr>
              <w:jc w:val="center"/>
              <w:ind w:right="320"/>
              <w:spacing w:after="0"/>
              <w:rPr>
                <w:sz w:val="20"/>
                <w:szCs w:val="20"/>
                <w:color w:val="auto"/>
              </w:rPr>
            </w:pPr>
            <w:r>
              <w:rPr>
                <w:rFonts w:ascii="Arial" w:cs="Arial" w:eastAsia="Arial" w:hAnsi="Arial"/>
                <w:sz w:val="20"/>
                <w:szCs w:val="20"/>
                <w:color w:val="auto"/>
                <w:w w:val="92"/>
              </w:rPr>
              <w:t>Remaining</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ind w:left="220"/>
              <w:spacing w:after="0"/>
              <w:rPr>
                <w:sz w:val="20"/>
                <w:szCs w:val="20"/>
                <w:color w:val="auto"/>
              </w:rPr>
            </w:pPr>
            <w:r>
              <w:rPr>
                <w:rFonts w:ascii="Arial" w:cs="Arial" w:eastAsia="Arial" w:hAnsi="Arial"/>
                <w:sz w:val="20"/>
                <w:szCs w:val="20"/>
                <w:color w:val="auto"/>
              </w:rPr>
              <w:t>Number of</w:t>
            </w:r>
          </w:p>
        </w:tc>
        <w:tc>
          <w:tcPr>
            <w:tcW w:w="240" w:type="dxa"/>
            <w:vAlign w:val="bottom"/>
          </w:tcPr>
          <w:p>
            <w:pPr>
              <w:spacing w:after="0"/>
              <w:rPr>
                <w:sz w:val="19"/>
                <w:szCs w:val="19"/>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20"/>
                <w:szCs w:val="20"/>
                <w:color w:val="auto"/>
                <w:w w:val="88"/>
              </w:rPr>
              <w:t>Exercise</w:t>
            </w:r>
          </w:p>
        </w:tc>
        <w:tc>
          <w:tcPr>
            <w:tcW w:w="1640" w:type="dxa"/>
            <w:vAlign w:val="bottom"/>
            <w:gridSpan w:val="2"/>
          </w:tcPr>
          <w:p>
            <w:pPr>
              <w:jc w:val="center"/>
              <w:ind w:right="320"/>
              <w:spacing w:after="0"/>
              <w:rPr>
                <w:sz w:val="20"/>
                <w:szCs w:val="20"/>
                <w:color w:val="auto"/>
              </w:rPr>
            </w:pPr>
            <w:r>
              <w:rPr>
                <w:rFonts w:ascii="Arial" w:cs="Arial" w:eastAsia="Arial" w:hAnsi="Arial"/>
                <w:sz w:val="20"/>
                <w:szCs w:val="20"/>
                <w:color w:val="auto"/>
                <w:w w:val="89"/>
              </w:rPr>
              <w:t>Contractual</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ind w:left="260"/>
              <w:spacing w:after="0"/>
              <w:rPr>
                <w:sz w:val="20"/>
                <w:szCs w:val="20"/>
                <w:color w:val="auto"/>
              </w:rPr>
            </w:pPr>
            <w:r>
              <w:rPr>
                <w:rFonts w:ascii="Arial" w:cs="Arial" w:eastAsia="Arial" w:hAnsi="Arial"/>
                <w:sz w:val="20"/>
                <w:szCs w:val="20"/>
                <w:color w:val="auto"/>
              </w:rPr>
              <w:t>Shares (In</w:t>
            </w:r>
          </w:p>
        </w:tc>
        <w:tc>
          <w:tcPr>
            <w:tcW w:w="240" w:type="dxa"/>
            <w:vAlign w:val="bottom"/>
          </w:tcPr>
          <w:p>
            <w:pPr>
              <w:spacing w:after="0"/>
              <w:rPr>
                <w:sz w:val="19"/>
                <w:szCs w:val="19"/>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20"/>
                <w:szCs w:val="20"/>
                <w:color w:val="auto"/>
                <w:w w:val="87"/>
              </w:rPr>
              <w:t>Price Per</w:t>
            </w:r>
          </w:p>
        </w:tc>
        <w:tc>
          <w:tcPr>
            <w:tcW w:w="1640" w:type="dxa"/>
            <w:vAlign w:val="bottom"/>
            <w:gridSpan w:val="2"/>
          </w:tcPr>
          <w:p>
            <w:pPr>
              <w:jc w:val="center"/>
              <w:ind w:right="320"/>
              <w:spacing w:after="0"/>
              <w:rPr>
                <w:sz w:val="20"/>
                <w:szCs w:val="20"/>
                <w:color w:val="auto"/>
              </w:rPr>
            </w:pPr>
            <w:r>
              <w:rPr>
                <w:rFonts w:ascii="Arial" w:cs="Arial" w:eastAsia="Arial" w:hAnsi="Arial"/>
                <w:sz w:val="20"/>
                <w:szCs w:val="20"/>
                <w:color w:val="auto"/>
                <w:w w:val="89"/>
              </w:rPr>
              <w:t>Term (In</w:t>
            </w:r>
          </w:p>
        </w:tc>
        <w:tc>
          <w:tcPr>
            <w:tcW w:w="240" w:type="dxa"/>
            <w:vAlign w:val="bottom"/>
          </w:tcPr>
          <w:p>
            <w:pPr>
              <w:spacing w:after="0"/>
              <w:rPr>
                <w:sz w:val="19"/>
                <w:szCs w:val="19"/>
                <w:color w:val="auto"/>
              </w:rPr>
            </w:pPr>
          </w:p>
        </w:tc>
        <w:tc>
          <w:tcPr>
            <w:tcW w:w="1140" w:type="dxa"/>
            <w:vAlign w:val="bottom"/>
          </w:tcPr>
          <w:p>
            <w:pPr>
              <w:jc w:val="right"/>
              <w:ind w:right="201"/>
              <w:spacing w:after="0"/>
              <w:rPr>
                <w:sz w:val="20"/>
                <w:szCs w:val="20"/>
                <w:color w:val="auto"/>
              </w:rPr>
            </w:pPr>
            <w:r>
              <w:rPr>
                <w:rFonts w:ascii="Arial" w:cs="Arial" w:eastAsia="Arial" w:hAnsi="Arial"/>
                <w:sz w:val="20"/>
                <w:szCs w:val="20"/>
                <w:color w:val="auto"/>
                <w:w w:val="88"/>
              </w:rPr>
              <w:t>Aggregate</w:t>
            </w:r>
          </w:p>
        </w:tc>
      </w:tr>
      <w:tr>
        <w:trPr>
          <w:trHeight w:val="246"/>
        </w:trPr>
        <w:tc>
          <w:tcPr>
            <w:tcW w:w="20" w:type="dxa"/>
            <w:vAlign w:val="bottom"/>
          </w:tcPr>
          <w:p>
            <w:pPr>
              <w:spacing w:after="0"/>
              <w:rPr>
                <w:sz w:val="21"/>
                <w:szCs w:val="21"/>
                <w:color w:val="auto"/>
              </w:rPr>
            </w:pPr>
          </w:p>
        </w:tc>
        <w:tc>
          <w:tcPr>
            <w:tcW w:w="4980" w:type="dxa"/>
            <w:vAlign w:val="bottom"/>
            <w:gridSpan w:val="2"/>
          </w:tcPr>
          <w:p>
            <w:pPr>
              <w:ind w:left="2200"/>
              <w:spacing w:after="0"/>
              <w:rPr>
                <w:sz w:val="20"/>
                <w:szCs w:val="20"/>
                <w:color w:val="auto"/>
              </w:rPr>
            </w:pPr>
            <w:r>
              <w:rPr>
                <w:rFonts w:ascii="Arial" w:cs="Arial" w:eastAsia="Arial" w:hAnsi="Arial"/>
                <w:sz w:val="20"/>
                <w:szCs w:val="20"/>
                <w:color w:val="auto"/>
              </w:rPr>
              <w:t>Options</w:t>
            </w:r>
          </w:p>
        </w:tc>
        <w:tc>
          <w:tcPr>
            <w:tcW w:w="1660" w:type="dxa"/>
            <w:vAlign w:val="bottom"/>
            <w:gridSpan w:val="2"/>
          </w:tcPr>
          <w:p>
            <w:pPr>
              <w:ind w:left="260"/>
              <w:spacing w:after="0"/>
              <w:rPr>
                <w:sz w:val="20"/>
                <w:szCs w:val="20"/>
                <w:color w:val="auto"/>
              </w:rPr>
            </w:pPr>
            <w:r>
              <w:rPr>
                <w:rFonts w:ascii="Arial" w:cs="Arial" w:eastAsia="Arial" w:hAnsi="Arial"/>
                <w:sz w:val="20"/>
                <w:szCs w:val="20"/>
                <w:color w:val="auto"/>
              </w:rPr>
              <w:t>thousands)</w:t>
            </w:r>
          </w:p>
        </w:tc>
        <w:tc>
          <w:tcPr>
            <w:tcW w:w="240" w:type="dxa"/>
            <w:vAlign w:val="bottom"/>
          </w:tcPr>
          <w:p>
            <w:pPr>
              <w:spacing w:after="0"/>
              <w:rPr>
                <w:sz w:val="21"/>
                <w:szCs w:val="21"/>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20"/>
                <w:szCs w:val="20"/>
                <w:color w:val="auto"/>
                <w:w w:val="82"/>
              </w:rPr>
              <w:t>Share</w:t>
            </w:r>
          </w:p>
        </w:tc>
        <w:tc>
          <w:tcPr>
            <w:tcW w:w="1640" w:type="dxa"/>
            <w:vAlign w:val="bottom"/>
            <w:gridSpan w:val="2"/>
          </w:tcPr>
          <w:p>
            <w:pPr>
              <w:jc w:val="center"/>
              <w:ind w:right="280"/>
              <w:spacing w:after="0"/>
              <w:rPr>
                <w:sz w:val="20"/>
                <w:szCs w:val="20"/>
                <w:color w:val="auto"/>
              </w:rPr>
            </w:pPr>
            <w:r>
              <w:rPr>
                <w:rFonts w:ascii="Arial" w:cs="Arial" w:eastAsia="Arial" w:hAnsi="Arial"/>
                <w:sz w:val="20"/>
                <w:szCs w:val="20"/>
                <w:color w:val="auto"/>
                <w:w w:val="86"/>
              </w:rPr>
              <w:t>years)</w:t>
            </w:r>
          </w:p>
        </w:tc>
        <w:tc>
          <w:tcPr>
            <w:tcW w:w="1380" w:type="dxa"/>
            <w:vAlign w:val="bottom"/>
            <w:gridSpan w:val="2"/>
          </w:tcPr>
          <w:p>
            <w:pPr>
              <w:ind w:left="120"/>
              <w:spacing w:after="0"/>
              <w:rPr>
                <w:sz w:val="20"/>
                <w:szCs w:val="20"/>
                <w:color w:val="auto"/>
              </w:rPr>
            </w:pPr>
            <w:r>
              <w:rPr>
                <w:rFonts w:ascii="Arial" w:cs="Arial" w:eastAsia="Arial" w:hAnsi="Arial"/>
                <w:sz w:val="20"/>
                <w:szCs w:val="20"/>
                <w:color w:val="auto"/>
                <w:w w:val="98"/>
              </w:rPr>
              <w:t>Intrinsic Value</w:t>
            </w:r>
          </w:p>
        </w:tc>
      </w:tr>
      <w:tr>
        <w:trPr>
          <w:trHeight w:val="206"/>
        </w:trPr>
        <w:tc>
          <w:tcPr>
            <w:tcW w:w="20" w:type="dxa"/>
            <w:vAlign w:val="bottom"/>
          </w:tcPr>
          <w:p>
            <w:pPr>
              <w:spacing w:after="0"/>
              <w:rPr>
                <w:sz w:val="17"/>
                <w:szCs w:val="17"/>
                <w:color w:val="auto"/>
              </w:rPr>
            </w:pPr>
          </w:p>
        </w:tc>
        <w:tc>
          <w:tcPr>
            <w:tcW w:w="468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Outstanding at January 1, 2018</w:t>
            </w:r>
          </w:p>
        </w:tc>
        <w:tc>
          <w:tcPr>
            <w:tcW w:w="300" w:type="dxa"/>
            <w:vAlign w:val="bottom"/>
          </w:tcPr>
          <w:p>
            <w:pPr>
              <w:spacing w:after="0"/>
              <w:rPr>
                <w:sz w:val="17"/>
                <w:szCs w:val="17"/>
                <w:color w:val="auto"/>
              </w:rPr>
            </w:pPr>
          </w:p>
        </w:tc>
        <w:tc>
          <w:tcPr>
            <w:tcW w:w="13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17,819</w:t>
            </w:r>
          </w:p>
        </w:tc>
        <w:tc>
          <w:tcPr>
            <w:tcW w:w="300" w:type="dxa"/>
            <w:vAlign w:val="bottom"/>
          </w:tcPr>
          <w:p>
            <w:pPr>
              <w:spacing w:after="0"/>
              <w:rPr>
                <w:sz w:val="17"/>
                <w:szCs w:val="17"/>
                <w:color w:val="auto"/>
              </w:rPr>
            </w:pPr>
          </w:p>
        </w:tc>
        <w:tc>
          <w:tcPr>
            <w:tcW w:w="2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12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29.62</w:t>
            </w:r>
          </w:p>
        </w:tc>
        <w:tc>
          <w:tcPr>
            <w:tcW w:w="280" w:type="dxa"/>
            <w:vAlign w:val="bottom"/>
          </w:tcPr>
          <w:p>
            <w:pPr>
              <w:spacing w:after="0"/>
              <w:rPr>
                <w:sz w:val="17"/>
                <w:szCs w:val="17"/>
                <w:color w:val="auto"/>
              </w:rPr>
            </w:pPr>
          </w:p>
        </w:tc>
        <w:tc>
          <w:tcPr>
            <w:tcW w:w="13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6.1</w:t>
            </w:r>
          </w:p>
        </w:tc>
        <w:tc>
          <w:tcPr>
            <w:tcW w:w="280" w:type="dxa"/>
            <w:vAlign w:val="bottom"/>
          </w:tcPr>
          <w:p>
            <w:pPr>
              <w:spacing w:after="0"/>
              <w:rPr>
                <w:sz w:val="17"/>
                <w:szCs w:val="17"/>
                <w:color w:val="auto"/>
              </w:rPr>
            </w:pPr>
          </w:p>
        </w:tc>
        <w:tc>
          <w:tcPr>
            <w:tcW w:w="240" w:type="dxa"/>
            <w:vAlign w:val="bottom"/>
            <w:tcBorders>
              <w:top w:val="single" w:sz="8" w:color="auto"/>
            </w:tcBorders>
          </w:tcPr>
          <w:p>
            <w:pPr>
              <w:ind w:left="120"/>
              <w:spacing w:after="0" w:line="207" w:lineRule="exact"/>
              <w:rPr>
                <w:sz w:val="20"/>
                <w:szCs w:val="20"/>
                <w:color w:val="auto"/>
              </w:rPr>
            </w:pPr>
            <w:r>
              <w:rPr>
                <w:rFonts w:ascii="Arial" w:cs="Arial" w:eastAsia="Arial" w:hAnsi="Arial"/>
                <w:sz w:val="20"/>
                <w:szCs w:val="20"/>
                <w:color w:val="auto"/>
                <w:w w:val="89"/>
              </w:rPr>
              <w:t>$</w:t>
            </w:r>
          </w:p>
        </w:tc>
        <w:tc>
          <w:tcPr>
            <w:tcW w:w="11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600,032</w:t>
            </w:r>
          </w:p>
        </w:tc>
      </w:tr>
      <w:tr>
        <w:trPr>
          <w:trHeight w:val="230"/>
        </w:trPr>
        <w:tc>
          <w:tcPr>
            <w:tcW w:w="20" w:type="dxa"/>
            <w:vAlign w:val="bottom"/>
          </w:tcPr>
          <w:p>
            <w:pPr>
              <w:spacing w:after="0"/>
              <w:rPr>
                <w:sz w:val="19"/>
                <w:szCs w:val="19"/>
                <w:color w:val="auto"/>
              </w:rPr>
            </w:pPr>
          </w:p>
        </w:tc>
        <w:tc>
          <w:tcPr>
            <w:tcW w:w="4980" w:type="dxa"/>
            <w:vAlign w:val="bottom"/>
            <w:gridSpan w:val="2"/>
          </w:tcPr>
          <w:p>
            <w:pPr>
              <w:ind w:left="520"/>
              <w:spacing w:after="0"/>
              <w:rPr>
                <w:sz w:val="20"/>
                <w:szCs w:val="20"/>
                <w:color w:val="auto"/>
              </w:rPr>
            </w:pPr>
            <w:r>
              <w:rPr>
                <w:rFonts w:ascii="Arial" w:cs="Arial" w:eastAsia="Arial" w:hAnsi="Arial"/>
                <w:sz w:val="20"/>
                <w:szCs w:val="20"/>
                <w:color w:val="auto"/>
              </w:rPr>
              <w:t>Granted 01/01/18 - 03/31/18</w:t>
            </w:r>
          </w:p>
        </w:tc>
        <w:tc>
          <w:tcPr>
            <w:tcW w:w="1360" w:type="dxa"/>
            <w:vAlign w:val="bottom"/>
          </w:tcPr>
          <w:p>
            <w:pPr>
              <w:jc w:val="right"/>
              <w:spacing w:after="0"/>
              <w:rPr>
                <w:sz w:val="20"/>
                <w:szCs w:val="20"/>
                <w:color w:val="auto"/>
              </w:rPr>
            </w:pPr>
            <w:r>
              <w:rPr>
                <w:rFonts w:ascii="Arial" w:cs="Arial" w:eastAsia="Arial" w:hAnsi="Arial"/>
                <w:sz w:val="20"/>
                <w:szCs w:val="20"/>
                <w:color w:val="auto"/>
              </w:rPr>
              <w:t>2,615</w:t>
            </w:r>
          </w:p>
        </w:tc>
        <w:tc>
          <w:tcPr>
            <w:tcW w:w="3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58.76</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520"/>
              <w:spacing w:after="0"/>
              <w:rPr>
                <w:sz w:val="20"/>
                <w:szCs w:val="20"/>
                <w:color w:val="auto"/>
              </w:rPr>
            </w:pPr>
            <w:r>
              <w:rPr>
                <w:rFonts w:ascii="Arial" w:cs="Arial" w:eastAsia="Arial" w:hAnsi="Arial"/>
                <w:sz w:val="20"/>
                <w:szCs w:val="20"/>
                <w:color w:val="auto"/>
              </w:rPr>
              <w:t>Exercised</w:t>
            </w:r>
          </w:p>
        </w:tc>
        <w:tc>
          <w:tcPr>
            <w:tcW w:w="1660" w:type="dxa"/>
            <w:vAlign w:val="bottom"/>
            <w:gridSpan w:val="2"/>
          </w:tcPr>
          <w:p>
            <w:pPr>
              <w:jc w:val="right"/>
              <w:ind w:right="300"/>
              <w:spacing w:after="0"/>
              <w:rPr>
                <w:sz w:val="20"/>
                <w:szCs w:val="20"/>
                <w:color w:val="auto"/>
              </w:rPr>
            </w:pPr>
            <w:r>
              <w:rPr>
                <w:rFonts w:ascii="Arial" w:cs="Arial" w:eastAsia="Arial" w:hAnsi="Arial"/>
                <w:sz w:val="20"/>
                <w:szCs w:val="20"/>
                <w:color w:val="auto"/>
              </w:rPr>
              <w:t>(415)</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15.68</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40"/>
        </w:trPr>
        <w:tc>
          <w:tcPr>
            <w:tcW w:w="20" w:type="dxa"/>
            <w:vAlign w:val="bottom"/>
          </w:tcPr>
          <w:p>
            <w:pPr>
              <w:spacing w:after="0"/>
              <w:rPr>
                <w:sz w:val="20"/>
                <w:szCs w:val="20"/>
                <w:color w:val="auto"/>
              </w:rPr>
            </w:pPr>
          </w:p>
        </w:tc>
        <w:tc>
          <w:tcPr>
            <w:tcW w:w="4980" w:type="dxa"/>
            <w:vAlign w:val="bottom"/>
            <w:gridSpan w:val="2"/>
          </w:tcPr>
          <w:p>
            <w:pPr>
              <w:ind w:left="520"/>
              <w:spacing w:after="0"/>
              <w:rPr>
                <w:sz w:val="20"/>
                <w:szCs w:val="20"/>
                <w:color w:val="auto"/>
              </w:rPr>
            </w:pPr>
            <w:r>
              <w:rPr>
                <w:rFonts w:ascii="Arial" w:cs="Arial" w:eastAsia="Arial" w:hAnsi="Arial"/>
                <w:sz w:val="20"/>
                <w:szCs w:val="20"/>
                <w:color w:val="auto"/>
              </w:rPr>
              <w:t>Cancelled or forfeited</w:t>
            </w:r>
          </w:p>
        </w:tc>
        <w:tc>
          <w:tcPr>
            <w:tcW w:w="1660" w:type="dxa"/>
            <w:vAlign w:val="bottom"/>
            <w:gridSpan w:val="2"/>
          </w:tcPr>
          <w:p>
            <w:pPr>
              <w:jc w:val="right"/>
              <w:ind w:right="300"/>
              <w:spacing w:after="0"/>
              <w:rPr>
                <w:sz w:val="20"/>
                <w:szCs w:val="20"/>
                <w:color w:val="auto"/>
              </w:rPr>
            </w:pPr>
            <w:r>
              <w:rPr>
                <w:rFonts w:ascii="Arial" w:cs="Arial" w:eastAsia="Arial" w:hAnsi="Arial"/>
                <w:sz w:val="20"/>
                <w:szCs w:val="20"/>
                <w:color w:val="auto"/>
              </w:rPr>
              <w:t>(192)</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43.02</w:t>
            </w: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3"/>
        </w:trPr>
        <w:tc>
          <w:tcPr>
            <w:tcW w:w="5000" w:type="dxa"/>
            <w:vAlign w:val="bottom"/>
            <w:gridSpan w:val="3"/>
          </w:tcPr>
          <w:p>
            <w:pPr>
              <w:spacing w:after="0" w:line="213" w:lineRule="exact"/>
              <w:rPr>
                <w:sz w:val="20"/>
                <w:szCs w:val="20"/>
                <w:color w:val="auto"/>
              </w:rPr>
            </w:pPr>
            <w:r>
              <w:rPr>
                <w:rFonts w:ascii="Arial" w:cs="Arial" w:eastAsia="Arial" w:hAnsi="Arial"/>
                <w:sz w:val="20"/>
                <w:szCs w:val="20"/>
                <w:color w:val="auto"/>
              </w:rPr>
              <w:t>Outstanding at March 31, 2018</w:t>
            </w:r>
          </w:p>
        </w:tc>
        <w:tc>
          <w:tcPr>
            <w:tcW w:w="1360" w:type="dxa"/>
            <w:vAlign w:val="bottom"/>
            <w:tcBorders>
              <w:top w:val="single" w:sz="8" w:color="auto"/>
            </w:tcBorders>
          </w:tcPr>
          <w:p>
            <w:pPr>
              <w:jc w:val="right"/>
              <w:spacing w:after="0" w:line="213" w:lineRule="exact"/>
              <w:rPr>
                <w:sz w:val="20"/>
                <w:szCs w:val="20"/>
                <w:color w:val="auto"/>
              </w:rPr>
            </w:pPr>
            <w:r>
              <w:rPr>
                <w:rFonts w:ascii="Arial" w:cs="Arial" w:eastAsia="Arial" w:hAnsi="Arial"/>
                <w:sz w:val="20"/>
                <w:szCs w:val="20"/>
                <w:color w:val="auto"/>
              </w:rPr>
              <w:t>19,827</w:t>
            </w:r>
          </w:p>
        </w:tc>
        <w:tc>
          <w:tcPr>
            <w:tcW w:w="300" w:type="dxa"/>
            <w:vAlign w:val="bottom"/>
          </w:tcPr>
          <w:p>
            <w:pPr>
              <w:spacing w:after="0"/>
              <w:rPr>
                <w:sz w:val="18"/>
                <w:szCs w:val="18"/>
                <w:color w:val="auto"/>
              </w:rPr>
            </w:pPr>
          </w:p>
        </w:tc>
        <w:tc>
          <w:tcPr>
            <w:tcW w:w="240" w:type="dxa"/>
            <w:vAlign w:val="bottom"/>
          </w:tcPr>
          <w:p>
            <w:pPr>
              <w:jc w:val="right"/>
              <w:spacing w:after="0" w:line="213" w:lineRule="exact"/>
              <w:rPr>
                <w:sz w:val="20"/>
                <w:szCs w:val="20"/>
                <w:color w:val="auto"/>
              </w:rPr>
            </w:pPr>
            <w:r>
              <w:rPr>
                <w:rFonts w:ascii="Arial" w:cs="Arial" w:eastAsia="Arial" w:hAnsi="Arial"/>
                <w:sz w:val="20"/>
                <w:szCs w:val="20"/>
                <w:color w:val="auto"/>
              </w:rPr>
              <w:t>$</w:t>
            </w:r>
          </w:p>
        </w:tc>
        <w:tc>
          <w:tcPr>
            <w:tcW w:w="1120" w:type="dxa"/>
            <w:vAlign w:val="bottom"/>
          </w:tcPr>
          <w:p>
            <w:pPr>
              <w:jc w:val="right"/>
              <w:spacing w:after="0" w:line="213" w:lineRule="exact"/>
              <w:rPr>
                <w:sz w:val="20"/>
                <w:szCs w:val="20"/>
                <w:color w:val="auto"/>
              </w:rPr>
            </w:pPr>
            <w:r>
              <w:rPr>
                <w:rFonts w:ascii="Arial" w:cs="Arial" w:eastAsia="Arial" w:hAnsi="Arial"/>
                <w:sz w:val="20"/>
                <w:szCs w:val="20"/>
                <w:color w:val="auto"/>
              </w:rPr>
              <w:t>33.62</w:t>
            </w:r>
          </w:p>
        </w:tc>
        <w:tc>
          <w:tcPr>
            <w:tcW w:w="280" w:type="dxa"/>
            <w:vAlign w:val="bottom"/>
          </w:tcPr>
          <w:p>
            <w:pPr>
              <w:spacing w:after="0"/>
              <w:rPr>
                <w:sz w:val="18"/>
                <w:szCs w:val="18"/>
                <w:color w:val="auto"/>
              </w:rPr>
            </w:pPr>
          </w:p>
        </w:tc>
        <w:tc>
          <w:tcPr>
            <w:tcW w:w="1360" w:type="dxa"/>
            <w:vAlign w:val="bottom"/>
          </w:tcPr>
          <w:p>
            <w:pPr>
              <w:jc w:val="right"/>
              <w:spacing w:after="0" w:line="213" w:lineRule="exact"/>
              <w:rPr>
                <w:sz w:val="20"/>
                <w:szCs w:val="20"/>
                <w:color w:val="auto"/>
              </w:rPr>
            </w:pPr>
            <w:r>
              <w:rPr>
                <w:rFonts w:ascii="Arial" w:cs="Arial" w:eastAsia="Arial" w:hAnsi="Arial"/>
                <w:sz w:val="20"/>
                <w:szCs w:val="20"/>
                <w:color w:val="auto"/>
              </w:rPr>
              <w:t>6.4</w:t>
            </w:r>
          </w:p>
        </w:tc>
        <w:tc>
          <w:tcPr>
            <w:tcW w:w="280" w:type="dxa"/>
            <w:vAlign w:val="bottom"/>
          </w:tcPr>
          <w:p>
            <w:pPr>
              <w:spacing w:after="0"/>
              <w:rPr>
                <w:sz w:val="18"/>
                <w:szCs w:val="18"/>
                <w:color w:val="auto"/>
              </w:rPr>
            </w:pPr>
          </w:p>
        </w:tc>
        <w:tc>
          <w:tcPr>
            <w:tcW w:w="240" w:type="dxa"/>
            <w:vAlign w:val="bottom"/>
          </w:tcPr>
          <w:p>
            <w:pPr>
              <w:ind w:left="120"/>
              <w:spacing w:after="0" w:line="213" w:lineRule="exact"/>
              <w:rPr>
                <w:sz w:val="20"/>
                <w:szCs w:val="20"/>
                <w:color w:val="auto"/>
              </w:rPr>
            </w:pPr>
            <w:r>
              <w:rPr>
                <w:rFonts w:ascii="Arial" w:cs="Arial" w:eastAsia="Arial" w:hAnsi="Arial"/>
                <w:sz w:val="20"/>
                <w:szCs w:val="20"/>
                <w:color w:val="auto"/>
                <w:w w:val="89"/>
              </w:rPr>
              <w:t>$</w:t>
            </w:r>
          </w:p>
        </w:tc>
        <w:tc>
          <w:tcPr>
            <w:tcW w:w="1140" w:type="dxa"/>
            <w:vAlign w:val="bottom"/>
          </w:tcPr>
          <w:p>
            <w:pPr>
              <w:jc w:val="right"/>
              <w:spacing w:after="0" w:line="213" w:lineRule="exact"/>
              <w:rPr>
                <w:sz w:val="20"/>
                <w:szCs w:val="20"/>
                <w:color w:val="auto"/>
              </w:rPr>
            </w:pPr>
            <w:r>
              <w:rPr>
                <w:rFonts w:ascii="Arial" w:cs="Arial" w:eastAsia="Arial" w:hAnsi="Arial"/>
                <w:sz w:val="20"/>
                <w:szCs w:val="20"/>
                <w:color w:val="auto"/>
              </w:rPr>
              <w:t>472,160</w:t>
            </w:r>
          </w:p>
        </w:tc>
      </w:tr>
      <w:tr>
        <w:trPr>
          <w:trHeight w:val="250"/>
        </w:trPr>
        <w:tc>
          <w:tcPr>
            <w:tcW w:w="5000" w:type="dxa"/>
            <w:vAlign w:val="bottom"/>
            <w:gridSpan w:val="3"/>
          </w:tcPr>
          <w:p>
            <w:pPr>
              <w:spacing w:after="0"/>
              <w:rPr>
                <w:sz w:val="20"/>
                <w:szCs w:val="20"/>
                <w:color w:val="auto"/>
              </w:rPr>
            </w:pPr>
            <w:r>
              <w:rPr>
                <w:rFonts w:ascii="Arial" w:cs="Arial" w:eastAsia="Arial" w:hAnsi="Arial"/>
                <w:sz w:val="20"/>
                <w:szCs w:val="20"/>
                <w:color w:val="auto"/>
              </w:rPr>
              <w:t>Vested and expected to vest in the</w:t>
            </w: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r>
    </w:tbl>
    <w:p>
      <w:pPr>
        <w:sectPr>
          <w:pgSz w:w="11900" w:h="16847" w:orient="portrait"/>
          <w:cols w:equalWidth="0" w:num="1">
            <w:col w:w="11420"/>
          </w:cols>
          <w:pgMar w:left="240" w:top="122" w:right="23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100" w:type="dxa"/>
            <w:vAlign w:val="bottom"/>
          </w:tcPr>
          <w:p>
            <w:pPr>
              <w:ind w:left="180"/>
              <w:spacing w:after="0"/>
              <w:rPr>
                <w:sz w:val="20"/>
                <w:szCs w:val="20"/>
                <w:color w:val="auto"/>
              </w:rPr>
            </w:pPr>
            <w:r>
              <w:rPr>
                <w:rFonts w:ascii="Arial" w:cs="Arial" w:eastAsia="Arial" w:hAnsi="Arial"/>
                <w:sz w:val="20"/>
                <w:szCs w:val="20"/>
                <w:color w:val="auto"/>
              </w:rPr>
              <w:t>future at March 31, 2018</w:t>
            </w:r>
          </w:p>
        </w:tc>
        <w:tc>
          <w:tcPr>
            <w:tcW w:w="2440" w:type="dxa"/>
            <w:vAlign w:val="bottom"/>
          </w:tcPr>
          <w:p>
            <w:pPr>
              <w:jc w:val="right"/>
              <w:ind w:right="121"/>
              <w:spacing w:after="0"/>
              <w:rPr>
                <w:sz w:val="20"/>
                <w:szCs w:val="20"/>
                <w:color w:val="auto"/>
              </w:rPr>
            </w:pPr>
            <w:r>
              <w:rPr>
                <w:rFonts w:ascii="Arial" w:cs="Arial" w:eastAsia="Arial" w:hAnsi="Arial"/>
                <w:sz w:val="20"/>
                <w:szCs w:val="20"/>
                <w:color w:val="auto"/>
              </w:rPr>
              <w:t>18,689</w:t>
            </w:r>
          </w:p>
        </w:tc>
        <w:tc>
          <w:tcPr>
            <w:tcW w:w="66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1460" w:type="dxa"/>
            <w:vAlign w:val="bottom"/>
          </w:tcPr>
          <w:p>
            <w:pPr>
              <w:jc w:val="right"/>
              <w:ind w:right="601"/>
              <w:spacing w:after="0"/>
              <w:rPr>
                <w:sz w:val="20"/>
                <w:szCs w:val="20"/>
                <w:color w:val="auto"/>
              </w:rPr>
            </w:pPr>
            <w:r>
              <w:rPr>
                <w:rFonts w:ascii="Arial" w:cs="Arial" w:eastAsia="Arial" w:hAnsi="Arial"/>
                <w:sz w:val="20"/>
                <w:szCs w:val="20"/>
                <w:color w:val="auto"/>
              </w:rPr>
              <w:t>32.62</w:t>
            </w:r>
          </w:p>
        </w:tc>
        <w:tc>
          <w:tcPr>
            <w:tcW w:w="1180" w:type="dxa"/>
            <w:vAlign w:val="bottom"/>
          </w:tcPr>
          <w:p>
            <w:pPr>
              <w:jc w:val="right"/>
              <w:ind w:right="121"/>
              <w:spacing w:after="0"/>
              <w:rPr>
                <w:sz w:val="20"/>
                <w:szCs w:val="20"/>
                <w:color w:val="auto"/>
              </w:rPr>
            </w:pPr>
            <w:r>
              <w:rPr>
                <w:rFonts w:ascii="Arial" w:cs="Arial" w:eastAsia="Arial" w:hAnsi="Arial"/>
                <w:sz w:val="20"/>
                <w:szCs w:val="20"/>
                <w:color w:val="auto"/>
              </w:rPr>
              <w:t>6.3</w:t>
            </w:r>
          </w:p>
        </w:tc>
        <w:tc>
          <w:tcPr>
            <w:tcW w:w="54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463,173</w:t>
            </w:r>
          </w:p>
        </w:tc>
      </w:tr>
      <w:tr>
        <w:trPr>
          <w:trHeight w:val="250"/>
        </w:trPr>
        <w:tc>
          <w:tcPr>
            <w:tcW w:w="4100" w:type="dxa"/>
            <w:vAlign w:val="bottom"/>
          </w:tcPr>
          <w:p>
            <w:pPr>
              <w:spacing w:after="0"/>
              <w:rPr>
                <w:sz w:val="20"/>
                <w:szCs w:val="20"/>
                <w:color w:val="auto"/>
              </w:rPr>
            </w:pPr>
            <w:r>
              <w:rPr>
                <w:rFonts w:ascii="Arial" w:cs="Arial" w:eastAsia="Arial" w:hAnsi="Arial"/>
                <w:sz w:val="20"/>
                <w:szCs w:val="20"/>
                <w:color w:val="auto"/>
              </w:rPr>
              <w:t>Exercisable at March 31, 2018</w:t>
            </w:r>
          </w:p>
        </w:tc>
        <w:tc>
          <w:tcPr>
            <w:tcW w:w="2440" w:type="dxa"/>
            <w:vAlign w:val="bottom"/>
          </w:tcPr>
          <w:p>
            <w:pPr>
              <w:jc w:val="right"/>
              <w:ind w:right="121"/>
              <w:spacing w:after="0"/>
              <w:rPr>
                <w:sz w:val="20"/>
                <w:szCs w:val="20"/>
                <w:color w:val="auto"/>
              </w:rPr>
            </w:pPr>
            <w:r>
              <w:rPr>
                <w:rFonts w:ascii="Arial" w:cs="Arial" w:eastAsia="Arial" w:hAnsi="Arial"/>
                <w:sz w:val="20"/>
                <w:szCs w:val="20"/>
                <w:color w:val="auto"/>
              </w:rPr>
              <w:t>10,834</w:t>
            </w:r>
          </w:p>
        </w:tc>
        <w:tc>
          <w:tcPr>
            <w:tcW w:w="66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1460" w:type="dxa"/>
            <w:vAlign w:val="bottom"/>
          </w:tcPr>
          <w:p>
            <w:pPr>
              <w:jc w:val="right"/>
              <w:ind w:right="601"/>
              <w:spacing w:after="0"/>
              <w:rPr>
                <w:sz w:val="20"/>
                <w:szCs w:val="20"/>
                <w:color w:val="auto"/>
              </w:rPr>
            </w:pPr>
            <w:r>
              <w:rPr>
                <w:rFonts w:ascii="Arial" w:cs="Arial" w:eastAsia="Arial" w:hAnsi="Arial"/>
                <w:sz w:val="20"/>
                <w:szCs w:val="20"/>
                <w:color w:val="auto"/>
              </w:rPr>
              <w:t>21.99</w:t>
            </w:r>
          </w:p>
        </w:tc>
        <w:tc>
          <w:tcPr>
            <w:tcW w:w="1180" w:type="dxa"/>
            <w:vAlign w:val="bottom"/>
          </w:tcPr>
          <w:p>
            <w:pPr>
              <w:jc w:val="right"/>
              <w:ind w:right="121"/>
              <w:spacing w:after="0"/>
              <w:rPr>
                <w:sz w:val="20"/>
                <w:szCs w:val="20"/>
                <w:color w:val="auto"/>
              </w:rPr>
            </w:pPr>
            <w:r>
              <w:rPr>
                <w:rFonts w:ascii="Arial" w:cs="Arial" w:eastAsia="Arial" w:hAnsi="Arial"/>
                <w:sz w:val="20"/>
                <w:szCs w:val="20"/>
                <w:color w:val="auto"/>
              </w:rPr>
              <w:t>4.7</w:t>
            </w:r>
          </w:p>
        </w:tc>
        <w:tc>
          <w:tcPr>
            <w:tcW w:w="54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381,567</w:t>
            </w:r>
          </w:p>
        </w:tc>
      </w:tr>
    </w:tbl>
    <w:p>
      <w:pPr>
        <w:spacing w:after="0" w:line="1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weighted-average grant-date fair value of options granted during the three-months ended March 31, 2018 and 2017 was $22.82 per share and $18.00 per share, respectively. The total intrinsic value of options exercised during the three-months ended March 31, 2018 and 2017 was $18.2 million and $32.4 million, respectively.</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Cash received from option exercises under all plans for the three-months ended March 31, 2018 and 2017 was approximately $6.5 million and $13.6 million, respectively.</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At March 31, 2018, there was $125.3 million of total unrecognized compensation expense related to non-vested options granted to employees under the Company’s share-based payment plans. That cost is expected to be recognized over a weighted-average period of 3.2 years.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Restricted Stock Units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cost of stock-based compensation for restricted stock units is measured based on the closing fair market value of the Company’s common stock at the date of grant. In the event that the Company has the option and intent to settle a restricted stock unit in cash, the award is classified as a liability and revalued at each balance sheet date.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Company’s activities with respect to non-vested restricted stock units as follows:</w:t>
      </w:r>
    </w:p>
    <w:p>
      <w:pPr>
        <w:spacing w:after="0" w:line="21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right="161"/>
              <w:spacing w:after="0"/>
              <w:rPr>
                <w:sz w:val="20"/>
                <w:szCs w:val="20"/>
                <w:color w:val="auto"/>
              </w:rPr>
            </w:pPr>
            <w:r>
              <w:rPr>
                <w:rFonts w:ascii="Arial" w:cs="Arial" w:eastAsia="Arial" w:hAnsi="Arial"/>
                <w:sz w:val="20"/>
                <w:szCs w:val="20"/>
                <w:color w:val="auto"/>
                <w:w w:val="87"/>
              </w:rPr>
              <w:t>Weighted</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19"/>
                <w:szCs w:val="19"/>
                <w:color w:val="auto"/>
              </w:rPr>
            </w:pPr>
          </w:p>
        </w:tc>
        <w:tc>
          <w:tcPr>
            <w:tcW w:w="1660" w:type="dxa"/>
            <w:vAlign w:val="bottom"/>
            <w:gridSpan w:val="2"/>
          </w:tcPr>
          <w:p>
            <w:pPr>
              <w:ind w:left="240"/>
              <w:spacing w:after="0"/>
              <w:rPr>
                <w:sz w:val="20"/>
                <w:szCs w:val="20"/>
                <w:color w:val="auto"/>
              </w:rPr>
            </w:pPr>
            <w:r>
              <w:rPr>
                <w:rFonts w:ascii="Arial" w:cs="Arial" w:eastAsia="Arial" w:hAnsi="Arial"/>
                <w:sz w:val="20"/>
                <w:szCs w:val="20"/>
                <w:color w:val="auto"/>
              </w:rPr>
              <w:t>Number of</w:t>
            </w:r>
          </w:p>
        </w:tc>
        <w:tc>
          <w:tcPr>
            <w:tcW w:w="200" w:type="dxa"/>
            <w:vAlign w:val="bottom"/>
          </w:tcPr>
          <w:p>
            <w:pPr>
              <w:spacing w:after="0"/>
              <w:rPr>
                <w:sz w:val="19"/>
                <w:szCs w:val="19"/>
                <w:color w:val="auto"/>
              </w:rPr>
            </w:pPr>
          </w:p>
        </w:tc>
        <w:tc>
          <w:tcPr>
            <w:tcW w:w="1160" w:type="dxa"/>
            <w:vAlign w:val="bottom"/>
          </w:tcPr>
          <w:p>
            <w:pPr>
              <w:jc w:val="center"/>
              <w:ind w:right="161"/>
              <w:spacing w:after="0"/>
              <w:rPr>
                <w:sz w:val="20"/>
                <w:szCs w:val="20"/>
                <w:color w:val="auto"/>
              </w:rPr>
            </w:pPr>
            <w:r>
              <w:rPr>
                <w:rFonts w:ascii="Arial" w:cs="Arial" w:eastAsia="Arial" w:hAnsi="Arial"/>
                <w:sz w:val="20"/>
                <w:szCs w:val="20"/>
                <w:color w:val="auto"/>
                <w:w w:val="88"/>
              </w:rPr>
              <w:t>Average</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19"/>
                <w:szCs w:val="19"/>
                <w:color w:val="auto"/>
              </w:rPr>
            </w:pPr>
          </w:p>
        </w:tc>
        <w:tc>
          <w:tcPr>
            <w:tcW w:w="1660" w:type="dxa"/>
            <w:vAlign w:val="bottom"/>
            <w:gridSpan w:val="2"/>
          </w:tcPr>
          <w:p>
            <w:pPr>
              <w:ind w:left="260"/>
              <w:spacing w:after="0"/>
              <w:rPr>
                <w:sz w:val="20"/>
                <w:szCs w:val="20"/>
                <w:color w:val="auto"/>
              </w:rPr>
            </w:pPr>
            <w:r>
              <w:rPr>
                <w:rFonts w:ascii="Arial" w:cs="Arial" w:eastAsia="Arial" w:hAnsi="Arial"/>
                <w:sz w:val="20"/>
                <w:szCs w:val="20"/>
                <w:color w:val="auto"/>
              </w:rPr>
              <w:t>Shares (in</w:t>
            </w:r>
          </w:p>
        </w:tc>
        <w:tc>
          <w:tcPr>
            <w:tcW w:w="200" w:type="dxa"/>
            <w:vAlign w:val="bottom"/>
          </w:tcPr>
          <w:p>
            <w:pPr>
              <w:spacing w:after="0"/>
              <w:rPr>
                <w:sz w:val="19"/>
                <w:szCs w:val="19"/>
                <w:color w:val="auto"/>
              </w:rPr>
            </w:pPr>
          </w:p>
        </w:tc>
        <w:tc>
          <w:tcPr>
            <w:tcW w:w="1160" w:type="dxa"/>
            <w:vAlign w:val="bottom"/>
          </w:tcPr>
          <w:p>
            <w:pPr>
              <w:jc w:val="center"/>
              <w:ind w:right="161"/>
              <w:spacing w:after="0"/>
              <w:rPr>
                <w:sz w:val="20"/>
                <w:szCs w:val="20"/>
                <w:color w:val="auto"/>
              </w:rPr>
            </w:pPr>
            <w:r>
              <w:rPr>
                <w:rFonts w:ascii="Arial" w:cs="Arial" w:eastAsia="Arial" w:hAnsi="Arial"/>
                <w:sz w:val="20"/>
                <w:szCs w:val="20"/>
                <w:color w:val="auto"/>
                <w:w w:val="90"/>
              </w:rPr>
              <w:t>Grant-Date</w:t>
            </w:r>
          </w:p>
        </w:tc>
        <w:tc>
          <w:tcPr>
            <w:tcW w:w="0" w:type="dxa"/>
            <w:vAlign w:val="bottom"/>
          </w:tcPr>
          <w:p>
            <w:pPr>
              <w:spacing w:after="0"/>
              <w:rPr>
                <w:sz w:val="1"/>
                <w:szCs w:val="1"/>
                <w:color w:val="auto"/>
              </w:rPr>
            </w:pPr>
          </w:p>
        </w:tc>
      </w:tr>
      <w:tr>
        <w:trPr>
          <w:trHeight w:val="246"/>
        </w:trPr>
        <w:tc>
          <w:tcPr>
            <w:tcW w:w="4420" w:type="dxa"/>
            <w:vAlign w:val="bottom"/>
            <w:vMerge w:val="restart"/>
          </w:tcPr>
          <w:p>
            <w:pPr>
              <w:spacing w:after="0"/>
              <w:rPr>
                <w:sz w:val="20"/>
                <w:szCs w:val="20"/>
                <w:color w:val="auto"/>
              </w:rPr>
            </w:pPr>
            <w:r>
              <w:rPr>
                <w:rFonts w:ascii="Arial" w:cs="Arial" w:eastAsia="Arial" w:hAnsi="Arial"/>
                <w:sz w:val="20"/>
                <w:szCs w:val="20"/>
                <w:color w:val="auto"/>
              </w:rPr>
              <w:t>Non-vested at January 1, 2018</w:t>
            </w:r>
          </w:p>
        </w:tc>
        <w:tc>
          <w:tcPr>
            <w:tcW w:w="1660" w:type="dxa"/>
            <w:vAlign w:val="bottom"/>
            <w:gridSpan w:val="2"/>
          </w:tcPr>
          <w:p>
            <w:pPr>
              <w:ind w:left="260"/>
              <w:spacing w:after="0"/>
              <w:rPr>
                <w:sz w:val="20"/>
                <w:szCs w:val="20"/>
                <w:color w:val="auto"/>
              </w:rPr>
            </w:pPr>
            <w:r>
              <w:rPr>
                <w:rFonts w:ascii="Arial" w:cs="Arial" w:eastAsia="Arial" w:hAnsi="Arial"/>
                <w:sz w:val="20"/>
                <w:szCs w:val="20"/>
                <w:color w:val="auto"/>
              </w:rPr>
              <w:t>thousands)</w:t>
            </w:r>
          </w:p>
        </w:tc>
        <w:tc>
          <w:tcPr>
            <w:tcW w:w="200" w:type="dxa"/>
            <w:vAlign w:val="bottom"/>
          </w:tcPr>
          <w:p>
            <w:pPr>
              <w:spacing w:after="0"/>
              <w:rPr>
                <w:sz w:val="21"/>
                <w:szCs w:val="21"/>
                <w:color w:val="auto"/>
              </w:rPr>
            </w:pPr>
          </w:p>
        </w:tc>
        <w:tc>
          <w:tcPr>
            <w:tcW w:w="1160" w:type="dxa"/>
            <w:vAlign w:val="bottom"/>
          </w:tcPr>
          <w:p>
            <w:pPr>
              <w:jc w:val="right"/>
              <w:ind w:right="181"/>
              <w:spacing w:after="0"/>
              <w:rPr>
                <w:sz w:val="20"/>
                <w:szCs w:val="20"/>
                <w:color w:val="auto"/>
              </w:rPr>
            </w:pPr>
            <w:r>
              <w:rPr>
                <w:rFonts w:ascii="Arial" w:cs="Arial" w:eastAsia="Arial" w:hAnsi="Arial"/>
                <w:sz w:val="20"/>
                <w:szCs w:val="20"/>
                <w:color w:val="auto"/>
                <w:w w:val="94"/>
              </w:rPr>
              <w:t>Fair Value</w:t>
            </w:r>
          </w:p>
        </w:tc>
        <w:tc>
          <w:tcPr>
            <w:tcW w:w="0" w:type="dxa"/>
            <w:vAlign w:val="bottom"/>
          </w:tcPr>
          <w:p>
            <w:pPr>
              <w:spacing w:after="0"/>
              <w:rPr>
                <w:sz w:val="1"/>
                <w:szCs w:val="1"/>
                <w:color w:val="auto"/>
              </w:rPr>
            </w:pPr>
          </w:p>
        </w:tc>
      </w:tr>
      <w:tr>
        <w:trPr>
          <w:trHeight w:val="206"/>
        </w:trPr>
        <w:tc>
          <w:tcPr>
            <w:tcW w:w="4420" w:type="dxa"/>
            <w:vAlign w:val="bottom"/>
            <w:vMerge w:val="continue"/>
          </w:tcPr>
          <w:p>
            <w:pPr>
              <w:spacing w:after="0"/>
              <w:rPr>
                <w:sz w:val="17"/>
                <w:szCs w:val="17"/>
                <w:color w:val="auto"/>
              </w:rPr>
            </w:pPr>
          </w:p>
        </w:tc>
        <w:tc>
          <w:tcPr>
            <w:tcW w:w="138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530</w:t>
            </w:r>
          </w:p>
        </w:tc>
        <w:tc>
          <w:tcPr>
            <w:tcW w:w="280" w:type="dxa"/>
            <w:vAlign w:val="bottom"/>
          </w:tcPr>
          <w:p>
            <w:pPr>
              <w:spacing w:after="0"/>
              <w:rPr>
                <w:sz w:val="17"/>
                <w:szCs w:val="17"/>
                <w:color w:val="auto"/>
              </w:rPr>
            </w:pPr>
          </w:p>
        </w:tc>
        <w:tc>
          <w:tcPr>
            <w:tcW w:w="20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1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45.09</w:t>
            </w:r>
          </w:p>
        </w:tc>
        <w:tc>
          <w:tcPr>
            <w:tcW w:w="0" w:type="dxa"/>
            <w:vAlign w:val="bottom"/>
          </w:tcPr>
          <w:p>
            <w:pPr>
              <w:spacing w:after="0"/>
              <w:rPr>
                <w:sz w:val="1"/>
                <w:szCs w:val="1"/>
                <w:color w:val="auto"/>
              </w:rPr>
            </w:pPr>
          </w:p>
        </w:tc>
      </w:tr>
      <w:tr>
        <w:trPr>
          <w:trHeight w:val="230"/>
        </w:trPr>
        <w:tc>
          <w:tcPr>
            <w:tcW w:w="4420" w:type="dxa"/>
            <w:vAlign w:val="bottom"/>
          </w:tcPr>
          <w:p>
            <w:pPr>
              <w:ind w:left="360"/>
              <w:spacing w:after="0"/>
              <w:rPr>
                <w:sz w:val="20"/>
                <w:szCs w:val="20"/>
                <w:color w:val="auto"/>
              </w:rPr>
            </w:pPr>
            <w:r>
              <w:rPr>
                <w:rFonts w:ascii="Arial" w:cs="Arial" w:eastAsia="Arial" w:hAnsi="Arial"/>
                <w:sz w:val="20"/>
                <w:szCs w:val="20"/>
                <w:color w:val="auto"/>
              </w:rPr>
              <w:t>Granted 01/01/18- 03/31/18</w:t>
            </w:r>
          </w:p>
        </w:tc>
        <w:tc>
          <w:tcPr>
            <w:tcW w:w="1380" w:type="dxa"/>
            <w:vAlign w:val="bottom"/>
          </w:tcPr>
          <w:p>
            <w:pPr>
              <w:jc w:val="right"/>
              <w:spacing w:after="0"/>
              <w:rPr>
                <w:sz w:val="20"/>
                <w:szCs w:val="20"/>
                <w:color w:val="auto"/>
              </w:rPr>
            </w:pPr>
            <w:r>
              <w:rPr>
                <w:rFonts w:ascii="Arial" w:cs="Arial" w:eastAsia="Arial" w:hAnsi="Arial"/>
                <w:sz w:val="20"/>
                <w:szCs w:val="20"/>
                <w:color w:val="auto"/>
              </w:rPr>
              <w:t>221</w:t>
            </w:r>
          </w:p>
        </w:tc>
        <w:tc>
          <w:tcPr>
            <w:tcW w:w="2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58.75</w:t>
            </w:r>
          </w:p>
        </w:tc>
        <w:tc>
          <w:tcPr>
            <w:tcW w:w="0" w:type="dxa"/>
            <w:vAlign w:val="bottom"/>
          </w:tcPr>
          <w:p>
            <w:pPr>
              <w:spacing w:after="0"/>
              <w:rPr>
                <w:sz w:val="1"/>
                <w:szCs w:val="1"/>
                <w:color w:val="auto"/>
              </w:rPr>
            </w:pPr>
          </w:p>
        </w:tc>
      </w:tr>
      <w:tr>
        <w:trPr>
          <w:trHeight w:val="230"/>
        </w:trPr>
        <w:tc>
          <w:tcPr>
            <w:tcW w:w="4420" w:type="dxa"/>
            <w:vAlign w:val="bottom"/>
          </w:tcPr>
          <w:p>
            <w:pPr>
              <w:ind w:left="360"/>
              <w:spacing w:after="0"/>
              <w:rPr>
                <w:sz w:val="20"/>
                <w:szCs w:val="20"/>
                <w:color w:val="auto"/>
              </w:rPr>
            </w:pPr>
            <w:r>
              <w:rPr>
                <w:rFonts w:ascii="Arial" w:cs="Arial" w:eastAsia="Arial" w:hAnsi="Arial"/>
                <w:sz w:val="20"/>
                <w:szCs w:val="20"/>
                <w:color w:val="auto"/>
              </w:rPr>
              <w:t>Vested</w:t>
            </w:r>
          </w:p>
        </w:tc>
        <w:tc>
          <w:tcPr>
            <w:tcW w:w="1660" w:type="dxa"/>
            <w:vAlign w:val="bottom"/>
            <w:gridSpan w:val="2"/>
          </w:tcPr>
          <w:p>
            <w:pPr>
              <w:jc w:val="right"/>
              <w:ind w:right="280"/>
              <w:spacing w:after="0"/>
              <w:rPr>
                <w:sz w:val="20"/>
                <w:szCs w:val="20"/>
                <w:color w:val="auto"/>
              </w:rPr>
            </w:pPr>
            <w:r>
              <w:rPr>
                <w:rFonts w:ascii="Arial" w:cs="Arial" w:eastAsia="Arial" w:hAnsi="Arial"/>
                <w:sz w:val="20"/>
                <w:szCs w:val="20"/>
                <w:color w:val="auto"/>
              </w:rPr>
              <w:t>(255)</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45.62</w:t>
            </w:r>
          </w:p>
        </w:tc>
        <w:tc>
          <w:tcPr>
            <w:tcW w:w="0" w:type="dxa"/>
            <w:vAlign w:val="bottom"/>
          </w:tcPr>
          <w:p>
            <w:pPr>
              <w:spacing w:after="0"/>
              <w:rPr>
                <w:sz w:val="1"/>
                <w:szCs w:val="1"/>
                <w:color w:val="auto"/>
              </w:rPr>
            </w:pPr>
          </w:p>
        </w:tc>
      </w:tr>
      <w:tr>
        <w:trPr>
          <w:trHeight w:val="240"/>
        </w:trPr>
        <w:tc>
          <w:tcPr>
            <w:tcW w:w="4420" w:type="dxa"/>
            <w:vAlign w:val="bottom"/>
          </w:tcPr>
          <w:p>
            <w:pPr>
              <w:ind w:left="360"/>
              <w:spacing w:after="0"/>
              <w:rPr>
                <w:sz w:val="20"/>
                <w:szCs w:val="20"/>
                <w:color w:val="auto"/>
              </w:rPr>
            </w:pPr>
            <w:r>
              <w:rPr>
                <w:rFonts w:ascii="Arial" w:cs="Arial" w:eastAsia="Arial" w:hAnsi="Arial"/>
                <w:sz w:val="20"/>
                <w:szCs w:val="20"/>
                <w:color w:val="auto"/>
              </w:rPr>
              <w:t>Forfeited/cancelled</w:t>
            </w:r>
          </w:p>
        </w:tc>
        <w:tc>
          <w:tcPr>
            <w:tcW w:w="1660" w:type="dxa"/>
            <w:vAlign w:val="bottom"/>
            <w:gridSpan w:val="2"/>
          </w:tcPr>
          <w:p>
            <w:pPr>
              <w:jc w:val="right"/>
              <w:ind w:right="280"/>
              <w:spacing w:after="0"/>
              <w:rPr>
                <w:sz w:val="20"/>
                <w:szCs w:val="20"/>
                <w:color w:val="auto"/>
              </w:rPr>
            </w:pPr>
            <w:r>
              <w:rPr>
                <w:rFonts w:ascii="Arial" w:cs="Arial" w:eastAsia="Arial" w:hAnsi="Arial"/>
                <w:sz w:val="20"/>
                <w:szCs w:val="20"/>
                <w:color w:val="auto"/>
              </w:rPr>
              <w:t>(6)</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32.17</w:t>
            </w:r>
          </w:p>
        </w:tc>
        <w:tc>
          <w:tcPr>
            <w:tcW w:w="0" w:type="dxa"/>
            <w:vAlign w:val="bottom"/>
          </w:tcPr>
          <w:p>
            <w:pPr>
              <w:spacing w:after="0"/>
              <w:rPr>
                <w:sz w:val="1"/>
                <w:szCs w:val="1"/>
                <w:color w:val="auto"/>
              </w:rPr>
            </w:pPr>
          </w:p>
        </w:tc>
      </w:tr>
      <w:tr>
        <w:trPr>
          <w:trHeight w:val="230"/>
        </w:trPr>
        <w:tc>
          <w:tcPr>
            <w:tcW w:w="4420" w:type="dxa"/>
            <w:vAlign w:val="bottom"/>
          </w:tcPr>
          <w:p>
            <w:pPr>
              <w:spacing w:after="0" w:line="220" w:lineRule="exact"/>
              <w:rPr>
                <w:sz w:val="20"/>
                <w:szCs w:val="20"/>
                <w:color w:val="auto"/>
              </w:rPr>
            </w:pPr>
            <w:r>
              <w:rPr>
                <w:rFonts w:ascii="Arial" w:cs="Arial" w:eastAsia="Arial" w:hAnsi="Arial"/>
                <w:sz w:val="20"/>
                <w:szCs w:val="20"/>
                <w:color w:val="auto"/>
              </w:rPr>
              <w:t>Non-vested at March 31, 2018</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490</w:t>
            </w:r>
          </w:p>
        </w:tc>
        <w:tc>
          <w:tcPr>
            <w:tcW w:w="2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51.15</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weighted-average grant-date fair value of restricted stock units granted during the three-months ended March 31, 2018 and 2017 was $58.75 per share and $46.27 per share, respectively. As of March 31, 2018, 0.5 million of restricted stock units are expected to vest over their respective terms.</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At March 31, 2018, total unrecognized compensation expense relating to non-vested restricted stock units was $23.1 million, which is expected to be recognized over a weighted-average period of 2.1 years.</w:t>
      </w:r>
    </w:p>
    <w:p>
      <w:pPr>
        <w:spacing w:after="0" w:line="177" w:lineRule="exact"/>
        <w:rPr>
          <w:sz w:val="20"/>
          <w:szCs w:val="20"/>
          <w:color w:val="auto"/>
        </w:rPr>
      </w:pPr>
    </w:p>
    <w:p>
      <w:pPr>
        <w:ind w:left="640" w:hanging="632"/>
        <w:spacing w:after="0"/>
        <w:tabs>
          <w:tab w:leader="none" w:pos="6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INCOME TAXES</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On December 22, 2017, the President of the United States signed into law the Tax Reform Act. The legislation significantly changes U.S. tax law by, among other things, lowering corporate income tax rates, implementing a territorial tax system and imposing a repatriation tax on deemed repatriated earnings of foreign subsidiaries. The Tax Reform Act permanently reduces the U.S. corporate income tax rate from a maximum of 35% to a flat 21% rate, effective January 1, 2018. The SEC staff issued Staff Accounting Bulletin No. 118 (“SAB 118”) to address the application of U.S. GAAP in situations when a registrant does not have the necessary information available, prepared, or analyzed (including computations) in reasonable detail to complete the accounting for certain income tax effects of the Tax Reform Act. A company may select between one of three scenarios to determine a reasonable estimate for certain income tax effects arising from the Tax Reform Act. Those scenarios are (i) a final estimate which effectively closes the measurement window; (ii) a reasonable estimate leaving the measurement window open for future revisions; and (iii) no estimate as the law is still being analyzed. The Company was able to provide a reasonable estimate for the revaluation of deferred taxes and the effects of the toll charge on undistributed foreign subsidiary earnings and profits (“E&amp;P”). As a result of the reduction in the U.S. corporate income tax rate from 35% to 21% under the Tax Reform Act, the Company revalued its net deferred tax assets at December 31, 2017, resulting in a provisional $39.8 million charge included in the provision for income taxes for the year ended December 31, 2017. The Tax Reform Act also provided for a one-time deemed mandatory repatriation of Post-1986 E&amp;P through the year ended December 31, 2017. As a result, the Company recognized a provisional $2.1 million charge in the provision for income taxes for the year ended December 31, 2017 related to such deemed mandatory repatriation.</w:t>
      </w:r>
    </w:p>
    <w:p>
      <w:pPr>
        <w:spacing w:after="0" w:line="18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Company has not made additional measurement window adjustments to these items during the three-months ended March 31, 2018. The Company continues to evaluate the various provisions of Tax Reform Act, including, the global intangible low-taxed income (“GILTI”) and the foreign derived intangible income (“FDII”) provisions. The ultimate impact of the Tax Reform Act may differ from these provisional amounts, possibly materially, due to, among other things, additional analysis, changes in interpretations and assumptions the Company has made, additional regulatory guidance that may be issued, as well as any related actions the Company may take. The measurement</w:t>
      </w:r>
    </w:p>
    <w:p>
      <w:pPr>
        <w:sectPr>
          <w:pgSz w:w="11900" w:h="16838" w:orient="portrait"/>
          <w:cols w:equalWidth="0" w:num="1">
            <w:col w:w="11420"/>
          </w:cols>
          <w:pgMar w:left="240" w:top="122" w:right="239" w:bottom="0" w:gutter="0" w:footer="0" w:header="0"/>
        </w:sectPr>
      </w:pPr>
    </w:p>
    <w:bookmarkStart w:id="16" w:name="page17"/>
    <w:bookmarkEnd w:id="16"/>
    <w:p>
      <w:pPr>
        <w:spacing w:after="0" w:line="74" w:lineRule="exact"/>
        <w:rPr>
          <w:sz w:val="20"/>
          <w:szCs w:val="20"/>
          <w:color w:val="auto"/>
        </w:rPr>
      </w:pPr>
    </w:p>
    <w:p>
      <w:pPr>
        <w:jc w:val="both"/>
        <w:ind w:right="40"/>
        <w:spacing w:after="0" w:line="262" w:lineRule="auto"/>
        <w:rPr>
          <w:sz w:val="20"/>
          <w:szCs w:val="20"/>
          <w:color w:val="auto"/>
        </w:rPr>
      </w:pPr>
      <w:r>
        <w:rPr>
          <w:rFonts w:ascii="Arial" w:cs="Arial" w:eastAsia="Arial" w:hAnsi="Arial"/>
          <w:sz w:val="20"/>
          <w:szCs w:val="20"/>
          <w:color w:val="auto"/>
        </w:rPr>
        <w:t>window begins in the reporting period that includes the enactment date and ends when an entity has obtained, prepared, and analyzed the information needed in order to complete the accounting requirements under ASC Topic 740.</w:t>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right="60" w:firstLine="648"/>
        <w:spacing w:after="0" w:line="260" w:lineRule="auto"/>
        <w:rPr>
          <w:sz w:val="20"/>
          <w:szCs w:val="20"/>
          <w:color w:val="auto"/>
        </w:rPr>
      </w:pPr>
      <w:r>
        <w:rPr>
          <w:rFonts w:ascii="Arial" w:cs="Arial" w:eastAsia="Arial" w:hAnsi="Arial"/>
          <w:sz w:val="20"/>
          <w:szCs w:val="20"/>
          <w:color w:val="auto"/>
        </w:rPr>
        <w:t>The following is a roll-forward of the Company’s total gross unrecognized tax benefits, not including interest and penalties, for the three-months ended March 31, 2018:</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4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20" w:type="dxa"/>
            <w:vAlign w:val="bottom"/>
          </w:tcPr>
          <w:p>
            <w:pPr>
              <w:jc w:val="right"/>
              <w:ind w:right="201"/>
              <w:spacing w:after="0"/>
              <w:rPr>
                <w:sz w:val="20"/>
                <w:szCs w:val="20"/>
                <w:color w:val="auto"/>
              </w:rPr>
            </w:pPr>
            <w:r>
              <w:rPr>
                <w:rFonts w:ascii="Arial" w:cs="Arial" w:eastAsia="Arial" w:hAnsi="Arial"/>
                <w:sz w:val="20"/>
                <w:szCs w:val="20"/>
                <w:color w:val="auto"/>
                <w:w w:val="90"/>
              </w:rPr>
              <w:t>Gross Unrecognized Tax</w:t>
            </w:r>
          </w:p>
        </w:tc>
        <w:tc>
          <w:tcPr>
            <w:tcW w:w="0" w:type="dxa"/>
            <w:vAlign w:val="bottom"/>
          </w:tcPr>
          <w:p>
            <w:pPr>
              <w:spacing w:after="0"/>
              <w:rPr>
                <w:sz w:val="1"/>
                <w:szCs w:val="1"/>
                <w:color w:val="auto"/>
              </w:rPr>
            </w:pPr>
          </w:p>
        </w:tc>
      </w:tr>
      <w:tr>
        <w:trPr>
          <w:trHeight w:val="246"/>
        </w:trPr>
        <w:tc>
          <w:tcPr>
            <w:tcW w:w="4260" w:type="dxa"/>
            <w:vAlign w:val="bottom"/>
            <w:vMerge w:val="restart"/>
          </w:tcPr>
          <w:p>
            <w:pPr>
              <w:spacing w:after="0"/>
              <w:rPr>
                <w:sz w:val="20"/>
                <w:szCs w:val="20"/>
                <w:color w:val="auto"/>
              </w:rPr>
            </w:pPr>
            <w:r>
              <w:rPr>
                <w:rFonts w:ascii="Arial" w:cs="Arial" w:eastAsia="Arial" w:hAnsi="Arial"/>
                <w:sz w:val="20"/>
                <w:szCs w:val="20"/>
                <w:color w:val="auto"/>
              </w:rPr>
              <w:t>Balance at December 31, 2017</w:t>
            </w:r>
          </w:p>
        </w:tc>
        <w:tc>
          <w:tcPr>
            <w:tcW w:w="26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tcPr>
          <w:p>
            <w:pPr>
              <w:jc w:val="right"/>
              <w:ind w:right="861"/>
              <w:spacing w:after="0"/>
              <w:rPr>
                <w:sz w:val="20"/>
                <w:szCs w:val="20"/>
                <w:color w:val="auto"/>
              </w:rPr>
            </w:pPr>
            <w:r>
              <w:rPr>
                <w:rFonts w:ascii="Arial" w:cs="Arial" w:eastAsia="Arial" w:hAnsi="Arial"/>
                <w:sz w:val="20"/>
                <w:szCs w:val="20"/>
                <w:color w:val="auto"/>
              </w:rPr>
              <w:t>Benefits</w:t>
            </w:r>
          </w:p>
        </w:tc>
        <w:tc>
          <w:tcPr>
            <w:tcW w:w="0" w:type="dxa"/>
            <w:vAlign w:val="bottom"/>
          </w:tcPr>
          <w:p>
            <w:pPr>
              <w:spacing w:after="0"/>
              <w:rPr>
                <w:sz w:val="1"/>
                <w:szCs w:val="1"/>
                <w:color w:val="auto"/>
              </w:rPr>
            </w:pPr>
          </w:p>
        </w:tc>
      </w:tr>
      <w:tr>
        <w:trPr>
          <w:trHeight w:val="206"/>
        </w:trPr>
        <w:tc>
          <w:tcPr>
            <w:tcW w:w="4260" w:type="dxa"/>
            <w:vAlign w:val="bottom"/>
            <w:vMerge w:val="continue"/>
          </w:tcPr>
          <w:p>
            <w:pPr>
              <w:spacing w:after="0"/>
              <w:rPr>
                <w:sz w:val="17"/>
                <w:szCs w:val="17"/>
                <w:color w:val="auto"/>
              </w:rPr>
            </w:pPr>
          </w:p>
        </w:tc>
        <w:tc>
          <w:tcPr>
            <w:tcW w:w="26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2320" w:type="dxa"/>
            <w:vAlign w:val="bottom"/>
          </w:tcPr>
          <w:p>
            <w:pPr>
              <w:jc w:val="right"/>
              <w:ind w:right="1"/>
              <w:spacing w:after="0" w:line="207" w:lineRule="exact"/>
              <w:rPr>
                <w:sz w:val="20"/>
                <w:szCs w:val="20"/>
                <w:color w:val="auto"/>
              </w:rPr>
            </w:pPr>
            <w:r>
              <w:rPr>
                <w:rFonts w:ascii="Arial" w:cs="Arial" w:eastAsia="Arial" w:hAnsi="Arial"/>
                <w:sz w:val="20"/>
                <w:szCs w:val="20"/>
                <w:color w:val="auto"/>
              </w:rPr>
              <w:t>6,540</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20"/>
                <w:szCs w:val="20"/>
                <w:color w:val="auto"/>
              </w:rPr>
              <w:t>Additions for tax positions related to the current</w:t>
            </w:r>
          </w:p>
        </w:tc>
        <w:tc>
          <w:tcPr>
            <w:tcW w:w="2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180"/>
              <w:spacing w:after="0"/>
              <w:rPr>
                <w:sz w:val="20"/>
                <w:szCs w:val="20"/>
                <w:color w:val="auto"/>
              </w:rPr>
            </w:pPr>
            <w:r>
              <w:rPr>
                <w:rFonts w:ascii="Arial" w:cs="Arial" w:eastAsia="Arial" w:hAnsi="Arial"/>
                <w:sz w:val="20"/>
                <w:szCs w:val="20"/>
                <w:color w:val="auto"/>
              </w:rPr>
              <w:t>year</w:t>
            </w:r>
          </w:p>
        </w:tc>
        <w:tc>
          <w:tcPr>
            <w:tcW w:w="260" w:type="dxa"/>
            <w:vAlign w:val="bottom"/>
          </w:tcPr>
          <w:p>
            <w:pPr>
              <w:spacing w:after="0"/>
              <w:rPr>
                <w:sz w:val="19"/>
                <w:szCs w:val="19"/>
                <w:color w:val="auto"/>
              </w:rPr>
            </w:pPr>
          </w:p>
        </w:tc>
        <w:tc>
          <w:tcPr>
            <w:tcW w:w="23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20"/>
                <w:szCs w:val="20"/>
                <w:color w:val="auto"/>
              </w:rPr>
              <w:t>Additions for tax positions related to the prior</w:t>
            </w:r>
          </w:p>
        </w:tc>
        <w:tc>
          <w:tcPr>
            <w:tcW w:w="2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180"/>
              <w:spacing w:after="0"/>
              <w:rPr>
                <w:sz w:val="20"/>
                <w:szCs w:val="20"/>
                <w:color w:val="auto"/>
              </w:rPr>
            </w:pPr>
            <w:r>
              <w:rPr>
                <w:rFonts w:ascii="Arial" w:cs="Arial" w:eastAsia="Arial" w:hAnsi="Arial"/>
                <w:sz w:val="20"/>
                <w:szCs w:val="20"/>
                <w:color w:val="auto"/>
              </w:rPr>
              <w:t>year</w:t>
            </w:r>
          </w:p>
        </w:tc>
        <w:tc>
          <w:tcPr>
            <w:tcW w:w="260" w:type="dxa"/>
            <w:vAlign w:val="bottom"/>
          </w:tcPr>
          <w:p>
            <w:pPr>
              <w:spacing w:after="0"/>
              <w:rPr>
                <w:sz w:val="19"/>
                <w:szCs w:val="19"/>
                <w:color w:val="auto"/>
              </w:rPr>
            </w:pPr>
          </w:p>
        </w:tc>
        <w:tc>
          <w:tcPr>
            <w:tcW w:w="23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20"/>
                <w:szCs w:val="20"/>
                <w:color w:val="auto"/>
              </w:rPr>
              <w:t>Decreases related to settlement with taxing</w:t>
            </w:r>
          </w:p>
        </w:tc>
        <w:tc>
          <w:tcPr>
            <w:tcW w:w="2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260" w:type="dxa"/>
            <w:vAlign w:val="bottom"/>
          </w:tcPr>
          <w:p>
            <w:pPr>
              <w:ind w:left="180"/>
              <w:spacing w:after="0"/>
              <w:rPr>
                <w:sz w:val="20"/>
                <w:szCs w:val="20"/>
                <w:color w:val="auto"/>
              </w:rPr>
            </w:pPr>
            <w:r>
              <w:rPr>
                <w:rFonts w:ascii="Arial" w:cs="Arial" w:eastAsia="Arial" w:hAnsi="Arial"/>
                <w:sz w:val="20"/>
                <w:szCs w:val="20"/>
                <w:color w:val="auto"/>
              </w:rPr>
              <w:t>authority</w:t>
            </w:r>
          </w:p>
        </w:tc>
        <w:tc>
          <w:tcPr>
            <w:tcW w:w="2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260" w:type="dxa"/>
            <w:vAlign w:val="bottom"/>
          </w:tcPr>
          <w:p>
            <w:pPr>
              <w:spacing w:after="0" w:line="220" w:lineRule="exact"/>
              <w:rPr>
                <w:sz w:val="20"/>
                <w:szCs w:val="20"/>
                <w:color w:val="auto"/>
              </w:rPr>
            </w:pPr>
            <w:r>
              <w:rPr>
                <w:rFonts w:ascii="Arial" w:cs="Arial" w:eastAsia="Arial" w:hAnsi="Arial"/>
                <w:sz w:val="20"/>
                <w:szCs w:val="20"/>
                <w:color w:val="auto"/>
              </w:rPr>
              <w:t>Balance at March 31, 2018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3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6,540</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right="40" w:firstLine="648"/>
        <w:spacing w:after="0" w:line="244" w:lineRule="auto"/>
        <w:rPr>
          <w:sz w:val="20"/>
          <w:szCs w:val="20"/>
          <w:color w:val="auto"/>
        </w:rPr>
      </w:pPr>
      <w:r>
        <w:rPr>
          <w:rFonts w:ascii="Arial" w:cs="Arial" w:eastAsia="Arial" w:hAnsi="Arial"/>
          <w:sz w:val="20"/>
          <w:szCs w:val="20"/>
          <w:color w:val="auto"/>
        </w:rPr>
        <w:t>The Company recognizes accrued interest and penalties related to unrecognized tax benefits in the provision for income taxes in the Company’s condensed consolidated financial statements. As of March 31, 2018, the Company had approximately $1.4 million in accrued interest and penalties related to unrecognized tax benefits. If the Company were to prevail on all uncertain tax positions, the resultant impact on the Company’s effective tax rate would not be significant. It is expected that any change in the amount of unrecognized tax benefits within the next 12 months will not be significant.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is subject to U.S. federal income tax as well as to income tax in multiple state and foreign jurisdictions.</w:t>
      </w:r>
    </w:p>
    <w:p>
      <w:pPr>
        <w:spacing w:after="0" w:line="229"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On October 18, 2016, the IRS began its examination of the Company’s U.S. federal income tax return for the year ended December 31, 2014. On March 27, 2017, the IRS began its examination of the Company’s U.S. federal income tax return for the year ended December 31, 2015.</w:t>
      </w:r>
    </w:p>
    <w:p>
      <w:pPr>
        <w:spacing w:after="0" w:line="200"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The Company is in various stages of examination with certain states and certain foreign jurisdictions. The Company’s 2014 through 2017 U.S. federal income tax returns are subject to examination by the IRS. The Company’s state income tax returns are subject to examination for the 2013 through 2017 tax years.</w:t>
      </w:r>
    </w:p>
    <w:p>
      <w:pPr>
        <w:spacing w:after="0" w:line="200" w:lineRule="exact"/>
        <w:rPr>
          <w:sz w:val="20"/>
          <w:szCs w:val="20"/>
          <w:color w:val="auto"/>
        </w:rPr>
      </w:pPr>
    </w:p>
    <w:p>
      <w:pPr>
        <w:ind w:left="640" w:hanging="632"/>
        <w:spacing w:after="0"/>
        <w:tabs>
          <w:tab w:leader="none" w:pos="6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EARNINGS PER SHARE</w:t>
      </w:r>
    </w:p>
    <w:p>
      <w:pPr>
        <w:spacing w:after="0" w:line="229"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A reconciliation of the weighted-average shares used in the basic and diluted earnings per common share computations is presented below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tcPr>
          <w:p>
            <w:pPr>
              <w:spacing w:after="0"/>
              <w:rPr>
                <w:sz w:val="19"/>
                <w:szCs w:val="19"/>
                <w:color w:val="auto"/>
              </w:rPr>
            </w:pPr>
          </w:p>
        </w:tc>
        <w:tc>
          <w:tcPr>
            <w:tcW w:w="3500" w:type="dxa"/>
            <w:vAlign w:val="bottom"/>
            <w:gridSpan w:val="4"/>
          </w:tcPr>
          <w:p>
            <w:pPr>
              <w:jc w:val="center"/>
              <w:spacing w:after="0"/>
              <w:rPr>
                <w:sz w:val="20"/>
                <w:szCs w:val="20"/>
                <w:color w:val="auto"/>
              </w:rPr>
            </w:pPr>
            <w:r>
              <w:rPr>
                <w:rFonts w:ascii="Arial" w:cs="Arial" w:eastAsia="Arial" w:hAnsi="Arial"/>
                <w:sz w:val="20"/>
                <w:szCs w:val="20"/>
                <w:color w:val="auto"/>
                <w:w w:val="90"/>
              </w:rPr>
              <w:t>Three-Months Ended</w:t>
            </w:r>
          </w:p>
        </w:tc>
        <w:tc>
          <w:tcPr>
            <w:tcW w:w="3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340" w:type="dxa"/>
            <w:vAlign w:val="bottom"/>
          </w:tcPr>
          <w:p>
            <w:pPr>
              <w:spacing w:after="0"/>
              <w:rPr>
                <w:sz w:val="21"/>
                <w:szCs w:val="21"/>
                <w:color w:val="auto"/>
              </w:rPr>
            </w:pPr>
          </w:p>
        </w:tc>
        <w:tc>
          <w:tcPr>
            <w:tcW w:w="2320" w:type="dxa"/>
            <w:vAlign w:val="bottom"/>
            <w:tcBorders>
              <w:bottom w:val="single" w:sz="8" w:color="auto"/>
            </w:tcBorders>
            <w:gridSpan w:val="3"/>
          </w:tcPr>
          <w:p>
            <w:pPr>
              <w:jc w:val="center"/>
              <w:ind w:left="1082"/>
              <w:spacing w:after="0"/>
              <w:rPr>
                <w:sz w:val="20"/>
                <w:szCs w:val="20"/>
                <w:color w:val="auto"/>
              </w:rPr>
            </w:pPr>
            <w:r>
              <w:rPr>
                <w:rFonts w:ascii="Arial" w:cs="Arial" w:eastAsia="Arial" w:hAnsi="Arial"/>
                <w:sz w:val="20"/>
                <w:szCs w:val="20"/>
                <w:color w:val="auto"/>
                <w:w w:val="92"/>
              </w:rPr>
              <w:t>March 31,</w:t>
            </w:r>
          </w:p>
        </w:tc>
        <w:tc>
          <w:tcPr>
            <w:tcW w:w="1180" w:type="dxa"/>
            <w:vAlign w:val="bottom"/>
            <w:tcBorders>
              <w:bottom w:val="single" w:sz="8" w:color="auto"/>
            </w:tcBorders>
          </w:tcPr>
          <w:p>
            <w:pPr>
              <w:spacing w:after="0"/>
              <w:rPr>
                <w:sz w:val="21"/>
                <w:szCs w:val="21"/>
                <w:color w:val="auto"/>
              </w:rPr>
            </w:pPr>
          </w:p>
        </w:tc>
        <w:tc>
          <w:tcPr>
            <w:tcW w:w="3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40" w:type="dxa"/>
            <w:vAlign w:val="bottom"/>
            <w:vMerge w:val="restart"/>
          </w:tcPr>
          <w:p>
            <w:pPr>
              <w:ind w:left="660"/>
              <w:spacing w:after="0"/>
              <w:rPr>
                <w:sz w:val="20"/>
                <w:szCs w:val="20"/>
                <w:color w:val="auto"/>
              </w:rPr>
            </w:pPr>
            <w:r>
              <w:rPr>
                <w:rFonts w:ascii="Arial" w:cs="Arial" w:eastAsia="Arial" w:hAnsi="Arial"/>
                <w:sz w:val="20"/>
                <w:szCs w:val="20"/>
                <w:color w:val="auto"/>
              </w:rPr>
              <w:t>Weighted-average shares outstanding:</w:t>
            </w:r>
          </w:p>
        </w:tc>
        <w:tc>
          <w:tcPr>
            <w:tcW w:w="1640" w:type="dxa"/>
            <w:vAlign w:val="bottom"/>
            <w:tcBorders>
              <w:bottom w:val="single" w:sz="8" w:color="auto"/>
            </w:tcBorders>
          </w:tcPr>
          <w:p>
            <w:pPr>
              <w:jc w:val="right"/>
              <w:ind w:right="522"/>
              <w:spacing w:after="0" w:line="223" w:lineRule="exact"/>
              <w:rPr>
                <w:sz w:val="20"/>
                <w:szCs w:val="20"/>
                <w:color w:val="auto"/>
              </w:rPr>
            </w:pPr>
            <w:r>
              <w:rPr>
                <w:rFonts w:ascii="Arial" w:cs="Arial" w:eastAsia="Arial" w:hAnsi="Arial"/>
                <w:sz w:val="20"/>
                <w:szCs w:val="20"/>
                <w:color w:val="auto"/>
              </w:rPr>
              <w:t>2018</w:t>
            </w:r>
          </w:p>
        </w:tc>
        <w:tc>
          <w:tcPr>
            <w:tcW w:w="2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21"/>
              <w:spacing w:after="0" w:line="223" w:lineRule="exact"/>
              <w:rPr>
                <w:sz w:val="20"/>
                <w:szCs w:val="20"/>
                <w:color w:val="auto"/>
              </w:rPr>
            </w:pPr>
            <w:r>
              <w:rPr>
                <w:rFonts w:ascii="Arial" w:cs="Arial" w:eastAsia="Arial" w:hAnsi="Arial"/>
                <w:sz w:val="20"/>
                <w:szCs w:val="20"/>
                <w:color w:val="auto"/>
              </w:rPr>
              <w:t>2017</w:t>
            </w:r>
          </w:p>
        </w:tc>
        <w:tc>
          <w:tcPr>
            <w:tcW w:w="3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340" w:type="dxa"/>
            <w:vAlign w:val="bottom"/>
            <w:vMerge w:val="continue"/>
          </w:tcPr>
          <w:p>
            <w:pPr>
              <w:spacing w:after="0"/>
              <w:rPr>
                <w:sz w:val="16"/>
                <w:szCs w:val="16"/>
                <w:color w:val="auto"/>
              </w:rPr>
            </w:pPr>
          </w:p>
        </w:tc>
        <w:tc>
          <w:tcPr>
            <w:tcW w:w="1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840"/>
              <w:spacing w:after="0"/>
              <w:rPr>
                <w:sz w:val="20"/>
                <w:szCs w:val="20"/>
                <w:color w:val="auto"/>
              </w:rPr>
            </w:pPr>
            <w:r>
              <w:rPr>
                <w:rFonts w:ascii="Arial" w:cs="Arial" w:eastAsia="Arial" w:hAnsi="Arial"/>
                <w:sz w:val="20"/>
                <w:szCs w:val="20"/>
                <w:color w:val="auto"/>
              </w:rPr>
              <w:t>Basic</w:t>
            </w:r>
          </w:p>
        </w:tc>
        <w:tc>
          <w:tcPr>
            <w:tcW w:w="1640" w:type="dxa"/>
            <w:vAlign w:val="bottom"/>
          </w:tcPr>
          <w:p>
            <w:pPr>
              <w:jc w:val="right"/>
              <w:ind w:right="42"/>
              <w:spacing w:after="0"/>
              <w:rPr>
                <w:sz w:val="20"/>
                <w:szCs w:val="20"/>
                <w:color w:val="auto"/>
              </w:rPr>
            </w:pPr>
            <w:r>
              <w:rPr>
                <w:rFonts w:ascii="Arial" w:cs="Arial" w:eastAsia="Arial" w:hAnsi="Arial"/>
                <w:sz w:val="20"/>
                <w:szCs w:val="20"/>
                <w:color w:val="auto"/>
              </w:rPr>
              <w:t>566,000</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571,578</w:t>
            </w:r>
          </w:p>
        </w:tc>
        <w:tc>
          <w:tcPr>
            <w:tcW w:w="3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340" w:type="dxa"/>
            <w:vAlign w:val="bottom"/>
          </w:tcPr>
          <w:p>
            <w:pPr>
              <w:ind w:left="840"/>
              <w:spacing w:after="0"/>
              <w:rPr>
                <w:sz w:val="20"/>
                <w:szCs w:val="20"/>
                <w:color w:val="auto"/>
              </w:rPr>
            </w:pPr>
            <w:r>
              <w:rPr>
                <w:rFonts w:ascii="Arial" w:cs="Arial" w:eastAsia="Arial" w:hAnsi="Arial"/>
                <w:sz w:val="20"/>
                <w:szCs w:val="20"/>
                <w:color w:val="auto"/>
              </w:rPr>
              <w:t>Dilutive</w:t>
            </w:r>
          </w:p>
        </w:tc>
        <w:tc>
          <w:tcPr>
            <w:tcW w:w="164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8,129</w:t>
            </w: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10,454</w:t>
            </w:r>
          </w:p>
        </w:tc>
        <w:tc>
          <w:tcPr>
            <w:tcW w:w="3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840"/>
              <w:spacing w:after="0" w:line="220" w:lineRule="exact"/>
              <w:rPr>
                <w:sz w:val="20"/>
                <w:szCs w:val="20"/>
                <w:color w:val="auto"/>
              </w:rPr>
            </w:pPr>
            <w:r>
              <w:rPr>
                <w:rFonts w:ascii="Arial" w:cs="Arial" w:eastAsia="Arial" w:hAnsi="Arial"/>
                <w:sz w:val="20"/>
                <w:szCs w:val="20"/>
                <w:color w:val="auto"/>
              </w:rPr>
              <w:t>Diluted</w:t>
            </w:r>
          </w:p>
        </w:tc>
        <w:tc>
          <w:tcPr>
            <w:tcW w:w="164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574,129</w:t>
            </w:r>
          </w:p>
        </w:tc>
        <w:tc>
          <w:tcPr>
            <w:tcW w:w="2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582,032</w:t>
            </w:r>
          </w:p>
        </w:tc>
        <w:tc>
          <w:tcPr>
            <w:tcW w:w="3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40" w:type="dxa"/>
            <w:vAlign w:val="bottom"/>
          </w:tcPr>
          <w:p>
            <w:pPr>
              <w:spacing w:after="0"/>
              <w:rPr>
                <w:sz w:val="24"/>
                <w:szCs w:val="24"/>
                <w:color w:val="auto"/>
              </w:rPr>
            </w:pPr>
          </w:p>
        </w:tc>
        <w:tc>
          <w:tcPr>
            <w:tcW w:w="1640" w:type="dxa"/>
            <w:vAlign w:val="bottom"/>
          </w:tcPr>
          <w:p>
            <w:pPr>
              <w:jc w:val="right"/>
              <w:ind w:right="82"/>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340" w:type="dxa"/>
            <w:vAlign w:val="bottom"/>
            <w:tcBorders>
              <w:bottom w:val="single" w:sz="8" w:color="808080"/>
            </w:tcBorders>
          </w:tcPr>
          <w:p>
            <w:pPr>
              <w:spacing w:after="0"/>
              <w:rPr>
                <w:sz w:val="11"/>
                <w:szCs w:val="11"/>
                <w:color w:val="auto"/>
              </w:rPr>
            </w:pPr>
          </w:p>
        </w:tc>
        <w:tc>
          <w:tcPr>
            <w:tcW w:w="16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36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For the three-months ended March 31, 2018 and 2017, options and awards outstanding totaling 0.7 million shares and 8.0 million shares, respectively, were excluded from the calculations as their effect would have been antidilutive.</w:t>
      </w:r>
    </w:p>
    <w:p>
      <w:pPr>
        <w:spacing w:after="0" w:line="190" w:lineRule="exact"/>
        <w:rPr>
          <w:sz w:val="20"/>
          <w:szCs w:val="20"/>
          <w:color w:val="auto"/>
        </w:rPr>
      </w:pPr>
    </w:p>
    <w:p>
      <w:pPr>
        <w:ind w:left="640" w:hanging="632"/>
        <w:spacing w:after="0"/>
        <w:tabs>
          <w:tab w:leader="none" w:pos="6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SEGMENT INFORMATION</w:t>
      </w:r>
    </w:p>
    <w:p>
      <w:pPr>
        <w:spacing w:after="0" w:line="229" w:lineRule="exact"/>
        <w:rPr>
          <w:sz w:val="20"/>
          <w:szCs w:val="20"/>
          <w:color w:val="auto"/>
        </w:rPr>
      </w:pPr>
    </w:p>
    <w:p>
      <w:pPr>
        <w:ind w:right="40" w:firstLine="648"/>
        <w:spacing w:after="0" w:line="316" w:lineRule="auto"/>
        <w:rPr>
          <w:sz w:val="20"/>
          <w:szCs w:val="20"/>
          <w:color w:val="auto"/>
        </w:rPr>
      </w:pPr>
      <w:r>
        <w:rPr>
          <w:rFonts w:ascii="Arial" w:cs="Arial" w:eastAsia="Arial" w:hAnsi="Arial"/>
          <w:sz w:val="18"/>
          <w:szCs w:val="18"/>
          <w:color w:val="auto"/>
        </w:rPr>
        <w:t>The Company currently has three operating and reportable segments, (i) Monster Energy® Drinks segment, which is comprised of the Company’s Monster Energy® drinks, Monster Hydro® energy drinks and Mutant® Super Soda drinks, (ii) Strategic Brands segment, which is</w:t>
      </w:r>
    </w:p>
    <w:p>
      <w:pPr>
        <w:sectPr>
          <w:pgSz w:w="11900" w:h="16912" w:orient="portrait"/>
          <w:cols w:equalWidth="0" w:num="1">
            <w:col w:w="11460"/>
          </w:cols>
          <w:pgMar w:left="240" w:top="122" w:right="199" w:bottom="0" w:gutter="0" w:footer="0" w:header="0"/>
        </w:sectPr>
      </w:pPr>
    </w:p>
    <w:bookmarkStart w:id="17" w:name="page18"/>
    <w:bookmarkEnd w:id="17"/>
    <w:p>
      <w:pPr>
        <w:jc w:val="both"/>
        <w:spacing w:after="0" w:line="288" w:lineRule="auto"/>
        <w:rPr>
          <w:sz w:val="20"/>
          <w:szCs w:val="20"/>
          <w:color w:val="auto"/>
        </w:rPr>
      </w:pPr>
      <w:r>
        <w:rPr>
          <w:rFonts w:ascii="Arial" w:cs="Arial" w:eastAsia="Arial" w:hAnsi="Arial"/>
          <w:sz w:val="19"/>
          <w:szCs w:val="19"/>
          <w:color w:val="auto"/>
        </w:rPr>
        <w:t>comprised of the various energy drink brands acquired from TCCC in 2015, and (iii) Other segment, which is comprised of certain products sold by American Fruits &amp; Flavors LLC, a wholly-owned subsidiary of the Company, to independent third-party customers.</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The Company’s Monster Energy® Drinks segment primarily generates net operating revenues by selling ready-to-drink packaged drinks primarily to bottlers and full service beverage distributors. In some cases, the Company sells directly to retail grocery and specialty chains, wholesalers, club stores, mass merchandisers, convenience chains, food service customers and the military.</w:t>
      </w:r>
    </w:p>
    <w:p>
      <w:pPr>
        <w:spacing w:after="0" w:line="184" w:lineRule="exact"/>
        <w:rPr>
          <w:sz w:val="20"/>
          <w:szCs w:val="20"/>
          <w:color w:val="auto"/>
        </w:rPr>
      </w:pPr>
    </w:p>
    <w:p>
      <w:pPr>
        <w:jc w:val="both"/>
        <w:ind w:firstLine="695"/>
        <w:spacing w:after="0" w:line="316" w:lineRule="auto"/>
        <w:rPr>
          <w:sz w:val="20"/>
          <w:szCs w:val="20"/>
          <w:color w:val="auto"/>
        </w:rPr>
      </w:pPr>
      <w:r>
        <w:rPr>
          <w:rFonts w:ascii="Arial" w:cs="Arial" w:eastAsia="Arial" w:hAnsi="Arial"/>
          <w:sz w:val="16"/>
          <w:szCs w:val="16"/>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to other bottlers, full service distributors or retailers, including, retail grocery and specialty chains, wholesalers, club stores, mass merchandisers, convenience chains, food service customers, drug stores and the military. To a lesser extent, the Company’s Strategic Brands segment generates net operating revenues by selling certain ready-to-drink packaged energy drinks to bottlers and full service beverage distributors.</w:t>
      </w:r>
    </w:p>
    <w:p>
      <w:pPr>
        <w:spacing w:after="0" w:line="15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Generally, the Monster Energy® Drinks segment generates higher per case net operating revenues, but lower per case gross profit margins than the Strategic Brands segment.</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Corporate and unallocated amounts that do not relate to a reportable segment have been allocated to “Corporate &amp; Unallocated.” No asset information, other than goodwill and other intangible assets, has been provided for in the Company’s reportable segments as management does not measure or allocate such assets on a segment basis.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net revenues derived from the Company’s reportable segments and other financial information related thereto for the three-months ended March 31, 2018 and 2017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160" w:type="dxa"/>
            <w:vAlign w:val="bottom"/>
            <w:gridSpan w:val="5"/>
          </w:tcPr>
          <w:p>
            <w:pPr>
              <w:jc w:val="center"/>
              <w:ind w:right="341"/>
              <w:spacing w:after="0"/>
              <w:rPr>
                <w:sz w:val="20"/>
                <w:szCs w:val="20"/>
                <w:color w:val="auto"/>
              </w:rPr>
            </w:pPr>
            <w:r>
              <w:rPr>
                <w:rFonts w:ascii="Arial" w:cs="Arial" w:eastAsia="Arial" w:hAnsi="Arial"/>
                <w:sz w:val="20"/>
                <w:szCs w:val="20"/>
                <w:color w:val="auto"/>
                <w:w w:val="89"/>
              </w:rPr>
              <w:t>Three-Months Ended</w:t>
            </w:r>
          </w:p>
        </w:tc>
        <w:tc>
          <w:tcPr>
            <w:tcW w:w="0" w:type="dxa"/>
            <w:vAlign w:val="bottom"/>
          </w:tcPr>
          <w:p>
            <w:pPr>
              <w:spacing w:after="0"/>
              <w:rPr>
                <w:sz w:val="1"/>
                <w:szCs w:val="1"/>
                <w:color w:val="auto"/>
              </w:rPr>
            </w:pPr>
          </w:p>
        </w:tc>
      </w:tr>
      <w:tr>
        <w:trPr>
          <w:trHeight w:val="246"/>
        </w:trPr>
        <w:tc>
          <w:tcPr>
            <w:tcW w:w="47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4"/>
          </w:tcPr>
          <w:p>
            <w:pPr>
              <w:jc w:val="center"/>
              <w:ind w:left="681"/>
              <w:spacing w:after="0"/>
              <w:rPr>
                <w:sz w:val="20"/>
                <w:szCs w:val="20"/>
                <w:color w:val="auto"/>
              </w:rPr>
            </w:pPr>
            <w:r>
              <w:rPr>
                <w:rFonts w:ascii="Arial" w:cs="Arial" w:eastAsia="Arial" w:hAnsi="Arial"/>
                <w:sz w:val="20"/>
                <w:szCs w:val="20"/>
                <w:color w:val="auto"/>
                <w:w w:val="92"/>
              </w:rPr>
              <w:t>March 31,</w:t>
            </w: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20" w:type="dxa"/>
            <w:vAlign w:val="bottom"/>
            <w:vMerge w:val="restart"/>
          </w:tcPr>
          <w:p>
            <w:pPr>
              <w:spacing w:after="0"/>
              <w:rPr>
                <w:sz w:val="20"/>
                <w:szCs w:val="20"/>
                <w:color w:val="auto"/>
              </w:rPr>
            </w:pPr>
            <w:r>
              <w:rPr>
                <w:rFonts w:ascii="Arial" w:cs="Arial" w:eastAsia="Arial" w:hAnsi="Arial"/>
                <w:sz w:val="20"/>
                <w:szCs w:val="20"/>
                <w:color w:val="auto"/>
              </w:rPr>
              <w:t>Net sales:</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41"/>
              <w:spacing w:after="0" w:line="223" w:lineRule="exact"/>
              <w:rPr>
                <w:sz w:val="20"/>
                <w:szCs w:val="20"/>
                <w:color w:val="auto"/>
              </w:rPr>
            </w:pPr>
            <w:r>
              <w:rPr>
                <w:rFonts w:ascii="Arial" w:cs="Arial" w:eastAsia="Arial" w:hAnsi="Arial"/>
                <w:sz w:val="20"/>
                <w:szCs w:val="20"/>
                <w:color w:val="auto"/>
              </w:rPr>
              <w:t>2018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21"/>
              <w:spacing w:after="0" w:line="223" w:lineRule="exact"/>
              <w:rPr>
                <w:sz w:val="20"/>
                <w:szCs w:val="20"/>
                <w:color w:val="auto"/>
              </w:rPr>
            </w:pPr>
            <w:r>
              <w:rPr>
                <w:rFonts w:ascii="Arial" w:cs="Arial" w:eastAsia="Arial" w:hAnsi="Arial"/>
                <w:sz w:val="20"/>
                <w:szCs w:val="20"/>
                <w:color w:val="auto"/>
              </w:rPr>
              <w:t>2017</w:t>
            </w:r>
          </w:p>
        </w:tc>
        <w:tc>
          <w:tcPr>
            <w:tcW w:w="0" w:type="dxa"/>
            <w:vAlign w:val="bottom"/>
          </w:tcPr>
          <w:p>
            <w:pPr>
              <w:spacing w:after="0"/>
              <w:rPr>
                <w:sz w:val="1"/>
                <w:szCs w:val="1"/>
                <w:color w:val="auto"/>
              </w:rPr>
            </w:pPr>
          </w:p>
        </w:tc>
      </w:tr>
      <w:tr>
        <w:trPr>
          <w:trHeight w:val="193"/>
        </w:trPr>
        <w:tc>
          <w:tcPr>
            <w:tcW w:w="472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40"/>
              <w:spacing w:after="0"/>
              <w:rPr>
                <w:sz w:val="20"/>
                <w:szCs w:val="20"/>
                <w:color w:val="auto"/>
              </w:rPr>
            </w:pPr>
            <w:r>
              <w:rPr>
                <w:rFonts w:ascii="Arial" w:cs="Arial" w:eastAsia="Arial" w:hAnsi="Arial"/>
                <w:sz w:val="20"/>
                <w:szCs w:val="20"/>
                <w:color w:val="auto"/>
              </w:rPr>
              <w:t>Monster Energy® Drinks</w:t>
            </w:r>
            <w:r>
              <w:rPr>
                <w:rFonts w:ascii="Arial" w:cs="Arial" w:eastAsia="Arial" w:hAnsi="Arial"/>
                <w:sz w:val="12"/>
                <w:szCs w:val="12"/>
                <w:color w:val="auto"/>
              </w:rPr>
              <w:t>(</w:t>
            </w:r>
            <w:r>
              <w:rPr>
                <w:rFonts w:ascii="Arial" w:cs="Arial" w:eastAsia="Arial" w:hAnsi="Arial"/>
                <w:sz w:val="20"/>
                <w:szCs w:val="20"/>
                <w:color w:val="auto"/>
              </w:rPr>
              <w:t>¹</w:t>
            </w:r>
            <w:r>
              <w:rPr>
                <w:rFonts w:ascii="Arial" w:cs="Arial" w:eastAsia="Arial" w:hAnsi="Arial"/>
                <w:sz w:val="12"/>
                <w:szCs w:val="12"/>
                <w:color w:val="auto"/>
              </w:rPr>
              <w:t>)</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41"/>
              <w:spacing w:after="0"/>
              <w:rPr>
                <w:sz w:val="20"/>
                <w:szCs w:val="20"/>
                <w:color w:val="auto"/>
              </w:rPr>
            </w:pPr>
            <w:r>
              <w:rPr>
                <w:rFonts w:ascii="Arial" w:cs="Arial" w:eastAsia="Arial" w:hAnsi="Arial"/>
                <w:sz w:val="20"/>
                <w:szCs w:val="20"/>
                <w:color w:val="auto"/>
              </w:rPr>
              <w:t>780,505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668,571</w:t>
            </w:r>
          </w:p>
        </w:tc>
        <w:tc>
          <w:tcPr>
            <w:tcW w:w="0" w:type="dxa"/>
            <w:vAlign w:val="bottom"/>
          </w:tcPr>
          <w:p>
            <w:pPr>
              <w:spacing w:after="0"/>
              <w:rPr>
                <w:sz w:val="1"/>
                <w:szCs w:val="1"/>
                <w:color w:val="auto"/>
              </w:rPr>
            </w:pPr>
          </w:p>
        </w:tc>
      </w:tr>
      <w:tr>
        <w:trPr>
          <w:trHeight w:val="230"/>
        </w:trPr>
        <w:tc>
          <w:tcPr>
            <w:tcW w:w="4720" w:type="dxa"/>
            <w:vAlign w:val="bottom"/>
          </w:tcPr>
          <w:p>
            <w:pPr>
              <w:ind w:left="240"/>
              <w:spacing w:after="0"/>
              <w:rPr>
                <w:sz w:val="20"/>
                <w:szCs w:val="20"/>
                <w:color w:val="auto"/>
              </w:rPr>
            </w:pPr>
            <w:r>
              <w:rPr>
                <w:rFonts w:ascii="Arial" w:cs="Arial" w:eastAsia="Arial" w:hAnsi="Arial"/>
                <w:sz w:val="20"/>
                <w:szCs w:val="20"/>
                <w:color w:val="auto"/>
              </w:rPr>
              <w:t>Strategic Brands</w:t>
            </w:r>
          </w:p>
        </w:tc>
        <w:tc>
          <w:tcPr>
            <w:tcW w:w="440" w:type="dxa"/>
            <w:vAlign w:val="bottom"/>
          </w:tcPr>
          <w:p>
            <w:pPr>
              <w:spacing w:after="0"/>
              <w:rPr>
                <w:sz w:val="19"/>
                <w:szCs w:val="19"/>
                <w:color w:val="auto"/>
              </w:rPr>
            </w:pPr>
          </w:p>
        </w:tc>
        <w:tc>
          <w:tcPr>
            <w:tcW w:w="1240" w:type="dxa"/>
            <w:vAlign w:val="bottom"/>
          </w:tcPr>
          <w:p>
            <w:pPr>
              <w:jc w:val="right"/>
              <w:ind w:right="41"/>
              <w:spacing w:after="0"/>
              <w:rPr>
                <w:sz w:val="20"/>
                <w:szCs w:val="20"/>
                <w:color w:val="auto"/>
              </w:rPr>
            </w:pPr>
            <w:r>
              <w:rPr>
                <w:rFonts w:ascii="Arial" w:cs="Arial" w:eastAsia="Arial" w:hAnsi="Arial"/>
                <w:sz w:val="20"/>
                <w:szCs w:val="20"/>
                <w:color w:val="auto"/>
              </w:rPr>
              <w:t>65,759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68,036</w:t>
            </w:r>
          </w:p>
        </w:tc>
        <w:tc>
          <w:tcPr>
            <w:tcW w:w="0" w:type="dxa"/>
            <w:vAlign w:val="bottom"/>
          </w:tcPr>
          <w:p>
            <w:pPr>
              <w:spacing w:after="0"/>
              <w:rPr>
                <w:sz w:val="1"/>
                <w:szCs w:val="1"/>
                <w:color w:val="auto"/>
              </w:rPr>
            </w:pPr>
          </w:p>
        </w:tc>
      </w:tr>
      <w:tr>
        <w:trPr>
          <w:trHeight w:val="230"/>
        </w:trPr>
        <w:tc>
          <w:tcPr>
            <w:tcW w:w="4720" w:type="dxa"/>
            <w:vAlign w:val="bottom"/>
          </w:tcPr>
          <w:p>
            <w:pPr>
              <w:ind w:left="240"/>
              <w:spacing w:after="0"/>
              <w:rPr>
                <w:sz w:val="20"/>
                <w:szCs w:val="20"/>
                <w:color w:val="auto"/>
              </w:rPr>
            </w:pPr>
            <w:r>
              <w:rPr>
                <w:rFonts w:ascii="Arial" w:cs="Arial" w:eastAsia="Arial" w:hAnsi="Arial"/>
                <w:sz w:val="20"/>
                <w:szCs w:val="20"/>
                <w:color w:val="auto"/>
              </w:rPr>
              <w:t>Other</w:t>
            </w:r>
          </w:p>
        </w:tc>
        <w:tc>
          <w:tcPr>
            <w:tcW w:w="440" w:type="dxa"/>
            <w:vAlign w:val="bottom"/>
          </w:tcPr>
          <w:p>
            <w:pPr>
              <w:spacing w:after="0"/>
              <w:rPr>
                <w:sz w:val="19"/>
                <w:szCs w:val="19"/>
                <w:color w:val="auto"/>
              </w:rPr>
            </w:pPr>
          </w:p>
        </w:tc>
        <w:tc>
          <w:tcPr>
            <w:tcW w:w="1240" w:type="dxa"/>
            <w:vAlign w:val="bottom"/>
          </w:tcPr>
          <w:p>
            <w:pPr>
              <w:jc w:val="right"/>
              <w:ind w:right="41"/>
              <w:spacing w:after="0"/>
              <w:rPr>
                <w:sz w:val="20"/>
                <w:szCs w:val="20"/>
                <w:color w:val="auto"/>
              </w:rPr>
            </w:pPr>
            <w:r>
              <w:rPr>
                <w:rFonts w:ascii="Arial" w:cs="Arial" w:eastAsia="Arial" w:hAnsi="Arial"/>
                <w:sz w:val="20"/>
                <w:szCs w:val="20"/>
                <w:color w:val="auto"/>
              </w:rPr>
              <w:t>4,657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5,539</w:t>
            </w:r>
          </w:p>
        </w:tc>
        <w:tc>
          <w:tcPr>
            <w:tcW w:w="0" w:type="dxa"/>
            <w:vAlign w:val="bottom"/>
          </w:tcPr>
          <w:p>
            <w:pPr>
              <w:spacing w:after="0"/>
              <w:rPr>
                <w:sz w:val="1"/>
                <w:szCs w:val="1"/>
                <w:color w:val="auto"/>
              </w:rPr>
            </w:pPr>
          </w:p>
        </w:tc>
      </w:tr>
      <w:tr>
        <w:trPr>
          <w:trHeight w:val="246"/>
        </w:trPr>
        <w:tc>
          <w:tcPr>
            <w:tcW w:w="4720" w:type="dxa"/>
            <w:vAlign w:val="bottom"/>
          </w:tcPr>
          <w:p>
            <w:pPr>
              <w:ind w:left="240"/>
              <w:spacing w:after="0"/>
              <w:rPr>
                <w:sz w:val="20"/>
                <w:szCs w:val="20"/>
                <w:color w:val="auto"/>
              </w:rPr>
            </w:pPr>
            <w:r>
              <w:rPr>
                <w:rFonts w:ascii="Arial" w:cs="Arial" w:eastAsia="Arial" w:hAnsi="Arial"/>
                <w:sz w:val="20"/>
                <w:szCs w:val="20"/>
                <w:color w:val="auto"/>
              </w:rPr>
              <w:t>Corporate and unallocated</w:t>
            </w:r>
          </w:p>
        </w:tc>
        <w:tc>
          <w:tcPr>
            <w:tcW w:w="4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4720" w:type="dxa"/>
            <w:vAlign w:val="bottom"/>
          </w:tcPr>
          <w:p>
            <w:pPr>
              <w:spacing w:after="0"/>
              <w:rPr>
                <w:sz w:val="19"/>
                <w:szCs w:val="19"/>
                <w:color w:val="auto"/>
              </w:rPr>
            </w:pPr>
          </w:p>
        </w:tc>
        <w:tc>
          <w:tcPr>
            <w:tcW w:w="44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850,921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742,146</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60" w:type="dxa"/>
            <w:vAlign w:val="bottom"/>
            <w:gridSpan w:val="5"/>
          </w:tcPr>
          <w:p>
            <w:pPr>
              <w:jc w:val="center"/>
              <w:ind w:right="341"/>
              <w:spacing w:after="0"/>
              <w:rPr>
                <w:sz w:val="20"/>
                <w:szCs w:val="20"/>
                <w:color w:val="auto"/>
              </w:rPr>
            </w:pPr>
            <w:r>
              <w:rPr>
                <w:rFonts w:ascii="Arial" w:cs="Arial" w:eastAsia="Arial" w:hAnsi="Arial"/>
                <w:sz w:val="20"/>
                <w:szCs w:val="20"/>
                <w:color w:val="auto"/>
                <w:w w:val="89"/>
              </w:rPr>
              <w:t>Three-Months Ended</w:t>
            </w:r>
          </w:p>
        </w:tc>
        <w:tc>
          <w:tcPr>
            <w:tcW w:w="0" w:type="dxa"/>
            <w:vAlign w:val="bottom"/>
          </w:tcPr>
          <w:p>
            <w:pPr>
              <w:spacing w:after="0"/>
              <w:rPr>
                <w:sz w:val="1"/>
                <w:szCs w:val="1"/>
                <w:color w:val="auto"/>
              </w:rPr>
            </w:pPr>
          </w:p>
        </w:tc>
      </w:tr>
      <w:tr>
        <w:trPr>
          <w:trHeight w:val="246"/>
        </w:trPr>
        <w:tc>
          <w:tcPr>
            <w:tcW w:w="47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4"/>
          </w:tcPr>
          <w:p>
            <w:pPr>
              <w:jc w:val="center"/>
              <w:ind w:left="681"/>
              <w:spacing w:after="0"/>
              <w:rPr>
                <w:sz w:val="20"/>
                <w:szCs w:val="20"/>
                <w:color w:val="auto"/>
              </w:rPr>
            </w:pPr>
            <w:r>
              <w:rPr>
                <w:rFonts w:ascii="Arial" w:cs="Arial" w:eastAsia="Arial" w:hAnsi="Arial"/>
                <w:sz w:val="20"/>
                <w:szCs w:val="20"/>
                <w:color w:val="auto"/>
                <w:w w:val="92"/>
              </w:rPr>
              <w:t>March 31,</w:t>
            </w: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20" w:type="dxa"/>
            <w:vAlign w:val="bottom"/>
            <w:vMerge w:val="restart"/>
          </w:tcPr>
          <w:p>
            <w:pPr>
              <w:spacing w:after="0"/>
              <w:rPr>
                <w:sz w:val="20"/>
                <w:szCs w:val="20"/>
                <w:color w:val="auto"/>
              </w:rPr>
            </w:pPr>
            <w:r>
              <w:rPr>
                <w:rFonts w:ascii="Arial" w:cs="Arial" w:eastAsia="Arial" w:hAnsi="Arial"/>
                <w:sz w:val="20"/>
                <w:szCs w:val="20"/>
                <w:color w:val="auto"/>
              </w:rPr>
              <w:t>Operating Income:</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41"/>
              <w:spacing w:after="0" w:line="223" w:lineRule="exact"/>
              <w:rPr>
                <w:sz w:val="20"/>
                <w:szCs w:val="20"/>
                <w:color w:val="auto"/>
              </w:rPr>
            </w:pPr>
            <w:r>
              <w:rPr>
                <w:rFonts w:ascii="Arial" w:cs="Arial" w:eastAsia="Arial" w:hAnsi="Arial"/>
                <w:sz w:val="20"/>
                <w:szCs w:val="20"/>
                <w:color w:val="auto"/>
              </w:rPr>
              <w:t>2018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21"/>
              <w:spacing w:after="0" w:line="223" w:lineRule="exact"/>
              <w:rPr>
                <w:sz w:val="20"/>
                <w:szCs w:val="20"/>
                <w:color w:val="auto"/>
              </w:rPr>
            </w:pPr>
            <w:r>
              <w:rPr>
                <w:rFonts w:ascii="Arial" w:cs="Arial" w:eastAsia="Arial" w:hAnsi="Arial"/>
                <w:sz w:val="20"/>
                <w:szCs w:val="20"/>
                <w:color w:val="auto"/>
              </w:rPr>
              <w:t>2017</w:t>
            </w:r>
          </w:p>
        </w:tc>
        <w:tc>
          <w:tcPr>
            <w:tcW w:w="0" w:type="dxa"/>
            <w:vAlign w:val="bottom"/>
          </w:tcPr>
          <w:p>
            <w:pPr>
              <w:spacing w:after="0"/>
              <w:rPr>
                <w:sz w:val="1"/>
                <w:szCs w:val="1"/>
                <w:color w:val="auto"/>
              </w:rPr>
            </w:pPr>
          </w:p>
        </w:tc>
      </w:tr>
      <w:tr>
        <w:trPr>
          <w:trHeight w:val="193"/>
        </w:trPr>
        <w:tc>
          <w:tcPr>
            <w:tcW w:w="472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40"/>
              <w:spacing w:after="0"/>
              <w:rPr>
                <w:sz w:val="20"/>
                <w:szCs w:val="20"/>
                <w:color w:val="auto"/>
              </w:rPr>
            </w:pPr>
            <w:r>
              <w:rPr>
                <w:rFonts w:ascii="Arial" w:cs="Arial" w:eastAsia="Arial" w:hAnsi="Arial"/>
                <w:sz w:val="20"/>
                <w:szCs w:val="20"/>
                <w:color w:val="auto"/>
              </w:rPr>
              <w:t>Monster Energy® Drinks</w:t>
            </w:r>
            <w:r>
              <w:rPr>
                <w:rFonts w:ascii="Arial" w:cs="Arial" w:eastAsia="Arial" w:hAnsi="Arial"/>
                <w:sz w:val="12"/>
                <w:szCs w:val="12"/>
                <w:color w:val="auto"/>
              </w:rPr>
              <w:t>(</w:t>
            </w:r>
            <w:r>
              <w:rPr>
                <w:rFonts w:ascii="Arial" w:cs="Arial" w:eastAsia="Arial" w:hAnsi="Arial"/>
                <w:sz w:val="20"/>
                <w:szCs w:val="20"/>
                <w:color w:val="auto"/>
              </w:rPr>
              <w:t>¹</w:t>
            </w:r>
            <w:r>
              <w:rPr>
                <w:rFonts w:ascii="Arial" w:cs="Arial" w:eastAsia="Arial" w:hAnsi="Arial"/>
                <w:sz w:val="12"/>
                <w:szCs w:val="12"/>
                <w:color w:val="auto"/>
              </w:rPr>
              <w:t>) (</w:t>
            </w:r>
            <w:r>
              <w:rPr>
                <w:rFonts w:ascii="Arial" w:cs="Arial" w:eastAsia="Arial" w:hAnsi="Arial"/>
                <w:sz w:val="20"/>
                <w:szCs w:val="20"/>
                <w:color w:val="auto"/>
              </w:rPr>
              <w:t>²</w:t>
            </w:r>
            <w:r>
              <w:rPr>
                <w:rFonts w:ascii="Arial" w:cs="Arial" w:eastAsia="Arial" w:hAnsi="Arial"/>
                <w:sz w:val="12"/>
                <w:szCs w:val="12"/>
                <w:color w:val="auto"/>
              </w:rPr>
              <w:t>)</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41"/>
              <w:spacing w:after="0"/>
              <w:rPr>
                <w:sz w:val="20"/>
                <w:szCs w:val="20"/>
                <w:color w:val="auto"/>
              </w:rPr>
            </w:pPr>
            <w:r>
              <w:rPr>
                <w:rFonts w:ascii="Arial" w:cs="Arial" w:eastAsia="Arial" w:hAnsi="Arial"/>
                <w:sz w:val="20"/>
                <w:szCs w:val="20"/>
                <w:color w:val="auto"/>
              </w:rPr>
              <w:t>301,702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279,431</w:t>
            </w:r>
          </w:p>
        </w:tc>
        <w:tc>
          <w:tcPr>
            <w:tcW w:w="0" w:type="dxa"/>
            <w:vAlign w:val="bottom"/>
          </w:tcPr>
          <w:p>
            <w:pPr>
              <w:spacing w:after="0"/>
              <w:rPr>
                <w:sz w:val="1"/>
                <w:szCs w:val="1"/>
                <w:color w:val="auto"/>
              </w:rPr>
            </w:pPr>
          </w:p>
        </w:tc>
      </w:tr>
      <w:tr>
        <w:trPr>
          <w:trHeight w:val="230"/>
        </w:trPr>
        <w:tc>
          <w:tcPr>
            <w:tcW w:w="4720" w:type="dxa"/>
            <w:vAlign w:val="bottom"/>
          </w:tcPr>
          <w:p>
            <w:pPr>
              <w:ind w:left="240"/>
              <w:spacing w:after="0"/>
              <w:rPr>
                <w:sz w:val="20"/>
                <w:szCs w:val="20"/>
                <w:color w:val="auto"/>
              </w:rPr>
            </w:pPr>
            <w:r>
              <w:rPr>
                <w:rFonts w:ascii="Arial" w:cs="Arial" w:eastAsia="Arial" w:hAnsi="Arial"/>
                <w:sz w:val="20"/>
                <w:szCs w:val="20"/>
                <w:color w:val="auto"/>
              </w:rPr>
              <w:t>Strategic Brands</w:t>
            </w:r>
          </w:p>
        </w:tc>
        <w:tc>
          <w:tcPr>
            <w:tcW w:w="440" w:type="dxa"/>
            <w:vAlign w:val="bottom"/>
          </w:tcPr>
          <w:p>
            <w:pPr>
              <w:spacing w:after="0"/>
              <w:rPr>
                <w:sz w:val="19"/>
                <w:szCs w:val="19"/>
                <w:color w:val="auto"/>
              </w:rPr>
            </w:pPr>
          </w:p>
        </w:tc>
        <w:tc>
          <w:tcPr>
            <w:tcW w:w="1240" w:type="dxa"/>
            <w:vAlign w:val="bottom"/>
          </w:tcPr>
          <w:p>
            <w:pPr>
              <w:jc w:val="right"/>
              <w:ind w:right="41"/>
              <w:spacing w:after="0"/>
              <w:rPr>
                <w:sz w:val="20"/>
                <w:szCs w:val="20"/>
                <w:color w:val="auto"/>
              </w:rPr>
            </w:pPr>
            <w:r>
              <w:rPr>
                <w:rFonts w:ascii="Arial" w:cs="Arial" w:eastAsia="Arial" w:hAnsi="Arial"/>
                <w:sz w:val="20"/>
                <w:szCs w:val="20"/>
                <w:color w:val="auto"/>
              </w:rPr>
              <w:t>42,602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42,106</w:t>
            </w:r>
          </w:p>
        </w:tc>
        <w:tc>
          <w:tcPr>
            <w:tcW w:w="0" w:type="dxa"/>
            <w:vAlign w:val="bottom"/>
          </w:tcPr>
          <w:p>
            <w:pPr>
              <w:spacing w:after="0"/>
              <w:rPr>
                <w:sz w:val="1"/>
                <w:szCs w:val="1"/>
                <w:color w:val="auto"/>
              </w:rPr>
            </w:pPr>
          </w:p>
        </w:tc>
      </w:tr>
      <w:tr>
        <w:trPr>
          <w:trHeight w:val="230"/>
        </w:trPr>
        <w:tc>
          <w:tcPr>
            <w:tcW w:w="4720" w:type="dxa"/>
            <w:vAlign w:val="bottom"/>
          </w:tcPr>
          <w:p>
            <w:pPr>
              <w:ind w:left="240"/>
              <w:spacing w:after="0"/>
              <w:rPr>
                <w:sz w:val="20"/>
                <w:szCs w:val="20"/>
                <w:color w:val="auto"/>
              </w:rPr>
            </w:pPr>
            <w:r>
              <w:rPr>
                <w:rFonts w:ascii="Arial" w:cs="Arial" w:eastAsia="Arial" w:hAnsi="Arial"/>
                <w:sz w:val="20"/>
                <w:szCs w:val="20"/>
                <w:color w:val="auto"/>
              </w:rPr>
              <w:t>Other</w:t>
            </w:r>
          </w:p>
        </w:tc>
        <w:tc>
          <w:tcPr>
            <w:tcW w:w="440" w:type="dxa"/>
            <w:vAlign w:val="bottom"/>
          </w:tcPr>
          <w:p>
            <w:pPr>
              <w:spacing w:after="0"/>
              <w:rPr>
                <w:sz w:val="19"/>
                <w:szCs w:val="19"/>
                <w:color w:val="auto"/>
              </w:rPr>
            </w:pPr>
          </w:p>
        </w:tc>
        <w:tc>
          <w:tcPr>
            <w:tcW w:w="1240" w:type="dxa"/>
            <w:vAlign w:val="bottom"/>
          </w:tcPr>
          <w:p>
            <w:pPr>
              <w:jc w:val="right"/>
              <w:ind w:right="41"/>
              <w:spacing w:after="0"/>
              <w:rPr>
                <w:sz w:val="20"/>
                <w:szCs w:val="20"/>
                <w:color w:val="auto"/>
              </w:rPr>
            </w:pPr>
            <w:r>
              <w:rPr>
                <w:rFonts w:ascii="Arial" w:cs="Arial" w:eastAsia="Arial" w:hAnsi="Arial"/>
                <w:sz w:val="20"/>
                <w:szCs w:val="20"/>
                <w:color w:val="auto"/>
              </w:rPr>
              <w:t>971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1,416</w:t>
            </w:r>
          </w:p>
        </w:tc>
        <w:tc>
          <w:tcPr>
            <w:tcW w:w="0" w:type="dxa"/>
            <w:vAlign w:val="bottom"/>
          </w:tcPr>
          <w:p>
            <w:pPr>
              <w:spacing w:after="0"/>
              <w:rPr>
                <w:sz w:val="1"/>
                <w:szCs w:val="1"/>
                <w:color w:val="auto"/>
              </w:rPr>
            </w:pPr>
          </w:p>
        </w:tc>
      </w:tr>
      <w:tr>
        <w:trPr>
          <w:trHeight w:val="246"/>
        </w:trPr>
        <w:tc>
          <w:tcPr>
            <w:tcW w:w="4720" w:type="dxa"/>
            <w:vAlign w:val="bottom"/>
          </w:tcPr>
          <w:p>
            <w:pPr>
              <w:ind w:left="240"/>
              <w:spacing w:after="0"/>
              <w:rPr>
                <w:sz w:val="20"/>
                <w:szCs w:val="20"/>
                <w:color w:val="auto"/>
              </w:rPr>
            </w:pPr>
            <w:r>
              <w:rPr>
                <w:rFonts w:ascii="Arial" w:cs="Arial" w:eastAsia="Arial" w:hAnsi="Arial"/>
                <w:sz w:val="20"/>
                <w:szCs w:val="20"/>
                <w:color w:val="auto"/>
              </w:rPr>
              <w:t>Corporate and unallocated</w:t>
            </w:r>
          </w:p>
        </w:tc>
        <w:tc>
          <w:tcPr>
            <w:tcW w:w="4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(65,360)</w:t>
            </w:r>
          </w:p>
        </w:tc>
        <w:tc>
          <w:tcPr>
            <w:tcW w:w="2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(58,691)</w:t>
            </w:r>
          </w:p>
        </w:tc>
        <w:tc>
          <w:tcPr>
            <w:tcW w:w="0" w:type="dxa"/>
            <w:vAlign w:val="bottom"/>
          </w:tcPr>
          <w:p>
            <w:pPr>
              <w:spacing w:after="0"/>
              <w:rPr>
                <w:sz w:val="1"/>
                <w:szCs w:val="1"/>
                <w:color w:val="auto"/>
              </w:rPr>
            </w:pPr>
          </w:p>
        </w:tc>
      </w:tr>
      <w:tr>
        <w:trPr>
          <w:trHeight w:val="223"/>
        </w:trPr>
        <w:tc>
          <w:tcPr>
            <w:tcW w:w="4720" w:type="dxa"/>
            <w:vAlign w:val="bottom"/>
          </w:tcPr>
          <w:p>
            <w:pPr>
              <w:spacing w:after="0"/>
              <w:rPr>
                <w:sz w:val="19"/>
                <w:szCs w:val="19"/>
                <w:color w:val="auto"/>
              </w:rPr>
            </w:pPr>
          </w:p>
        </w:tc>
        <w:tc>
          <w:tcPr>
            <w:tcW w:w="44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279,915</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264,262</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2"/>
        </w:trPr>
        <w:tc>
          <w:tcPr>
            <w:tcW w:w="4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60" w:type="dxa"/>
            <w:vAlign w:val="bottom"/>
            <w:gridSpan w:val="5"/>
          </w:tcPr>
          <w:p>
            <w:pPr>
              <w:jc w:val="center"/>
              <w:ind w:right="341"/>
              <w:spacing w:after="0"/>
              <w:rPr>
                <w:sz w:val="20"/>
                <w:szCs w:val="20"/>
                <w:color w:val="auto"/>
              </w:rPr>
            </w:pPr>
            <w:r>
              <w:rPr>
                <w:rFonts w:ascii="Arial" w:cs="Arial" w:eastAsia="Arial" w:hAnsi="Arial"/>
                <w:sz w:val="20"/>
                <w:szCs w:val="20"/>
                <w:color w:val="auto"/>
                <w:w w:val="89"/>
              </w:rPr>
              <w:t>Three-Months Ended</w:t>
            </w:r>
          </w:p>
        </w:tc>
        <w:tc>
          <w:tcPr>
            <w:tcW w:w="0" w:type="dxa"/>
            <w:vAlign w:val="bottom"/>
          </w:tcPr>
          <w:p>
            <w:pPr>
              <w:spacing w:after="0"/>
              <w:rPr>
                <w:sz w:val="1"/>
                <w:szCs w:val="1"/>
                <w:color w:val="auto"/>
              </w:rPr>
            </w:pPr>
          </w:p>
        </w:tc>
      </w:tr>
      <w:tr>
        <w:trPr>
          <w:trHeight w:val="246"/>
        </w:trPr>
        <w:tc>
          <w:tcPr>
            <w:tcW w:w="47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4"/>
          </w:tcPr>
          <w:p>
            <w:pPr>
              <w:jc w:val="center"/>
              <w:ind w:left="681"/>
              <w:spacing w:after="0"/>
              <w:rPr>
                <w:sz w:val="20"/>
                <w:szCs w:val="20"/>
                <w:color w:val="auto"/>
              </w:rPr>
            </w:pPr>
            <w:r>
              <w:rPr>
                <w:rFonts w:ascii="Arial" w:cs="Arial" w:eastAsia="Arial" w:hAnsi="Arial"/>
                <w:sz w:val="20"/>
                <w:szCs w:val="20"/>
                <w:color w:val="auto"/>
                <w:w w:val="92"/>
              </w:rPr>
              <w:t>March 31,</w:t>
            </w: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20" w:type="dxa"/>
            <w:vAlign w:val="bottom"/>
            <w:vMerge w:val="restart"/>
          </w:tcPr>
          <w:p>
            <w:pPr>
              <w:spacing w:after="0"/>
              <w:rPr>
                <w:sz w:val="20"/>
                <w:szCs w:val="20"/>
                <w:color w:val="auto"/>
              </w:rPr>
            </w:pPr>
            <w:r>
              <w:rPr>
                <w:rFonts w:ascii="Arial" w:cs="Arial" w:eastAsia="Arial" w:hAnsi="Arial"/>
                <w:sz w:val="20"/>
                <w:szCs w:val="20"/>
                <w:color w:val="auto"/>
              </w:rPr>
              <w:t>Income before tax:</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41"/>
              <w:spacing w:after="0" w:line="223" w:lineRule="exact"/>
              <w:rPr>
                <w:sz w:val="20"/>
                <w:szCs w:val="20"/>
                <w:color w:val="auto"/>
              </w:rPr>
            </w:pPr>
            <w:r>
              <w:rPr>
                <w:rFonts w:ascii="Arial" w:cs="Arial" w:eastAsia="Arial" w:hAnsi="Arial"/>
                <w:sz w:val="20"/>
                <w:szCs w:val="20"/>
                <w:color w:val="auto"/>
              </w:rPr>
              <w:t>2018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21"/>
              <w:spacing w:after="0" w:line="223" w:lineRule="exact"/>
              <w:rPr>
                <w:sz w:val="20"/>
                <w:szCs w:val="20"/>
                <w:color w:val="auto"/>
              </w:rPr>
            </w:pPr>
            <w:r>
              <w:rPr>
                <w:rFonts w:ascii="Arial" w:cs="Arial" w:eastAsia="Arial" w:hAnsi="Arial"/>
                <w:sz w:val="20"/>
                <w:szCs w:val="20"/>
                <w:color w:val="auto"/>
              </w:rPr>
              <w:t>2017</w:t>
            </w:r>
          </w:p>
        </w:tc>
        <w:tc>
          <w:tcPr>
            <w:tcW w:w="0" w:type="dxa"/>
            <w:vAlign w:val="bottom"/>
          </w:tcPr>
          <w:p>
            <w:pPr>
              <w:spacing w:after="0"/>
              <w:rPr>
                <w:sz w:val="1"/>
                <w:szCs w:val="1"/>
                <w:color w:val="auto"/>
              </w:rPr>
            </w:pPr>
          </w:p>
        </w:tc>
      </w:tr>
      <w:tr>
        <w:trPr>
          <w:trHeight w:val="193"/>
        </w:trPr>
        <w:tc>
          <w:tcPr>
            <w:tcW w:w="472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40"/>
              <w:spacing w:after="0"/>
              <w:rPr>
                <w:sz w:val="20"/>
                <w:szCs w:val="20"/>
                <w:color w:val="auto"/>
              </w:rPr>
            </w:pPr>
            <w:r>
              <w:rPr>
                <w:rFonts w:ascii="Arial" w:cs="Arial" w:eastAsia="Arial" w:hAnsi="Arial"/>
                <w:sz w:val="20"/>
                <w:szCs w:val="20"/>
                <w:color w:val="auto"/>
              </w:rPr>
              <w:t>Monster Energy® Drinks</w:t>
            </w:r>
            <w:r>
              <w:rPr>
                <w:rFonts w:ascii="Arial" w:cs="Arial" w:eastAsia="Arial" w:hAnsi="Arial"/>
                <w:sz w:val="12"/>
                <w:szCs w:val="12"/>
                <w:color w:val="auto"/>
              </w:rPr>
              <w:t>(</w:t>
            </w:r>
            <w:r>
              <w:rPr>
                <w:rFonts w:ascii="Arial" w:cs="Arial" w:eastAsia="Arial" w:hAnsi="Arial"/>
                <w:sz w:val="20"/>
                <w:szCs w:val="20"/>
                <w:color w:val="auto"/>
              </w:rPr>
              <w:t>¹</w:t>
            </w:r>
            <w:r>
              <w:rPr>
                <w:rFonts w:ascii="Arial" w:cs="Arial" w:eastAsia="Arial" w:hAnsi="Arial"/>
                <w:sz w:val="12"/>
                <w:szCs w:val="12"/>
                <w:color w:val="auto"/>
              </w:rPr>
              <w:t>) (</w:t>
            </w:r>
            <w:r>
              <w:rPr>
                <w:rFonts w:ascii="Arial" w:cs="Arial" w:eastAsia="Arial" w:hAnsi="Arial"/>
                <w:sz w:val="20"/>
                <w:szCs w:val="20"/>
                <w:color w:val="auto"/>
              </w:rPr>
              <w:t>²</w:t>
            </w:r>
            <w:r>
              <w:rPr>
                <w:rFonts w:ascii="Arial" w:cs="Arial" w:eastAsia="Arial" w:hAnsi="Arial"/>
                <w:sz w:val="12"/>
                <w:szCs w:val="12"/>
                <w:color w:val="auto"/>
              </w:rPr>
              <w:t>)</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41"/>
              <w:spacing w:after="0"/>
              <w:rPr>
                <w:sz w:val="20"/>
                <w:szCs w:val="20"/>
                <w:color w:val="auto"/>
              </w:rPr>
            </w:pPr>
            <w:r>
              <w:rPr>
                <w:rFonts w:ascii="Arial" w:cs="Arial" w:eastAsia="Arial" w:hAnsi="Arial"/>
                <w:sz w:val="20"/>
                <w:szCs w:val="20"/>
                <w:color w:val="auto"/>
              </w:rPr>
              <w:t>301,964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279,335</w:t>
            </w:r>
          </w:p>
        </w:tc>
        <w:tc>
          <w:tcPr>
            <w:tcW w:w="0" w:type="dxa"/>
            <w:vAlign w:val="bottom"/>
          </w:tcPr>
          <w:p>
            <w:pPr>
              <w:spacing w:after="0"/>
              <w:rPr>
                <w:sz w:val="1"/>
                <w:szCs w:val="1"/>
                <w:color w:val="auto"/>
              </w:rPr>
            </w:pPr>
          </w:p>
        </w:tc>
      </w:tr>
      <w:tr>
        <w:trPr>
          <w:trHeight w:val="230"/>
        </w:trPr>
        <w:tc>
          <w:tcPr>
            <w:tcW w:w="4720" w:type="dxa"/>
            <w:vAlign w:val="bottom"/>
          </w:tcPr>
          <w:p>
            <w:pPr>
              <w:ind w:left="240"/>
              <w:spacing w:after="0"/>
              <w:rPr>
                <w:sz w:val="20"/>
                <w:szCs w:val="20"/>
                <w:color w:val="auto"/>
              </w:rPr>
            </w:pPr>
            <w:r>
              <w:rPr>
                <w:rFonts w:ascii="Arial" w:cs="Arial" w:eastAsia="Arial" w:hAnsi="Arial"/>
                <w:sz w:val="20"/>
                <w:szCs w:val="20"/>
                <w:color w:val="auto"/>
              </w:rPr>
              <w:t>Strategic Brands</w:t>
            </w:r>
          </w:p>
        </w:tc>
        <w:tc>
          <w:tcPr>
            <w:tcW w:w="440" w:type="dxa"/>
            <w:vAlign w:val="bottom"/>
          </w:tcPr>
          <w:p>
            <w:pPr>
              <w:spacing w:after="0"/>
              <w:rPr>
                <w:sz w:val="19"/>
                <w:szCs w:val="19"/>
                <w:color w:val="auto"/>
              </w:rPr>
            </w:pPr>
          </w:p>
        </w:tc>
        <w:tc>
          <w:tcPr>
            <w:tcW w:w="1240" w:type="dxa"/>
            <w:vAlign w:val="bottom"/>
          </w:tcPr>
          <w:p>
            <w:pPr>
              <w:jc w:val="right"/>
              <w:ind w:right="41"/>
              <w:spacing w:after="0"/>
              <w:rPr>
                <w:sz w:val="20"/>
                <w:szCs w:val="20"/>
                <w:color w:val="auto"/>
              </w:rPr>
            </w:pPr>
            <w:r>
              <w:rPr>
                <w:rFonts w:ascii="Arial" w:cs="Arial" w:eastAsia="Arial" w:hAnsi="Arial"/>
                <w:sz w:val="20"/>
                <w:szCs w:val="20"/>
                <w:color w:val="auto"/>
              </w:rPr>
              <w:t>42,583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42,094</w:t>
            </w:r>
          </w:p>
        </w:tc>
        <w:tc>
          <w:tcPr>
            <w:tcW w:w="0" w:type="dxa"/>
            <w:vAlign w:val="bottom"/>
          </w:tcPr>
          <w:p>
            <w:pPr>
              <w:spacing w:after="0"/>
              <w:rPr>
                <w:sz w:val="1"/>
                <w:szCs w:val="1"/>
                <w:color w:val="auto"/>
              </w:rPr>
            </w:pPr>
          </w:p>
        </w:tc>
      </w:tr>
      <w:tr>
        <w:trPr>
          <w:trHeight w:val="230"/>
        </w:trPr>
        <w:tc>
          <w:tcPr>
            <w:tcW w:w="4720" w:type="dxa"/>
            <w:vAlign w:val="bottom"/>
          </w:tcPr>
          <w:p>
            <w:pPr>
              <w:ind w:left="240"/>
              <w:spacing w:after="0"/>
              <w:rPr>
                <w:sz w:val="20"/>
                <w:szCs w:val="20"/>
                <w:color w:val="auto"/>
              </w:rPr>
            </w:pPr>
            <w:r>
              <w:rPr>
                <w:rFonts w:ascii="Arial" w:cs="Arial" w:eastAsia="Arial" w:hAnsi="Arial"/>
                <w:sz w:val="20"/>
                <w:szCs w:val="20"/>
                <w:color w:val="auto"/>
              </w:rPr>
              <w:t>Other</w:t>
            </w:r>
          </w:p>
        </w:tc>
        <w:tc>
          <w:tcPr>
            <w:tcW w:w="440" w:type="dxa"/>
            <w:vAlign w:val="bottom"/>
          </w:tcPr>
          <w:p>
            <w:pPr>
              <w:spacing w:after="0"/>
              <w:rPr>
                <w:sz w:val="19"/>
                <w:szCs w:val="19"/>
                <w:color w:val="auto"/>
              </w:rPr>
            </w:pPr>
          </w:p>
        </w:tc>
        <w:tc>
          <w:tcPr>
            <w:tcW w:w="1240" w:type="dxa"/>
            <w:vAlign w:val="bottom"/>
          </w:tcPr>
          <w:p>
            <w:pPr>
              <w:jc w:val="right"/>
              <w:ind w:right="41"/>
              <w:spacing w:after="0"/>
              <w:rPr>
                <w:sz w:val="20"/>
                <w:szCs w:val="20"/>
                <w:color w:val="auto"/>
              </w:rPr>
            </w:pPr>
            <w:r>
              <w:rPr>
                <w:rFonts w:ascii="Arial" w:cs="Arial" w:eastAsia="Arial" w:hAnsi="Arial"/>
                <w:sz w:val="20"/>
                <w:szCs w:val="20"/>
                <w:color w:val="auto"/>
              </w:rPr>
              <w:t>971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1,416</w:t>
            </w:r>
          </w:p>
        </w:tc>
        <w:tc>
          <w:tcPr>
            <w:tcW w:w="0" w:type="dxa"/>
            <w:vAlign w:val="bottom"/>
          </w:tcPr>
          <w:p>
            <w:pPr>
              <w:spacing w:after="0"/>
              <w:rPr>
                <w:sz w:val="1"/>
                <w:szCs w:val="1"/>
                <w:color w:val="auto"/>
              </w:rPr>
            </w:pPr>
          </w:p>
        </w:tc>
      </w:tr>
      <w:tr>
        <w:trPr>
          <w:trHeight w:val="246"/>
        </w:trPr>
        <w:tc>
          <w:tcPr>
            <w:tcW w:w="4720" w:type="dxa"/>
            <w:vAlign w:val="bottom"/>
          </w:tcPr>
          <w:p>
            <w:pPr>
              <w:ind w:left="240"/>
              <w:spacing w:after="0"/>
              <w:rPr>
                <w:sz w:val="20"/>
                <w:szCs w:val="20"/>
                <w:color w:val="auto"/>
              </w:rPr>
            </w:pPr>
            <w:r>
              <w:rPr>
                <w:rFonts w:ascii="Arial" w:cs="Arial" w:eastAsia="Arial" w:hAnsi="Arial"/>
                <w:sz w:val="20"/>
                <w:szCs w:val="20"/>
                <w:color w:val="auto"/>
              </w:rPr>
              <w:t>Corporate and unallocated</w:t>
            </w:r>
          </w:p>
        </w:tc>
        <w:tc>
          <w:tcPr>
            <w:tcW w:w="4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(63,798)</w:t>
            </w:r>
          </w:p>
        </w:tc>
        <w:tc>
          <w:tcPr>
            <w:tcW w:w="2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(57,925)</w:t>
            </w:r>
          </w:p>
        </w:tc>
        <w:tc>
          <w:tcPr>
            <w:tcW w:w="0" w:type="dxa"/>
            <w:vAlign w:val="bottom"/>
          </w:tcPr>
          <w:p>
            <w:pPr>
              <w:spacing w:after="0"/>
              <w:rPr>
                <w:sz w:val="1"/>
                <w:szCs w:val="1"/>
                <w:color w:val="auto"/>
              </w:rPr>
            </w:pPr>
          </w:p>
        </w:tc>
      </w:tr>
      <w:tr>
        <w:trPr>
          <w:trHeight w:val="223"/>
        </w:trPr>
        <w:tc>
          <w:tcPr>
            <w:tcW w:w="4720" w:type="dxa"/>
            <w:vAlign w:val="bottom"/>
          </w:tcPr>
          <w:p>
            <w:pPr>
              <w:spacing w:after="0"/>
              <w:rPr>
                <w:sz w:val="19"/>
                <w:szCs w:val="19"/>
                <w:color w:val="auto"/>
              </w:rPr>
            </w:pPr>
          </w:p>
        </w:tc>
        <w:tc>
          <w:tcPr>
            <w:tcW w:w="44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281,720</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264,920</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$11.2 million and $10.0 million for the three-months ended March 31, 2018 and 2017, respectively, related to the recognition of deferred revenue.</w:t>
      </w:r>
    </w:p>
    <w:p>
      <w:pPr>
        <w:spacing w:after="0" w:line="203" w:lineRule="exact"/>
        <w:rPr>
          <w:rFonts w:ascii="Arial" w:cs="Arial" w:eastAsia="Arial" w:hAnsi="Arial"/>
          <w:sz w:val="14"/>
          <w:szCs w:val="14"/>
          <w:i w:val="1"/>
          <w:iCs w:val="1"/>
          <w:color w:val="auto"/>
        </w:rPr>
      </w:pPr>
    </w:p>
    <w:p>
      <w:pPr>
        <w:ind w:left="640" w:hanging="308"/>
        <w:spacing w:after="0"/>
        <w:tabs>
          <w:tab w:leader="none" w:pos="640"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$7.0 million and $19.9 million for the three-months ended March 31, 2018 and 2017, respectively, related to distributor termination costs.</w:t>
      </w:r>
    </w:p>
    <w:p>
      <w:pPr>
        <w:sectPr>
          <w:pgSz w:w="11900" w:h="16838" w:orient="portrait"/>
          <w:cols w:equalWidth="0" w:num="1">
            <w:col w:w="11420"/>
          </w:cols>
          <w:pgMar w:left="240" w:top="122" w:right="239" w:bottom="325"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2" w:right="239" w:bottom="325"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160" w:type="dxa"/>
            <w:vAlign w:val="bottom"/>
            <w:gridSpan w:val="4"/>
          </w:tcPr>
          <w:p>
            <w:pPr>
              <w:jc w:val="right"/>
              <w:ind w:right="861"/>
              <w:spacing w:after="0"/>
              <w:rPr>
                <w:sz w:val="20"/>
                <w:szCs w:val="20"/>
                <w:color w:val="auto"/>
              </w:rPr>
            </w:pPr>
            <w:r>
              <w:rPr>
                <w:rFonts w:ascii="Arial" w:cs="Arial" w:eastAsia="Arial" w:hAnsi="Arial"/>
                <w:sz w:val="20"/>
                <w:szCs w:val="20"/>
                <w:color w:val="auto"/>
              </w:rPr>
              <w:t>Three-Months Ended</w:t>
            </w:r>
          </w:p>
        </w:tc>
        <w:tc>
          <w:tcPr>
            <w:tcW w:w="0" w:type="dxa"/>
            <w:vAlign w:val="bottom"/>
          </w:tcPr>
          <w:p>
            <w:pPr>
              <w:spacing w:after="0"/>
              <w:rPr>
                <w:sz w:val="1"/>
                <w:szCs w:val="1"/>
                <w:color w:val="auto"/>
              </w:rPr>
            </w:pPr>
          </w:p>
        </w:tc>
      </w:tr>
      <w:tr>
        <w:trPr>
          <w:trHeight w:val="246"/>
        </w:trPr>
        <w:tc>
          <w:tcPr>
            <w:tcW w:w="47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3"/>
          </w:tcPr>
          <w:p>
            <w:pPr>
              <w:jc w:val="right"/>
              <w:ind w:right="81"/>
              <w:spacing w:after="0"/>
              <w:rPr>
                <w:sz w:val="20"/>
                <w:szCs w:val="20"/>
                <w:color w:val="auto"/>
              </w:rPr>
            </w:pPr>
            <w:r>
              <w:rPr>
                <w:rFonts w:ascii="Arial" w:cs="Arial" w:eastAsia="Arial" w:hAnsi="Arial"/>
                <w:sz w:val="20"/>
                <w:szCs w:val="20"/>
                <w:color w:val="auto"/>
              </w:rPr>
              <w:t>March 31,</w:t>
            </w: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20" w:type="dxa"/>
            <w:vAlign w:val="bottom"/>
            <w:vMerge w:val="restart"/>
          </w:tcPr>
          <w:p>
            <w:pPr>
              <w:spacing w:after="0"/>
              <w:rPr>
                <w:sz w:val="20"/>
                <w:szCs w:val="20"/>
                <w:color w:val="auto"/>
              </w:rPr>
            </w:pPr>
            <w:r>
              <w:rPr>
                <w:rFonts w:ascii="Arial" w:cs="Arial" w:eastAsia="Arial" w:hAnsi="Arial"/>
                <w:sz w:val="20"/>
                <w:szCs w:val="20"/>
                <w:color w:val="auto"/>
              </w:rPr>
              <w:t>Depreciation and amortization:</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41"/>
              <w:spacing w:after="0" w:line="223" w:lineRule="exact"/>
              <w:rPr>
                <w:sz w:val="20"/>
                <w:szCs w:val="20"/>
                <w:color w:val="auto"/>
              </w:rPr>
            </w:pPr>
            <w:r>
              <w:rPr>
                <w:rFonts w:ascii="Arial" w:cs="Arial" w:eastAsia="Arial" w:hAnsi="Arial"/>
                <w:sz w:val="20"/>
                <w:szCs w:val="20"/>
                <w:color w:val="auto"/>
              </w:rPr>
              <w:t>2018</w:t>
            </w:r>
          </w:p>
        </w:tc>
        <w:tc>
          <w:tcPr>
            <w:tcW w:w="2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21"/>
              <w:spacing w:after="0" w:line="223" w:lineRule="exact"/>
              <w:rPr>
                <w:sz w:val="20"/>
                <w:szCs w:val="20"/>
                <w:color w:val="auto"/>
              </w:rPr>
            </w:pPr>
            <w:r>
              <w:rPr>
                <w:rFonts w:ascii="Arial" w:cs="Arial" w:eastAsia="Arial" w:hAnsi="Arial"/>
                <w:sz w:val="20"/>
                <w:szCs w:val="20"/>
                <w:color w:val="auto"/>
              </w:rPr>
              <w:t>2017</w:t>
            </w:r>
          </w:p>
        </w:tc>
        <w:tc>
          <w:tcPr>
            <w:tcW w:w="0" w:type="dxa"/>
            <w:vAlign w:val="bottom"/>
          </w:tcPr>
          <w:p>
            <w:pPr>
              <w:spacing w:after="0"/>
              <w:rPr>
                <w:sz w:val="1"/>
                <w:szCs w:val="1"/>
                <w:color w:val="auto"/>
              </w:rPr>
            </w:pPr>
          </w:p>
        </w:tc>
      </w:tr>
      <w:tr>
        <w:trPr>
          <w:trHeight w:val="193"/>
        </w:trPr>
        <w:tc>
          <w:tcPr>
            <w:tcW w:w="472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40"/>
              <w:spacing w:after="0"/>
              <w:rPr>
                <w:sz w:val="20"/>
                <w:szCs w:val="20"/>
                <w:color w:val="auto"/>
              </w:rPr>
            </w:pPr>
            <w:r>
              <w:rPr>
                <w:rFonts w:ascii="Arial" w:cs="Arial" w:eastAsia="Arial" w:hAnsi="Arial"/>
                <w:sz w:val="20"/>
                <w:szCs w:val="20"/>
                <w:color w:val="auto"/>
              </w:rPr>
              <w:t>Monster Energy® Drinks</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41"/>
              <w:spacing w:after="0"/>
              <w:rPr>
                <w:sz w:val="20"/>
                <w:szCs w:val="20"/>
                <w:color w:val="auto"/>
              </w:rPr>
            </w:pPr>
            <w:r>
              <w:rPr>
                <w:rFonts w:ascii="Arial" w:cs="Arial" w:eastAsia="Arial" w:hAnsi="Arial"/>
                <w:sz w:val="20"/>
                <w:szCs w:val="20"/>
                <w:color w:val="auto"/>
              </w:rPr>
              <w:t>8,809</w:t>
            </w:r>
          </w:p>
        </w:tc>
        <w:tc>
          <w:tcPr>
            <w:tcW w:w="280" w:type="dxa"/>
            <w:vAlign w:val="bottom"/>
          </w:tcPr>
          <w:p>
            <w:pPr>
              <w:spacing w:after="0"/>
              <w:rPr>
                <w:sz w:val="19"/>
                <w:szCs w:val="19"/>
                <w:color w:val="auto"/>
              </w:rPr>
            </w:pP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6,541</w:t>
            </w:r>
          </w:p>
        </w:tc>
        <w:tc>
          <w:tcPr>
            <w:tcW w:w="0" w:type="dxa"/>
            <w:vAlign w:val="bottom"/>
          </w:tcPr>
          <w:p>
            <w:pPr>
              <w:spacing w:after="0"/>
              <w:rPr>
                <w:sz w:val="1"/>
                <w:szCs w:val="1"/>
                <w:color w:val="auto"/>
              </w:rPr>
            </w:pPr>
          </w:p>
        </w:tc>
      </w:tr>
      <w:tr>
        <w:trPr>
          <w:trHeight w:val="230"/>
        </w:trPr>
        <w:tc>
          <w:tcPr>
            <w:tcW w:w="4720" w:type="dxa"/>
            <w:vAlign w:val="bottom"/>
          </w:tcPr>
          <w:p>
            <w:pPr>
              <w:ind w:left="240"/>
              <w:spacing w:after="0"/>
              <w:rPr>
                <w:sz w:val="20"/>
                <w:szCs w:val="20"/>
                <w:color w:val="auto"/>
              </w:rPr>
            </w:pPr>
            <w:r>
              <w:rPr>
                <w:rFonts w:ascii="Arial" w:cs="Arial" w:eastAsia="Arial" w:hAnsi="Arial"/>
                <w:sz w:val="20"/>
                <w:szCs w:val="20"/>
                <w:color w:val="auto"/>
              </w:rPr>
              <w:t>Strategic Brands</w:t>
            </w:r>
          </w:p>
        </w:tc>
        <w:tc>
          <w:tcPr>
            <w:tcW w:w="440" w:type="dxa"/>
            <w:vAlign w:val="bottom"/>
          </w:tcPr>
          <w:p>
            <w:pPr>
              <w:spacing w:after="0"/>
              <w:rPr>
                <w:sz w:val="19"/>
                <w:szCs w:val="19"/>
                <w:color w:val="auto"/>
              </w:rPr>
            </w:pPr>
          </w:p>
        </w:tc>
        <w:tc>
          <w:tcPr>
            <w:tcW w:w="1240" w:type="dxa"/>
            <w:vAlign w:val="bottom"/>
          </w:tcPr>
          <w:p>
            <w:pPr>
              <w:jc w:val="right"/>
              <w:ind w:right="41"/>
              <w:spacing w:after="0"/>
              <w:rPr>
                <w:sz w:val="20"/>
                <w:szCs w:val="20"/>
                <w:color w:val="auto"/>
              </w:rPr>
            </w:pPr>
            <w:r>
              <w:rPr>
                <w:rFonts w:ascii="Arial" w:cs="Arial" w:eastAsia="Arial" w:hAnsi="Arial"/>
                <w:sz w:val="20"/>
                <w:szCs w:val="20"/>
                <w:color w:val="auto"/>
              </w:rPr>
              <w:t>1,926</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1,796</w:t>
            </w:r>
          </w:p>
        </w:tc>
        <w:tc>
          <w:tcPr>
            <w:tcW w:w="0" w:type="dxa"/>
            <w:vAlign w:val="bottom"/>
          </w:tcPr>
          <w:p>
            <w:pPr>
              <w:spacing w:after="0"/>
              <w:rPr>
                <w:sz w:val="1"/>
                <w:szCs w:val="1"/>
                <w:color w:val="auto"/>
              </w:rPr>
            </w:pPr>
          </w:p>
        </w:tc>
      </w:tr>
      <w:tr>
        <w:trPr>
          <w:trHeight w:val="230"/>
        </w:trPr>
        <w:tc>
          <w:tcPr>
            <w:tcW w:w="4720" w:type="dxa"/>
            <w:vAlign w:val="bottom"/>
          </w:tcPr>
          <w:p>
            <w:pPr>
              <w:ind w:left="240"/>
              <w:spacing w:after="0"/>
              <w:rPr>
                <w:sz w:val="20"/>
                <w:szCs w:val="20"/>
                <w:color w:val="auto"/>
              </w:rPr>
            </w:pPr>
            <w:r>
              <w:rPr>
                <w:rFonts w:ascii="Arial" w:cs="Arial" w:eastAsia="Arial" w:hAnsi="Arial"/>
                <w:sz w:val="20"/>
                <w:szCs w:val="20"/>
                <w:color w:val="auto"/>
              </w:rPr>
              <w:t>Other</w:t>
            </w:r>
          </w:p>
        </w:tc>
        <w:tc>
          <w:tcPr>
            <w:tcW w:w="440" w:type="dxa"/>
            <w:vAlign w:val="bottom"/>
          </w:tcPr>
          <w:p>
            <w:pPr>
              <w:spacing w:after="0"/>
              <w:rPr>
                <w:sz w:val="19"/>
                <w:szCs w:val="19"/>
                <w:color w:val="auto"/>
              </w:rPr>
            </w:pPr>
          </w:p>
        </w:tc>
        <w:tc>
          <w:tcPr>
            <w:tcW w:w="1240" w:type="dxa"/>
            <w:vAlign w:val="bottom"/>
          </w:tcPr>
          <w:p>
            <w:pPr>
              <w:jc w:val="right"/>
              <w:ind w:right="41"/>
              <w:spacing w:after="0"/>
              <w:rPr>
                <w:sz w:val="20"/>
                <w:szCs w:val="20"/>
                <w:color w:val="auto"/>
              </w:rPr>
            </w:pPr>
            <w:r>
              <w:rPr>
                <w:rFonts w:ascii="Arial" w:cs="Arial" w:eastAsia="Arial" w:hAnsi="Arial"/>
                <w:sz w:val="20"/>
                <w:szCs w:val="20"/>
                <w:color w:val="auto"/>
              </w:rPr>
              <w:t>1,159</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1,153</w:t>
            </w:r>
          </w:p>
        </w:tc>
        <w:tc>
          <w:tcPr>
            <w:tcW w:w="0" w:type="dxa"/>
            <w:vAlign w:val="bottom"/>
          </w:tcPr>
          <w:p>
            <w:pPr>
              <w:spacing w:after="0"/>
              <w:rPr>
                <w:sz w:val="1"/>
                <w:szCs w:val="1"/>
                <w:color w:val="auto"/>
              </w:rPr>
            </w:pPr>
          </w:p>
        </w:tc>
      </w:tr>
      <w:tr>
        <w:trPr>
          <w:trHeight w:val="246"/>
        </w:trPr>
        <w:tc>
          <w:tcPr>
            <w:tcW w:w="4720" w:type="dxa"/>
            <w:vAlign w:val="bottom"/>
          </w:tcPr>
          <w:p>
            <w:pPr>
              <w:ind w:left="240"/>
              <w:spacing w:after="0"/>
              <w:rPr>
                <w:sz w:val="20"/>
                <w:szCs w:val="20"/>
                <w:color w:val="auto"/>
              </w:rPr>
            </w:pPr>
            <w:r>
              <w:rPr>
                <w:rFonts w:ascii="Arial" w:cs="Arial" w:eastAsia="Arial" w:hAnsi="Arial"/>
                <w:sz w:val="20"/>
                <w:szCs w:val="20"/>
                <w:color w:val="auto"/>
              </w:rPr>
              <w:t>Corporate and unallocated</w:t>
            </w:r>
          </w:p>
        </w:tc>
        <w:tc>
          <w:tcPr>
            <w:tcW w:w="4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2,097</w:t>
            </w:r>
          </w:p>
        </w:tc>
        <w:tc>
          <w:tcPr>
            <w:tcW w:w="2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1,693</w:t>
            </w:r>
          </w:p>
        </w:tc>
        <w:tc>
          <w:tcPr>
            <w:tcW w:w="0" w:type="dxa"/>
            <w:vAlign w:val="bottom"/>
          </w:tcPr>
          <w:p>
            <w:pPr>
              <w:spacing w:after="0"/>
              <w:rPr>
                <w:sz w:val="1"/>
                <w:szCs w:val="1"/>
                <w:color w:val="auto"/>
              </w:rPr>
            </w:pPr>
          </w:p>
        </w:tc>
      </w:tr>
      <w:tr>
        <w:trPr>
          <w:trHeight w:val="223"/>
        </w:trPr>
        <w:tc>
          <w:tcPr>
            <w:tcW w:w="4720" w:type="dxa"/>
            <w:vAlign w:val="bottom"/>
          </w:tcPr>
          <w:p>
            <w:pPr>
              <w:spacing w:after="0"/>
              <w:rPr>
                <w:sz w:val="19"/>
                <w:szCs w:val="19"/>
                <w:color w:val="auto"/>
              </w:rPr>
            </w:pPr>
          </w:p>
        </w:tc>
        <w:tc>
          <w:tcPr>
            <w:tcW w:w="44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13,991</w:t>
            </w:r>
          </w:p>
        </w:tc>
        <w:tc>
          <w:tcPr>
            <w:tcW w:w="280" w:type="dxa"/>
            <w:vAlign w:val="bottom"/>
          </w:tcPr>
          <w:p>
            <w:pPr>
              <w:spacing w:after="0"/>
              <w:rPr>
                <w:sz w:val="19"/>
                <w:szCs w:val="19"/>
                <w:color w:val="auto"/>
              </w:rPr>
            </w:pPr>
          </w:p>
        </w:tc>
        <w:tc>
          <w:tcPr>
            <w:tcW w:w="44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11,183</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Corporate and unallocated expenses for the three-months ended March 31, 2018 include $43.1 million of payroll costs, of which $13.4 million was attributable to stock-based compensation expenses (see Note 14, “Stock-Based Compensation”), as well as $12.4 million attributable to professional service expenses, including accounting and legal costs, and $9.9 million of other operating expenses. Corporate and unallocated expenses for the three-months ended March 31, 2017 include $37.6 million of payroll costs, of which $13.1 million was attributable to stock-based compensation expenses (see Note 14, “Stock-Based Compensation”), as well as $12.3 million attributable to professional service expenses, including accounting and legal costs, and $8.8 million of other operating expenses.</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TCCC, through the TCCC Subsidiaries, accounted for approximately 4% and 34% of the Company’s net sales for the three-months ended March 31, 2018 and 2017, respectively. As part of TCCC’s North America Refranchising initiative (the “North America Refranchising”), the territories of certain TCCC Subsidiaries have been transitioned to certain independent TCCC bottlers/distributors and/or TCCC Related Parties. Accordingly, the Company’s percentage of net sales classified as sales to the TCCC Subsidiaries significantly decreased for three-months ended March 31, 2018. CCBCC Operations, LLC accounted for approximately 14% and 11% of the Company’s net sales for the three-months ended March 31, 2018 and 2017, respectively. Coca-Cola European Partners accounted for approximately 10% and 8% of the Company’s net sales for the three-months ended March 31, 2018 and 2017, respectively. Reyes Coca-Cola Bottling accounted for approximately 13% and 4% of the Company’s net sales for the three-months ended March 31, 2018 and 2017, respectively.</w:t>
      </w:r>
    </w:p>
    <w:p>
      <w:pPr>
        <w:spacing w:after="0" w:line="18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Net sales to customers outside the United States amounted to $242.1 million and $190.9 million for the three-months ended March 31, 2018 and 2017, respectively.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Goodwill and other intangible assets for the Company’s reportable segments as of March 31, 2018 and December 31, 2017 are as follows:</w:t>
      </w:r>
    </w:p>
    <w:p>
      <w:pPr>
        <w:spacing w:after="0" w:line="19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gridSpan w:val="2"/>
          </w:tcPr>
          <w:p>
            <w:pPr>
              <w:ind w:left="100"/>
              <w:spacing w:after="0"/>
              <w:rPr>
                <w:sz w:val="20"/>
                <w:szCs w:val="20"/>
                <w:color w:val="auto"/>
              </w:rPr>
            </w:pPr>
            <w:r>
              <w:rPr>
                <w:rFonts w:ascii="Arial" w:cs="Arial" w:eastAsia="Arial" w:hAnsi="Arial"/>
                <w:sz w:val="20"/>
                <w:szCs w:val="20"/>
                <w:color w:val="auto"/>
              </w:rPr>
              <w:t>March 31,</w:t>
            </w:r>
          </w:p>
        </w:tc>
        <w:tc>
          <w:tcPr>
            <w:tcW w:w="260" w:type="dxa"/>
            <w:vAlign w:val="bottom"/>
          </w:tcPr>
          <w:p>
            <w:pPr>
              <w:spacing w:after="0"/>
              <w:rPr>
                <w:sz w:val="19"/>
                <w:szCs w:val="19"/>
                <w:color w:val="auto"/>
              </w:rPr>
            </w:pPr>
          </w:p>
        </w:tc>
        <w:tc>
          <w:tcPr>
            <w:tcW w:w="1400" w:type="dxa"/>
            <w:vAlign w:val="bottom"/>
          </w:tcPr>
          <w:p>
            <w:pPr>
              <w:jc w:val="right"/>
              <w:ind w:right="181"/>
              <w:spacing w:after="0"/>
              <w:rPr>
                <w:sz w:val="20"/>
                <w:szCs w:val="20"/>
                <w:color w:val="auto"/>
              </w:rPr>
            </w:pPr>
            <w:r>
              <w:rPr>
                <w:rFonts w:ascii="Arial" w:cs="Arial" w:eastAsia="Arial" w:hAnsi="Arial"/>
                <w:sz w:val="20"/>
                <w:szCs w:val="20"/>
                <w:color w:val="auto"/>
                <w:w w:val="87"/>
              </w:rPr>
              <w:t>December 31,</w:t>
            </w:r>
          </w:p>
        </w:tc>
        <w:tc>
          <w:tcPr>
            <w:tcW w:w="0" w:type="dxa"/>
            <w:vAlign w:val="bottom"/>
          </w:tcPr>
          <w:p>
            <w:pPr>
              <w:spacing w:after="0"/>
              <w:rPr>
                <w:sz w:val="1"/>
                <w:szCs w:val="1"/>
                <w:color w:val="auto"/>
              </w:rPr>
            </w:pPr>
          </w:p>
        </w:tc>
      </w:tr>
      <w:tr>
        <w:trPr>
          <w:trHeight w:val="246"/>
        </w:trPr>
        <w:tc>
          <w:tcPr>
            <w:tcW w:w="4380" w:type="dxa"/>
            <w:vAlign w:val="bottom"/>
            <w:vMerge w:val="restart"/>
          </w:tcPr>
          <w:p>
            <w:pPr>
              <w:spacing w:after="0"/>
              <w:rPr>
                <w:sz w:val="20"/>
                <w:szCs w:val="20"/>
                <w:color w:val="auto"/>
              </w:rPr>
            </w:pPr>
            <w:r>
              <w:rPr>
                <w:rFonts w:ascii="Arial" w:cs="Arial" w:eastAsia="Arial" w:hAnsi="Arial"/>
                <w:sz w:val="20"/>
                <w:szCs w:val="20"/>
                <w:color w:val="auto"/>
              </w:rPr>
              <w:t>Goodwill and other intangible assets:</w:t>
            </w:r>
          </w:p>
        </w:tc>
        <w:tc>
          <w:tcPr>
            <w:tcW w:w="3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color w:val="auto"/>
              </w:rPr>
              <w:t>2018</w:t>
            </w: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color w:val="auto"/>
              </w:rPr>
              <w:t>2017</w:t>
            </w:r>
          </w:p>
        </w:tc>
        <w:tc>
          <w:tcPr>
            <w:tcW w:w="0" w:type="dxa"/>
            <w:vAlign w:val="bottom"/>
          </w:tcPr>
          <w:p>
            <w:pPr>
              <w:spacing w:after="0"/>
              <w:rPr>
                <w:sz w:val="1"/>
                <w:szCs w:val="1"/>
                <w:color w:val="auto"/>
              </w:rPr>
            </w:pPr>
          </w:p>
        </w:tc>
      </w:tr>
      <w:tr>
        <w:trPr>
          <w:trHeight w:val="193"/>
        </w:trPr>
        <w:tc>
          <w:tcPr>
            <w:tcW w:w="43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20"/>
              <w:spacing w:after="0"/>
              <w:rPr>
                <w:sz w:val="20"/>
                <w:szCs w:val="20"/>
                <w:color w:val="auto"/>
              </w:rPr>
            </w:pPr>
            <w:r>
              <w:rPr>
                <w:rFonts w:ascii="Arial" w:cs="Arial" w:eastAsia="Arial" w:hAnsi="Arial"/>
                <w:sz w:val="20"/>
                <w:szCs w:val="20"/>
                <w:color w:val="auto"/>
              </w:rPr>
              <w:t>Monster Energy® Drinks</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41"/>
              <w:spacing w:after="0"/>
              <w:rPr>
                <w:sz w:val="20"/>
                <w:szCs w:val="20"/>
                <w:color w:val="auto"/>
              </w:rPr>
            </w:pPr>
            <w:r>
              <w:rPr>
                <w:rFonts w:ascii="Arial" w:cs="Arial" w:eastAsia="Arial" w:hAnsi="Arial"/>
                <w:sz w:val="20"/>
                <w:szCs w:val="20"/>
                <w:color w:val="auto"/>
              </w:rPr>
              <w:t>1,351,780</w:t>
            </w:r>
          </w:p>
        </w:tc>
        <w:tc>
          <w:tcPr>
            <w:tcW w:w="2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41"/>
              <w:spacing w:after="0"/>
              <w:rPr>
                <w:sz w:val="20"/>
                <w:szCs w:val="20"/>
                <w:color w:val="auto"/>
              </w:rPr>
            </w:pPr>
            <w:r>
              <w:rPr>
                <w:rFonts w:ascii="Arial" w:cs="Arial" w:eastAsia="Arial" w:hAnsi="Arial"/>
                <w:sz w:val="20"/>
                <w:szCs w:val="20"/>
                <w:color w:val="auto"/>
              </w:rPr>
              <w:t>1,346,648</w:t>
            </w:r>
          </w:p>
        </w:tc>
        <w:tc>
          <w:tcPr>
            <w:tcW w:w="0" w:type="dxa"/>
            <w:vAlign w:val="bottom"/>
          </w:tcPr>
          <w:p>
            <w:pPr>
              <w:spacing w:after="0"/>
              <w:rPr>
                <w:sz w:val="1"/>
                <w:szCs w:val="1"/>
                <w:color w:val="auto"/>
              </w:rPr>
            </w:pPr>
          </w:p>
        </w:tc>
      </w:tr>
      <w:tr>
        <w:trPr>
          <w:trHeight w:val="230"/>
        </w:trPr>
        <w:tc>
          <w:tcPr>
            <w:tcW w:w="4380" w:type="dxa"/>
            <w:vAlign w:val="bottom"/>
          </w:tcPr>
          <w:p>
            <w:pPr>
              <w:ind w:left="220"/>
              <w:spacing w:after="0"/>
              <w:rPr>
                <w:sz w:val="20"/>
                <w:szCs w:val="20"/>
                <w:color w:val="auto"/>
              </w:rPr>
            </w:pPr>
            <w:r>
              <w:rPr>
                <w:rFonts w:ascii="Arial" w:cs="Arial" w:eastAsia="Arial" w:hAnsi="Arial"/>
                <w:sz w:val="20"/>
                <w:szCs w:val="20"/>
                <w:color w:val="auto"/>
              </w:rPr>
              <w:t>Strategic Brands</w:t>
            </w:r>
          </w:p>
        </w:tc>
        <w:tc>
          <w:tcPr>
            <w:tcW w:w="320" w:type="dxa"/>
            <w:vAlign w:val="bottom"/>
          </w:tcPr>
          <w:p>
            <w:pPr>
              <w:spacing w:after="0"/>
              <w:rPr>
                <w:sz w:val="19"/>
                <w:szCs w:val="19"/>
                <w:color w:val="auto"/>
              </w:rPr>
            </w:pPr>
          </w:p>
        </w:tc>
        <w:tc>
          <w:tcPr>
            <w:tcW w:w="1340" w:type="dxa"/>
            <w:vAlign w:val="bottom"/>
          </w:tcPr>
          <w:p>
            <w:pPr>
              <w:jc w:val="right"/>
              <w:ind w:right="41"/>
              <w:spacing w:after="0"/>
              <w:rPr>
                <w:sz w:val="20"/>
                <w:szCs w:val="20"/>
                <w:color w:val="auto"/>
              </w:rPr>
            </w:pPr>
            <w:r>
              <w:rPr>
                <w:rFonts w:ascii="Arial" w:cs="Arial" w:eastAsia="Arial" w:hAnsi="Arial"/>
                <w:sz w:val="20"/>
                <w:szCs w:val="20"/>
                <w:color w:val="auto"/>
              </w:rPr>
              <w:t>994,161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ind w:right="41"/>
              <w:spacing w:after="0"/>
              <w:rPr>
                <w:sz w:val="20"/>
                <w:szCs w:val="20"/>
                <w:color w:val="auto"/>
              </w:rPr>
            </w:pPr>
            <w:r>
              <w:rPr>
                <w:rFonts w:ascii="Arial" w:cs="Arial" w:eastAsia="Arial" w:hAnsi="Arial"/>
                <w:sz w:val="20"/>
                <w:szCs w:val="20"/>
                <w:color w:val="auto"/>
              </w:rPr>
              <w:t>995,582</w:t>
            </w:r>
          </w:p>
        </w:tc>
        <w:tc>
          <w:tcPr>
            <w:tcW w:w="0" w:type="dxa"/>
            <w:vAlign w:val="bottom"/>
          </w:tcPr>
          <w:p>
            <w:pPr>
              <w:spacing w:after="0"/>
              <w:rPr>
                <w:sz w:val="1"/>
                <w:szCs w:val="1"/>
                <w:color w:val="auto"/>
              </w:rPr>
            </w:pPr>
          </w:p>
        </w:tc>
      </w:tr>
      <w:tr>
        <w:trPr>
          <w:trHeight w:val="230"/>
        </w:trPr>
        <w:tc>
          <w:tcPr>
            <w:tcW w:w="4380" w:type="dxa"/>
            <w:vAlign w:val="bottom"/>
          </w:tcPr>
          <w:p>
            <w:pPr>
              <w:ind w:left="220"/>
              <w:spacing w:after="0"/>
              <w:rPr>
                <w:sz w:val="20"/>
                <w:szCs w:val="20"/>
                <w:color w:val="auto"/>
              </w:rPr>
            </w:pPr>
            <w:r>
              <w:rPr>
                <w:rFonts w:ascii="Arial" w:cs="Arial" w:eastAsia="Arial" w:hAnsi="Arial"/>
                <w:sz w:val="20"/>
                <w:szCs w:val="20"/>
                <w:color w:val="auto"/>
              </w:rPr>
              <w:t>Other</w:t>
            </w:r>
          </w:p>
        </w:tc>
        <w:tc>
          <w:tcPr>
            <w:tcW w:w="320" w:type="dxa"/>
            <w:vAlign w:val="bottom"/>
          </w:tcPr>
          <w:p>
            <w:pPr>
              <w:spacing w:after="0"/>
              <w:rPr>
                <w:sz w:val="19"/>
                <w:szCs w:val="19"/>
                <w:color w:val="auto"/>
              </w:rPr>
            </w:pPr>
          </w:p>
        </w:tc>
        <w:tc>
          <w:tcPr>
            <w:tcW w:w="1340" w:type="dxa"/>
            <w:vAlign w:val="bottom"/>
          </w:tcPr>
          <w:p>
            <w:pPr>
              <w:jc w:val="right"/>
              <w:ind w:right="41"/>
              <w:spacing w:after="0"/>
              <w:rPr>
                <w:sz w:val="20"/>
                <w:szCs w:val="20"/>
                <w:color w:val="auto"/>
              </w:rPr>
            </w:pPr>
            <w:r>
              <w:rPr>
                <w:rFonts w:ascii="Arial" w:cs="Arial" w:eastAsia="Arial" w:hAnsi="Arial"/>
                <w:sz w:val="20"/>
                <w:szCs w:val="20"/>
                <w:color w:val="auto"/>
              </w:rPr>
              <w:t>22,363</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ind w:right="41"/>
              <w:spacing w:after="0"/>
              <w:rPr>
                <w:sz w:val="20"/>
                <w:szCs w:val="20"/>
                <w:color w:val="auto"/>
              </w:rPr>
            </w:pPr>
            <w:r>
              <w:rPr>
                <w:rFonts w:ascii="Arial" w:cs="Arial" w:eastAsia="Arial" w:hAnsi="Arial"/>
                <w:sz w:val="20"/>
                <w:szCs w:val="20"/>
                <w:color w:val="auto"/>
              </w:rPr>
              <w:t>23,498</w:t>
            </w:r>
          </w:p>
        </w:tc>
        <w:tc>
          <w:tcPr>
            <w:tcW w:w="0" w:type="dxa"/>
            <w:vAlign w:val="bottom"/>
          </w:tcPr>
          <w:p>
            <w:pPr>
              <w:spacing w:after="0"/>
              <w:rPr>
                <w:sz w:val="1"/>
                <w:szCs w:val="1"/>
                <w:color w:val="auto"/>
              </w:rPr>
            </w:pPr>
          </w:p>
        </w:tc>
      </w:tr>
      <w:tr>
        <w:trPr>
          <w:trHeight w:val="246"/>
        </w:trPr>
        <w:tc>
          <w:tcPr>
            <w:tcW w:w="4380" w:type="dxa"/>
            <w:vAlign w:val="bottom"/>
          </w:tcPr>
          <w:p>
            <w:pPr>
              <w:ind w:left="220"/>
              <w:spacing w:after="0"/>
              <w:rPr>
                <w:sz w:val="20"/>
                <w:szCs w:val="20"/>
                <w:color w:val="auto"/>
              </w:rPr>
            </w:pPr>
            <w:r>
              <w:rPr>
                <w:rFonts w:ascii="Arial" w:cs="Arial" w:eastAsia="Arial" w:hAnsi="Arial"/>
                <w:sz w:val="20"/>
                <w:szCs w:val="20"/>
                <w:color w:val="auto"/>
              </w:rPr>
              <w:t>Corporate and unallocated</w:t>
            </w:r>
          </w:p>
        </w:tc>
        <w:tc>
          <w:tcPr>
            <w:tcW w:w="3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19"/>
                <w:szCs w:val="19"/>
                <w:color w:val="auto"/>
              </w:rPr>
            </w:pPr>
          </w:p>
        </w:tc>
        <w:tc>
          <w:tcPr>
            <w:tcW w:w="3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2,368,304</w:t>
            </w:r>
          </w:p>
        </w:tc>
        <w:tc>
          <w:tcPr>
            <w:tcW w:w="280" w:type="dxa"/>
            <w:vAlign w:val="bottom"/>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40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2,365,728</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640" w:hanging="632"/>
        <w:spacing w:after="0"/>
        <w:tabs>
          <w:tab w:leader="none" w:pos="6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RELATED PARTY TRANSACTIONS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TCCC controls approximately 18% of the voting interests of the Company. The TCCC Subsidiaries, the TCCC Related Parties and the TCCC Independent Bottlers, purchase and distribute certain of the Company’s products in certain domestic and international markets. The Company also pays TCCC a commission based on certain sales within the TCCC distribution network.</w:t>
      </w:r>
    </w:p>
    <w:p>
      <w:pPr>
        <w:spacing w:after="0" w:line="20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TCCC commissions, based on sales to the TCCC Subsidiaries and the TCCC Related Parties, for the three-months ended March 31, 2018 were $11.3 million, and are included as a reduction to net sales. TCCC commissions, based on sales to the TCCC Independent Bottlers for the three-months ended March 31, 2018 were $3.1 million, and are included in operating expenses. TCCC commissions, based on sales to the TCCC Subsidiaries, for the three-months ended March 31, 2017 were $3.6 million, and are included as a reduction to net sales. TCCC commissions, based on sales to the TCCC Related Parties and the TCCC Independent Bottlers, for the three-months ended March 31, 2017 were $7.9 million and are included in operating expenses. Upon adoption of ASC 606, commissions paid to TCCC, based on sales to the TCCC Related Parties, are included as a reduction to net sales. Prior to January 1, 2018, such commissions, based on sales to the TCCC Related Parties, were included in operating expenses.</w:t>
      </w:r>
    </w:p>
    <w:p>
      <w:pPr>
        <w:sectPr>
          <w:pgSz w:w="11900" w:h="16838" w:orient="portrait"/>
          <w:cols w:equalWidth="0" w:num="1">
            <w:col w:w="11420"/>
          </w:cols>
          <w:pgMar w:left="240" w:top="125" w:right="239" w:bottom="0" w:gutter="0" w:footer="0" w:header="0"/>
        </w:sectPr>
      </w:pPr>
    </w:p>
    <w:bookmarkStart w:id="19" w:name="page20"/>
    <w:bookmarkEnd w:id="19"/>
    <w:p>
      <w:pPr>
        <w:jc w:val="both"/>
        <w:ind w:firstLine="648"/>
        <w:spacing w:after="0" w:line="247" w:lineRule="auto"/>
        <w:rPr>
          <w:sz w:val="20"/>
          <w:szCs w:val="20"/>
          <w:color w:val="auto"/>
        </w:rPr>
      </w:pPr>
      <w:r>
        <w:rPr>
          <w:rFonts w:ascii="Arial" w:cs="Arial" w:eastAsia="Arial" w:hAnsi="Arial"/>
          <w:sz w:val="20"/>
          <w:szCs w:val="20"/>
          <w:color w:val="auto"/>
        </w:rPr>
        <w:t>Net sales to the TCCC Subsidiaries for the three-months ended March 31, 2018 and 2017 were $35.0 million and $255.8 million, respectively. As part of the North America Refranchising, the territories of certain TCCC Subsidiaries have been transitioned to certain independent TCCC bottlers/distributors and/or TCCC Related Parties. Accordingly, the Company’s net sales classified as sales to the TCCC Subsidiaries significantly decreased for the three-months ended March 31, 2018.</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Company also purchases concentrates from TCCC which are then sold to certain of the Company’s bottlers/distributors.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Concentrate purchases from TCCC were $2.9 million and $5.9 million for the three-months ended March 31, 2018 and 2017, respectively.</w:t>
      </w:r>
    </w:p>
    <w:p>
      <w:pPr>
        <w:spacing w:after="0" w:line="23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Certain TCCC Subsidiaries also contract manufacture certain of the Company’s Monster Energy® brand energy drinks. Contract manufacturing expenses were $5.4 million and $2.2 million for the three-months ended March 31, 2018 and 2017, respectively.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Accounts receivable, accounts payable and accrued promotional allowances related to the TCCC Subsidiaries are as follows at:</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Arial" w:cs="Arial" w:eastAsia="Arial" w:hAnsi="Arial"/>
                <w:sz w:val="20"/>
                <w:szCs w:val="20"/>
                <w:color w:val="auto"/>
              </w:rPr>
              <w:t>March 31,</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w w:val="89"/>
              </w:rPr>
              <w:t>December 31, 2017</w:t>
            </w:r>
          </w:p>
        </w:tc>
      </w:tr>
      <w:tr>
        <w:trPr>
          <w:trHeight w:val="246"/>
        </w:trPr>
        <w:tc>
          <w:tcPr>
            <w:tcW w:w="37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color w:val="auto"/>
              </w:rPr>
              <w:t>2018</w:t>
            </w:r>
          </w:p>
        </w:tc>
        <w:tc>
          <w:tcPr>
            <w:tcW w:w="22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r>
      <w:tr>
        <w:trPr>
          <w:trHeight w:val="436"/>
        </w:trPr>
        <w:tc>
          <w:tcPr>
            <w:tcW w:w="370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29,044</w:t>
            </w:r>
          </w:p>
        </w:tc>
        <w:tc>
          <w:tcPr>
            <w:tcW w:w="220" w:type="dxa"/>
            <w:vAlign w:val="bottom"/>
          </w:tcPr>
          <w:p>
            <w:pPr>
              <w:spacing w:after="0"/>
              <w:rPr>
                <w:sz w:val="24"/>
                <w:szCs w:val="24"/>
                <w:color w:val="auto"/>
              </w:rPr>
            </w:pPr>
          </w:p>
        </w:tc>
        <w:tc>
          <w:tcPr>
            <w:tcW w:w="58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32,607</w:t>
            </w:r>
          </w:p>
        </w:tc>
      </w:tr>
      <w:tr>
        <w:trPr>
          <w:trHeight w:val="230"/>
        </w:trPr>
        <w:tc>
          <w:tcPr>
            <w:tcW w:w="3700" w:type="dxa"/>
            <w:vAlign w:val="bottom"/>
          </w:tcPr>
          <w:p>
            <w:pPr>
              <w:spacing w:after="0"/>
              <w:rPr>
                <w:sz w:val="20"/>
                <w:szCs w:val="20"/>
                <w:color w:val="auto"/>
              </w:rPr>
            </w:pPr>
            <w:r>
              <w:rPr>
                <w:rFonts w:ascii="Arial" w:cs="Arial" w:eastAsia="Arial" w:hAnsi="Arial"/>
                <w:sz w:val="20"/>
                <w:szCs w:val="20"/>
                <w:color w:val="auto"/>
              </w:rPr>
              <w:t>Accounts payable</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(25,221)</w:t>
            </w:r>
          </w:p>
        </w:tc>
        <w:tc>
          <w:tcPr>
            <w:tcW w:w="220" w:type="dxa"/>
            <w:vAlign w:val="bottom"/>
          </w:tcPr>
          <w:p>
            <w:pPr>
              <w:spacing w:after="0"/>
              <w:rPr>
                <w:sz w:val="19"/>
                <w:szCs w:val="19"/>
                <w:color w:val="auto"/>
              </w:rPr>
            </w:pPr>
          </w:p>
        </w:tc>
        <w:tc>
          <w:tcPr>
            <w:tcW w:w="58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(45,465)</w:t>
            </w:r>
          </w:p>
        </w:tc>
      </w:tr>
      <w:tr>
        <w:trPr>
          <w:trHeight w:val="250"/>
        </w:trPr>
        <w:tc>
          <w:tcPr>
            <w:tcW w:w="3700" w:type="dxa"/>
            <w:vAlign w:val="bottom"/>
          </w:tcPr>
          <w:p>
            <w:pPr>
              <w:spacing w:after="0"/>
              <w:rPr>
                <w:sz w:val="20"/>
                <w:szCs w:val="20"/>
                <w:color w:val="auto"/>
              </w:rPr>
            </w:pPr>
            <w:r>
              <w:rPr>
                <w:rFonts w:ascii="Arial" w:cs="Arial" w:eastAsia="Arial" w:hAnsi="Arial"/>
                <w:sz w:val="20"/>
                <w:szCs w:val="20"/>
                <w:color w:val="auto"/>
              </w:rPr>
              <w:t>Accrued promotional allowances</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(7,479)</w:t>
            </w:r>
          </w:p>
        </w:tc>
        <w:tc>
          <w:tcPr>
            <w:tcW w:w="220" w:type="dxa"/>
            <w:vAlign w:val="bottom"/>
          </w:tcPr>
          <w:p>
            <w:pPr>
              <w:spacing w:after="0"/>
              <w:rPr>
                <w:sz w:val="21"/>
                <w:szCs w:val="21"/>
                <w:color w:val="auto"/>
              </w:rPr>
            </w:pPr>
          </w:p>
        </w:tc>
        <w:tc>
          <w:tcPr>
            <w:tcW w:w="58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(5,884)</w:t>
            </w:r>
          </w:p>
        </w:tc>
      </w:tr>
    </w:tbl>
    <w:p>
      <w:pPr>
        <w:spacing w:after="0" w:line="20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Two directors and officers of the Company and their families are principal owners of a company that provides promotional materials to the Company. Expenses incurred with such company in connection with promotional materials purchased during the three-months ended March 31, 2018 and 2017 were $0.8 million and $0.2 million, respectively.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w:t>
      </w:r>
    </w:p>
    <w:p>
      <w:pPr>
        <w:spacing w:after="0" w:line="23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When this report uses the words “the Company”, “we”, “us”, and “our”, these words refer to Monster Beverage Corporation and its subsidiaries, unless the context otherwise requires. Based in Corona, California, Monster Beverage Corporation is a holding company and conducts no operating business except through its consolidated subsidiaries. The Company’s subsidiaries primarily develop and market energy drinks as well as Mutant® Super Sodas.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Overview</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develop, market, sell and distribute energy drink beverages, sodas and/or concentrates for energy drink beverages, primarily under the following brand names:</w:t>
      </w:r>
    </w:p>
    <w:p>
      <w:pPr>
        <w:spacing w:after="0" w:line="190"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140" w:type="dxa"/>
            <w:vAlign w:val="bottom"/>
          </w:tcPr>
          <w:p>
            <w:pPr>
              <w:jc w:val="right"/>
              <w:ind w:right="62"/>
              <w:spacing w:after="0"/>
              <w:rPr>
                <w:sz w:val="20"/>
                <w:szCs w:val="20"/>
                <w:color w:val="auto"/>
              </w:rPr>
            </w:pPr>
            <w:r>
              <w:rPr>
                <w:rFonts w:ascii="Arial" w:cs="Arial" w:eastAsia="Arial" w:hAnsi="Arial"/>
                <w:sz w:val="8"/>
                <w:szCs w:val="8"/>
                <w:color w:val="auto"/>
                <w:w w:val="73"/>
              </w:rPr>
              <w:t>·</w:t>
            </w:r>
          </w:p>
        </w:tc>
        <w:tc>
          <w:tcPr>
            <w:tcW w:w="4400" w:type="dxa"/>
            <w:vAlign w:val="bottom"/>
          </w:tcPr>
          <w:p>
            <w:pPr>
              <w:ind w:left="100"/>
              <w:spacing w:after="0"/>
              <w:rPr>
                <w:sz w:val="20"/>
                <w:szCs w:val="20"/>
                <w:color w:val="auto"/>
              </w:rPr>
            </w:pPr>
            <w:r>
              <w:rPr>
                <w:rFonts w:ascii="Arial" w:cs="Arial" w:eastAsia="Arial" w:hAnsi="Arial"/>
                <w:sz w:val="20"/>
                <w:szCs w:val="20"/>
                <w:color w:val="auto"/>
              </w:rPr>
              <w:t>Monster Energy®</w:t>
            </w:r>
          </w:p>
        </w:tc>
        <w:tc>
          <w:tcPr>
            <w:tcW w:w="2560" w:type="dxa"/>
            <w:vAlign w:val="bottom"/>
          </w:tcPr>
          <w:p>
            <w:pPr>
              <w:ind w:left="2400"/>
              <w:spacing w:after="0"/>
              <w:rPr>
                <w:sz w:val="20"/>
                <w:szCs w:val="20"/>
                <w:color w:val="auto"/>
              </w:rPr>
            </w:pPr>
            <w:r>
              <w:rPr>
                <w:rFonts w:ascii="Arial" w:cs="Arial" w:eastAsia="Arial" w:hAnsi="Arial"/>
                <w:sz w:val="20"/>
                <w:szCs w:val="20"/>
                <w:color w:val="auto"/>
              </w:rPr>
              <w:t>·</w:t>
            </w:r>
          </w:p>
        </w:tc>
        <w:tc>
          <w:tcPr>
            <w:tcW w:w="2780" w:type="dxa"/>
            <w:vAlign w:val="bottom"/>
          </w:tcPr>
          <w:p>
            <w:pPr>
              <w:ind w:left="100"/>
              <w:spacing w:after="0"/>
              <w:rPr>
                <w:sz w:val="20"/>
                <w:szCs w:val="20"/>
                <w:color w:val="auto"/>
              </w:rPr>
            </w:pPr>
            <w:r>
              <w:rPr>
                <w:rFonts w:ascii="Arial" w:cs="Arial" w:eastAsia="Arial" w:hAnsi="Arial"/>
                <w:sz w:val="20"/>
                <w:szCs w:val="20"/>
                <w:color w:val="auto"/>
              </w:rPr>
              <w:t>NOS®</w:t>
            </w:r>
          </w:p>
        </w:tc>
      </w:tr>
      <w:tr>
        <w:trPr>
          <w:trHeight w:val="230"/>
        </w:trPr>
        <w:tc>
          <w:tcPr>
            <w:tcW w:w="140" w:type="dxa"/>
            <w:vAlign w:val="bottom"/>
          </w:tcPr>
          <w:p>
            <w:pPr>
              <w:jc w:val="right"/>
              <w:ind w:right="62"/>
              <w:spacing w:after="0"/>
              <w:rPr>
                <w:sz w:val="20"/>
                <w:szCs w:val="20"/>
                <w:color w:val="auto"/>
              </w:rPr>
            </w:pPr>
            <w:r>
              <w:rPr>
                <w:rFonts w:ascii="Arial" w:cs="Arial" w:eastAsia="Arial" w:hAnsi="Arial"/>
                <w:sz w:val="8"/>
                <w:szCs w:val="8"/>
                <w:color w:val="auto"/>
                <w:w w:val="73"/>
              </w:rPr>
              <w:t>·</w:t>
            </w:r>
          </w:p>
        </w:tc>
        <w:tc>
          <w:tcPr>
            <w:tcW w:w="4400" w:type="dxa"/>
            <w:vAlign w:val="bottom"/>
          </w:tcPr>
          <w:p>
            <w:pPr>
              <w:ind w:left="100"/>
              <w:spacing w:after="0"/>
              <w:rPr>
                <w:sz w:val="20"/>
                <w:szCs w:val="20"/>
                <w:color w:val="auto"/>
              </w:rPr>
            </w:pPr>
            <w:r>
              <w:rPr>
                <w:rFonts w:ascii="Arial" w:cs="Arial" w:eastAsia="Arial" w:hAnsi="Arial"/>
                <w:sz w:val="20"/>
                <w:szCs w:val="20"/>
                <w:color w:val="auto"/>
              </w:rPr>
              <w:t>Monster Energy Ultra®</w:t>
            </w:r>
          </w:p>
        </w:tc>
        <w:tc>
          <w:tcPr>
            <w:tcW w:w="2560" w:type="dxa"/>
            <w:vAlign w:val="bottom"/>
          </w:tcPr>
          <w:p>
            <w:pPr>
              <w:ind w:left="2400"/>
              <w:spacing w:after="0"/>
              <w:rPr>
                <w:sz w:val="20"/>
                <w:szCs w:val="20"/>
                <w:color w:val="auto"/>
              </w:rPr>
            </w:pPr>
            <w:r>
              <w:rPr>
                <w:rFonts w:ascii="Arial" w:cs="Arial" w:eastAsia="Arial" w:hAnsi="Arial"/>
                <w:sz w:val="20"/>
                <w:szCs w:val="20"/>
                <w:color w:val="auto"/>
              </w:rPr>
              <w:t>·</w:t>
            </w:r>
          </w:p>
        </w:tc>
        <w:tc>
          <w:tcPr>
            <w:tcW w:w="2780" w:type="dxa"/>
            <w:vAlign w:val="bottom"/>
          </w:tcPr>
          <w:p>
            <w:pPr>
              <w:ind w:left="100"/>
              <w:spacing w:after="0"/>
              <w:rPr>
                <w:sz w:val="20"/>
                <w:szCs w:val="20"/>
                <w:color w:val="auto"/>
              </w:rPr>
            </w:pPr>
            <w:r>
              <w:rPr>
                <w:rFonts w:ascii="Arial" w:cs="Arial" w:eastAsia="Arial" w:hAnsi="Arial"/>
                <w:sz w:val="20"/>
                <w:szCs w:val="20"/>
                <w:color w:val="auto"/>
              </w:rPr>
              <w:t>Full Throttle®</w:t>
            </w:r>
          </w:p>
        </w:tc>
      </w:tr>
      <w:tr>
        <w:trPr>
          <w:trHeight w:val="230"/>
        </w:trPr>
        <w:tc>
          <w:tcPr>
            <w:tcW w:w="140" w:type="dxa"/>
            <w:vAlign w:val="bottom"/>
          </w:tcPr>
          <w:p>
            <w:pPr>
              <w:jc w:val="right"/>
              <w:ind w:right="62"/>
              <w:spacing w:after="0"/>
              <w:rPr>
                <w:sz w:val="20"/>
                <w:szCs w:val="20"/>
                <w:color w:val="auto"/>
              </w:rPr>
            </w:pPr>
            <w:r>
              <w:rPr>
                <w:rFonts w:ascii="Arial" w:cs="Arial" w:eastAsia="Arial" w:hAnsi="Arial"/>
                <w:sz w:val="8"/>
                <w:szCs w:val="8"/>
                <w:color w:val="auto"/>
                <w:w w:val="73"/>
              </w:rPr>
              <w:t>·</w:t>
            </w:r>
          </w:p>
        </w:tc>
        <w:tc>
          <w:tcPr>
            <w:tcW w:w="4400" w:type="dxa"/>
            <w:vAlign w:val="bottom"/>
          </w:tcPr>
          <w:p>
            <w:pPr>
              <w:ind w:left="100"/>
              <w:spacing w:after="0"/>
              <w:rPr>
                <w:sz w:val="20"/>
                <w:szCs w:val="20"/>
                <w:color w:val="auto"/>
              </w:rPr>
            </w:pPr>
            <w:r>
              <w:rPr>
                <w:rFonts w:ascii="Arial" w:cs="Arial" w:eastAsia="Arial" w:hAnsi="Arial"/>
                <w:sz w:val="20"/>
                <w:szCs w:val="20"/>
                <w:color w:val="auto"/>
              </w:rPr>
              <w:t>Monster Rehab®</w:t>
            </w:r>
          </w:p>
        </w:tc>
        <w:tc>
          <w:tcPr>
            <w:tcW w:w="2560" w:type="dxa"/>
            <w:vAlign w:val="bottom"/>
          </w:tcPr>
          <w:p>
            <w:pPr>
              <w:ind w:left="2400"/>
              <w:spacing w:after="0"/>
              <w:rPr>
                <w:sz w:val="20"/>
                <w:szCs w:val="20"/>
                <w:color w:val="auto"/>
              </w:rPr>
            </w:pPr>
            <w:r>
              <w:rPr>
                <w:rFonts w:ascii="Arial" w:cs="Arial" w:eastAsia="Arial" w:hAnsi="Arial"/>
                <w:sz w:val="20"/>
                <w:szCs w:val="20"/>
                <w:color w:val="auto"/>
              </w:rPr>
              <w:t>·</w:t>
            </w:r>
          </w:p>
        </w:tc>
        <w:tc>
          <w:tcPr>
            <w:tcW w:w="2780" w:type="dxa"/>
            <w:vAlign w:val="bottom"/>
          </w:tcPr>
          <w:p>
            <w:pPr>
              <w:ind w:left="100"/>
              <w:spacing w:after="0"/>
              <w:rPr>
                <w:sz w:val="20"/>
                <w:szCs w:val="20"/>
                <w:color w:val="auto"/>
              </w:rPr>
            </w:pPr>
            <w:r>
              <w:rPr>
                <w:rFonts w:ascii="Arial" w:cs="Arial" w:eastAsia="Arial" w:hAnsi="Arial"/>
                <w:sz w:val="20"/>
                <w:szCs w:val="20"/>
                <w:color w:val="auto"/>
              </w:rPr>
              <w:t>Burn®</w:t>
            </w:r>
          </w:p>
        </w:tc>
      </w:tr>
      <w:tr>
        <w:trPr>
          <w:trHeight w:val="230"/>
        </w:trPr>
        <w:tc>
          <w:tcPr>
            <w:tcW w:w="140" w:type="dxa"/>
            <w:vAlign w:val="bottom"/>
          </w:tcPr>
          <w:p>
            <w:pPr>
              <w:jc w:val="right"/>
              <w:ind w:right="62"/>
              <w:spacing w:after="0"/>
              <w:rPr>
                <w:sz w:val="20"/>
                <w:szCs w:val="20"/>
                <w:color w:val="auto"/>
              </w:rPr>
            </w:pPr>
            <w:r>
              <w:rPr>
                <w:rFonts w:ascii="Arial" w:cs="Arial" w:eastAsia="Arial" w:hAnsi="Arial"/>
                <w:sz w:val="8"/>
                <w:szCs w:val="8"/>
                <w:color w:val="auto"/>
                <w:w w:val="73"/>
              </w:rPr>
              <w:t>·</w:t>
            </w:r>
          </w:p>
        </w:tc>
        <w:tc>
          <w:tcPr>
            <w:tcW w:w="4400" w:type="dxa"/>
            <w:vAlign w:val="bottom"/>
          </w:tcPr>
          <w:p>
            <w:pPr>
              <w:ind w:left="100"/>
              <w:spacing w:after="0"/>
              <w:rPr>
                <w:sz w:val="20"/>
                <w:szCs w:val="20"/>
                <w:color w:val="auto"/>
              </w:rPr>
            </w:pPr>
            <w:r>
              <w:rPr>
                <w:rFonts w:ascii="Arial" w:cs="Arial" w:eastAsia="Arial" w:hAnsi="Arial"/>
                <w:sz w:val="20"/>
                <w:szCs w:val="20"/>
                <w:color w:val="auto"/>
              </w:rPr>
              <w:t>Monster MAXX</w:t>
            </w:r>
            <w:r>
              <w:rPr>
                <w:rFonts w:ascii="Arial" w:cs="Arial" w:eastAsia="Arial" w:hAnsi="Arial"/>
                <w:sz w:val="12"/>
                <w:szCs w:val="12"/>
                <w:color w:val="auto"/>
              </w:rPr>
              <w:t>TM</w:t>
            </w:r>
          </w:p>
        </w:tc>
        <w:tc>
          <w:tcPr>
            <w:tcW w:w="2560" w:type="dxa"/>
            <w:vAlign w:val="bottom"/>
          </w:tcPr>
          <w:p>
            <w:pPr>
              <w:ind w:left="2400"/>
              <w:spacing w:after="0"/>
              <w:rPr>
                <w:sz w:val="20"/>
                <w:szCs w:val="20"/>
                <w:color w:val="auto"/>
              </w:rPr>
            </w:pPr>
            <w:r>
              <w:rPr>
                <w:rFonts w:ascii="Arial" w:cs="Arial" w:eastAsia="Arial" w:hAnsi="Arial"/>
                <w:sz w:val="20"/>
                <w:szCs w:val="20"/>
                <w:color w:val="auto"/>
              </w:rPr>
              <w:t>·</w:t>
            </w:r>
          </w:p>
        </w:tc>
        <w:tc>
          <w:tcPr>
            <w:tcW w:w="2780" w:type="dxa"/>
            <w:vAlign w:val="bottom"/>
          </w:tcPr>
          <w:p>
            <w:pPr>
              <w:ind w:left="100"/>
              <w:spacing w:after="0"/>
              <w:rPr>
                <w:sz w:val="20"/>
                <w:szCs w:val="20"/>
                <w:color w:val="auto"/>
              </w:rPr>
            </w:pPr>
            <w:r>
              <w:rPr>
                <w:rFonts w:ascii="Arial" w:cs="Arial" w:eastAsia="Arial" w:hAnsi="Arial"/>
                <w:sz w:val="20"/>
                <w:szCs w:val="20"/>
                <w:color w:val="auto"/>
              </w:rPr>
              <w:t>Mother®</w:t>
            </w:r>
          </w:p>
        </w:tc>
      </w:tr>
      <w:tr>
        <w:trPr>
          <w:trHeight w:val="230"/>
        </w:trPr>
        <w:tc>
          <w:tcPr>
            <w:tcW w:w="140" w:type="dxa"/>
            <w:vAlign w:val="bottom"/>
          </w:tcPr>
          <w:p>
            <w:pPr>
              <w:jc w:val="right"/>
              <w:ind w:right="62"/>
              <w:spacing w:after="0"/>
              <w:rPr>
                <w:sz w:val="20"/>
                <w:szCs w:val="20"/>
                <w:color w:val="auto"/>
              </w:rPr>
            </w:pPr>
            <w:r>
              <w:rPr>
                <w:rFonts w:ascii="Arial" w:cs="Arial" w:eastAsia="Arial" w:hAnsi="Arial"/>
                <w:sz w:val="8"/>
                <w:szCs w:val="8"/>
                <w:color w:val="auto"/>
                <w:w w:val="73"/>
              </w:rPr>
              <w:t>·</w:t>
            </w:r>
          </w:p>
        </w:tc>
        <w:tc>
          <w:tcPr>
            <w:tcW w:w="4400" w:type="dxa"/>
            <w:vAlign w:val="bottom"/>
          </w:tcPr>
          <w:p>
            <w:pPr>
              <w:ind w:left="100"/>
              <w:spacing w:after="0"/>
              <w:rPr>
                <w:sz w:val="20"/>
                <w:szCs w:val="20"/>
                <w:color w:val="auto"/>
              </w:rPr>
            </w:pPr>
            <w:r>
              <w:rPr>
                <w:rFonts w:ascii="Arial" w:cs="Arial" w:eastAsia="Arial" w:hAnsi="Arial"/>
                <w:sz w:val="20"/>
                <w:szCs w:val="20"/>
                <w:color w:val="auto"/>
              </w:rPr>
              <w:t>Java Monster®</w:t>
            </w:r>
          </w:p>
        </w:tc>
        <w:tc>
          <w:tcPr>
            <w:tcW w:w="2560" w:type="dxa"/>
            <w:vAlign w:val="bottom"/>
          </w:tcPr>
          <w:p>
            <w:pPr>
              <w:ind w:left="2400"/>
              <w:spacing w:after="0"/>
              <w:rPr>
                <w:sz w:val="20"/>
                <w:szCs w:val="20"/>
                <w:color w:val="auto"/>
              </w:rPr>
            </w:pPr>
            <w:r>
              <w:rPr>
                <w:rFonts w:ascii="Arial" w:cs="Arial" w:eastAsia="Arial" w:hAnsi="Arial"/>
                <w:sz w:val="20"/>
                <w:szCs w:val="20"/>
                <w:color w:val="auto"/>
              </w:rPr>
              <w:t>·</w:t>
            </w:r>
          </w:p>
        </w:tc>
        <w:tc>
          <w:tcPr>
            <w:tcW w:w="2780" w:type="dxa"/>
            <w:vAlign w:val="bottom"/>
          </w:tcPr>
          <w:p>
            <w:pPr>
              <w:ind w:left="100"/>
              <w:spacing w:after="0"/>
              <w:rPr>
                <w:sz w:val="20"/>
                <w:szCs w:val="20"/>
                <w:color w:val="auto"/>
              </w:rPr>
            </w:pPr>
            <w:r>
              <w:rPr>
                <w:rFonts w:ascii="Arial" w:cs="Arial" w:eastAsia="Arial" w:hAnsi="Arial"/>
                <w:sz w:val="20"/>
                <w:szCs w:val="20"/>
                <w:color w:val="auto"/>
              </w:rPr>
              <w:t>Nalu®</w:t>
            </w:r>
          </w:p>
        </w:tc>
      </w:tr>
      <w:tr>
        <w:trPr>
          <w:trHeight w:val="230"/>
        </w:trPr>
        <w:tc>
          <w:tcPr>
            <w:tcW w:w="140" w:type="dxa"/>
            <w:vAlign w:val="bottom"/>
          </w:tcPr>
          <w:p>
            <w:pPr>
              <w:jc w:val="right"/>
              <w:ind w:right="62"/>
              <w:spacing w:after="0"/>
              <w:rPr>
                <w:sz w:val="20"/>
                <w:szCs w:val="20"/>
                <w:color w:val="auto"/>
              </w:rPr>
            </w:pPr>
            <w:r>
              <w:rPr>
                <w:rFonts w:ascii="Arial" w:cs="Arial" w:eastAsia="Arial" w:hAnsi="Arial"/>
                <w:sz w:val="8"/>
                <w:szCs w:val="8"/>
                <w:color w:val="auto"/>
                <w:w w:val="73"/>
              </w:rPr>
              <w:t>·</w:t>
            </w:r>
          </w:p>
        </w:tc>
        <w:tc>
          <w:tcPr>
            <w:tcW w:w="4400" w:type="dxa"/>
            <w:vAlign w:val="bottom"/>
          </w:tcPr>
          <w:p>
            <w:pPr>
              <w:ind w:left="100"/>
              <w:spacing w:after="0"/>
              <w:rPr>
                <w:sz w:val="20"/>
                <w:szCs w:val="20"/>
                <w:color w:val="auto"/>
              </w:rPr>
            </w:pPr>
            <w:r>
              <w:rPr>
                <w:rFonts w:ascii="Arial" w:cs="Arial" w:eastAsia="Arial" w:hAnsi="Arial"/>
                <w:sz w:val="20"/>
                <w:szCs w:val="20"/>
                <w:color w:val="auto"/>
              </w:rPr>
              <w:t>Muscle Monster®</w:t>
            </w:r>
          </w:p>
        </w:tc>
        <w:tc>
          <w:tcPr>
            <w:tcW w:w="2560" w:type="dxa"/>
            <w:vAlign w:val="bottom"/>
          </w:tcPr>
          <w:p>
            <w:pPr>
              <w:ind w:left="2400"/>
              <w:spacing w:after="0"/>
              <w:rPr>
                <w:sz w:val="20"/>
                <w:szCs w:val="20"/>
                <w:color w:val="auto"/>
              </w:rPr>
            </w:pPr>
            <w:r>
              <w:rPr>
                <w:rFonts w:ascii="Arial" w:cs="Arial" w:eastAsia="Arial" w:hAnsi="Arial"/>
                <w:sz w:val="20"/>
                <w:szCs w:val="20"/>
                <w:color w:val="auto"/>
              </w:rPr>
              <w:t>·</w:t>
            </w:r>
          </w:p>
        </w:tc>
        <w:tc>
          <w:tcPr>
            <w:tcW w:w="2780" w:type="dxa"/>
            <w:vAlign w:val="bottom"/>
          </w:tcPr>
          <w:p>
            <w:pPr>
              <w:ind w:left="100"/>
              <w:spacing w:after="0"/>
              <w:rPr>
                <w:sz w:val="20"/>
                <w:szCs w:val="20"/>
                <w:color w:val="auto"/>
              </w:rPr>
            </w:pPr>
            <w:r>
              <w:rPr>
                <w:rFonts w:ascii="Arial" w:cs="Arial" w:eastAsia="Arial" w:hAnsi="Arial"/>
                <w:sz w:val="20"/>
                <w:szCs w:val="20"/>
                <w:color w:val="auto"/>
              </w:rPr>
              <w:t>Ultra Energy®</w:t>
            </w:r>
          </w:p>
        </w:tc>
      </w:tr>
      <w:tr>
        <w:trPr>
          <w:trHeight w:val="230"/>
        </w:trPr>
        <w:tc>
          <w:tcPr>
            <w:tcW w:w="140" w:type="dxa"/>
            <w:vAlign w:val="bottom"/>
          </w:tcPr>
          <w:p>
            <w:pPr>
              <w:jc w:val="right"/>
              <w:ind w:right="62"/>
              <w:spacing w:after="0"/>
              <w:rPr>
                <w:sz w:val="20"/>
                <w:szCs w:val="20"/>
                <w:color w:val="auto"/>
              </w:rPr>
            </w:pPr>
            <w:r>
              <w:rPr>
                <w:rFonts w:ascii="Arial" w:cs="Arial" w:eastAsia="Arial" w:hAnsi="Arial"/>
                <w:sz w:val="8"/>
                <w:szCs w:val="8"/>
                <w:color w:val="auto"/>
                <w:w w:val="73"/>
              </w:rPr>
              <w:t>·</w:t>
            </w:r>
          </w:p>
        </w:tc>
        <w:tc>
          <w:tcPr>
            <w:tcW w:w="4400" w:type="dxa"/>
            <w:vAlign w:val="bottom"/>
          </w:tcPr>
          <w:p>
            <w:pPr>
              <w:ind w:left="100"/>
              <w:spacing w:after="0"/>
              <w:rPr>
                <w:sz w:val="20"/>
                <w:szCs w:val="20"/>
                <w:color w:val="auto"/>
              </w:rPr>
            </w:pPr>
            <w:r>
              <w:rPr>
                <w:rFonts w:ascii="Arial" w:cs="Arial" w:eastAsia="Arial" w:hAnsi="Arial"/>
                <w:sz w:val="20"/>
                <w:szCs w:val="20"/>
                <w:color w:val="auto"/>
              </w:rPr>
              <w:t>Espresso Monster</w:t>
            </w:r>
            <w:r>
              <w:rPr>
                <w:rFonts w:ascii="Arial" w:cs="Arial" w:eastAsia="Arial" w:hAnsi="Arial"/>
                <w:sz w:val="12"/>
                <w:szCs w:val="12"/>
                <w:color w:val="auto"/>
              </w:rPr>
              <w:t>TM</w:t>
            </w:r>
          </w:p>
        </w:tc>
        <w:tc>
          <w:tcPr>
            <w:tcW w:w="5340" w:type="dxa"/>
            <w:vAlign w:val="bottom"/>
            <w:gridSpan w:val="2"/>
          </w:tcPr>
          <w:p>
            <w:pPr>
              <w:ind w:left="2400"/>
              <w:spacing w:after="0"/>
              <w:rPr>
                <w:sz w:val="20"/>
                <w:szCs w:val="20"/>
                <w:color w:val="auto"/>
              </w:rPr>
            </w:pPr>
            <w:r>
              <w:rPr>
                <w:rFonts w:ascii="Arial" w:cs="Arial" w:eastAsia="Arial" w:hAnsi="Arial"/>
                <w:sz w:val="20"/>
                <w:szCs w:val="20"/>
                <w:color w:val="auto"/>
                <w:w w:val="93"/>
              </w:rPr>
              <w:t>·  Play® and Power Play(stylized)®</w:t>
            </w:r>
          </w:p>
        </w:tc>
      </w:tr>
      <w:tr>
        <w:trPr>
          <w:trHeight w:val="230"/>
        </w:trPr>
        <w:tc>
          <w:tcPr>
            <w:tcW w:w="140" w:type="dxa"/>
            <w:vAlign w:val="bottom"/>
          </w:tcPr>
          <w:p>
            <w:pPr>
              <w:jc w:val="right"/>
              <w:ind w:right="62"/>
              <w:spacing w:after="0"/>
              <w:rPr>
                <w:sz w:val="20"/>
                <w:szCs w:val="20"/>
                <w:color w:val="auto"/>
              </w:rPr>
            </w:pPr>
            <w:r>
              <w:rPr>
                <w:rFonts w:ascii="Arial" w:cs="Arial" w:eastAsia="Arial" w:hAnsi="Arial"/>
                <w:sz w:val="8"/>
                <w:szCs w:val="8"/>
                <w:color w:val="auto"/>
                <w:w w:val="73"/>
              </w:rPr>
              <w:t>·</w:t>
            </w:r>
          </w:p>
        </w:tc>
        <w:tc>
          <w:tcPr>
            <w:tcW w:w="4400" w:type="dxa"/>
            <w:vAlign w:val="bottom"/>
          </w:tcPr>
          <w:p>
            <w:pPr>
              <w:ind w:left="100"/>
              <w:spacing w:after="0"/>
              <w:rPr>
                <w:sz w:val="20"/>
                <w:szCs w:val="20"/>
                <w:color w:val="auto"/>
              </w:rPr>
            </w:pPr>
            <w:r>
              <w:rPr>
                <w:rFonts w:ascii="Arial" w:cs="Arial" w:eastAsia="Arial" w:hAnsi="Arial"/>
                <w:sz w:val="20"/>
                <w:szCs w:val="20"/>
                <w:color w:val="auto"/>
              </w:rPr>
              <w:t>Punch Monster®</w:t>
            </w:r>
          </w:p>
        </w:tc>
        <w:tc>
          <w:tcPr>
            <w:tcW w:w="2560" w:type="dxa"/>
            <w:vAlign w:val="bottom"/>
          </w:tcPr>
          <w:p>
            <w:pPr>
              <w:ind w:left="2400"/>
              <w:spacing w:after="0"/>
              <w:rPr>
                <w:sz w:val="20"/>
                <w:szCs w:val="20"/>
                <w:color w:val="auto"/>
              </w:rPr>
            </w:pPr>
            <w:r>
              <w:rPr>
                <w:rFonts w:ascii="Arial" w:cs="Arial" w:eastAsia="Arial" w:hAnsi="Arial"/>
                <w:sz w:val="20"/>
                <w:szCs w:val="20"/>
                <w:color w:val="auto"/>
              </w:rPr>
              <w:t>·</w:t>
            </w:r>
          </w:p>
        </w:tc>
        <w:tc>
          <w:tcPr>
            <w:tcW w:w="2780" w:type="dxa"/>
            <w:vAlign w:val="bottom"/>
          </w:tcPr>
          <w:p>
            <w:pPr>
              <w:ind w:left="100"/>
              <w:spacing w:after="0"/>
              <w:rPr>
                <w:sz w:val="20"/>
                <w:szCs w:val="20"/>
                <w:color w:val="auto"/>
              </w:rPr>
            </w:pPr>
            <w:r>
              <w:rPr>
                <w:rFonts w:ascii="Arial" w:cs="Arial" w:eastAsia="Arial" w:hAnsi="Arial"/>
                <w:sz w:val="20"/>
                <w:szCs w:val="20"/>
                <w:color w:val="auto"/>
              </w:rPr>
              <w:t>Relentless®</w:t>
            </w:r>
          </w:p>
        </w:tc>
      </w:tr>
      <w:tr>
        <w:trPr>
          <w:trHeight w:val="230"/>
        </w:trPr>
        <w:tc>
          <w:tcPr>
            <w:tcW w:w="140" w:type="dxa"/>
            <w:vAlign w:val="bottom"/>
          </w:tcPr>
          <w:p>
            <w:pPr>
              <w:jc w:val="right"/>
              <w:ind w:right="62"/>
              <w:spacing w:after="0"/>
              <w:rPr>
                <w:sz w:val="20"/>
                <w:szCs w:val="20"/>
                <w:color w:val="auto"/>
              </w:rPr>
            </w:pPr>
            <w:r>
              <w:rPr>
                <w:rFonts w:ascii="Arial" w:cs="Arial" w:eastAsia="Arial" w:hAnsi="Arial"/>
                <w:sz w:val="8"/>
                <w:szCs w:val="8"/>
                <w:color w:val="auto"/>
                <w:w w:val="73"/>
              </w:rPr>
              <w:t>·</w:t>
            </w:r>
          </w:p>
        </w:tc>
        <w:tc>
          <w:tcPr>
            <w:tcW w:w="4400" w:type="dxa"/>
            <w:vAlign w:val="bottom"/>
          </w:tcPr>
          <w:p>
            <w:pPr>
              <w:ind w:left="100"/>
              <w:spacing w:after="0"/>
              <w:rPr>
                <w:sz w:val="20"/>
                <w:szCs w:val="20"/>
                <w:color w:val="auto"/>
              </w:rPr>
            </w:pPr>
            <w:r>
              <w:rPr>
                <w:rFonts w:ascii="Arial" w:cs="Arial" w:eastAsia="Arial" w:hAnsi="Arial"/>
                <w:sz w:val="20"/>
                <w:szCs w:val="20"/>
                <w:color w:val="auto"/>
              </w:rPr>
              <w:t>Juice Monster®</w:t>
            </w:r>
          </w:p>
        </w:tc>
        <w:tc>
          <w:tcPr>
            <w:tcW w:w="2560" w:type="dxa"/>
            <w:vAlign w:val="bottom"/>
          </w:tcPr>
          <w:p>
            <w:pPr>
              <w:ind w:left="2400"/>
              <w:spacing w:after="0"/>
              <w:rPr>
                <w:sz w:val="20"/>
                <w:szCs w:val="20"/>
                <w:color w:val="auto"/>
              </w:rPr>
            </w:pPr>
            <w:r>
              <w:rPr>
                <w:rFonts w:ascii="Arial" w:cs="Arial" w:eastAsia="Arial" w:hAnsi="Arial"/>
                <w:sz w:val="20"/>
                <w:szCs w:val="20"/>
                <w:color w:val="auto"/>
              </w:rPr>
              <w:t>·</w:t>
            </w:r>
          </w:p>
        </w:tc>
        <w:tc>
          <w:tcPr>
            <w:tcW w:w="2780" w:type="dxa"/>
            <w:vAlign w:val="bottom"/>
          </w:tcPr>
          <w:p>
            <w:pPr>
              <w:ind w:left="100"/>
              <w:spacing w:after="0"/>
              <w:rPr>
                <w:sz w:val="20"/>
                <w:szCs w:val="20"/>
                <w:color w:val="auto"/>
              </w:rPr>
            </w:pPr>
            <w:r>
              <w:rPr>
                <w:rFonts w:ascii="Arial" w:cs="Arial" w:eastAsia="Arial" w:hAnsi="Arial"/>
                <w:sz w:val="20"/>
                <w:szCs w:val="20"/>
                <w:color w:val="auto"/>
              </w:rPr>
              <w:t>BPM®</w:t>
            </w:r>
          </w:p>
        </w:tc>
      </w:tr>
      <w:tr>
        <w:trPr>
          <w:trHeight w:val="230"/>
        </w:trPr>
        <w:tc>
          <w:tcPr>
            <w:tcW w:w="140" w:type="dxa"/>
            <w:vAlign w:val="bottom"/>
          </w:tcPr>
          <w:p>
            <w:pPr>
              <w:jc w:val="right"/>
              <w:ind w:right="62"/>
              <w:spacing w:after="0"/>
              <w:rPr>
                <w:sz w:val="20"/>
                <w:szCs w:val="20"/>
                <w:color w:val="auto"/>
              </w:rPr>
            </w:pPr>
            <w:r>
              <w:rPr>
                <w:rFonts w:ascii="Arial" w:cs="Arial" w:eastAsia="Arial" w:hAnsi="Arial"/>
                <w:sz w:val="8"/>
                <w:szCs w:val="8"/>
                <w:color w:val="auto"/>
                <w:w w:val="73"/>
              </w:rPr>
              <w:t>·</w:t>
            </w:r>
          </w:p>
        </w:tc>
        <w:tc>
          <w:tcPr>
            <w:tcW w:w="4400" w:type="dxa"/>
            <w:vAlign w:val="bottom"/>
          </w:tcPr>
          <w:p>
            <w:pPr>
              <w:ind w:left="100"/>
              <w:spacing w:after="0"/>
              <w:rPr>
                <w:sz w:val="20"/>
                <w:szCs w:val="20"/>
                <w:color w:val="auto"/>
              </w:rPr>
            </w:pPr>
            <w:r>
              <w:rPr>
                <w:rFonts w:ascii="Arial" w:cs="Arial" w:eastAsia="Arial" w:hAnsi="Arial"/>
                <w:sz w:val="20"/>
                <w:szCs w:val="20"/>
                <w:color w:val="auto"/>
              </w:rPr>
              <w:t>Übermonster®</w:t>
            </w:r>
          </w:p>
        </w:tc>
        <w:tc>
          <w:tcPr>
            <w:tcW w:w="2560" w:type="dxa"/>
            <w:vAlign w:val="bottom"/>
          </w:tcPr>
          <w:p>
            <w:pPr>
              <w:ind w:left="2400"/>
              <w:spacing w:after="0"/>
              <w:rPr>
                <w:sz w:val="20"/>
                <w:szCs w:val="20"/>
                <w:color w:val="auto"/>
              </w:rPr>
            </w:pPr>
            <w:r>
              <w:rPr>
                <w:rFonts w:ascii="Arial" w:cs="Arial" w:eastAsia="Arial" w:hAnsi="Arial"/>
                <w:sz w:val="20"/>
                <w:szCs w:val="20"/>
                <w:color w:val="auto"/>
              </w:rPr>
              <w:t>·</w:t>
            </w:r>
          </w:p>
        </w:tc>
        <w:tc>
          <w:tcPr>
            <w:tcW w:w="2780" w:type="dxa"/>
            <w:vAlign w:val="bottom"/>
          </w:tcPr>
          <w:p>
            <w:pPr>
              <w:ind w:left="100"/>
              <w:spacing w:after="0"/>
              <w:rPr>
                <w:sz w:val="20"/>
                <w:szCs w:val="20"/>
                <w:color w:val="auto"/>
              </w:rPr>
            </w:pPr>
            <w:r>
              <w:rPr>
                <w:rFonts w:ascii="Arial" w:cs="Arial" w:eastAsia="Arial" w:hAnsi="Arial"/>
                <w:sz w:val="20"/>
                <w:szCs w:val="20"/>
                <w:color w:val="auto"/>
              </w:rPr>
              <w:t>BU®</w:t>
            </w:r>
          </w:p>
        </w:tc>
      </w:tr>
      <w:tr>
        <w:trPr>
          <w:trHeight w:val="230"/>
        </w:trPr>
        <w:tc>
          <w:tcPr>
            <w:tcW w:w="140" w:type="dxa"/>
            <w:vAlign w:val="bottom"/>
          </w:tcPr>
          <w:p>
            <w:pPr>
              <w:jc w:val="right"/>
              <w:ind w:right="62"/>
              <w:spacing w:after="0"/>
              <w:rPr>
                <w:sz w:val="20"/>
                <w:szCs w:val="20"/>
                <w:color w:val="auto"/>
              </w:rPr>
            </w:pPr>
            <w:r>
              <w:rPr>
                <w:rFonts w:ascii="Arial" w:cs="Arial" w:eastAsia="Arial" w:hAnsi="Arial"/>
                <w:sz w:val="8"/>
                <w:szCs w:val="8"/>
                <w:color w:val="auto"/>
                <w:w w:val="73"/>
              </w:rPr>
              <w:t>·</w:t>
            </w:r>
          </w:p>
        </w:tc>
        <w:tc>
          <w:tcPr>
            <w:tcW w:w="4400" w:type="dxa"/>
            <w:vAlign w:val="bottom"/>
          </w:tcPr>
          <w:p>
            <w:pPr>
              <w:ind w:left="100"/>
              <w:spacing w:after="0"/>
              <w:rPr>
                <w:sz w:val="20"/>
                <w:szCs w:val="20"/>
                <w:color w:val="auto"/>
              </w:rPr>
            </w:pPr>
            <w:r>
              <w:rPr>
                <w:rFonts w:ascii="Arial" w:cs="Arial" w:eastAsia="Arial" w:hAnsi="Arial"/>
                <w:sz w:val="20"/>
                <w:szCs w:val="20"/>
                <w:color w:val="auto"/>
              </w:rPr>
              <w:t>Monster Hydro®</w:t>
            </w:r>
          </w:p>
        </w:tc>
        <w:tc>
          <w:tcPr>
            <w:tcW w:w="2560" w:type="dxa"/>
            <w:vAlign w:val="bottom"/>
          </w:tcPr>
          <w:p>
            <w:pPr>
              <w:ind w:left="2400"/>
              <w:spacing w:after="0"/>
              <w:rPr>
                <w:sz w:val="20"/>
                <w:szCs w:val="20"/>
                <w:color w:val="auto"/>
              </w:rPr>
            </w:pPr>
            <w:r>
              <w:rPr>
                <w:rFonts w:ascii="Arial" w:cs="Arial" w:eastAsia="Arial" w:hAnsi="Arial"/>
                <w:sz w:val="20"/>
                <w:szCs w:val="20"/>
                <w:color w:val="auto"/>
              </w:rPr>
              <w:t>·</w:t>
            </w:r>
          </w:p>
        </w:tc>
        <w:tc>
          <w:tcPr>
            <w:tcW w:w="2780" w:type="dxa"/>
            <w:vAlign w:val="bottom"/>
          </w:tcPr>
          <w:p>
            <w:pPr>
              <w:ind w:left="100"/>
              <w:spacing w:after="0"/>
              <w:rPr>
                <w:sz w:val="20"/>
                <w:szCs w:val="20"/>
                <w:color w:val="auto"/>
              </w:rPr>
            </w:pPr>
            <w:r>
              <w:rPr>
                <w:rFonts w:ascii="Arial" w:cs="Arial" w:eastAsia="Arial" w:hAnsi="Arial"/>
                <w:sz w:val="20"/>
                <w:szCs w:val="20"/>
                <w:color w:val="auto"/>
              </w:rPr>
              <w:t>Gladiator®</w:t>
            </w:r>
          </w:p>
        </w:tc>
      </w:tr>
      <w:tr>
        <w:trPr>
          <w:trHeight w:val="230"/>
        </w:trPr>
        <w:tc>
          <w:tcPr>
            <w:tcW w:w="140" w:type="dxa"/>
            <w:vAlign w:val="bottom"/>
          </w:tcPr>
          <w:p>
            <w:pPr>
              <w:jc w:val="right"/>
              <w:ind w:right="62"/>
              <w:spacing w:after="0"/>
              <w:rPr>
                <w:sz w:val="20"/>
                <w:szCs w:val="20"/>
                <w:color w:val="auto"/>
              </w:rPr>
            </w:pPr>
            <w:r>
              <w:rPr>
                <w:rFonts w:ascii="Arial" w:cs="Arial" w:eastAsia="Arial" w:hAnsi="Arial"/>
                <w:sz w:val="8"/>
                <w:szCs w:val="8"/>
                <w:color w:val="auto"/>
                <w:w w:val="73"/>
              </w:rPr>
              <w:t>·</w:t>
            </w:r>
          </w:p>
        </w:tc>
        <w:tc>
          <w:tcPr>
            <w:tcW w:w="4400" w:type="dxa"/>
            <w:vAlign w:val="bottom"/>
          </w:tcPr>
          <w:p>
            <w:pPr>
              <w:ind w:left="100"/>
              <w:spacing w:after="0"/>
              <w:rPr>
                <w:sz w:val="20"/>
                <w:szCs w:val="20"/>
                <w:color w:val="auto"/>
              </w:rPr>
            </w:pPr>
            <w:r>
              <w:rPr>
                <w:rFonts w:ascii="Arial" w:cs="Arial" w:eastAsia="Arial" w:hAnsi="Arial"/>
                <w:sz w:val="20"/>
                <w:szCs w:val="20"/>
                <w:color w:val="auto"/>
              </w:rPr>
              <w:t>Caffé Monster®</w:t>
            </w:r>
          </w:p>
        </w:tc>
        <w:tc>
          <w:tcPr>
            <w:tcW w:w="2560" w:type="dxa"/>
            <w:vAlign w:val="bottom"/>
          </w:tcPr>
          <w:p>
            <w:pPr>
              <w:ind w:left="2400"/>
              <w:spacing w:after="0"/>
              <w:rPr>
                <w:sz w:val="20"/>
                <w:szCs w:val="20"/>
                <w:color w:val="auto"/>
              </w:rPr>
            </w:pPr>
            <w:r>
              <w:rPr>
                <w:rFonts w:ascii="Arial" w:cs="Arial" w:eastAsia="Arial" w:hAnsi="Arial"/>
                <w:sz w:val="20"/>
                <w:szCs w:val="20"/>
                <w:color w:val="auto"/>
              </w:rPr>
              <w:t>·</w:t>
            </w:r>
          </w:p>
        </w:tc>
        <w:tc>
          <w:tcPr>
            <w:tcW w:w="2780" w:type="dxa"/>
            <w:vAlign w:val="bottom"/>
          </w:tcPr>
          <w:p>
            <w:pPr>
              <w:ind w:left="100"/>
              <w:spacing w:after="0"/>
              <w:rPr>
                <w:sz w:val="20"/>
                <w:szCs w:val="20"/>
                <w:color w:val="auto"/>
              </w:rPr>
            </w:pPr>
            <w:r>
              <w:rPr>
                <w:rFonts w:ascii="Arial" w:cs="Arial" w:eastAsia="Arial" w:hAnsi="Arial"/>
                <w:sz w:val="20"/>
                <w:szCs w:val="20"/>
                <w:color w:val="auto"/>
              </w:rPr>
              <w:t>Samurai®</w:t>
            </w:r>
          </w:p>
        </w:tc>
      </w:tr>
      <w:tr>
        <w:trPr>
          <w:trHeight w:val="250"/>
        </w:trPr>
        <w:tc>
          <w:tcPr>
            <w:tcW w:w="140" w:type="dxa"/>
            <w:vAlign w:val="bottom"/>
          </w:tcPr>
          <w:p>
            <w:pPr>
              <w:jc w:val="right"/>
              <w:ind w:right="62"/>
              <w:spacing w:after="0"/>
              <w:rPr>
                <w:sz w:val="20"/>
                <w:szCs w:val="20"/>
                <w:color w:val="auto"/>
              </w:rPr>
            </w:pPr>
            <w:r>
              <w:rPr>
                <w:rFonts w:ascii="Arial" w:cs="Arial" w:eastAsia="Arial" w:hAnsi="Arial"/>
                <w:sz w:val="8"/>
                <w:szCs w:val="8"/>
                <w:color w:val="auto"/>
                <w:w w:val="73"/>
              </w:rPr>
              <w:t>·</w:t>
            </w:r>
          </w:p>
        </w:tc>
        <w:tc>
          <w:tcPr>
            <w:tcW w:w="4400" w:type="dxa"/>
            <w:vAlign w:val="bottom"/>
          </w:tcPr>
          <w:p>
            <w:pPr>
              <w:ind w:left="100"/>
              <w:spacing w:after="0"/>
              <w:rPr>
                <w:sz w:val="20"/>
                <w:szCs w:val="20"/>
                <w:color w:val="auto"/>
              </w:rPr>
            </w:pPr>
            <w:r>
              <w:rPr>
                <w:rFonts w:ascii="Arial" w:cs="Arial" w:eastAsia="Arial" w:hAnsi="Arial"/>
                <w:sz w:val="20"/>
                <w:szCs w:val="20"/>
                <w:color w:val="auto"/>
              </w:rPr>
              <w:t>Mutant® Super Soda</w:t>
            </w:r>
          </w:p>
        </w:tc>
        <w:tc>
          <w:tcPr>
            <w:tcW w:w="2560" w:type="dxa"/>
            <w:vAlign w:val="bottom"/>
          </w:tcPr>
          <w:p>
            <w:pPr>
              <w:spacing w:after="0"/>
              <w:rPr>
                <w:sz w:val="21"/>
                <w:szCs w:val="21"/>
                <w:color w:val="auto"/>
              </w:rPr>
            </w:pPr>
          </w:p>
        </w:tc>
        <w:tc>
          <w:tcPr>
            <w:tcW w:w="2780" w:type="dxa"/>
            <w:vAlign w:val="bottom"/>
          </w:tcPr>
          <w:p>
            <w:pPr>
              <w:spacing w:after="0"/>
              <w:rPr>
                <w:sz w:val="21"/>
                <w:szCs w:val="21"/>
                <w:color w:val="auto"/>
              </w:rPr>
            </w:pPr>
          </w:p>
        </w:tc>
      </w:tr>
    </w:tbl>
    <w:p>
      <w:pPr>
        <w:spacing w:after="0" w:line="20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Our Monster Energy® brand energy drinks represented 91.6% and 90.1% of our net sales for the three-months ended March 31, 2018 and 2017, respectively.</w:t>
      </w:r>
    </w:p>
    <w:p>
      <w:pPr>
        <w:spacing w:after="0" w:line="190"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auto"/>
        </w:rPr>
        <w:t>We currently have three operating and reportable segments, (i) Monster Energy® Drinks segment (“Monster Energy® Drinks”), which is comprised of the Company’s Monster Energy® drinks, Monster Hydro® energy drinks and Mutant® Super Soda drinks, (ii) Strategic Brands</w:t>
      </w:r>
    </w:p>
    <w:p>
      <w:pPr>
        <w:sectPr>
          <w:pgSz w:w="11900" w:h="16838" w:orient="portrait"/>
          <w:cols w:equalWidth="0" w:num="1">
            <w:col w:w="11420"/>
          </w:cols>
          <w:pgMar w:left="240" w:top="121" w:right="239" w:bottom="0" w:gutter="0" w:footer="0" w:header="0"/>
        </w:sectPr>
      </w:pPr>
    </w:p>
    <w:bookmarkStart w:id="20" w:name="page21"/>
    <w:bookmarkEnd w:id="20"/>
    <w:p>
      <w:pPr>
        <w:spacing w:after="0" w:line="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segment (“Strategic Brands”), which is comprised of the various energy drink brands acquired from The Coca-Cola Company (“TCCC”) in 2015 and (iii) Other segment (“Other”), which is comprised of certain products sold by American Fruits and Flavors LLC (a wholly-owned subsidiary of the Company) to independent third-party customers (the “AFF Third-Party Products”).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During the three-months ended March 31, 2018, we continued to expand our existing energy drink portfolio and further develop our distribution markets. During the three-months ended March 31, 2018, we introduced the following product:</w:t>
      </w:r>
    </w:p>
    <w:p>
      <w:pPr>
        <w:spacing w:after="0" w:line="190" w:lineRule="exact"/>
        <w:rPr>
          <w:sz w:val="20"/>
          <w:szCs w:val="20"/>
          <w:color w:val="auto"/>
        </w:rPr>
      </w:pPr>
    </w:p>
    <w:p>
      <w:pPr>
        <w:ind w:left="620" w:hanging="288"/>
        <w:spacing w:after="0"/>
        <w:tabs>
          <w:tab w:leader="none" w:pos="6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Monster Cuba Libre (March 2018) (Japan)</w:t>
      </w:r>
    </w:p>
    <w:p>
      <w:pPr>
        <w:spacing w:after="0" w:line="15" w:lineRule="exact"/>
        <w:rPr>
          <w:rFonts w:ascii="Arial" w:cs="Arial" w:eastAsia="Arial" w:hAnsi="Arial"/>
          <w:sz w:val="20"/>
          <w:szCs w:val="20"/>
          <w:color w:val="auto"/>
        </w:rPr>
      </w:pPr>
    </w:p>
    <w:p>
      <w:pPr>
        <w:ind w:left="620" w:hanging="288"/>
        <w:spacing w:after="0"/>
        <w:tabs>
          <w:tab w:leader="none" w:pos="6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Monster Rehab® White Dragon Tea (February 2018)</w:t>
      </w:r>
    </w:p>
    <w:p>
      <w:pPr>
        <w:ind w:left="620" w:hanging="288"/>
        <w:spacing w:after="0"/>
        <w:tabs>
          <w:tab w:leader="none" w:pos="6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Monster Hydro® Blue Ice (February 2018)</w:t>
      </w:r>
    </w:p>
    <w:p>
      <w:pPr>
        <w:ind w:left="620" w:hanging="288"/>
        <w:spacing w:after="0"/>
        <w:tabs>
          <w:tab w:leader="none" w:pos="6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Monster Hydro® Purple Passion (February 2018)</w:t>
      </w:r>
    </w:p>
    <w:p>
      <w:pPr>
        <w:ind w:left="620" w:hanging="288"/>
        <w:spacing w:after="0"/>
        <w:tabs>
          <w:tab w:leader="none" w:pos="6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Monster Hydro® Zero Sugar (February 2018)</w:t>
      </w:r>
    </w:p>
    <w:p>
      <w:pPr>
        <w:ind w:left="620" w:hanging="288"/>
        <w:spacing w:after="0"/>
        <w:tabs>
          <w:tab w:leader="none" w:pos="6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Caffé Monster® Mocha (January 2018)</w:t>
      </w:r>
    </w:p>
    <w:p>
      <w:pPr>
        <w:ind w:left="620" w:hanging="288"/>
        <w:spacing w:after="0"/>
        <w:tabs>
          <w:tab w:leader="none" w:pos="6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Caffé Monster® Vanilla (January 2018)</w:t>
      </w:r>
    </w:p>
    <w:p>
      <w:pPr>
        <w:ind w:left="620" w:hanging="288"/>
        <w:spacing w:after="0"/>
        <w:tabs>
          <w:tab w:leader="none" w:pos="6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Caffé Monster® Salted Caramel (January 2018)</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the normal course of business we discontinue certain products and/or product lines. Those products or product lines discontinued in the three-months ended March 31, 2018, either individually or in aggregate, did not have a material adverse impact on our financial position, results of operations or liquidity.</w:t>
      </w:r>
    </w:p>
    <w:p>
      <w:pPr>
        <w:spacing w:after="0" w:line="20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Our net sales of $850.9 million for the three-months ended March 31, 2018 represented record sales for our first fiscal quarter. The vast majority of our net sales are derived from our Monster Energy® brand energy drinks. Net sales of our Monster Energy® brand energy drinks were $779.2 million for the three-months ended March 31, 2018. Net sales of our Strategic Brands were $65.8 million for the three-months ended March 31, 2018. Net sales for the three-months ended March 31, 2018 were negatively impacted by approximately $9.9 million as a result of the adoption of Accounting Standards Codification (“ASC”) 606. Under ASC 606, commissions paid to TCCC, based on sales to certain of the Company’s TCCC bottlers/distributors, which TCCC accounts for under the equity method (the “TCCC Related Parties”), or consolidates, are included as a reduction to net sales. Prior to January 1, 2018, commissions based on sales to the TCCC Related Parties, were included in operating expenses.</w:t>
      </w:r>
    </w:p>
    <w:p>
      <w:pPr>
        <w:spacing w:after="0" w:line="21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Monster Energy® Drinks segment represented 91.7% and 90.1% of our consolidated net sales for the three-months ended March 31, 2018 and 2017, respectively. Our Strategic Brands segment represented 7.7% and 9.2% of our consolidated net sales for the three-months ended March 31, 2018 and 2017, respectively. Our Other segment represented 0.5% and 0.7% of our consolidated net sales for the three-months ended March 31, 2018 and 2017, respectively.</w:t>
      </w:r>
    </w:p>
    <w:p>
      <w:pPr>
        <w:spacing w:after="0" w:line="20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Net changes in foreign currency exchange rates had a favorable impact on net sales in the Monster Energy® Drinks segment of approximately $15.4 million for the three-months ended March 31, 2018. Net changes in foreign currency exchange rates had a favorable impact on net sales in the Strategic Brands segment of approximately $2.3 million for the three-months ended March 31, 2018.</w:t>
      </w:r>
    </w:p>
    <w:p>
      <w:pPr>
        <w:spacing w:after="0" w:line="165" w:lineRule="exact"/>
        <w:rPr>
          <w:sz w:val="20"/>
          <w:szCs w:val="20"/>
          <w:color w:val="auto"/>
        </w:rPr>
      </w:pPr>
    </w:p>
    <w:p>
      <w:pPr>
        <w:jc w:val="both"/>
        <w:ind w:firstLine="733"/>
        <w:spacing w:after="0" w:line="257" w:lineRule="auto"/>
        <w:rPr>
          <w:sz w:val="20"/>
          <w:szCs w:val="20"/>
          <w:color w:val="auto"/>
        </w:rPr>
      </w:pPr>
      <w:r>
        <w:rPr>
          <w:rFonts w:ascii="Arial" w:cs="Arial" w:eastAsia="Arial" w:hAnsi="Arial"/>
          <w:sz w:val="19"/>
          <w:szCs w:val="19"/>
          <w:color w:val="auto"/>
        </w:rPr>
        <w:t>Our sales and marketing strategy for all our beverages is to focus our efforts on developing brand awareness through image-enhancing programs and product sampling. We use our branded vehicles and other promotional vehicles at events where we offer samples of our products to consumers. We utilize “push-pull” methods to enhance shelf and display space exposure in sales outlets (including racks, coolers and barrel coolers), advertising, in-store promotions and in-store placement of point-of-sale materials to encourage demand from consumers for our products. We also support our brands with prize promotions, price promotions, competitions, endorsements from selected public and sports figures, sports personality endorsements, sampling and sponsorship of selected athletes, teams, series, bands, esports, causes and events. In-store posters, outdoor posters, print, radio and television advertising (directly and through our sponsorships and endorsements) and coupons may also be used to promote our brands.</w:t>
      </w:r>
    </w:p>
    <w:p>
      <w:pPr>
        <w:spacing w:after="0" w:line="19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We believe that one of the keys to success in the beverage industry is differentiation, making our brands and products visually appealing and distinctive from other beverages on the shelves of retailers. We review our products and packaging on an ongoing basis and, where practical, endeavor to make them different and unique. The labels and graphics for many of our products are redesigned from time to time to maximize their visibility and identification, wherever they may be placed in stores, which we continue to reevaluate from time to time.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Our growth strategy includes expanding our international business. Net sales to customers outside the United States amounted to $242.1 million and $190.9 million for the three-months ended March 31, 2018 and 2017, respectively. Such sales were approximately 28% and 26% of net sales for the three-months ended March 31, 2018 and 2017, respectively. Net changes in foreign currency exchange rates had a favorable impact on net sales to customers outside the United States of approximately $17.7 million for the three-months ended March 31, 2018.</w:t>
      </w:r>
    </w:p>
    <w:p>
      <w:pPr>
        <w:spacing w:after="0" w:line="20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Our customers are primarily full service beverage bottlers/distributors, retail grocery and specialty chains, wholesalers, club stores, mass merchandisers, convenience chains, food service customers and the military. Percentages of our gross sales to our various customer types for the three-months ended March 31, 2018 and 2017 are reflected below. Such information includes sales made by us directly to the customer types concerned, which include our full service beverage bottlers/distributors in the United States. Such full service beverage</w:t>
      </w:r>
    </w:p>
    <w:p>
      <w:pPr>
        <w:sectPr>
          <w:pgSz w:w="11900" w:h="16881" w:orient="portrait"/>
          <w:cols w:equalWidth="0" w:num="1">
            <w:col w:w="11420"/>
          </w:cols>
          <w:pgMar w:left="240" w:top="121" w:right="239" w:bottom="0" w:gutter="0" w:footer="0" w:header="0"/>
        </w:sectPr>
      </w:pPr>
    </w:p>
    <w:bookmarkStart w:id="21" w:name="page22"/>
    <w:bookmarkEnd w:id="21"/>
    <w:p>
      <w:pPr>
        <w:jc w:val="both"/>
        <w:spacing w:after="0" w:line="250" w:lineRule="auto"/>
        <w:rPr>
          <w:sz w:val="20"/>
          <w:szCs w:val="20"/>
          <w:color w:val="auto"/>
        </w:rPr>
      </w:pPr>
      <w:r>
        <w:rPr>
          <w:rFonts w:ascii="Arial" w:cs="Arial" w:eastAsia="Arial" w:hAnsi="Arial"/>
          <w:sz w:val="20"/>
          <w:szCs w:val="20"/>
          <w:color w:val="auto"/>
        </w:rPr>
        <w:t xml:space="preserve">bottlers/distributors in turn sell certain of our products to some of the same customer types listed below. We limit our description of our </w:t>
      </w:r>
      <w:r>
        <w:rPr>
          <w:rFonts w:ascii="Arial" w:cs="Arial" w:eastAsia="Arial" w:hAnsi="Arial"/>
          <w:sz w:val="20"/>
          <w:szCs w:val="20"/>
          <w:color w:val="auto"/>
        </w:rPr>
        <w:t>customer types to include only our sales to our full service bottlers/distributors without reference to such bottlers’/distributors’ sales to their own customers.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tcPr>
          <w:p>
            <w:pPr>
              <w:spacing w:after="0"/>
              <w:rPr>
                <w:sz w:val="19"/>
                <w:szCs w:val="19"/>
                <w:color w:val="auto"/>
              </w:rPr>
            </w:pPr>
          </w:p>
        </w:tc>
        <w:tc>
          <w:tcPr>
            <w:tcW w:w="3420" w:type="dxa"/>
            <w:vAlign w:val="bottom"/>
            <w:gridSpan w:val="4"/>
          </w:tcPr>
          <w:p>
            <w:pPr>
              <w:jc w:val="center"/>
              <w:spacing w:after="0"/>
              <w:rPr>
                <w:sz w:val="20"/>
                <w:szCs w:val="20"/>
                <w:color w:val="auto"/>
              </w:rPr>
            </w:pPr>
            <w:r>
              <w:rPr>
                <w:rFonts w:ascii="Arial" w:cs="Arial" w:eastAsia="Arial" w:hAnsi="Arial"/>
                <w:sz w:val="20"/>
                <w:szCs w:val="20"/>
                <w:color w:val="auto"/>
                <w:w w:val="90"/>
              </w:rPr>
              <w:t>Three-Months Ended</w:t>
            </w:r>
          </w:p>
        </w:tc>
        <w:tc>
          <w:tcPr>
            <w:tcW w:w="0" w:type="dxa"/>
            <w:vAlign w:val="bottom"/>
          </w:tcPr>
          <w:p>
            <w:pPr>
              <w:spacing w:after="0"/>
              <w:rPr>
                <w:sz w:val="1"/>
                <w:szCs w:val="1"/>
                <w:color w:val="auto"/>
              </w:rPr>
            </w:pPr>
          </w:p>
        </w:tc>
      </w:tr>
      <w:tr>
        <w:trPr>
          <w:trHeight w:val="246"/>
        </w:trPr>
        <w:tc>
          <w:tcPr>
            <w:tcW w:w="490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3"/>
          </w:tcPr>
          <w:p>
            <w:pPr>
              <w:jc w:val="center"/>
              <w:ind w:right="1041"/>
              <w:spacing w:after="0"/>
              <w:rPr>
                <w:sz w:val="20"/>
                <w:szCs w:val="20"/>
                <w:color w:val="auto"/>
              </w:rPr>
            </w:pPr>
            <w:r>
              <w:rPr>
                <w:rFonts w:ascii="Arial" w:cs="Arial" w:eastAsia="Arial" w:hAnsi="Arial"/>
                <w:sz w:val="20"/>
                <w:szCs w:val="20"/>
                <w:color w:val="auto"/>
                <w:w w:val="92"/>
              </w:rPr>
              <w:t>March 31,</w:t>
            </w:r>
          </w:p>
        </w:tc>
        <w:tc>
          <w:tcPr>
            <w:tcW w:w="0" w:type="dxa"/>
            <w:vAlign w:val="bottom"/>
          </w:tcPr>
          <w:p>
            <w:pPr>
              <w:spacing w:after="0"/>
              <w:rPr>
                <w:sz w:val="1"/>
                <w:szCs w:val="1"/>
                <w:color w:val="auto"/>
              </w:rPr>
            </w:pPr>
          </w:p>
        </w:tc>
      </w:tr>
      <w:tr>
        <w:trPr>
          <w:trHeight w:val="223"/>
        </w:trPr>
        <w:tc>
          <w:tcPr>
            <w:tcW w:w="4900" w:type="dxa"/>
            <w:vAlign w:val="bottom"/>
            <w:vMerge w:val="restart"/>
          </w:tcPr>
          <w:p>
            <w:pPr>
              <w:spacing w:after="0"/>
              <w:rPr>
                <w:sz w:val="20"/>
                <w:szCs w:val="20"/>
                <w:color w:val="auto"/>
              </w:rPr>
            </w:pPr>
            <w:r>
              <w:rPr>
                <w:rFonts w:ascii="Arial" w:cs="Arial" w:eastAsia="Arial" w:hAnsi="Arial"/>
                <w:sz w:val="20"/>
                <w:szCs w:val="20"/>
                <w:color w:val="auto"/>
              </w:rPr>
              <w:t>U.S. full service bottlers/distributors</w:t>
            </w:r>
          </w:p>
        </w:tc>
        <w:tc>
          <w:tcPr>
            <w:tcW w:w="1140" w:type="dxa"/>
            <w:vAlign w:val="bottom"/>
          </w:tcPr>
          <w:p>
            <w:pPr>
              <w:jc w:val="center"/>
              <w:ind w:left="281"/>
              <w:spacing w:after="0" w:line="223" w:lineRule="exact"/>
              <w:rPr>
                <w:sz w:val="20"/>
                <w:szCs w:val="20"/>
                <w:color w:val="auto"/>
              </w:rPr>
            </w:pPr>
            <w:r>
              <w:rPr>
                <w:rFonts w:ascii="Arial" w:cs="Arial" w:eastAsia="Arial" w:hAnsi="Arial"/>
                <w:sz w:val="20"/>
                <w:szCs w:val="20"/>
                <w:color w:val="auto"/>
                <w:w w:val="89"/>
              </w:rPr>
              <w:t>2018</w:t>
            </w:r>
          </w:p>
        </w:tc>
        <w:tc>
          <w:tcPr>
            <w:tcW w:w="2280" w:type="dxa"/>
            <w:vAlign w:val="bottom"/>
            <w:gridSpan w:val="3"/>
          </w:tcPr>
          <w:p>
            <w:pPr>
              <w:jc w:val="center"/>
              <w:ind w:left="521"/>
              <w:spacing w:after="0" w:line="223" w:lineRule="exact"/>
              <w:rPr>
                <w:sz w:val="20"/>
                <w:szCs w:val="20"/>
                <w:color w:val="auto"/>
              </w:rPr>
            </w:pPr>
            <w:r>
              <w:rPr>
                <w:rFonts w:ascii="Arial" w:cs="Arial" w:eastAsia="Arial" w:hAnsi="Arial"/>
                <w:sz w:val="20"/>
                <w:szCs w:val="20"/>
                <w:color w:val="auto"/>
                <w:w w:val="85"/>
              </w:rPr>
              <w:t>2017</w:t>
            </w:r>
          </w:p>
        </w:tc>
        <w:tc>
          <w:tcPr>
            <w:tcW w:w="0" w:type="dxa"/>
            <w:vAlign w:val="bottom"/>
          </w:tcPr>
          <w:p>
            <w:pPr>
              <w:spacing w:after="0"/>
              <w:rPr>
                <w:sz w:val="1"/>
                <w:szCs w:val="1"/>
                <w:color w:val="auto"/>
              </w:rPr>
            </w:pPr>
          </w:p>
        </w:tc>
      </w:tr>
      <w:tr>
        <w:trPr>
          <w:trHeight w:val="206"/>
        </w:trPr>
        <w:tc>
          <w:tcPr>
            <w:tcW w:w="4900" w:type="dxa"/>
            <w:vAlign w:val="bottom"/>
            <w:vMerge w:val="continue"/>
          </w:tcPr>
          <w:p>
            <w:pPr>
              <w:spacing w:after="0"/>
              <w:rPr>
                <w:sz w:val="17"/>
                <w:szCs w:val="17"/>
                <w:color w:val="auto"/>
              </w:rPr>
            </w:pPr>
          </w:p>
        </w:tc>
        <w:tc>
          <w:tcPr>
            <w:tcW w:w="1140" w:type="dxa"/>
            <w:vAlign w:val="bottom"/>
            <w:tcBorders>
              <w:top w:val="single" w:sz="8" w:color="auto"/>
            </w:tcBorders>
          </w:tcPr>
          <w:p>
            <w:pPr>
              <w:jc w:val="center"/>
              <w:ind w:left="281"/>
              <w:spacing w:after="0" w:line="207" w:lineRule="exact"/>
              <w:rPr>
                <w:sz w:val="20"/>
                <w:szCs w:val="20"/>
                <w:color w:val="auto"/>
              </w:rPr>
            </w:pPr>
            <w:r>
              <w:rPr>
                <w:rFonts w:ascii="Arial" w:cs="Arial" w:eastAsia="Arial" w:hAnsi="Arial"/>
                <w:sz w:val="20"/>
                <w:szCs w:val="20"/>
                <w:color w:val="auto"/>
                <w:w w:val="89"/>
              </w:rPr>
              <w:t>62%</w:t>
            </w:r>
          </w:p>
        </w:tc>
        <w:tc>
          <w:tcPr>
            <w:tcW w:w="4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4"/>
              </w:rPr>
              <w:t>64%</w:t>
            </w: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20"/>
                <w:szCs w:val="20"/>
                <w:color w:val="auto"/>
              </w:rPr>
              <w:t>International full service bottlers/distributors</w:t>
            </w:r>
          </w:p>
        </w:tc>
        <w:tc>
          <w:tcPr>
            <w:tcW w:w="1140" w:type="dxa"/>
            <w:vAlign w:val="bottom"/>
          </w:tcPr>
          <w:p>
            <w:pPr>
              <w:jc w:val="center"/>
              <w:ind w:left="281"/>
              <w:spacing w:after="0"/>
              <w:rPr>
                <w:sz w:val="20"/>
                <w:szCs w:val="20"/>
                <w:color w:val="auto"/>
              </w:rPr>
            </w:pPr>
            <w:r>
              <w:rPr>
                <w:rFonts w:ascii="Arial" w:cs="Arial" w:eastAsia="Arial" w:hAnsi="Arial"/>
                <w:sz w:val="20"/>
                <w:szCs w:val="20"/>
                <w:color w:val="auto"/>
                <w:w w:val="89"/>
              </w:rPr>
              <w:t>30%</w:t>
            </w:r>
          </w:p>
        </w:tc>
        <w:tc>
          <w:tcPr>
            <w:tcW w:w="2280" w:type="dxa"/>
            <w:vAlign w:val="bottom"/>
            <w:gridSpan w:val="3"/>
          </w:tcPr>
          <w:p>
            <w:pPr>
              <w:jc w:val="center"/>
              <w:ind w:left="521"/>
              <w:spacing w:after="0"/>
              <w:rPr>
                <w:sz w:val="20"/>
                <w:szCs w:val="20"/>
                <w:color w:val="auto"/>
              </w:rPr>
            </w:pPr>
            <w:r>
              <w:rPr>
                <w:rFonts w:ascii="Arial" w:cs="Arial" w:eastAsia="Arial" w:hAnsi="Arial"/>
                <w:sz w:val="20"/>
                <w:szCs w:val="20"/>
                <w:color w:val="auto"/>
                <w:w w:val="94"/>
              </w:rPr>
              <w:t>27%</w:t>
            </w: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20"/>
                <w:szCs w:val="20"/>
                <w:color w:val="auto"/>
              </w:rPr>
              <w:t>Club stores and mass merchandisers</w:t>
            </w:r>
          </w:p>
        </w:tc>
        <w:tc>
          <w:tcPr>
            <w:tcW w:w="1140" w:type="dxa"/>
            <w:vAlign w:val="bottom"/>
          </w:tcPr>
          <w:p>
            <w:pPr>
              <w:jc w:val="center"/>
              <w:ind w:left="301"/>
              <w:spacing w:after="0"/>
              <w:rPr>
                <w:sz w:val="20"/>
                <w:szCs w:val="20"/>
                <w:color w:val="auto"/>
              </w:rPr>
            </w:pPr>
            <w:r>
              <w:rPr>
                <w:rFonts w:ascii="Arial" w:cs="Arial" w:eastAsia="Arial" w:hAnsi="Arial"/>
                <w:sz w:val="20"/>
                <w:szCs w:val="20"/>
                <w:color w:val="auto"/>
                <w:w w:val="89"/>
              </w:rPr>
              <w:t>6%</w:t>
            </w:r>
          </w:p>
        </w:tc>
        <w:tc>
          <w:tcPr>
            <w:tcW w:w="2280" w:type="dxa"/>
            <w:vAlign w:val="bottom"/>
            <w:gridSpan w:val="3"/>
          </w:tcPr>
          <w:p>
            <w:pPr>
              <w:jc w:val="center"/>
              <w:ind w:left="521"/>
              <w:spacing w:after="0"/>
              <w:rPr>
                <w:sz w:val="20"/>
                <w:szCs w:val="20"/>
                <w:color w:val="auto"/>
              </w:rPr>
            </w:pPr>
            <w:r>
              <w:rPr>
                <w:rFonts w:ascii="Arial" w:cs="Arial" w:eastAsia="Arial" w:hAnsi="Arial"/>
                <w:sz w:val="20"/>
                <w:szCs w:val="20"/>
                <w:color w:val="auto"/>
                <w:w w:val="89"/>
              </w:rPr>
              <w:t>7%</w:t>
            </w: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20"/>
                <w:szCs w:val="20"/>
                <w:color w:val="auto"/>
              </w:rPr>
              <w:t>Retail grocery, specialty chains and wholesalers</w:t>
            </w:r>
          </w:p>
        </w:tc>
        <w:tc>
          <w:tcPr>
            <w:tcW w:w="1140" w:type="dxa"/>
            <w:vAlign w:val="bottom"/>
          </w:tcPr>
          <w:p>
            <w:pPr>
              <w:jc w:val="center"/>
              <w:ind w:left="301"/>
              <w:spacing w:after="0"/>
              <w:rPr>
                <w:sz w:val="20"/>
                <w:szCs w:val="20"/>
                <w:color w:val="auto"/>
              </w:rPr>
            </w:pPr>
            <w:r>
              <w:rPr>
                <w:rFonts w:ascii="Arial" w:cs="Arial" w:eastAsia="Arial" w:hAnsi="Arial"/>
                <w:sz w:val="20"/>
                <w:szCs w:val="20"/>
                <w:color w:val="auto"/>
                <w:w w:val="89"/>
              </w:rPr>
              <w:t>1%</w:t>
            </w:r>
          </w:p>
        </w:tc>
        <w:tc>
          <w:tcPr>
            <w:tcW w:w="2280" w:type="dxa"/>
            <w:vAlign w:val="bottom"/>
            <w:gridSpan w:val="3"/>
          </w:tcPr>
          <w:p>
            <w:pPr>
              <w:jc w:val="center"/>
              <w:ind w:left="521"/>
              <w:spacing w:after="0"/>
              <w:rPr>
                <w:sz w:val="20"/>
                <w:szCs w:val="20"/>
                <w:color w:val="auto"/>
              </w:rPr>
            </w:pPr>
            <w:r>
              <w:rPr>
                <w:rFonts w:ascii="Arial" w:cs="Arial" w:eastAsia="Arial" w:hAnsi="Arial"/>
                <w:sz w:val="20"/>
                <w:szCs w:val="20"/>
                <w:color w:val="auto"/>
                <w:w w:val="89"/>
              </w:rPr>
              <w:t>1%</w:t>
            </w:r>
          </w:p>
        </w:tc>
        <w:tc>
          <w:tcPr>
            <w:tcW w:w="0" w:type="dxa"/>
            <w:vAlign w:val="bottom"/>
          </w:tcPr>
          <w:p>
            <w:pPr>
              <w:spacing w:after="0"/>
              <w:rPr>
                <w:sz w:val="1"/>
                <w:szCs w:val="1"/>
                <w:color w:val="auto"/>
              </w:rPr>
            </w:pPr>
          </w:p>
        </w:tc>
      </w:tr>
      <w:tr>
        <w:trPr>
          <w:trHeight w:val="250"/>
        </w:trPr>
        <w:tc>
          <w:tcPr>
            <w:tcW w:w="4900" w:type="dxa"/>
            <w:vAlign w:val="bottom"/>
          </w:tcPr>
          <w:p>
            <w:pPr>
              <w:spacing w:after="0"/>
              <w:rPr>
                <w:sz w:val="20"/>
                <w:szCs w:val="20"/>
                <w:color w:val="auto"/>
              </w:rPr>
            </w:pPr>
            <w:r>
              <w:rPr>
                <w:rFonts w:ascii="Arial" w:cs="Arial" w:eastAsia="Arial" w:hAnsi="Arial"/>
                <w:sz w:val="20"/>
                <w:szCs w:val="20"/>
                <w:color w:val="auto"/>
              </w:rPr>
              <w:t>Other</w:t>
            </w:r>
          </w:p>
        </w:tc>
        <w:tc>
          <w:tcPr>
            <w:tcW w:w="1140" w:type="dxa"/>
            <w:vAlign w:val="bottom"/>
          </w:tcPr>
          <w:p>
            <w:pPr>
              <w:jc w:val="center"/>
              <w:ind w:left="301"/>
              <w:spacing w:after="0"/>
              <w:rPr>
                <w:sz w:val="20"/>
                <w:szCs w:val="20"/>
                <w:color w:val="auto"/>
              </w:rPr>
            </w:pPr>
            <w:r>
              <w:rPr>
                <w:rFonts w:ascii="Arial" w:cs="Arial" w:eastAsia="Arial" w:hAnsi="Arial"/>
                <w:sz w:val="20"/>
                <w:szCs w:val="20"/>
                <w:color w:val="auto"/>
                <w:w w:val="89"/>
              </w:rPr>
              <w:t>1%</w:t>
            </w:r>
          </w:p>
        </w:tc>
        <w:tc>
          <w:tcPr>
            <w:tcW w:w="2280" w:type="dxa"/>
            <w:vAlign w:val="bottom"/>
            <w:gridSpan w:val="3"/>
          </w:tcPr>
          <w:p>
            <w:pPr>
              <w:jc w:val="center"/>
              <w:ind w:left="521"/>
              <w:spacing w:after="0"/>
              <w:rPr>
                <w:sz w:val="20"/>
                <w:szCs w:val="20"/>
                <w:color w:val="auto"/>
              </w:rPr>
            </w:pPr>
            <w:r>
              <w:rPr>
                <w:rFonts w:ascii="Arial" w:cs="Arial" w:eastAsia="Arial" w:hAnsi="Arial"/>
                <w:sz w:val="20"/>
                <w:szCs w:val="20"/>
                <w:color w:val="auto"/>
                <w:w w:val="89"/>
              </w:rPr>
              <w:t>1%</w:t>
            </w: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Our customers include Coca-Cola Refreshments USA, Inc., Coca-Cola Refreshments Canada Company, Coca-Cola Bottling Company, CCBCC Operations, LLC, United Bottling Contracts Company, LLC, Reyes Coca-Cola Bottling, Great Lakes Coca-Cola Bottling, Coca-Cola Southwest Beverages LLC, Coca-Cola of Northern New England, Swire Coca-Cola, USA, Liberty Coca-Cola Beverages, Coca-Cola European Partners, Coca-Cola Hellenic, Coca-Cola FEMSA, Coca-Cola Amatil, Swire Coca-Cola group in China, COFCO Coca-Cola group in China, Coca-Cola Beverages Africa, Coca-Cola İçecek and certain other TCCC network bottlers; Asahi Soft Drinks, Co., Ltd., Kalil Bottling Group, Wal-Mart, Inc. (including Sam’s Club), Costco Wholesale Corporation, Big Geyser, Inc. and select Anheuser-Busch distributors. TCCC, through certain consolidated subsidiaries (the “TCCC Subsidiaries”), accounted for approximately 4% and 34% of our net sales for the three-months ended March 31, 2018 and 2017, respectively. As part of TCCC’s North America Refranchising initiative (the “North America Refranchising”), the territories of certain TCCC Subsidiaries have been transitioned to certain independent TCCC bottlers/distributors and/or TCCC Related Parties. Accordingly, our percentage of net sales classified as sales to the TCCC Subsidiaries significantly decreased for the three-months ended March 31, 2018. CCBCC Operations, LLC accounted for approximately 14% and 11% of our net sales for the three-months ended March 31, 2018 and 2017, respectively. Coca-Cola European Partners accounted for approximately 10% and 8% of the Company’s net sales for the three-months ended March 31, 2018 and 2017, respectively. Reyes Coca-Cola Bottling, accounted for approximately 13% and 4% of the Company’s net sales for the three-months ended March 31, 2018 and 2017, respectively. A decision by any large customer to decrease amounts purchased from us or to cease carrying our products could have a material negative effect on our financial condition and consolidated results of operations.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sets forth key statistics for the three-months ended March 31, 2018 and 2017.</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Three-Months Ended</w:t>
            </w:r>
          </w:p>
        </w:tc>
        <w:tc>
          <w:tcPr>
            <w:tcW w:w="3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41"/>
        </w:trPr>
        <w:tc>
          <w:tcPr>
            <w:tcW w:w="4420" w:type="dxa"/>
            <w:vAlign w:val="bottom"/>
          </w:tcPr>
          <w:p>
            <w:pPr>
              <w:spacing w:after="0"/>
              <w:rPr>
                <w:sz w:val="20"/>
                <w:szCs w:val="20"/>
                <w:color w:val="auto"/>
              </w:rPr>
            </w:pPr>
            <w:r>
              <w:rPr>
                <w:rFonts w:ascii="Arial" w:cs="Arial" w:eastAsia="Arial" w:hAnsi="Arial"/>
                <w:sz w:val="18"/>
                <w:szCs w:val="18"/>
                <w:color w:val="auto"/>
              </w:rPr>
              <w:t>(In thousands, except per share amounts)</w:t>
            </w: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0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37"/>
        </w:trPr>
        <w:tc>
          <w:tcPr>
            <w:tcW w:w="44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18 vs. 17</w:t>
            </w:r>
          </w:p>
        </w:tc>
        <w:tc>
          <w:tcPr>
            <w:tcW w:w="0" w:type="dxa"/>
            <w:vAlign w:val="bottom"/>
          </w:tcPr>
          <w:p>
            <w:pPr>
              <w:spacing w:after="0"/>
              <w:rPr>
                <w:sz w:val="1"/>
                <w:szCs w:val="1"/>
                <w:color w:val="auto"/>
              </w:rPr>
            </w:pPr>
          </w:p>
        </w:tc>
      </w:tr>
      <w:tr>
        <w:trPr>
          <w:trHeight w:val="242"/>
        </w:trPr>
        <w:tc>
          <w:tcPr>
            <w:tcW w:w="4420" w:type="dxa"/>
            <w:vAlign w:val="bottom"/>
          </w:tcPr>
          <w:p>
            <w:pPr>
              <w:spacing w:after="0" w:line="242" w:lineRule="exact"/>
              <w:rPr>
                <w:sz w:val="20"/>
                <w:szCs w:val="20"/>
                <w:color w:val="auto"/>
              </w:rPr>
            </w:pPr>
            <w:r>
              <w:rPr>
                <w:rFonts w:ascii="Arial" w:cs="Arial" w:eastAsia="Arial" w:hAnsi="Arial"/>
                <w:sz w:val="18"/>
                <w:szCs w:val="18"/>
                <w:color w:val="auto"/>
              </w:rPr>
              <w:t>Net sales</w:t>
            </w:r>
            <w:r>
              <w:rPr>
                <w:rFonts w:ascii="Arial" w:cs="Arial" w:eastAsia="Arial" w:hAnsi="Arial"/>
                <w:sz w:val="23"/>
                <w:szCs w:val="23"/>
                <w:color w:val="auto"/>
                <w:vertAlign w:val="superscript"/>
              </w:rPr>
              <w:t>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850,921</w:t>
            </w:r>
          </w:p>
        </w:tc>
        <w:tc>
          <w:tcPr>
            <w:tcW w:w="300" w:type="dxa"/>
            <w:vAlign w:val="bottom"/>
          </w:tcPr>
          <w:p>
            <w:pPr>
              <w:spacing w:after="0"/>
              <w:rPr>
                <w:sz w:val="21"/>
                <w:szCs w:val="21"/>
                <w:color w:val="auto"/>
              </w:rPr>
            </w:pP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742,146</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7"/>
        </w:trPr>
        <w:tc>
          <w:tcPr>
            <w:tcW w:w="4420" w:type="dxa"/>
            <w:vAlign w:val="bottom"/>
          </w:tcPr>
          <w:p>
            <w:pPr>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335,664</w:t>
            </w:r>
          </w:p>
        </w:tc>
        <w:tc>
          <w:tcPr>
            <w:tcW w:w="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261,272</w:t>
            </w:r>
          </w:p>
        </w:tc>
        <w:tc>
          <w:tcPr>
            <w:tcW w:w="1480" w:type="dxa"/>
            <w:vAlign w:val="bottom"/>
            <w:gridSpan w:val="2"/>
          </w:tcPr>
          <w:p>
            <w:pPr>
              <w:jc w:val="right"/>
              <w:ind w:right="3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98"/>
        </w:trPr>
        <w:tc>
          <w:tcPr>
            <w:tcW w:w="4420" w:type="dxa"/>
            <w:vAlign w:val="bottom"/>
          </w:tcPr>
          <w:p>
            <w:pPr>
              <w:spacing w:after="0"/>
              <w:rPr>
                <w:sz w:val="20"/>
                <w:szCs w:val="20"/>
                <w:color w:val="auto"/>
              </w:rPr>
            </w:pPr>
            <w:r>
              <w:rPr>
                <w:rFonts w:ascii="Arial" w:cs="Arial" w:eastAsia="Arial" w:hAnsi="Arial"/>
                <w:sz w:val="18"/>
                <w:szCs w:val="18"/>
                <w:color w:val="auto"/>
              </w:rPr>
              <w:t>Gross profit*</w:t>
            </w:r>
            <w:r>
              <w:rPr>
                <w:rFonts w:ascii="Arial" w:cs="Arial" w:eastAsia="Arial" w:hAnsi="Arial"/>
                <w:sz w:val="23"/>
                <w:szCs w:val="23"/>
                <w:color w:val="auto"/>
                <w:vertAlign w:val="superscript"/>
              </w:rPr>
              <w:t>1</w:t>
            </w:r>
          </w:p>
        </w:tc>
        <w:tc>
          <w:tcPr>
            <w:tcW w:w="34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515,257</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480,874</w:t>
            </w:r>
          </w:p>
        </w:tc>
        <w:tc>
          <w:tcPr>
            <w:tcW w:w="1480" w:type="dxa"/>
            <w:vAlign w:val="bottom"/>
            <w:gridSpan w:val="2"/>
          </w:tcPr>
          <w:p>
            <w:pPr>
              <w:jc w:val="right"/>
              <w:ind w:right="3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500"/>
        </w:trPr>
        <w:tc>
          <w:tcPr>
            <w:tcW w:w="4420" w:type="dxa"/>
            <w:vAlign w:val="bottom"/>
          </w:tcPr>
          <w:p>
            <w:pPr>
              <w:spacing w:after="0"/>
              <w:rPr>
                <w:sz w:val="20"/>
                <w:szCs w:val="20"/>
                <w:color w:val="auto"/>
              </w:rPr>
            </w:pPr>
            <w:r>
              <w:rPr>
                <w:rFonts w:ascii="Arial" w:cs="Arial" w:eastAsia="Arial" w:hAnsi="Arial"/>
                <w:sz w:val="18"/>
                <w:szCs w:val="18"/>
                <w:color w:val="auto"/>
              </w:rPr>
              <w:t>Gross profit as a percentage of net sales</w:t>
            </w:r>
            <w:r>
              <w:rPr>
                <w:rFonts w:ascii="Arial" w:cs="Arial" w:eastAsia="Arial" w:hAnsi="Arial"/>
                <w:sz w:val="23"/>
                <w:szCs w:val="23"/>
                <w:color w:val="auto"/>
                <w:vertAlign w:val="superscript"/>
              </w:rPr>
              <w:t>1</w:t>
            </w:r>
          </w:p>
        </w:tc>
        <w:tc>
          <w:tcPr>
            <w:tcW w:w="34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60.6%</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64.8%</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420" w:type="dxa"/>
            <w:vAlign w:val="bottom"/>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23"/>
                <w:szCs w:val="23"/>
                <w:color w:val="auto"/>
                <w:vertAlign w:val="superscript"/>
              </w:rPr>
              <w:t>2</w:t>
            </w:r>
          </w:p>
        </w:tc>
        <w:tc>
          <w:tcPr>
            <w:tcW w:w="34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235,342</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216,612</w:t>
            </w:r>
          </w:p>
        </w:tc>
        <w:tc>
          <w:tcPr>
            <w:tcW w:w="1480" w:type="dxa"/>
            <w:vAlign w:val="bottom"/>
            <w:gridSpan w:val="2"/>
          </w:tcPr>
          <w:p>
            <w:pPr>
              <w:jc w:val="right"/>
              <w:ind w:right="3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411"/>
        </w:trPr>
        <w:tc>
          <w:tcPr>
            <w:tcW w:w="4420" w:type="dxa"/>
            <w:vAlign w:val="bottom"/>
          </w:tcPr>
          <w:p>
            <w:pPr>
              <w:spacing w:after="0"/>
              <w:rPr>
                <w:sz w:val="20"/>
                <w:szCs w:val="20"/>
                <w:color w:val="auto"/>
              </w:rPr>
            </w:pPr>
            <w:r>
              <w:rPr>
                <w:rFonts w:ascii="Arial" w:cs="Arial" w:eastAsia="Arial" w:hAnsi="Arial"/>
                <w:sz w:val="18"/>
                <w:szCs w:val="18"/>
                <w:color w:val="auto"/>
              </w:rPr>
              <w:t>Operating expenses as a percentage of net sales</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27.7%</w:t>
            </w:r>
          </w:p>
        </w:tc>
        <w:tc>
          <w:tcPr>
            <w:tcW w:w="3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29.2%</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4420" w:type="dxa"/>
            <w:vAlign w:val="bottom"/>
          </w:tcPr>
          <w:p>
            <w:pPr>
              <w:spacing w:after="0"/>
              <w:rPr>
                <w:sz w:val="20"/>
                <w:szCs w:val="20"/>
                <w:color w:val="auto"/>
              </w:rPr>
            </w:pPr>
            <w:r>
              <w:rPr>
                <w:rFonts w:ascii="Arial" w:cs="Arial" w:eastAsia="Arial" w:hAnsi="Arial"/>
                <w:sz w:val="18"/>
                <w:szCs w:val="18"/>
                <w:color w:val="auto"/>
              </w:rPr>
              <w:t>Operating income</w:t>
            </w:r>
            <w:r>
              <w:rPr>
                <w:rFonts w:ascii="Arial" w:cs="Arial" w:eastAsia="Arial" w:hAnsi="Arial"/>
                <w:sz w:val="23"/>
                <w:szCs w:val="23"/>
                <w:color w:val="auto"/>
                <w:vertAlign w:val="superscript"/>
              </w:rPr>
              <w:t>1,2</w:t>
            </w:r>
          </w:p>
        </w:tc>
        <w:tc>
          <w:tcPr>
            <w:tcW w:w="34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279,915</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264,262</w:t>
            </w:r>
          </w:p>
        </w:tc>
        <w:tc>
          <w:tcPr>
            <w:tcW w:w="1480" w:type="dxa"/>
            <w:vAlign w:val="bottom"/>
            <w:gridSpan w:val="2"/>
          </w:tcPr>
          <w:p>
            <w:pPr>
              <w:jc w:val="right"/>
              <w:ind w:right="3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Operating income as a percentage of net sales</w:t>
            </w:r>
          </w:p>
        </w:tc>
        <w:tc>
          <w:tcPr>
            <w:tcW w:w="3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32.9%</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35.6%</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442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1,805</w:t>
            </w:r>
          </w:p>
        </w:tc>
        <w:tc>
          <w:tcPr>
            <w:tcW w:w="3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658</w:t>
            </w:r>
          </w:p>
        </w:tc>
        <w:tc>
          <w:tcPr>
            <w:tcW w:w="1480" w:type="dxa"/>
            <w:vAlign w:val="bottom"/>
            <w:gridSpan w:val="2"/>
          </w:tcPr>
          <w:p>
            <w:pPr>
              <w:jc w:val="right"/>
              <w:ind w:right="30"/>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555"/>
        </w:trPr>
        <w:tc>
          <w:tcPr>
            <w:tcW w:w="4420" w:type="dxa"/>
            <w:vAlign w:val="bottom"/>
          </w:tcPr>
          <w:p>
            <w:pPr>
              <w:spacing w:after="0"/>
              <w:rPr>
                <w:sz w:val="20"/>
                <w:szCs w:val="20"/>
                <w:color w:val="auto"/>
              </w:rPr>
            </w:pPr>
            <w:r>
              <w:rPr>
                <w:rFonts w:ascii="Arial" w:cs="Arial" w:eastAsia="Arial" w:hAnsi="Arial"/>
                <w:sz w:val="18"/>
                <w:szCs w:val="18"/>
                <w:color w:val="auto"/>
              </w:rPr>
              <w:t>Income before provision for income taxes</w:t>
            </w:r>
            <w:r>
              <w:rPr>
                <w:rFonts w:ascii="Arial" w:cs="Arial" w:eastAsia="Arial" w:hAnsi="Arial"/>
                <w:sz w:val="23"/>
                <w:szCs w:val="23"/>
                <w:color w:val="auto"/>
                <w:vertAlign w:val="superscript"/>
              </w:rPr>
              <w:t>1,2</w:t>
            </w:r>
          </w:p>
        </w:tc>
        <w:tc>
          <w:tcPr>
            <w:tcW w:w="34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281,720</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264,920</w:t>
            </w:r>
          </w:p>
        </w:tc>
        <w:tc>
          <w:tcPr>
            <w:tcW w:w="1480" w:type="dxa"/>
            <w:vAlign w:val="bottom"/>
            <w:gridSpan w:val="2"/>
          </w:tcPr>
          <w:p>
            <w:pPr>
              <w:jc w:val="right"/>
              <w:ind w:right="3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411"/>
        </w:trPr>
        <w:tc>
          <w:tcPr>
            <w:tcW w:w="44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65,670</w:t>
            </w:r>
          </w:p>
        </w:tc>
        <w:tc>
          <w:tcPr>
            <w:tcW w:w="3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86,940</w:t>
            </w:r>
          </w:p>
        </w:tc>
        <w:tc>
          <w:tcPr>
            <w:tcW w:w="1480" w:type="dxa"/>
            <w:vAlign w:val="bottom"/>
            <w:gridSpan w:val="2"/>
          </w:tcPr>
          <w:p>
            <w:pPr>
              <w:jc w:val="right"/>
              <w:ind w:right="3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473"/>
        </w:trPr>
        <w:tc>
          <w:tcPr>
            <w:tcW w:w="4420" w:type="dxa"/>
            <w:vAlign w:val="bottom"/>
          </w:tcPr>
          <w:p>
            <w:pPr>
              <w:spacing w:after="0"/>
              <w:rPr>
                <w:sz w:val="20"/>
                <w:szCs w:val="20"/>
                <w:color w:val="auto"/>
              </w:rPr>
            </w:pPr>
            <w:r>
              <w:rPr>
                <w:rFonts w:ascii="Arial" w:cs="Arial" w:eastAsia="Arial" w:hAnsi="Arial"/>
                <w:sz w:val="18"/>
                <w:szCs w:val="18"/>
                <w:color w:val="auto"/>
              </w:rPr>
              <w:t>Income taxes as a percentage of income before taxes</w:t>
            </w:r>
          </w:p>
        </w:tc>
        <w:tc>
          <w:tcPr>
            <w:tcW w:w="34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23.3%</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32.8%</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420" w:type="dxa"/>
            <w:vAlign w:val="bottom"/>
          </w:tcPr>
          <w:p>
            <w:pPr>
              <w:spacing w:after="0"/>
              <w:rPr>
                <w:sz w:val="20"/>
                <w:szCs w:val="20"/>
                <w:color w:val="auto"/>
              </w:rPr>
            </w:pPr>
            <w:r>
              <w:rPr>
                <w:rFonts w:ascii="Arial" w:cs="Arial" w:eastAsia="Arial" w:hAnsi="Arial"/>
                <w:sz w:val="18"/>
                <w:szCs w:val="18"/>
                <w:color w:val="auto"/>
              </w:rPr>
              <w:t>Net income</w:t>
            </w:r>
            <w:r>
              <w:rPr>
                <w:rFonts w:ascii="Arial" w:cs="Arial" w:eastAsia="Arial" w:hAnsi="Arial"/>
                <w:sz w:val="23"/>
                <w:szCs w:val="23"/>
                <w:color w:val="auto"/>
                <w:vertAlign w:val="superscript"/>
              </w:rPr>
              <w:t>1,2</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216,050</w:t>
            </w:r>
          </w:p>
        </w:tc>
        <w:tc>
          <w:tcPr>
            <w:tcW w:w="300" w:type="dxa"/>
            <w:vAlign w:val="bottom"/>
          </w:tcPr>
          <w:p>
            <w:pPr>
              <w:spacing w:after="0"/>
              <w:rPr>
                <w:sz w:val="24"/>
                <w:szCs w:val="24"/>
                <w:color w:val="auto"/>
              </w:rPr>
            </w:pP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177,980</w:t>
            </w:r>
          </w:p>
        </w:tc>
        <w:tc>
          <w:tcPr>
            <w:tcW w:w="1480" w:type="dxa"/>
            <w:vAlign w:val="bottom"/>
            <w:gridSpan w:val="2"/>
          </w:tcPr>
          <w:p>
            <w:pPr>
              <w:jc w:val="right"/>
              <w:ind w:right="3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rPr>
              <w:t>Net income as a percentage of net sales</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25.4%</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24.0%</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5"/>
        </w:trPr>
        <w:tc>
          <w:tcPr>
            <w:tcW w:w="442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0.38</w:t>
            </w:r>
          </w:p>
        </w:tc>
        <w:tc>
          <w:tcPr>
            <w:tcW w:w="300" w:type="dxa"/>
            <w:vAlign w:val="bottom"/>
          </w:tcPr>
          <w:p>
            <w:pPr>
              <w:spacing w:after="0"/>
              <w:rPr>
                <w:sz w:val="21"/>
                <w:szCs w:val="21"/>
                <w:color w:val="auto"/>
              </w:rPr>
            </w:pP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0.31</w:t>
            </w:r>
          </w:p>
        </w:tc>
        <w:tc>
          <w:tcPr>
            <w:tcW w:w="1480" w:type="dxa"/>
            <w:vAlign w:val="bottom"/>
            <w:gridSpan w:val="2"/>
          </w:tcPr>
          <w:p>
            <w:pPr>
              <w:jc w:val="right"/>
              <w:ind w:right="3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43"/>
        </w:trPr>
        <w:tc>
          <w:tcPr>
            <w:tcW w:w="4420" w:type="dxa"/>
            <w:vAlign w:val="bottom"/>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0.38</w:t>
            </w:r>
          </w:p>
        </w:tc>
        <w:tc>
          <w:tcPr>
            <w:tcW w:w="300" w:type="dxa"/>
            <w:vAlign w:val="bottom"/>
          </w:tcPr>
          <w:p>
            <w:pPr>
              <w:spacing w:after="0"/>
              <w:rPr>
                <w:sz w:val="21"/>
                <w:szCs w:val="21"/>
                <w:color w:val="auto"/>
              </w:rPr>
            </w:pP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0.31</w:t>
            </w:r>
          </w:p>
        </w:tc>
        <w:tc>
          <w:tcPr>
            <w:tcW w:w="1480" w:type="dxa"/>
            <w:vAlign w:val="bottom"/>
            <w:gridSpan w:val="2"/>
          </w:tcPr>
          <w:p>
            <w:pPr>
              <w:jc w:val="right"/>
              <w:ind w:right="3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Case sales (in thousands)</w:t>
            </w:r>
          </w:p>
        </w:tc>
        <w:tc>
          <w:tcPr>
            <w:tcW w:w="24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3"/>
        </w:trPr>
        <w:tc>
          <w:tcPr>
            <w:tcW w:w="3800" w:type="dxa"/>
            <w:vAlign w:val="bottom"/>
          </w:tcPr>
          <w:p>
            <w:pPr>
              <w:ind w:left="140"/>
              <w:spacing w:after="0"/>
              <w:rPr>
                <w:sz w:val="20"/>
                <w:szCs w:val="20"/>
                <w:color w:val="auto"/>
              </w:rPr>
            </w:pPr>
            <w:r>
              <w:rPr>
                <w:rFonts w:ascii="Arial" w:cs="Arial" w:eastAsia="Arial" w:hAnsi="Arial"/>
                <w:sz w:val="18"/>
                <w:szCs w:val="18"/>
                <w:color w:val="auto"/>
              </w:rPr>
              <w:t>(in 192-ounce case equivalents)</w:t>
            </w:r>
          </w:p>
        </w:tc>
        <w:tc>
          <w:tcPr>
            <w:tcW w:w="2460" w:type="dxa"/>
            <w:vAlign w:val="bottom"/>
          </w:tcPr>
          <w:p>
            <w:pPr>
              <w:jc w:val="right"/>
              <w:ind w:right="510"/>
              <w:spacing w:after="0"/>
              <w:rPr>
                <w:sz w:val="20"/>
                <w:szCs w:val="20"/>
                <w:color w:val="auto"/>
              </w:rPr>
            </w:pPr>
            <w:r>
              <w:rPr>
                <w:rFonts w:ascii="Arial" w:cs="Arial" w:eastAsia="Arial" w:hAnsi="Arial"/>
                <w:sz w:val="18"/>
                <w:szCs w:val="18"/>
                <w:color w:val="auto"/>
              </w:rPr>
              <w:t>92,315</w:t>
            </w:r>
          </w:p>
        </w:tc>
        <w:tc>
          <w:tcPr>
            <w:tcW w:w="1600" w:type="dxa"/>
            <w:vAlign w:val="bottom"/>
          </w:tcPr>
          <w:p>
            <w:pPr>
              <w:jc w:val="right"/>
              <w:ind w:right="410"/>
              <w:spacing w:after="0"/>
              <w:rPr>
                <w:sz w:val="20"/>
                <w:szCs w:val="20"/>
                <w:color w:val="auto"/>
              </w:rPr>
            </w:pPr>
            <w:r>
              <w:rPr>
                <w:rFonts w:ascii="Arial" w:cs="Arial" w:eastAsia="Arial" w:hAnsi="Arial"/>
                <w:sz w:val="18"/>
                <w:szCs w:val="18"/>
                <w:color w:val="auto"/>
              </w:rPr>
              <w:t>79,992</w:t>
            </w:r>
          </w:p>
        </w:tc>
        <w:tc>
          <w:tcPr>
            <w:tcW w:w="980" w:type="dxa"/>
            <w:vAlign w:val="bottom"/>
          </w:tcPr>
          <w:p>
            <w:pPr>
              <w:jc w:val="right"/>
              <w:spacing w:after="0"/>
              <w:rPr>
                <w:sz w:val="20"/>
                <w:szCs w:val="20"/>
                <w:color w:val="auto"/>
              </w:rPr>
            </w:pPr>
            <w:r>
              <w:rPr>
                <w:rFonts w:ascii="Arial" w:cs="Arial" w:eastAsia="Arial" w:hAnsi="Arial"/>
                <w:sz w:val="18"/>
                <w:szCs w:val="18"/>
                <w:color w:val="auto"/>
              </w:rPr>
              <w:t>15.4%</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¹</w:t>
      </w:r>
      <w:r>
        <w:rPr>
          <w:rFonts w:ascii="Arial" w:cs="Arial" w:eastAsia="Arial" w:hAnsi="Arial"/>
          <w:sz w:val="16"/>
          <w:szCs w:val="16"/>
          <w:i w:val="1"/>
          <w:iCs w:val="1"/>
          <w:color w:val="auto"/>
        </w:rPr>
        <w:t>Includes $11.2 million and $10.0 million for the three-months ended March 31, 2018 and 2017, respectively, related to the recognition of deferred revenue.</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²Includes $7.0 million and $19.9 million for the three-months ended March 31, 2018 and 2017, respectively, of distributor termination costs.</w:t>
      </w:r>
    </w:p>
    <w:p>
      <w:pPr>
        <w:spacing w:after="0" w:line="23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Results of Operations for the Three-Months Ended March 31, 2018 Compared to the Three-Months Ended March 31, 2017.</w:t>
      </w:r>
    </w:p>
    <w:p>
      <w:pPr>
        <w:spacing w:after="0" w:line="24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i w:val="1"/>
          <w:iCs w:val="1"/>
          <w:color w:val="auto"/>
        </w:rPr>
        <w:t xml:space="preserve">Net Sales. </w:t>
      </w:r>
      <w:r>
        <w:rPr>
          <w:rFonts w:ascii="Arial" w:cs="Arial" w:eastAsia="Arial" w:hAnsi="Arial"/>
          <w:sz w:val="19"/>
          <w:szCs w:val="19"/>
          <w:color w:val="auto"/>
        </w:rPr>
        <w:t>Net sales were $850.9 million for the three-months ended March 31, 2018, an increase of approximately $108.8 million, or</w:t>
      </w:r>
      <w:r>
        <w:rPr>
          <w:rFonts w:ascii="Arial" w:cs="Arial" w:eastAsia="Arial" w:hAnsi="Arial"/>
          <w:sz w:val="19"/>
          <w:szCs w:val="19"/>
          <w:i w:val="1"/>
          <w:iCs w:val="1"/>
          <w:color w:val="auto"/>
        </w:rPr>
        <w:t xml:space="preserve"> </w:t>
      </w:r>
      <w:r>
        <w:rPr>
          <w:rFonts w:ascii="Arial" w:cs="Arial" w:eastAsia="Arial" w:hAnsi="Arial"/>
          <w:sz w:val="19"/>
          <w:szCs w:val="19"/>
          <w:color w:val="auto"/>
        </w:rPr>
        <w:t>14.7% higher than net sales of $742.1 million for the three-months ended March 31, 2017. The increase in net sales of our Monster Energy® brand energy drinks represented approximately $110.8 million of the overall increase in net sales. Net sales of our Monster Energy® brand energy drinks increased partially due to increased sales by volume as a result of increased domestic and international consumer demand. Net sales of our Strategic Brands were $65.8 million for the three-months ended March 31, 2018, a decrease of $2.3 million, or 3.3% lower than net sales of $68.0 million for the three-months ended March 31, 2017. Net sales of our AFF Third-Party Products were $4.7 million for the three-months ended March 31, 2018, a decrease of $0.9 million, or 15.9% lower than net sales of $5.5 million for the three-months ended March 31, 2017. No other individual product line contributed either a material increase or decrease to our net sales for the three-months ended March 31, 2018.</w:t>
      </w:r>
    </w:p>
    <w:p>
      <w:pPr>
        <w:spacing w:after="0" w:line="19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Net sales for the three-months ended March 31, 2018 were negatively impacted by approximately $9.9 million as a result of the adoption of ASC 606. Under ASC 606, commissions paid to TCCC, based on sales to the TCCC Related Parties, are now included as a reduction to net sales. Prior to January 1, 2018, commissions based on sales to the TCCC Related Parties were included in operating expenses.</w:t>
      </w:r>
    </w:p>
    <w:p>
      <w:pPr>
        <w:spacing w:after="0" w:line="1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Net changes in foreign currency exchange rates had a favorable impact on net sales of approximately $17.7 million for the three-months ended March 31, 2018.</w:t>
      </w:r>
    </w:p>
    <w:p>
      <w:pPr>
        <w:spacing w:after="0" w:line="19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Case sales, in 192-ounce case equivalents, were 92.3 million cases for the three-months ended March 31, 2018, an increase of approximately 12.3 million cases or 15.4% higher than case sales of 80.0 million cases for the three-months ended March 31, 2017. The overall average net sales per case (excluding net sales of AFF Third-Party Products of $4.7 million and $5.5 million for the three-months ended March 31, 2018 and 2017, respectively, as these sales do not have unit case equivalents) decreased to $9.17 for the three-months ended March 31, 2018, which was 0.4% lower than the average net sales per case of $9.21 for the three-months ended March 31, 2017.</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Net sales for the Monster Energy® Drinks segment were $780.5 million for the three-months ended March 31, 2018, an increase of approximately $111.9 million, or 16.7% higher than net sales of $668.6 million for the three-months ended March 31, 2017. Net sales for the Monster Energy® Drinks segment for the three-months ended March 31, 2018 were negatively impacted by approximately $3.9 million as a result of the adoption of ASC 606.</w:t>
      </w:r>
    </w:p>
    <w:p>
      <w:pPr>
        <w:spacing w:after="0" w:line="20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Net sales for the Strategic Brands segment were $65.8 million for the three-months ended March 31, 2018, a decrease of approximately $2.3 million, or 3.3% lower than net sales of $68.0 million for the three-months ended March 31, 2017. Net sales for the Strategic Brands segment for the three-months ended March 31, 2018 were negatively impacted by approximately $6.0 million as a result of the adoption of ASC 606.</w:t>
      </w:r>
    </w:p>
    <w:p>
      <w:pPr>
        <w:spacing w:after="0" w:line="20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Net sales for the Other segment were $4.7 million for the three-months ended March 31, 2018, a decrease of approximately $0.9 million, or 15.9% lower than net sales of $5.5 million for the three-months ended March 31, 2017.</w:t>
      </w:r>
    </w:p>
    <w:p>
      <w:pPr>
        <w:spacing w:after="0" w:line="19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i w:val="1"/>
          <w:iCs w:val="1"/>
          <w:color w:val="auto"/>
        </w:rPr>
        <w:t xml:space="preserve">Gross Profit. </w:t>
      </w:r>
      <w:r>
        <w:rPr>
          <w:rFonts w:ascii="Arial" w:cs="Arial" w:eastAsia="Arial" w:hAnsi="Arial"/>
          <w:sz w:val="19"/>
          <w:szCs w:val="19"/>
          <w:color w:val="auto"/>
        </w:rPr>
        <w:t>Gross profit was $515.3 million for the three-months ended March 31, 2018, an increase of approximately $34.4 million,</w:t>
      </w:r>
      <w:r>
        <w:rPr>
          <w:rFonts w:ascii="Arial" w:cs="Arial" w:eastAsia="Arial" w:hAnsi="Arial"/>
          <w:sz w:val="19"/>
          <w:szCs w:val="19"/>
          <w:i w:val="1"/>
          <w:iCs w:val="1"/>
          <w:color w:val="auto"/>
        </w:rPr>
        <w:t xml:space="preserve"> </w:t>
      </w:r>
      <w:r>
        <w:rPr>
          <w:rFonts w:ascii="Arial" w:cs="Arial" w:eastAsia="Arial" w:hAnsi="Arial"/>
          <w:sz w:val="19"/>
          <w:szCs w:val="19"/>
          <w:color w:val="auto"/>
        </w:rPr>
        <w:t>or 7.2% higher than the gross profit of $480.9 million for the three-months ended March 31, 2017. Gross profit as a percentage of net sales decreased to 60.6% for the three-months ended March 31, 2018 from 64.8% for the three-months ended March 31, 2017. The increase in gross profit dollars was primarily the result of the $110.8 million increase in net sales of our Monster Energy® brand energy drinks for the three-months ended March 31, 2018. The decrease in gross profit as a percentage of net sales was primarily attributable to (i) increases in promotional allowances as a percentage of gross sales; (ii) the $9.9 million of commissions accounted for as a reduction to net sales due to the adoption of ASC 606; (iii) geographical sales mix (our foreign operations generally have lower gross profit margins); (iv) a change in domestic product sales mix (principally a higher percentage of sales of Java Monster®, Caffé Monster®, Espresso Monster</w:t>
      </w:r>
      <w:r>
        <w:rPr>
          <w:rFonts w:ascii="Arial" w:cs="Arial" w:eastAsia="Arial" w:hAnsi="Arial"/>
          <w:sz w:val="11"/>
          <w:szCs w:val="11"/>
          <w:color w:val="auto"/>
        </w:rPr>
        <w:t>TM</w:t>
      </w:r>
      <w:r>
        <w:rPr>
          <w:rFonts w:ascii="Arial" w:cs="Arial" w:eastAsia="Arial" w:hAnsi="Arial"/>
          <w:sz w:val="19"/>
          <w:szCs w:val="19"/>
          <w:color w:val="auto"/>
        </w:rPr>
        <w:t xml:space="preserve"> and Monster Hydro® products, which generally have lower gross profit margins than our other Monster Energy® brand energy drinks); (v) increases in certain input costs, principally freight in, aluminum cans and sucralose; (vi) Monster Hydro® production issues in the U.S. and EMEA; and (vii) certain increases in other costs.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39" w:right="239" w:bottom="235" w:gutter="0" w:footer="0" w:header="0"/>
        </w:sectPr>
      </w:pPr>
    </w:p>
    <w:bookmarkStart w:id="23" w:name="page24"/>
    <w:bookmarkEnd w:id="23"/>
    <w:p>
      <w:pPr>
        <w:spacing w:after="0" w:line="1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i w:val="1"/>
          <w:iCs w:val="1"/>
          <w:color w:val="auto"/>
        </w:rPr>
        <w:t>Operating Expenses</w:t>
      </w:r>
      <w:r>
        <w:rPr>
          <w:rFonts w:ascii="Arial" w:cs="Arial" w:eastAsia="Arial" w:hAnsi="Arial"/>
          <w:sz w:val="19"/>
          <w:szCs w:val="19"/>
          <w:color w:val="auto"/>
        </w:rPr>
        <w:t>. Total operating expenses were $235.3 million for the three-months ended March 31, 2018, an increase of</w:t>
      </w:r>
      <w:r>
        <w:rPr>
          <w:rFonts w:ascii="Arial" w:cs="Arial" w:eastAsia="Arial" w:hAnsi="Arial"/>
          <w:sz w:val="19"/>
          <w:szCs w:val="19"/>
          <w:i w:val="1"/>
          <w:iCs w:val="1"/>
          <w:color w:val="auto"/>
        </w:rPr>
        <w:t xml:space="preserve"> </w:t>
      </w:r>
      <w:r>
        <w:rPr>
          <w:rFonts w:ascii="Arial" w:cs="Arial" w:eastAsia="Arial" w:hAnsi="Arial"/>
          <w:sz w:val="19"/>
          <w:szCs w:val="19"/>
          <w:color w:val="auto"/>
        </w:rPr>
        <w:t>approximately $18.7 million, or 8.6% higher than total operating expenses of $216.6 million for the three-months ended March 31, 2017. The increase in operating expenses was primarily due to increased out-bound freight and warehouse costs of $9.9 million, increased payroll expenses of $8.8 million (of which $0.3 million was related to an increase in stock-based compensation), increased expenditures of $3.2 million for merchandise displays, increased expenditures of $2.5 million for sponsorships and endorsements, increased expenditures of $2.1 million for allocated trade development and increased expenditures of $3.8 million for other marketing expenses. The increase in operating expenses was partially offset by the $12.9 million decrease in costs associated with distributor terminations. As a result of the adoption of ASC 606 described above, commissions included in operating expenses decreased by $4.8 million.</w:t>
      </w:r>
    </w:p>
    <w:p>
      <w:pPr>
        <w:spacing w:after="0" w:line="19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i w:val="1"/>
          <w:iCs w:val="1"/>
          <w:color w:val="auto"/>
        </w:rPr>
        <w:t xml:space="preserve">Operating Income. </w:t>
      </w:r>
      <w:r>
        <w:rPr>
          <w:rFonts w:ascii="Arial" w:cs="Arial" w:eastAsia="Arial" w:hAnsi="Arial"/>
          <w:sz w:val="19"/>
          <w:szCs w:val="19"/>
          <w:color w:val="auto"/>
        </w:rPr>
        <w:t>Operating income was $279.9 million for the three-months ended March 31, 2018, an increase of approximately</w:t>
      </w:r>
      <w:r>
        <w:rPr>
          <w:rFonts w:ascii="Arial" w:cs="Arial" w:eastAsia="Arial" w:hAnsi="Arial"/>
          <w:sz w:val="19"/>
          <w:szCs w:val="19"/>
          <w:i w:val="1"/>
          <w:iCs w:val="1"/>
          <w:color w:val="auto"/>
        </w:rPr>
        <w:t xml:space="preserve"> </w:t>
      </w:r>
      <w:r>
        <w:rPr>
          <w:rFonts w:ascii="Arial" w:cs="Arial" w:eastAsia="Arial" w:hAnsi="Arial"/>
          <w:sz w:val="19"/>
          <w:szCs w:val="19"/>
          <w:color w:val="auto"/>
        </w:rPr>
        <w:t>$15.7 million, or 5.9% higher than operating income of $264.3 million for the three-months ended March 31, 2017. Operating income as a percentage of net sales decreased to 32.9% for the three-months ended March 31, 2018 from 35.6% for the three-months ended March 31, 2017. Operating income was $42.5 million and $33.0 million for the three-months ended March 31, 2018 and 2017, respectively, in connection with our operations in Africa, Asia, Australia, Europe, the Middle East and South America.</w:t>
      </w:r>
    </w:p>
    <w:p>
      <w:pPr>
        <w:spacing w:after="0" w:line="1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Operating income for the Monster Energy® Drinks segment was $301.7 million for the three-months ended March 31, 2018, an increase of approximately $22.3 million, or 8.0% higher than operating income of $279.4 million for the three-months ended March 31, 2017. The increase in operating income for the Monster Energy® Drinks segment was primarily the result of the $110.8 million increase in net sales of our Monster Energy® brand energy drinks for the three-months ended March 31, 2018.</w:t>
      </w:r>
    </w:p>
    <w:p>
      <w:pPr>
        <w:spacing w:after="0" w:line="20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Operating income for the Strategic Brands segment was $42.6 million for the three-months ended March 31, 2018, an increase of approximately $0.5 million, or 1.2% higher than operating income of $42.1 million for the three-months ended March 31, 2017.</w:t>
      </w:r>
    </w:p>
    <w:p>
      <w:pPr>
        <w:spacing w:after="0" w:line="16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Operating income for the Other segment was $1.0 million for the three-months ended March 31, 2018, a decrease of approximately $0.4 million, or 31.4% lower than operating income of $1.4 million for the three-months ended March 31, 2017.</w:t>
      </w:r>
    </w:p>
    <w:p>
      <w:pPr>
        <w:spacing w:after="0" w:line="19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Interest and Other Income, net</w:t>
      </w:r>
      <w:r>
        <w:rPr>
          <w:rFonts w:ascii="Arial" w:cs="Arial" w:eastAsia="Arial" w:hAnsi="Arial"/>
          <w:sz w:val="18"/>
          <w:szCs w:val="18"/>
          <w:color w:val="auto"/>
        </w:rPr>
        <w:t>. Interest and other non-operating income, net, was $1.8 million for the three-months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2018, as compared to interest and other non-operating income, net of $0.7 million for the three-months ended March 31, 2017. Foreign currency transaction (losses) gains were ($1.4) million and $0.1 million for the three-months ended March 31, 2018 and 2017, respectively. Interest income was $3.0 million and $0.8 million for the three-months ended March 31, 2018 and 2017, respectively.</w:t>
      </w:r>
    </w:p>
    <w:p>
      <w:pPr>
        <w:spacing w:after="0" w:line="17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Provision for income taxes was $65.7 million for the three-months ended March 31, 2018,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$21.3 million, or 24.5% lower than the provision for income taxes of $86.9 million for the three-months ended March 31, 2017. The effective combined federal, state and foreign tax rate decreased to 23.3% from 32.8% for the three-months ended March 31, 2018 and 2017, respectively. The decrease in the effective tax rate was primarily due to the reduction in the U.S. federal statutory tax rate as a result of the Tax Cuts and Jobs Act (the “Tax Reform Act”) signed into law on December 22, 2017, before considering the potential impact of further clarification of certain matters related to the Tax Reform Act. The decrease in the provision for income taxes was partially offset by the elimination of the domestic production deduction under the Tax Reform Act as well as a decrease in the stock based compensation tax deduction.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 recorded impact of the Tax Reform Act is provisional and the final amount may differ, possibly materially, due to, among other things, changes in estimates, interpretations and assumptions we have made, changes in IRS interpretations, the issuance of new guidance, legislative actions, changes in accounting standards or related interpretations in response to the Tax Reform Act as well as any and future actions by certain states within the United States that have not currently adopted the Tax Reform Act.</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Net Income</w:t>
      </w:r>
      <w:r>
        <w:rPr>
          <w:rFonts w:ascii="Arial" w:cs="Arial" w:eastAsia="Arial" w:hAnsi="Arial"/>
          <w:sz w:val="20"/>
          <w:szCs w:val="20"/>
          <w:color w:val="auto"/>
        </w:rPr>
        <w:t>. Net income was $216.1 million for the three-months ended March 31, 2018, an increase of $38.1 million, or 21.4% higher</w:t>
      </w:r>
      <w:r>
        <w:rPr>
          <w:rFonts w:ascii="Arial" w:cs="Arial" w:eastAsia="Arial" w:hAnsi="Arial"/>
          <w:sz w:val="20"/>
          <w:szCs w:val="20"/>
          <w:i w:val="1"/>
          <w:iCs w:val="1"/>
          <w:color w:val="auto"/>
        </w:rPr>
        <w:t xml:space="preserve"> </w:t>
      </w:r>
      <w:r>
        <w:rPr>
          <w:rFonts w:ascii="Arial" w:cs="Arial" w:eastAsia="Arial" w:hAnsi="Arial"/>
          <w:sz w:val="20"/>
          <w:szCs w:val="20"/>
          <w:color w:val="auto"/>
        </w:rPr>
        <w:t>than net income of $178.0 million for the three-months ended March 31, 2017. The increase in net income was primarily due to the $34.4 million increase in gross profit and the $21.3 million decrease in the provision for income taxes. The increase in net income was partially offset by the increase in operating expenses of $18.7 million.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3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i w:val="1"/>
          <w:iCs w:val="1"/>
          <w:color w:val="auto"/>
        </w:rPr>
        <w:t xml:space="preserve">Gross Sales**. </w:t>
      </w:r>
      <w:r>
        <w:rPr>
          <w:rFonts w:ascii="Arial" w:cs="Arial" w:eastAsia="Arial" w:hAnsi="Arial"/>
          <w:sz w:val="18"/>
          <w:szCs w:val="18"/>
          <w:color w:val="auto"/>
        </w:rPr>
        <w:t>Gross sales were $990.6 million for the three-months ended March 31, 2018, an increase of approximately $145.1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17.2% higher than gross sales of $845.5 million for the three-months ended March 31, 2017. The increase in gross sales of our Monster Energy® brand energy drinks represented approximately $140.8 million of the overall increase in gross sales. Gross sales of our Monster Energy® brand energy drinks increased partially due to increased sales by volume as a result of increased domestic and international consumer demand. Gross sales of our Strategic Brands were $76.0 million for the three-months ended March 31, 2018, an increase of $2.5 million, or 3.4% higher than gross sales of $73.5 million for the three-months ended March 31, 2017. Gross sales of our AFF Third-Party Products were $4.7 million for the three-months ended March 31, 2018, a decrease of $0.9 million, or 15.9% lower than gross sales of $5.5 million for the three-months ended March 31, 2017. No other individual product line contributed either a material increase or decrease to net sales for the three-months ended March 31, 2018. Promotional and other allowances, as described in the footnote below, were $139.7 million for the three-months ended March 31, 2018, an increase of $36.3 million, or 35.1% higher than promotional and other allowances of $103.4 million for the three-months ended March 31, 2017. Promotional and other allowances as a percentage of gross sales increased to 14.1% from 12.2% for the three-months ended March 31, 2018 and 2017, respectively, partially due to an increase in commissions of $9.9 million included in net sales related to the adoption of ASC 606 described above.</w:t>
      </w:r>
    </w:p>
    <w:p>
      <w:pPr>
        <w:spacing w:after="0" w:line="187" w:lineRule="exact"/>
        <w:rPr>
          <w:sz w:val="20"/>
          <w:szCs w:val="20"/>
          <w:color w:val="auto"/>
        </w:rPr>
      </w:pPr>
    </w:p>
    <w:p>
      <w:pPr>
        <w:jc w:val="both"/>
        <w:ind w:firstLine="687"/>
        <w:spacing w:after="0" w:line="316" w:lineRule="auto"/>
        <w:rPr>
          <w:sz w:val="20"/>
          <w:szCs w:val="20"/>
          <w:color w:val="auto"/>
        </w:rPr>
      </w:pPr>
      <w:r>
        <w:rPr>
          <w:rFonts w:ascii="Arial" w:cs="Arial" w:eastAsia="Arial" w:hAnsi="Arial"/>
          <w:sz w:val="18"/>
          <w:szCs w:val="18"/>
          <w:color w:val="auto"/>
        </w:rPr>
        <w:t>Net changes in foreign currency exchange rates had a favorable impact on gross sales in the Monster Energy® Drinks segment of approximately $19.8 million for the three-months ended March 31, 2018. Net changes in foreign currency exchange rates had a favorable</w:t>
      </w:r>
    </w:p>
    <w:p>
      <w:pPr>
        <w:sectPr>
          <w:pgSz w:w="11900" w:h="16953" w:orient="portrait"/>
          <w:cols w:equalWidth="0" w:num="1">
            <w:col w:w="11420"/>
          </w:cols>
          <w:pgMar w:left="240" w:top="121" w:right="239" w:bottom="0" w:gutter="0" w:footer="0" w:header="0"/>
        </w:sectPr>
      </w:pPr>
    </w:p>
    <w:bookmarkStart w:id="24" w:name="page25"/>
    <w:bookmarkEnd w:id="24"/>
    <w:p>
      <w:pPr>
        <w:spacing w:after="0"/>
        <w:rPr>
          <w:sz w:val="20"/>
          <w:szCs w:val="20"/>
          <w:color w:val="auto"/>
        </w:rPr>
      </w:pPr>
      <w:r>
        <w:rPr>
          <w:rFonts w:ascii="Arial" w:cs="Arial" w:eastAsia="Arial" w:hAnsi="Arial"/>
          <w:sz w:val="20"/>
          <w:szCs w:val="20"/>
          <w:color w:val="auto"/>
        </w:rPr>
        <w:t>impact on gross sales in the Strategic Brands segment of approximately $2.4 million for the three-months ended March 31, 2018.</w:t>
      </w:r>
    </w:p>
    <w:p>
      <w:pPr>
        <w:spacing w:after="0" w:line="237" w:lineRule="exact"/>
        <w:rPr>
          <w:sz w:val="20"/>
          <w:szCs w:val="20"/>
          <w:color w:val="auto"/>
        </w:rPr>
      </w:pPr>
    </w:p>
    <w:p>
      <w:pPr>
        <w:jc w:val="both"/>
        <w:ind w:right="40"/>
        <w:spacing w:after="0" w:line="289" w:lineRule="auto"/>
        <w:rPr>
          <w:sz w:val="20"/>
          <w:szCs w:val="20"/>
          <w:color w:val="auto"/>
        </w:rPr>
      </w:pPr>
      <w:r>
        <w:rPr>
          <w:rFonts w:ascii="Arial" w:cs="Arial" w:eastAsia="Arial" w:hAnsi="Arial"/>
          <w:sz w:val="15"/>
          <w:szCs w:val="15"/>
          <w:i w:val="1"/>
          <w:iCs w:val="1"/>
          <w:color w:val="auto"/>
        </w:rPr>
        <w:t>**Gross sales are used internally by management as an indicator of and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We therefore believe that the presentation of gross sales provides a useful measure of our operating performance. The use of gross sales is not a measure that is recognized under GAAP and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has been defined by our internal reporting practices. In addition, gross sales may not be realized in the form of cash receipts as promotional payments and allowances may be deducted from payments received from certain customers.</w:t>
      </w:r>
    </w:p>
    <w:p>
      <w:pPr>
        <w:spacing w:after="0" w:line="1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right="60" w:firstLine="648"/>
        <w:spacing w:after="0" w:line="260" w:lineRule="auto"/>
        <w:rPr>
          <w:sz w:val="20"/>
          <w:szCs w:val="20"/>
          <w:color w:val="auto"/>
        </w:rPr>
      </w:pPr>
      <w:r>
        <w:rPr>
          <w:rFonts w:ascii="Arial" w:cs="Arial" w:eastAsia="Arial" w:hAnsi="Arial"/>
          <w:sz w:val="20"/>
          <w:szCs w:val="20"/>
          <w:color w:val="auto"/>
        </w:rPr>
        <w:t>The following table reconciles the non-GAAP financial measure of gross sales with the most directly comparable GAAP financial measure of net sales: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40" w:type="dxa"/>
            <w:vAlign w:val="bottom"/>
            <w:gridSpan w:val="4"/>
          </w:tcPr>
          <w:p>
            <w:pPr>
              <w:jc w:val="right"/>
              <w:ind w:right="410"/>
              <w:spacing w:after="0"/>
              <w:rPr>
                <w:sz w:val="20"/>
                <w:szCs w:val="20"/>
                <w:color w:val="auto"/>
              </w:rPr>
            </w:pPr>
            <w:r>
              <w:rPr>
                <w:rFonts w:ascii="Arial" w:cs="Arial" w:eastAsia="Arial" w:hAnsi="Arial"/>
                <w:sz w:val="18"/>
                <w:szCs w:val="18"/>
                <w:color w:val="auto"/>
              </w:rPr>
              <w:t>Three-Months Ended</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4"/>
              </w:rPr>
              <w:t>Percentage</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(In thousands)</w:t>
            </w: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Change</w:t>
            </w:r>
          </w:p>
        </w:tc>
        <w:tc>
          <w:tcPr>
            <w:tcW w:w="0" w:type="dxa"/>
            <w:vAlign w:val="bottom"/>
          </w:tcPr>
          <w:p>
            <w:pPr>
              <w:spacing w:after="0"/>
              <w:rPr>
                <w:sz w:val="1"/>
                <w:szCs w:val="1"/>
                <w:color w:val="auto"/>
              </w:rPr>
            </w:pPr>
          </w:p>
        </w:tc>
      </w:tr>
      <w:tr>
        <w:trPr>
          <w:trHeight w:val="210"/>
        </w:trPr>
        <w:tc>
          <w:tcPr>
            <w:tcW w:w="3280" w:type="dxa"/>
            <w:vAlign w:val="bottom"/>
            <w:vMerge w:val="restart"/>
          </w:tcPr>
          <w:p>
            <w:pPr>
              <w:spacing w:after="0"/>
              <w:rPr>
                <w:sz w:val="20"/>
                <w:szCs w:val="20"/>
                <w:color w:val="auto"/>
              </w:rPr>
            </w:pPr>
            <w:r>
              <w:rPr>
                <w:rFonts w:ascii="Arial" w:cs="Arial" w:eastAsia="Arial" w:hAnsi="Arial"/>
                <w:sz w:val="18"/>
                <w:szCs w:val="18"/>
                <w:color w:val="auto"/>
                <w:w w:val="99"/>
              </w:rPr>
              <w:t>Gross sales, net of discounts and returns</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2017</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18 vs. 17</w:t>
            </w:r>
          </w:p>
        </w:tc>
        <w:tc>
          <w:tcPr>
            <w:tcW w:w="0" w:type="dxa"/>
            <w:vAlign w:val="bottom"/>
          </w:tcPr>
          <w:p>
            <w:pPr>
              <w:spacing w:after="0"/>
              <w:rPr>
                <w:sz w:val="1"/>
                <w:szCs w:val="1"/>
                <w:color w:val="auto"/>
              </w:rPr>
            </w:pPr>
          </w:p>
        </w:tc>
      </w:tr>
      <w:tr>
        <w:trPr>
          <w:trHeight w:val="195"/>
        </w:trPr>
        <w:tc>
          <w:tcPr>
            <w:tcW w:w="3280" w:type="dxa"/>
            <w:vAlign w:val="bottom"/>
            <w:vMerge w:val="continue"/>
          </w:tcPr>
          <w:p>
            <w:pPr>
              <w:spacing w:after="0"/>
              <w:rPr>
                <w:sz w:val="16"/>
                <w:szCs w:val="16"/>
                <w:color w:val="auto"/>
              </w:rPr>
            </w:pPr>
          </w:p>
        </w:tc>
        <w:tc>
          <w:tcPr>
            <w:tcW w:w="300" w:type="dxa"/>
            <w:vAlign w:val="bottom"/>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990,639</w:t>
            </w:r>
          </w:p>
        </w:tc>
        <w:tc>
          <w:tcPr>
            <w:tcW w:w="120" w:type="dxa"/>
            <w:vAlign w:val="bottom"/>
          </w:tcPr>
          <w:p>
            <w:pPr>
              <w:spacing w:after="0"/>
              <w:rPr>
                <w:sz w:val="16"/>
                <w:szCs w:val="16"/>
                <w:color w:val="auto"/>
              </w:rPr>
            </w:pPr>
          </w:p>
        </w:tc>
        <w:tc>
          <w:tcPr>
            <w:tcW w:w="360" w:type="dxa"/>
            <w:vAlign w:val="bottom"/>
          </w:tcPr>
          <w:p>
            <w:pPr>
              <w:jc w:val="right"/>
              <w:ind w:right="90"/>
              <w:spacing w:after="0" w:line="195"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845,548</w:t>
            </w:r>
          </w:p>
        </w:tc>
        <w:tc>
          <w:tcPr>
            <w:tcW w:w="120" w:type="dxa"/>
            <w:vAlign w:val="bottom"/>
          </w:tcPr>
          <w:p>
            <w:pPr>
              <w:spacing w:after="0"/>
              <w:rPr>
                <w:sz w:val="16"/>
                <w:szCs w:val="16"/>
                <w:color w:val="auto"/>
              </w:rPr>
            </w:pP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Less: Promotional and other</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rPr>
              <w:t>allowances***</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139,718</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103,402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0"/>
        </w:trPr>
        <w:tc>
          <w:tcPr>
            <w:tcW w:w="3280" w:type="dxa"/>
            <w:vAlign w:val="bottom"/>
          </w:tcPr>
          <w:p>
            <w:pPr>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850,921</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742,146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right="40"/>
        <w:spacing w:after="0" w:line="303" w:lineRule="auto"/>
        <w:rPr>
          <w:sz w:val="20"/>
          <w:szCs w:val="20"/>
          <w:color w:val="auto"/>
        </w:rPr>
      </w:pPr>
      <w:r>
        <w:rPr>
          <w:rFonts w:ascii="Arial" w:cs="Arial" w:eastAsia="Arial" w:hAnsi="Arial"/>
          <w:sz w:val="14"/>
          <w:szCs w:val="14"/>
          <w:i w:val="1"/>
          <w:iCs w:val="1"/>
          <w:color w:val="auto"/>
        </w:rPr>
        <w:t>***Although the expenditures described in this line item are determined in accordance with GAAP and meet GAAP requirements, the presentation thereof does not conform with GAAP presentation requirements. Additionally, our definition of promotional and other allowances may not be comparable to similar items presented by other companies. Promotional and other allowances primarily include consideration given to the Company’s bottlers/distributors or retail customers including, but not limited to the following:</w:t>
      </w:r>
    </w:p>
    <w:p>
      <w:pPr>
        <w:spacing w:after="0" w:line="2" w:lineRule="exact"/>
        <w:rPr>
          <w:sz w:val="20"/>
          <w:szCs w:val="20"/>
          <w:color w:val="auto"/>
        </w:rPr>
      </w:pPr>
    </w:p>
    <w:p>
      <w:pPr>
        <w:jc w:val="both"/>
        <w:ind w:right="40" w:firstLine="8"/>
        <w:spacing w:after="0" w:line="286" w:lineRule="auto"/>
        <w:tabs>
          <w:tab w:leader="none" w:pos="211" w:val="left"/>
        </w:tabs>
        <w:numPr>
          <w:ilvl w:val="0"/>
          <w:numId w:val="26"/>
        </w:numPr>
        <w:rPr>
          <w:rFonts w:ascii="Arial" w:cs="Arial" w:eastAsia="Arial" w:hAnsi="Arial"/>
          <w:sz w:val="15"/>
          <w:szCs w:val="15"/>
          <w:i w:val="1"/>
          <w:iCs w:val="1"/>
          <w:color w:val="auto"/>
        </w:rPr>
      </w:pPr>
      <w:r>
        <w:rPr>
          <w:rFonts w:ascii="Arial" w:cs="Arial" w:eastAsia="Arial" w:hAnsi="Arial"/>
          <w:sz w:val="15"/>
          <w:szCs w:val="15"/>
          <w:i w:val="1"/>
          <w:iCs w:val="1"/>
          <w:color w:val="auto"/>
        </w:rPr>
        <w:t>discounts granted off list prices to support price promotions to end-consumers by retailers; (ii) reimbursements given to the Company’s bottlers/distributors for agreed portions of their promotional spend with retailers, including slotting, shelf space allowances and other fees for both new and existing products; (iii) the Company’s agreed share of fees given to bottlers/distributors and/or directly to retailers for advertising, in-store marketing and promotional activities; (iv) the Company’s agreed share of slotting, shelf space allowances and other fees given directly to retailers; (v) incentives given to the Company’s bottlers/distributors and/or retailers for achieving or exceeding certain predetermined sales goals; (vi) discounted or free products; (vii) contractual fees given to the Company’s bottlers/distributors related to sales made by the Company direct to certain customers that fall within the bottlers’/distributors’ sales territories; and (viii) commissions paid to our customers. The presentation of promotional and other allowances facilitates an evaluation of their impact on the determination of net sales and the spending levels incurred or correlated with such sales. Promotional and other allowances constitute a material portion of our marketing activities. The Company’s promotional allowance programs with its numerous bottlers/distributors and/or retailers are executed through separate agreements in the ordinary course of business. These agreements generally provide for one or more of the arrangements described above and are of varying durations, ranging from one week to one year. The primary drivers of our promotional and other allowance activities for the three-months ended March 31, 2018 and 2017 were (i) to increase sales volume and trial, (ii) to address market conditions, and (iii) to secure shelf and display space at retail.</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discloses selected quarterly data regarding sales for the three-months ended March 31, 2018 and 2017,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Data from any one or more quarters or periods is not necessarily indicative of annual results or continuing trends.</w:t>
      </w:r>
    </w:p>
    <w:p>
      <w:pPr>
        <w:spacing w:after="0" w:line="213" w:lineRule="exact"/>
        <w:rPr>
          <w:sz w:val="20"/>
          <w:szCs w:val="20"/>
          <w:color w:val="auto"/>
        </w:rPr>
      </w:pPr>
    </w:p>
    <w:p>
      <w:pPr>
        <w:jc w:val="both"/>
        <w:ind w:right="60" w:firstLine="648"/>
        <w:spacing w:after="0" w:line="250" w:lineRule="auto"/>
        <w:rPr>
          <w:sz w:val="20"/>
          <w:szCs w:val="20"/>
          <w:color w:val="auto"/>
        </w:rPr>
      </w:pPr>
      <w:r>
        <w:rPr>
          <w:rFonts w:ascii="Arial" w:cs="Arial" w:eastAsia="Arial" w:hAnsi="Arial"/>
          <w:sz w:val="20"/>
          <w:szCs w:val="20"/>
          <w:color w:val="auto"/>
        </w:rPr>
        <w:t>Sales of beverages are expressed in unit case volume. A “unit case” means a unit of measurement equal to 192 U.S. fluid ounces of finished beverage (24 eight-ounce servings). Unit case volume means the number of unit cases (or unit case equivalents) of finished products or concentrates as if converted into finished products sold by us.</w:t>
      </w:r>
    </w:p>
    <w:p>
      <w:pPr>
        <w:spacing w:after="0" w:line="200" w:lineRule="exact"/>
        <w:rPr>
          <w:sz w:val="20"/>
          <w:szCs w:val="20"/>
          <w:color w:val="auto"/>
        </w:rPr>
      </w:pPr>
    </w:p>
    <w:p>
      <w:pPr>
        <w:jc w:val="both"/>
        <w:ind w:right="40" w:firstLine="648"/>
        <w:spacing w:after="0" w:line="243" w:lineRule="auto"/>
        <w:rPr>
          <w:sz w:val="20"/>
          <w:szCs w:val="20"/>
          <w:color w:val="auto"/>
        </w:rPr>
      </w:pPr>
      <w:r>
        <w:rPr>
          <w:rFonts w:ascii="Arial" w:cs="Arial" w:eastAsia="Arial" w:hAnsi="Arial"/>
          <w:sz w:val="20"/>
          <w:szCs w:val="20"/>
          <w:color w:val="auto"/>
        </w:rPr>
        <w:t>Our quarterly results of operations reflect seasonal trends that are primarily the result of increased demand in the warmer months of the year. It has been our experience that beverage sales tend to be lower during the first and fourth quarters of each calendar year. However, our experience with our energy drink products suggests they may be less seasonal than the seasonality of traditional beverages. In addition, our continued growth internationally may further reduce the impact of seasonality on our business. Quarterly fluctuations may also be affected by other factors including the introduction of new products, the opening of new markets where temperature fluctuations are more pronounced, the addition of new bottlers, customers and distributors, changes in the sales mix of our products and changes in advertising and promotional expenses.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26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42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2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9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4200" w:type="dxa"/>
            <w:vAlign w:val="bottom"/>
            <w:gridSpan w:val="3"/>
          </w:tcPr>
          <w:p>
            <w:pPr>
              <w:spacing w:after="0"/>
              <w:rPr>
                <w:sz w:val="20"/>
                <w:szCs w:val="20"/>
                <w:color w:val="auto"/>
              </w:rPr>
            </w:pPr>
            <w:r>
              <w:rPr>
                <w:rFonts w:ascii="Arial" w:cs="Arial" w:eastAsia="Arial" w:hAnsi="Arial"/>
                <w:sz w:val="20"/>
                <w:szCs w:val="20"/>
                <w:color w:val="auto"/>
              </w:rPr>
              <w:t>(In thousands, except average</w:t>
            </w:r>
          </w:p>
        </w:tc>
        <w:tc>
          <w:tcPr>
            <w:tcW w:w="340" w:type="dxa"/>
            <w:vAlign w:val="bottom"/>
          </w:tcPr>
          <w:p>
            <w:pPr>
              <w:spacing w:after="0"/>
              <w:rPr>
                <w:sz w:val="24"/>
                <w:szCs w:val="24"/>
                <w:color w:val="auto"/>
              </w:rPr>
            </w:pPr>
          </w:p>
        </w:tc>
        <w:tc>
          <w:tcPr>
            <w:tcW w:w="6920" w:type="dxa"/>
            <w:vAlign w:val="bottom"/>
            <w:gridSpan w:val="5"/>
          </w:tcPr>
          <w:p>
            <w:pPr>
              <w:jc w:val="center"/>
              <w:ind w:right="4600"/>
              <w:spacing w:after="0"/>
              <w:rPr>
                <w:sz w:val="20"/>
                <w:szCs w:val="20"/>
                <w:color w:val="auto"/>
              </w:rPr>
            </w:pPr>
            <w:r>
              <w:rPr>
                <w:rFonts w:ascii="Arial" w:cs="Arial" w:eastAsia="Arial" w:hAnsi="Arial"/>
                <w:sz w:val="20"/>
                <w:szCs w:val="20"/>
                <w:color w:val="auto"/>
                <w:w w:val="89"/>
              </w:rPr>
              <w:t>Three-Months Ended</w:t>
            </w:r>
          </w:p>
        </w:tc>
        <w:tc>
          <w:tcPr>
            <w:tcW w:w="0" w:type="dxa"/>
            <w:vAlign w:val="bottom"/>
          </w:tcPr>
          <w:p>
            <w:pPr>
              <w:spacing w:after="0"/>
              <w:rPr>
                <w:sz w:val="1"/>
                <w:szCs w:val="1"/>
                <w:color w:val="auto"/>
              </w:rPr>
            </w:pPr>
          </w:p>
        </w:tc>
      </w:tr>
      <w:tr>
        <w:trPr>
          <w:trHeight w:val="246"/>
        </w:trPr>
        <w:tc>
          <w:tcPr>
            <w:tcW w:w="3920" w:type="dxa"/>
            <w:vAlign w:val="bottom"/>
            <w:tcBorders>
              <w:bottom w:val="single" w:sz="8" w:color="auto"/>
            </w:tcBorders>
            <w:gridSpan w:val="2"/>
          </w:tcPr>
          <w:p>
            <w:pPr>
              <w:ind w:left="180"/>
              <w:spacing w:after="0"/>
              <w:rPr>
                <w:sz w:val="20"/>
                <w:szCs w:val="20"/>
                <w:color w:val="auto"/>
              </w:rPr>
            </w:pPr>
            <w:r>
              <w:rPr>
                <w:rFonts w:ascii="Arial" w:cs="Arial" w:eastAsia="Arial" w:hAnsi="Arial"/>
                <w:sz w:val="20"/>
                <w:szCs w:val="20"/>
                <w:color w:val="auto"/>
              </w:rPr>
              <w:t>net sales per case)</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center"/>
              <w:ind w:left="521"/>
              <w:spacing w:after="0"/>
              <w:rPr>
                <w:sz w:val="20"/>
                <w:szCs w:val="20"/>
                <w:color w:val="auto"/>
              </w:rPr>
            </w:pPr>
            <w:r>
              <w:rPr>
                <w:rFonts w:ascii="Arial" w:cs="Arial" w:eastAsia="Arial" w:hAnsi="Arial"/>
                <w:sz w:val="20"/>
                <w:szCs w:val="20"/>
                <w:color w:val="auto"/>
                <w:w w:val="92"/>
              </w:rPr>
              <w:t>March 31,</w:t>
            </w:r>
          </w:p>
        </w:tc>
        <w:tc>
          <w:tcPr>
            <w:tcW w:w="980" w:type="dxa"/>
            <w:vAlign w:val="bottom"/>
            <w:tcBorders>
              <w:bottom w:val="single" w:sz="8" w:color="auto"/>
            </w:tcBorders>
          </w:tcPr>
          <w:p>
            <w:pPr>
              <w:spacing w:after="0"/>
              <w:rPr>
                <w:sz w:val="21"/>
                <w:szCs w:val="21"/>
                <w:color w:val="auto"/>
              </w:rPr>
            </w:pPr>
          </w:p>
        </w:tc>
        <w:tc>
          <w:tcPr>
            <w:tcW w:w="4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00" w:type="dxa"/>
            <w:vAlign w:val="bottom"/>
            <w:gridSpan w:val="3"/>
            <w:vMerge w:val="restart"/>
          </w:tcPr>
          <w:p>
            <w:pPr>
              <w:spacing w:after="0"/>
              <w:rPr>
                <w:sz w:val="20"/>
                <w:szCs w:val="20"/>
                <w:color w:val="auto"/>
              </w:rPr>
            </w:pPr>
            <w:r>
              <w:rPr>
                <w:rFonts w:ascii="Arial" w:cs="Arial" w:eastAsia="Arial" w:hAnsi="Arial"/>
                <w:sz w:val="20"/>
                <w:szCs w:val="20"/>
                <w:color w:val="auto"/>
              </w:rPr>
              <w:t>Net sales</w:t>
            </w:r>
            <w:r>
              <w:rPr>
                <w:rFonts w:ascii="Arial" w:cs="Arial" w:eastAsia="Arial" w:hAnsi="Arial"/>
                <w:sz w:val="12"/>
                <w:szCs w:val="12"/>
                <w:color w:val="auto"/>
              </w:rPr>
              <w:t>1</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2018</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2017</w:t>
            </w:r>
          </w:p>
        </w:tc>
        <w:tc>
          <w:tcPr>
            <w:tcW w:w="4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200" w:type="dxa"/>
            <w:vAlign w:val="bottom"/>
            <w:gridSpan w:val="3"/>
            <w:vMerge w:val="continue"/>
          </w:tcPr>
          <w:p>
            <w:pPr>
              <w:spacing w:after="0"/>
              <w:rPr>
                <w:sz w:val="17"/>
                <w:szCs w:val="17"/>
                <w:color w:val="auto"/>
              </w:rPr>
            </w:pPr>
          </w:p>
        </w:tc>
        <w:tc>
          <w:tcPr>
            <w:tcW w:w="34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020" w:type="dxa"/>
            <w:vAlign w:val="bottom"/>
          </w:tcPr>
          <w:p>
            <w:pPr>
              <w:jc w:val="right"/>
              <w:ind w:right="21"/>
              <w:spacing w:after="0" w:line="207" w:lineRule="exact"/>
              <w:rPr>
                <w:sz w:val="20"/>
                <w:szCs w:val="20"/>
                <w:color w:val="auto"/>
              </w:rPr>
            </w:pPr>
            <w:r>
              <w:rPr>
                <w:rFonts w:ascii="Arial" w:cs="Arial" w:eastAsia="Arial" w:hAnsi="Arial"/>
                <w:sz w:val="20"/>
                <w:szCs w:val="20"/>
                <w:color w:val="auto"/>
              </w:rPr>
              <w:t>850,921</w:t>
            </w:r>
          </w:p>
        </w:tc>
        <w:tc>
          <w:tcPr>
            <w:tcW w:w="280" w:type="dxa"/>
            <w:vAlign w:val="bottom"/>
          </w:tcPr>
          <w:p>
            <w:pPr>
              <w:spacing w:after="0"/>
              <w:rPr>
                <w:sz w:val="17"/>
                <w:szCs w:val="17"/>
                <w:color w:val="auto"/>
              </w:rPr>
            </w:pPr>
          </w:p>
        </w:tc>
        <w:tc>
          <w:tcPr>
            <w:tcW w:w="38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980" w:type="dxa"/>
            <w:vAlign w:val="bottom"/>
          </w:tcPr>
          <w:p>
            <w:pPr>
              <w:jc w:val="right"/>
              <w:ind w:right="21"/>
              <w:spacing w:after="0" w:line="207" w:lineRule="exact"/>
              <w:rPr>
                <w:sz w:val="20"/>
                <w:szCs w:val="20"/>
                <w:color w:val="auto"/>
              </w:rPr>
            </w:pPr>
            <w:r>
              <w:rPr>
                <w:rFonts w:ascii="Arial" w:cs="Arial" w:eastAsia="Arial" w:hAnsi="Arial"/>
                <w:sz w:val="20"/>
                <w:szCs w:val="20"/>
                <w:color w:val="auto"/>
              </w:rPr>
              <w:t>742,146</w:t>
            </w:r>
          </w:p>
        </w:tc>
        <w:tc>
          <w:tcPr>
            <w:tcW w:w="4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4200" w:type="dxa"/>
            <w:vAlign w:val="bottom"/>
            <w:gridSpan w:val="3"/>
          </w:tcPr>
          <w:p>
            <w:pPr>
              <w:spacing w:after="0"/>
              <w:rPr>
                <w:sz w:val="20"/>
                <w:szCs w:val="20"/>
                <w:color w:val="auto"/>
              </w:rPr>
            </w:pPr>
            <w:r>
              <w:rPr>
                <w:rFonts w:ascii="Arial" w:cs="Arial" w:eastAsia="Arial" w:hAnsi="Arial"/>
                <w:sz w:val="20"/>
                <w:szCs w:val="20"/>
                <w:color w:val="auto"/>
              </w:rPr>
              <w:t>Less: AFF third-party sales</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(4,657)</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(5,539)</w:t>
            </w:r>
          </w:p>
        </w:tc>
        <w:tc>
          <w:tcPr>
            <w:tcW w:w="4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0" w:type="dxa"/>
            <w:vAlign w:val="bottom"/>
            <w:gridSpan w:val="3"/>
          </w:tcPr>
          <w:p>
            <w:pPr>
              <w:spacing w:after="0" w:line="220" w:lineRule="exact"/>
              <w:rPr>
                <w:sz w:val="20"/>
                <w:szCs w:val="20"/>
                <w:color w:val="auto"/>
              </w:rPr>
            </w:pPr>
            <w:r>
              <w:rPr>
                <w:rFonts w:ascii="Arial" w:cs="Arial" w:eastAsia="Arial" w:hAnsi="Arial"/>
                <w:sz w:val="20"/>
                <w:szCs w:val="20"/>
                <w:color w:val="auto"/>
              </w:rPr>
              <w:t>Adjusted net sales</w:t>
            </w:r>
            <w:r>
              <w:rPr>
                <w:rFonts w:ascii="Arial" w:cs="Arial" w:eastAsia="Arial" w:hAnsi="Arial"/>
                <w:sz w:val="12"/>
                <w:szCs w:val="12"/>
                <w:color w:val="auto"/>
              </w:rPr>
              <w:t>2</w:t>
            </w: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846,264</w:t>
            </w:r>
          </w:p>
        </w:tc>
        <w:tc>
          <w:tcPr>
            <w:tcW w:w="280" w:type="dxa"/>
            <w:vAlign w:val="bottom"/>
          </w:tcPr>
          <w:p>
            <w:pPr>
              <w:spacing w:after="0"/>
              <w:rPr>
                <w:sz w:val="19"/>
                <w:szCs w:val="19"/>
                <w:color w:val="auto"/>
              </w:rPr>
            </w:pPr>
          </w:p>
        </w:tc>
        <w:tc>
          <w:tcPr>
            <w:tcW w:w="3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736,607</w:t>
            </w:r>
          </w:p>
        </w:tc>
        <w:tc>
          <w:tcPr>
            <w:tcW w:w="4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gridSpan w:val="3"/>
            <w:vMerge w:val="restart"/>
          </w:tcPr>
          <w:p>
            <w:pPr>
              <w:spacing w:after="0" w:line="207" w:lineRule="exact"/>
              <w:rPr>
                <w:sz w:val="20"/>
                <w:szCs w:val="20"/>
                <w:color w:val="auto"/>
              </w:rPr>
            </w:pPr>
            <w:r>
              <w:rPr>
                <w:rFonts w:ascii="Arial" w:cs="Arial" w:eastAsia="Arial" w:hAnsi="Arial"/>
                <w:sz w:val="20"/>
                <w:szCs w:val="20"/>
                <w:color w:val="auto"/>
              </w:rPr>
              <w:t>Case sales by segment:</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20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200" w:type="dxa"/>
            <w:vAlign w:val="bottom"/>
            <w:gridSpan w:val="3"/>
          </w:tcPr>
          <w:p>
            <w:pPr>
              <w:ind w:left="180"/>
              <w:spacing w:after="0"/>
              <w:rPr>
                <w:sz w:val="20"/>
                <w:szCs w:val="20"/>
                <w:color w:val="auto"/>
              </w:rPr>
            </w:pPr>
            <w:r>
              <w:rPr>
                <w:rFonts w:ascii="Arial" w:cs="Arial" w:eastAsia="Arial" w:hAnsi="Arial"/>
                <w:sz w:val="20"/>
                <w:szCs w:val="20"/>
                <w:color w:val="auto"/>
              </w:rPr>
              <w:t>Monster Energy® Drinks</w:t>
            </w:r>
          </w:p>
        </w:tc>
        <w:tc>
          <w:tcPr>
            <w:tcW w:w="3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75,112</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63,781</w:t>
            </w:r>
          </w:p>
        </w:tc>
        <w:tc>
          <w:tcPr>
            <w:tcW w:w="4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3"/>
          </w:tcPr>
          <w:p>
            <w:pPr>
              <w:ind w:left="180"/>
              <w:spacing w:after="0"/>
              <w:rPr>
                <w:sz w:val="20"/>
                <w:szCs w:val="20"/>
                <w:color w:val="auto"/>
              </w:rPr>
            </w:pPr>
            <w:r>
              <w:rPr>
                <w:rFonts w:ascii="Arial" w:cs="Arial" w:eastAsia="Arial" w:hAnsi="Arial"/>
                <w:sz w:val="20"/>
                <w:szCs w:val="20"/>
                <w:color w:val="auto"/>
              </w:rPr>
              <w:t>Strategic Brands</w:t>
            </w:r>
          </w:p>
        </w:tc>
        <w:tc>
          <w:tcPr>
            <w:tcW w:w="3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17,203</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16,211</w:t>
            </w:r>
          </w:p>
        </w:tc>
        <w:tc>
          <w:tcPr>
            <w:tcW w:w="4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200" w:type="dxa"/>
            <w:vAlign w:val="bottom"/>
            <w:gridSpan w:val="3"/>
          </w:tcPr>
          <w:p>
            <w:pPr>
              <w:ind w:left="180"/>
              <w:spacing w:after="0"/>
              <w:rPr>
                <w:sz w:val="20"/>
                <w:szCs w:val="20"/>
                <w:color w:val="auto"/>
              </w:rPr>
            </w:pPr>
            <w:r>
              <w:rPr>
                <w:rFonts w:ascii="Arial" w:cs="Arial" w:eastAsia="Arial" w:hAnsi="Arial"/>
                <w:sz w:val="20"/>
                <w:szCs w:val="20"/>
                <w:color w:val="auto"/>
              </w:rPr>
              <w:t>Other</w:t>
            </w:r>
            <w:r>
              <w:rPr>
                <w:rFonts w:ascii="Arial" w:cs="Arial" w:eastAsia="Arial" w:hAnsi="Arial"/>
                <w:sz w:val="12"/>
                <w:szCs w:val="12"/>
                <w:color w:val="auto"/>
              </w:rPr>
              <w:t>2</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4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0" w:type="dxa"/>
            <w:vAlign w:val="bottom"/>
            <w:gridSpan w:val="3"/>
          </w:tcPr>
          <w:p>
            <w:pPr>
              <w:spacing w:after="0" w:line="220" w:lineRule="exact"/>
              <w:rPr>
                <w:sz w:val="20"/>
                <w:szCs w:val="20"/>
                <w:color w:val="auto"/>
              </w:rPr>
            </w:pPr>
            <w:r>
              <w:rPr>
                <w:rFonts w:ascii="Arial" w:cs="Arial" w:eastAsia="Arial" w:hAnsi="Arial"/>
                <w:sz w:val="20"/>
                <w:szCs w:val="20"/>
                <w:color w:val="auto"/>
              </w:rPr>
              <w:t>Total case sales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92,315</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79,992</w:t>
            </w:r>
          </w:p>
        </w:tc>
        <w:tc>
          <w:tcPr>
            <w:tcW w:w="4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-2188210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-2188210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25" w:name="page26"/>
    <w:bookmarkEnd w:id="25"/>
    <w:p>
      <w:pPr>
        <w:spacing w:after="0" w:line="12" w:lineRule="exact"/>
        <w:rPr>
          <w:sz w:val="20"/>
          <w:szCs w:val="20"/>
          <w:color w:val="auto"/>
        </w:rPr>
      </w:pPr>
    </w:p>
    <w:p>
      <w:pPr>
        <w:spacing w:after="0"/>
        <w:tabs>
          <w:tab w:leader="none" w:pos="4280" w:val="left"/>
          <w:tab w:leader="none" w:pos="5080" w:val="left"/>
          <w:tab w:leader="none" w:pos="5920" w:val="left"/>
          <w:tab w:leader="none" w:pos="6700" w:val="left"/>
        </w:tabs>
        <w:rPr>
          <w:sz w:val="20"/>
          <w:szCs w:val="20"/>
          <w:color w:val="auto"/>
        </w:rPr>
      </w:pPr>
      <w:r>
        <w:rPr>
          <w:rFonts w:ascii="Arial" w:cs="Arial" w:eastAsia="Arial" w:hAnsi="Arial"/>
          <w:sz w:val="20"/>
          <w:szCs w:val="20"/>
          <w:color w:val="auto"/>
        </w:rPr>
        <w:t>Average net sales per case</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9.17</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9.21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11430</wp:posOffset>
            </wp:positionV>
            <wp:extent cx="190373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03730" cy="2603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6"/>
          <w:szCs w:val="16"/>
          <w:i w:val="1"/>
          <w:iCs w:val="1"/>
          <w:color w:val="auto"/>
        </w:rPr>
        <w:t>Includes $11.2 million and $10.0 million for the three-months ended March 31, 2018 and 2017, respectively, related to the recognition of deferred revenue.</w:t>
      </w:r>
    </w:p>
    <w:p>
      <w:pPr>
        <w:spacing w:after="0" w:line="164" w:lineRule="exact"/>
        <w:rPr>
          <w:sz w:val="20"/>
          <w:szCs w:val="20"/>
          <w:color w:val="auto"/>
        </w:rPr>
      </w:pPr>
    </w:p>
    <w:p>
      <w:pPr>
        <w:jc w:val="both"/>
        <w:ind w:right="20"/>
        <w:spacing w:after="0" w:line="230" w:lineRule="auto"/>
        <w:rPr>
          <w:sz w:val="20"/>
          <w:szCs w:val="20"/>
          <w:color w:val="auto"/>
        </w:rPr>
      </w:pPr>
      <w:r>
        <w:rPr>
          <w:rFonts w:ascii="Arial" w:cs="Arial" w:eastAsia="Arial" w:hAnsi="Arial"/>
          <w:sz w:val="21"/>
          <w:szCs w:val="21"/>
          <w:i w:val="1"/>
          <w:iCs w:val="1"/>
          <w:color w:val="auto"/>
          <w:vertAlign w:val="superscript"/>
        </w:rPr>
        <w:t>2</w:t>
      </w:r>
      <w:r>
        <w:rPr>
          <w:rFonts w:ascii="Arial" w:cs="Arial" w:eastAsia="Arial" w:hAnsi="Arial"/>
          <w:sz w:val="16"/>
          <w:szCs w:val="16"/>
          <w:i w:val="1"/>
          <w:iCs w:val="1"/>
          <w:color w:val="auto"/>
        </w:rPr>
        <w:t>Excludes Other segment net sales of $4.7 million and $5.5 million for the three-months ended March 31, 2018 and 2017, respectively, comprised of net sales of AFF Third-Party Products to independent third-party customers, as these sales do not have unit case equivalents.</w:t>
      </w:r>
    </w:p>
    <w:p>
      <w:pPr>
        <w:spacing w:after="0" w:line="22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See Item 2, “Management’s Discussion and Analysis of Financial Condition and Results of Operations - Our Business” for additional information related to the increase in sales.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35"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i w:val="1"/>
          <w:iCs w:val="1"/>
          <w:color w:val="auto"/>
        </w:rPr>
        <w:t xml:space="preserve">Cash flows provided by operating activities. </w:t>
      </w:r>
      <w:r>
        <w:rPr>
          <w:rFonts w:ascii="Arial" w:cs="Arial" w:eastAsia="Arial" w:hAnsi="Arial"/>
          <w:sz w:val="18"/>
          <w:szCs w:val="18"/>
          <w:color w:val="auto"/>
        </w:rPr>
        <w:t>Cash provided by operating activities was $148.9 million for the three-months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2018, as compared with cash provided by operating activities of $193.0 million for the three-months ended March 31, 2017.</w:t>
      </w:r>
    </w:p>
    <w:p>
      <w:pPr>
        <w:spacing w:after="0" w:line="14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For the three-months ended March 31, 2018, cash provided by operating activities was primarily attributable to net income earned of $216.1 million and adjustments for certain non-cash expenses, consisting of $13.4 million of stock-based compensation and $14.0 million of depreciation and other amortization. For the three-months ended March 31, 2018, cash provided by operating activities also increased due to a $52.4 million decrease in prepaid income taxes, a $16.0 million increase in accrued promotional allowances and a $3.3 million decrease in distributor receivables. For the three-months ended March 31, 2018, cash used in operating activities was primarily attributable to a $72.7 million increase in accounts receivable, a $22.6 million decrease in accounts payable, a $19.6 million increase in prepaid expenses and other current assets, an $18.4 million decrease in accrued compensation, a $15.0 million decrease in accrued liabilities, an $11.3 million increase in inventories, a $6.6 million decrease in deferred revenue and a $1.1 million decrease in income taxes payable.</w:t>
      </w:r>
    </w:p>
    <w:p>
      <w:pPr>
        <w:spacing w:after="0" w:line="1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For the three-months ended March 31, 2017, cash provided by operating activities was primarily attributable to net income earned of $178.0 million and adjustments for certain non-cash expenses, consisting of $13.1 million of stock-based compensation and $11.2 million of depreciation and other amortization. For the three-months ended March 31, 2017, cash provided by operating activities also increased due to a $25.6 million decrease in prepaid income taxes, a $14.1 million increase in accrued promotional allowances, a $7.4 million decrease in accounts receivable and a $6.8 million increase in accrued liabilities. For the three-months ended March 31, 2017, cash used in operating activities was primarily attributable to a $19.3 million decrease in accounts payable, a $15.8 million decrease in accrued compensation, an $11.4 million increase in prepaid expenses and other current assets, a $7.8 million increase in inventories, a $5.5 million decrease in income taxes payable and a $4.5 million decrease in deferred revenue.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i w:val="1"/>
          <w:iCs w:val="1"/>
          <w:color w:val="auto"/>
        </w:rPr>
        <w:t xml:space="preserve">Cash flows provided by (used in) investing activities. </w:t>
      </w:r>
      <w:r>
        <w:rPr>
          <w:rFonts w:ascii="Arial" w:cs="Arial" w:eastAsia="Arial" w:hAnsi="Arial"/>
          <w:sz w:val="18"/>
          <w:szCs w:val="18"/>
          <w:color w:val="auto"/>
        </w:rPr>
        <w:t>Cash provided by investing activities was $75.9 million for the three-months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2018 as compared to cash used in investing activities of ($6.3) million for the three-months ended March 31, 2017.</w:t>
      </w:r>
    </w:p>
    <w:p>
      <w:pPr>
        <w:spacing w:after="0" w:line="14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For the three-months ended March 31, 2018, cash used in investing activities was primarily attributable to purchases of available-for-sale investments. For the three-months ended March 31, 2017, cash used in investing activities was primarily attributable to the purchase of available-for-sale investments. For the three-months ended March 31, 2018, cash provided by investing activities was primarily attributable to sales of available-for-sale investments. For the three-months ended March 31, 2017, cash provided by investing activities was primarily attributable to sales of available-for-sale investments. For both the three-months ended March 31, 2018 and 2017,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real property, computer software, equipment used for sales and administrative activities, certain leasehold improvements and improvements to real property. We expect to continue to use a portion of our cash in excess of our requirements for operations for purchasing short-term and long-term investments,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and to develop our brand in international markets) and for other corporate purposes. From time to time, we may also use cash to purchase additional real property related to our beverage business and/or acquire compatible businesses.</w:t>
      </w:r>
    </w:p>
    <w:p>
      <w:pPr>
        <w:spacing w:after="0" w:line="18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 xml:space="preserve">Cash flows (used in) provided by financing activities. </w:t>
      </w:r>
      <w:r>
        <w:rPr>
          <w:rFonts w:ascii="Arial" w:cs="Arial" w:eastAsia="Arial" w:hAnsi="Arial"/>
          <w:sz w:val="20"/>
          <w:szCs w:val="20"/>
          <w:color w:val="auto"/>
        </w:rPr>
        <w:t>Cash used in financing activities was ($246.0) million for the three-months</w:t>
      </w:r>
      <w:r>
        <w:rPr>
          <w:rFonts w:ascii="Arial" w:cs="Arial" w:eastAsia="Arial" w:hAnsi="Arial"/>
          <w:sz w:val="20"/>
          <w:szCs w:val="20"/>
          <w:i w:val="1"/>
          <w:iCs w:val="1"/>
          <w:color w:val="auto"/>
        </w:rPr>
        <w:t xml:space="preserve"> </w:t>
      </w:r>
      <w:r>
        <w:rPr>
          <w:rFonts w:ascii="Arial" w:cs="Arial" w:eastAsia="Arial" w:hAnsi="Arial"/>
          <w:sz w:val="20"/>
          <w:szCs w:val="20"/>
          <w:color w:val="auto"/>
        </w:rPr>
        <w:t>ended March 31, 2018 as compared to cash provided by financing activities of $12.9 million for the three-months ended March 31, 2017. The cash flows used in financing activities for the three-months ended March 31, 2018 was primarily the result of the repurchases of our common stock. The cash flows provided by financing activities for both the three-months ended March 31, 2018, and 2017 was primarily attributable to the issuance of our common stock.</w:t>
      </w:r>
    </w:p>
    <w:p>
      <w:pPr>
        <w:spacing w:after="0" w:line="2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Purchases of inventories, increases in accounts receivable and other assets, acquisition of property and equipment (including real property, personal property and coolers), leasehold improvements, advances for or the purchase of equipment for our bottlers, acquisition and maintenance of trademarks, payments of accounts payable, income taxes payable and purchases of our common stock are expected to remain our principal recurring use of cash.</w:t>
      </w:r>
    </w:p>
    <w:p>
      <w:pPr>
        <w:spacing w:after="0" w:line="20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i w:val="1"/>
          <w:iCs w:val="1"/>
          <w:color w:val="auto"/>
        </w:rPr>
        <w:t xml:space="preserve">Cash and cash equivalents, short-term and long-term investments. </w:t>
      </w:r>
      <w:r>
        <w:rPr>
          <w:rFonts w:ascii="Arial" w:cs="Arial" w:eastAsia="Arial" w:hAnsi="Arial"/>
          <w:sz w:val="18"/>
          <w:szCs w:val="18"/>
          <w:color w:val="auto"/>
        </w:rPr>
        <w:t>At March 31, 2018, we had $511.4 million in cash and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and $588.7 million in short and long-term investments. We have historically invested these amounts in U.S. Treasury bills, U.S. government agency securities and municipal securities, commercial paper, certificates of deposit, variable rate demand notes and money market funds meeting certain criteria. We maintain our investments for cash management purposes and not for purposes of speculation. Our risk management policies emphasize credit quality (primarily based on short-term ratings by nationally recognized statistical organizations) in selecting and maintaining our investments. We regularly assess market risk of our investments and believe our current policies and investment</w:t>
      </w:r>
    </w:p>
    <w:p>
      <w:pPr>
        <w:sectPr>
          <w:pgSz w:w="11900" w:h="16850" w:orient="portrait"/>
          <w:cols w:equalWidth="0" w:num="1">
            <w:col w:w="11420"/>
          </w:cols>
          <w:pgMar w:left="240" w:top="121" w:right="239" w:bottom="0" w:gutter="0" w:footer="0" w:header="0"/>
        </w:sectPr>
      </w:pPr>
    </w:p>
    <w:bookmarkStart w:id="26" w:name="page27"/>
    <w:bookmarkEnd w:id="26"/>
    <w:p>
      <w:pPr>
        <w:jc w:val="both"/>
        <w:spacing w:after="0" w:line="250" w:lineRule="auto"/>
        <w:rPr>
          <w:sz w:val="20"/>
          <w:szCs w:val="20"/>
          <w:color w:val="auto"/>
        </w:rPr>
      </w:pPr>
      <w:r>
        <w:rPr>
          <w:rFonts w:ascii="Arial" w:cs="Arial" w:eastAsia="Arial" w:hAnsi="Arial"/>
          <w:sz w:val="20"/>
          <w:szCs w:val="20"/>
          <w:color w:val="auto"/>
        </w:rPr>
        <w:t>practices adequately limit those risks. However, certain of these investments are subject to general credit, liquidity, market and interest rate risks. These market risks associated with our investment portfolio may have an adverse effect on our future results of operations, liquidity and financial condition.</w:t>
      </w:r>
    </w:p>
    <w:p>
      <w:pPr>
        <w:spacing w:after="0" w:line="20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Of our $511.4 million of cash and cash equivalents held at March 31, 2018, $304.2 million was held by our foreign subsidiaries. No short-term or long-term investments were held by our foreign subsidiaries at March 31, 2018. We do not currently intend, nor do we foresee a need, to repatriate undistributed earnings of our foreign subsidiaries other than to repay certain intercompany debt owed to our U.S. operations.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We believe that cash available from operations, including our cash resources and access to credit, will be sufficient for our working capital needs, including purchase commitments for raw materials and inventory, increases in accounts receivable, payments of tax liabilities, expansion and development needs, purchases of capital assets, purchases of equipment and properties, purchases of shares of our common stock and the completion of the construction of our new warehouse, through at least the next 12 months. Based on our current plans, at this time we estimate that capital expenditures, including the purchases of real property, are likely to be less than $100.0 million through March 31, 2019. However, future business opportunities may cause a change in this estimate.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represents a summary of the Company’s contractual commitments and related scheduled maturities as of March 31,</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2018:</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4340" w:type="dxa"/>
            <w:vAlign w:val="bottom"/>
            <w:tcBorders>
              <w:bottom w:val="single" w:sz="8" w:color="auto"/>
            </w:tcBorders>
            <w:gridSpan w:val="8"/>
          </w:tcPr>
          <w:p>
            <w:pPr>
              <w:ind w:left="280"/>
              <w:spacing w:after="0"/>
              <w:rPr>
                <w:sz w:val="20"/>
                <w:szCs w:val="20"/>
                <w:color w:val="auto"/>
              </w:rPr>
            </w:pPr>
            <w:r>
              <w:rPr>
                <w:rFonts w:ascii="Arial" w:cs="Arial" w:eastAsia="Arial" w:hAnsi="Arial"/>
                <w:sz w:val="22"/>
                <w:szCs w:val="22"/>
                <w:color w:val="auto"/>
              </w:rPr>
              <w:t>Payments due by period (in thousands)</w:t>
            </w:r>
          </w:p>
        </w:tc>
        <w:tc>
          <w:tcPr>
            <w:tcW w:w="2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r>
      <w:tr>
        <w:trPr>
          <w:trHeight w:val="215"/>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ind w:left="60"/>
              <w:spacing w:after="0" w:line="216" w:lineRule="exact"/>
              <w:rPr>
                <w:sz w:val="20"/>
                <w:szCs w:val="20"/>
                <w:color w:val="auto"/>
              </w:rPr>
            </w:pPr>
            <w:r>
              <w:rPr>
                <w:rFonts w:ascii="Arial" w:cs="Arial" w:eastAsia="Arial" w:hAnsi="Arial"/>
                <w:sz w:val="22"/>
                <w:szCs w:val="22"/>
                <w:color w:val="auto"/>
              </w:rPr>
              <w:t>Less than</w:t>
            </w:r>
          </w:p>
        </w:tc>
        <w:tc>
          <w:tcPr>
            <w:tcW w:w="340" w:type="dxa"/>
            <w:vAlign w:val="bottom"/>
          </w:tcPr>
          <w:p>
            <w:pPr>
              <w:spacing w:after="0"/>
              <w:rPr>
                <w:sz w:val="18"/>
                <w:szCs w:val="18"/>
                <w:color w:val="auto"/>
              </w:rPr>
            </w:pPr>
          </w:p>
        </w:tc>
        <w:tc>
          <w:tcPr>
            <w:tcW w:w="1080" w:type="dxa"/>
            <w:vAlign w:val="bottom"/>
          </w:tcPr>
          <w:p>
            <w:pPr>
              <w:jc w:val="right"/>
              <w:ind w:right="472"/>
              <w:spacing w:after="0" w:line="216" w:lineRule="exact"/>
              <w:rPr>
                <w:sz w:val="20"/>
                <w:szCs w:val="20"/>
                <w:color w:val="auto"/>
              </w:rPr>
            </w:pPr>
            <w:r>
              <w:rPr>
                <w:rFonts w:ascii="Arial" w:cs="Arial" w:eastAsia="Arial" w:hAnsi="Arial"/>
                <w:sz w:val="22"/>
                <w:szCs w:val="22"/>
                <w:color w:val="auto"/>
              </w:rPr>
              <w:t>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452"/>
              <w:spacing w:after="0" w:line="216" w:lineRule="exact"/>
              <w:rPr>
                <w:sz w:val="20"/>
                <w:szCs w:val="20"/>
                <w:color w:val="auto"/>
              </w:rPr>
            </w:pPr>
            <w:r>
              <w:rPr>
                <w:rFonts w:ascii="Arial" w:cs="Arial" w:eastAsia="Arial" w:hAnsi="Arial"/>
                <w:sz w:val="22"/>
                <w:szCs w:val="22"/>
                <w:color w:val="auto"/>
              </w:rPr>
              <w:t>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172"/>
              <w:spacing w:after="0" w:line="216" w:lineRule="exact"/>
              <w:rPr>
                <w:sz w:val="20"/>
                <w:szCs w:val="20"/>
                <w:color w:val="auto"/>
              </w:rPr>
            </w:pPr>
            <w:r>
              <w:rPr>
                <w:rFonts w:ascii="Arial" w:cs="Arial" w:eastAsia="Arial" w:hAnsi="Arial"/>
                <w:sz w:val="22"/>
                <w:szCs w:val="22"/>
                <w:color w:val="auto"/>
                <w:w w:val="88"/>
              </w:rPr>
              <w:t>More than</w:t>
            </w:r>
          </w:p>
        </w:tc>
      </w:tr>
      <w:tr>
        <w:trPr>
          <w:trHeight w:val="265"/>
        </w:trPr>
        <w:tc>
          <w:tcPr>
            <w:tcW w:w="3620" w:type="dxa"/>
            <w:vAlign w:val="bottom"/>
            <w:tcBorders>
              <w:bottom w:val="single" w:sz="8" w:color="auto"/>
            </w:tcBorders>
          </w:tcPr>
          <w:p>
            <w:pPr>
              <w:ind w:left="1300"/>
              <w:spacing w:after="0"/>
              <w:rPr>
                <w:sz w:val="20"/>
                <w:szCs w:val="20"/>
                <w:color w:val="auto"/>
              </w:rPr>
            </w:pPr>
            <w:r>
              <w:rPr>
                <w:rFonts w:ascii="Arial" w:cs="Arial" w:eastAsia="Arial" w:hAnsi="Arial"/>
                <w:sz w:val="22"/>
                <w:szCs w:val="22"/>
                <w:color w:val="auto"/>
              </w:rPr>
              <w:t>Obligations</w:t>
            </w: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22"/>
                <w:szCs w:val="22"/>
                <w:color w:val="auto"/>
              </w:rPr>
              <w:t>Total</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32"/>
              <w:spacing w:after="0"/>
              <w:rPr>
                <w:sz w:val="20"/>
                <w:szCs w:val="20"/>
                <w:color w:val="auto"/>
              </w:rPr>
            </w:pPr>
            <w:r>
              <w:rPr>
                <w:rFonts w:ascii="Arial" w:cs="Arial" w:eastAsia="Arial" w:hAnsi="Arial"/>
                <w:sz w:val="22"/>
                <w:szCs w:val="22"/>
                <w:color w:val="auto"/>
              </w:rPr>
              <w:t>1 year</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color w:val="auto"/>
              </w:rPr>
              <w:t>years</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color w:val="auto"/>
              </w:rPr>
              <w:t>years</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color w:val="auto"/>
              </w:rPr>
              <w:t>5 years</w:t>
            </w:r>
          </w:p>
        </w:tc>
      </w:tr>
      <w:tr>
        <w:trPr>
          <w:trHeight w:val="458"/>
        </w:trPr>
        <w:tc>
          <w:tcPr>
            <w:tcW w:w="3740" w:type="dxa"/>
            <w:vAlign w:val="bottom"/>
            <w:gridSpan w:val="2"/>
          </w:tcPr>
          <w:p>
            <w:pPr>
              <w:spacing w:after="0"/>
              <w:rPr>
                <w:sz w:val="20"/>
                <w:szCs w:val="20"/>
                <w:color w:val="auto"/>
              </w:rPr>
            </w:pPr>
            <w:r>
              <w:rPr>
                <w:rFonts w:ascii="Arial" w:cs="Arial" w:eastAsia="Arial" w:hAnsi="Arial"/>
                <w:sz w:val="22"/>
                <w:szCs w:val="22"/>
                <w:color w:val="auto"/>
              </w:rPr>
              <w:t>Contractual Obligations</w:t>
            </w:r>
            <w:r>
              <w:rPr>
                <w:rFonts w:ascii="Arial" w:cs="Arial" w:eastAsia="Arial" w:hAnsi="Arial"/>
                <w:sz w:val="28"/>
                <w:szCs w:val="28"/>
                <w:color w:val="auto"/>
                <w:vertAlign w:val="superscript"/>
              </w:rPr>
              <w:t>1</w:t>
            </w:r>
          </w:p>
        </w:tc>
        <w:tc>
          <w:tcPr>
            <w:tcW w:w="36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080" w:type="dxa"/>
            <w:vAlign w:val="bottom"/>
          </w:tcPr>
          <w:p>
            <w:pPr>
              <w:jc w:val="right"/>
              <w:spacing w:after="0"/>
              <w:rPr>
                <w:sz w:val="20"/>
                <w:szCs w:val="20"/>
                <w:color w:val="auto"/>
              </w:rPr>
            </w:pPr>
            <w:r>
              <w:rPr>
                <w:rFonts w:ascii="Arial" w:cs="Arial" w:eastAsia="Arial" w:hAnsi="Arial"/>
                <w:sz w:val="22"/>
                <w:szCs w:val="22"/>
                <w:color w:val="auto"/>
              </w:rPr>
              <w:t>170,237</w:t>
            </w:r>
          </w:p>
        </w:tc>
        <w:tc>
          <w:tcPr>
            <w:tcW w:w="1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1180" w:type="dxa"/>
            <w:vAlign w:val="bottom"/>
          </w:tcPr>
          <w:p>
            <w:pPr>
              <w:jc w:val="right"/>
              <w:spacing w:after="0"/>
              <w:rPr>
                <w:sz w:val="20"/>
                <w:szCs w:val="20"/>
                <w:color w:val="auto"/>
              </w:rPr>
            </w:pPr>
            <w:r>
              <w:rPr>
                <w:rFonts w:ascii="Arial" w:cs="Arial" w:eastAsia="Arial" w:hAnsi="Arial"/>
                <w:sz w:val="22"/>
                <w:szCs w:val="22"/>
                <w:color w:val="auto"/>
              </w:rPr>
              <w:t>96,041</w:t>
            </w:r>
          </w:p>
        </w:tc>
        <w:tc>
          <w:tcPr>
            <w:tcW w:w="120" w:type="dxa"/>
            <w:vAlign w:val="bottom"/>
          </w:tcPr>
          <w:p>
            <w:pPr>
              <w:spacing w:after="0"/>
              <w:rPr>
                <w:sz w:val="24"/>
                <w:szCs w:val="24"/>
                <w:color w:val="auto"/>
              </w:rPr>
            </w:pPr>
          </w:p>
        </w:tc>
        <w:tc>
          <w:tcPr>
            <w:tcW w:w="34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080" w:type="dxa"/>
            <w:vAlign w:val="bottom"/>
          </w:tcPr>
          <w:p>
            <w:pPr>
              <w:jc w:val="right"/>
              <w:spacing w:after="0"/>
              <w:rPr>
                <w:sz w:val="20"/>
                <w:szCs w:val="20"/>
                <w:color w:val="auto"/>
              </w:rPr>
            </w:pPr>
            <w:r>
              <w:rPr>
                <w:rFonts w:ascii="Arial" w:cs="Arial" w:eastAsia="Arial" w:hAnsi="Arial"/>
                <w:sz w:val="22"/>
                <w:szCs w:val="22"/>
                <w:color w:val="auto"/>
              </w:rPr>
              <w:t>71,586</w:t>
            </w:r>
          </w:p>
        </w:tc>
        <w:tc>
          <w:tcPr>
            <w:tcW w:w="100" w:type="dxa"/>
            <w:vAlign w:val="bottom"/>
          </w:tcPr>
          <w:p>
            <w:pPr>
              <w:spacing w:after="0"/>
              <w:rPr>
                <w:sz w:val="24"/>
                <w:szCs w:val="24"/>
                <w:color w:val="auto"/>
              </w:rPr>
            </w:pPr>
          </w:p>
        </w:tc>
        <w:tc>
          <w:tcPr>
            <w:tcW w:w="34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2,610</w:t>
            </w:r>
          </w:p>
        </w:tc>
        <w:tc>
          <w:tcPr>
            <w:tcW w:w="1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18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43"/>
        </w:trPr>
        <w:tc>
          <w:tcPr>
            <w:tcW w:w="3740" w:type="dxa"/>
            <w:vAlign w:val="bottom"/>
            <w:gridSpan w:val="2"/>
          </w:tcPr>
          <w:p>
            <w:pPr>
              <w:spacing w:after="0" w:line="243" w:lineRule="exact"/>
              <w:rPr>
                <w:sz w:val="20"/>
                <w:szCs w:val="20"/>
                <w:color w:val="auto"/>
              </w:rPr>
            </w:pPr>
            <w:r>
              <w:rPr>
                <w:rFonts w:ascii="Arial" w:cs="Arial" w:eastAsia="Arial" w:hAnsi="Arial"/>
                <w:sz w:val="22"/>
                <w:szCs w:val="22"/>
                <w:color w:val="auto"/>
              </w:rPr>
              <w:t>Capital Leases</w:t>
            </w:r>
          </w:p>
        </w:tc>
        <w:tc>
          <w:tcPr>
            <w:tcW w:w="360" w:type="dxa"/>
            <w:vAlign w:val="bottom"/>
          </w:tcPr>
          <w:p>
            <w:pPr>
              <w:spacing w:after="0"/>
              <w:rPr>
                <w:sz w:val="21"/>
                <w:szCs w:val="21"/>
                <w:color w:val="auto"/>
              </w:rPr>
            </w:pPr>
          </w:p>
        </w:tc>
        <w:tc>
          <w:tcPr>
            <w:tcW w:w="1080" w:type="dxa"/>
            <w:vAlign w:val="bottom"/>
          </w:tcPr>
          <w:p>
            <w:pPr>
              <w:jc w:val="right"/>
              <w:spacing w:after="0" w:line="243" w:lineRule="exact"/>
              <w:rPr>
                <w:sz w:val="20"/>
                <w:szCs w:val="20"/>
                <w:color w:val="auto"/>
              </w:rPr>
            </w:pPr>
            <w:r>
              <w:rPr>
                <w:rFonts w:ascii="Arial" w:cs="Arial" w:eastAsia="Arial" w:hAnsi="Arial"/>
                <w:sz w:val="22"/>
                <w:szCs w:val="22"/>
                <w:color w:val="auto"/>
              </w:rPr>
              <w:t>853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line="243" w:lineRule="exact"/>
              <w:rPr>
                <w:sz w:val="20"/>
                <w:szCs w:val="20"/>
                <w:color w:val="auto"/>
              </w:rPr>
            </w:pPr>
            <w:r>
              <w:rPr>
                <w:rFonts w:ascii="Arial" w:cs="Arial" w:eastAsia="Arial" w:hAnsi="Arial"/>
                <w:sz w:val="22"/>
                <w:szCs w:val="22"/>
                <w:color w:val="auto"/>
              </w:rPr>
              <w:t>853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r>
      <w:tr>
        <w:trPr>
          <w:trHeight w:val="243"/>
        </w:trPr>
        <w:tc>
          <w:tcPr>
            <w:tcW w:w="3740" w:type="dxa"/>
            <w:vAlign w:val="bottom"/>
            <w:gridSpan w:val="2"/>
          </w:tcPr>
          <w:p>
            <w:pPr>
              <w:spacing w:after="0" w:line="243" w:lineRule="exact"/>
              <w:rPr>
                <w:sz w:val="20"/>
                <w:szCs w:val="20"/>
                <w:color w:val="auto"/>
              </w:rPr>
            </w:pPr>
            <w:r>
              <w:rPr>
                <w:rFonts w:ascii="Arial" w:cs="Arial" w:eastAsia="Arial" w:hAnsi="Arial"/>
                <w:sz w:val="22"/>
                <w:szCs w:val="22"/>
                <w:color w:val="auto"/>
              </w:rPr>
              <w:t>Operating Leases</w:t>
            </w:r>
          </w:p>
        </w:tc>
        <w:tc>
          <w:tcPr>
            <w:tcW w:w="360" w:type="dxa"/>
            <w:vAlign w:val="bottom"/>
          </w:tcPr>
          <w:p>
            <w:pPr>
              <w:spacing w:after="0"/>
              <w:rPr>
                <w:sz w:val="21"/>
                <w:szCs w:val="21"/>
                <w:color w:val="auto"/>
              </w:rPr>
            </w:pPr>
          </w:p>
        </w:tc>
        <w:tc>
          <w:tcPr>
            <w:tcW w:w="1080" w:type="dxa"/>
            <w:vAlign w:val="bottom"/>
          </w:tcPr>
          <w:p>
            <w:pPr>
              <w:jc w:val="right"/>
              <w:spacing w:after="0" w:line="243" w:lineRule="exact"/>
              <w:rPr>
                <w:sz w:val="20"/>
                <w:szCs w:val="20"/>
                <w:color w:val="auto"/>
              </w:rPr>
            </w:pPr>
            <w:r>
              <w:rPr>
                <w:rFonts w:ascii="Arial" w:cs="Arial" w:eastAsia="Arial" w:hAnsi="Arial"/>
                <w:sz w:val="22"/>
                <w:szCs w:val="22"/>
                <w:color w:val="auto"/>
              </w:rPr>
              <w:t>16,363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line="243" w:lineRule="exact"/>
              <w:rPr>
                <w:sz w:val="20"/>
                <w:szCs w:val="20"/>
                <w:color w:val="auto"/>
              </w:rPr>
            </w:pPr>
            <w:r>
              <w:rPr>
                <w:rFonts w:ascii="Arial" w:cs="Arial" w:eastAsia="Arial" w:hAnsi="Arial"/>
                <w:sz w:val="22"/>
                <w:szCs w:val="22"/>
                <w:color w:val="auto"/>
              </w:rPr>
              <w:t>2,639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line="243" w:lineRule="exact"/>
              <w:rPr>
                <w:sz w:val="20"/>
                <w:szCs w:val="20"/>
                <w:color w:val="auto"/>
              </w:rPr>
            </w:pPr>
            <w:r>
              <w:rPr>
                <w:rFonts w:ascii="Arial" w:cs="Arial" w:eastAsia="Arial" w:hAnsi="Arial"/>
                <w:sz w:val="22"/>
                <w:szCs w:val="22"/>
                <w:color w:val="auto"/>
              </w:rPr>
              <w:t>3,644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3,017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line="243" w:lineRule="exact"/>
              <w:rPr>
                <w:sz w:val="20"/>
                <w:szCs w:val="20"/>
                <w:color w:val="auto"/>
              </w:rPr>
            </w:pPr>
            <w:r>
              <w:rPr>
                <w:rFonts w:ascii="Arial" w:cs="Arial" w:eastAsia="Arial" w:hAnsi="Arial"/>
                <w:sz w:val="22"/>
                <w:szCs w:val="22"/>
                <w:color w:val="auto"/>
              </w:rPr>
              <w:t>7,063</w:t>
            </w:r>
          </w:p>
        </w:tc>
      </w:tr>
      <w:tr>
        <w:trPr>
          <w:trHeight w:val="265"/>
        </w:trPr>
        <w:tc>
          <w:tcPr>
            <w:tcW w:w="3740" w:type="dxa"/>
            <w:vAlign w:val="bottom"/>
            <w:gridSpan w:val="2"/>
          </w:tcPr>
          <w:p>
            <w:pPr>
              <w:spacing w:after="0" w:line="265" w:lineRule="exact"/>
              <w:rPr>
                <w:sz w:val="20"/>
                <w:szCs w:val="20"/>
                <w:color w:val="auto"/>
              </w:rPr>
            </w:pPr>
            <w:r>
              <w:rPr>
                <w:rFonts w:ascii="Arial" w:cs="Arial" w:eastAsia="Arial" w:hAnsi="Arial"/>
                <w:sz w:val="22"/>
                <w:szCs w:val="22"/>
                <w:color w:val="auto"/>
              </w:rPr>
              <w:t>Purchase Commitments</w:t>
            </w:r>
            <w:r>
              <w:rPr>
                <w:rFonts w:ascii="Arial" w:cs="Arial" w:eastAsia="Arial" w:hAnsi="Arial"/>
                <w:sz w:val="28"/>
                <w:szCs w:val="28"/>
                <w:color w:val="auto"/>
                <w:vertAlign w:val="superscript"/>
              </w:rPr>
              <w:t>2</w:t>
            </w:r>
          </w:p>
        </w:tc>
        <w:tc>
          <w:tcPr>
            <w:tcW w:w="3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56,482</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56,482</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r>
      <w:tr>
        <w:trPr>
          <w:trHeight w:val="237"/>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32"/>
              <w:spacing w:after="0" w:line="237" w:lineRule="exact"/>
              <w:rPr>
                <w:sz w:val="20"/>
                <w:szCs w:val="20"/>
                <w:color w:val="auto"/>
              </w:rPr>
            </w:pPr>
            <w:r>
              <w:rPr>
                <w:rFonts w:ascii="Arial" w:cs="Arial" w:eastAsia="Arial" w:hAnsi="Arial"/>
                <w:sz w:val="22"/>
                <w:szCs w:val="22"/>
                <w:color w:val="auto"/>
              </w:rPr>
              <w:t>$</w:t>
            </w:r>
          </w:p>
        </w:tc>
        <w:tc>
          <w:tcPr>
            <w:tcW w:w="10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243,935</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11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156,015</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32"/>
              <w:spacing w:after="0" w:line="237" w:lineRule="exact"/>
              <w:rPr>
                <w:sz w:val="20"/>
                <w:szCs w:val="20"/>
                <w:color w:val="auto"/>
              </w:rPr>
            </w:pPr>
            <w:r>
              <w:rPr>
                <w:rFonts w:ascii="Arial" w:cs="Arial" w:eastAsia="Arial" w:hAnsi="Arial"/>
                <w:sz w:val="22"/>
                <w:szCs w:val="22"/>
                <w:color w:val="auto"/>
              </w:rPr>
              <w:t>$</w:t>
            </w:r>
          </w:p>
        </w:tc>
        <w:tc>
          <w:tcPr>
            <w:tcW w:w="10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75,230</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w:t>
            </w:r>
          </w:p>
        </w:tc>
        <w:tc>
          <w:tcPr>
            <w:tcW w:w="10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5,627</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11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7,063</w:t>
            </w:r>
          </w:p>
        </w:tc>
      </w:tr>
      <w:tr>
        <w:trPr>
          <w:trHeight w:val="20"/>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6"/>
          <w:szCs w:val="16"/>
          <w:i w:val="1"/>
          <w:iCs w:val="1"/>
          <w:color w:val="auto"/>
        </w:rPr>
        <w:t>Contractual obligations include our obligations related to sponsorships and other commitments.</w:t>
      </w:r>
    </w:p>
    <w:p>
      <w:pPr>
        <w:spacing w:after="0" w:line="164" w:lineRule="exact"/>
        <w:rPr>
          <w:sz w:val="20"/>
          <w:szCs w:val="20"/>
          <w:color w:val="auto"/>
        </w:rPr>
      </w:pPr>
    </w:p>
    <w:p>
      <w:pPr>
        <w:jc w:val="both"/>
        <w:spacing w:after="0" w:line="230" w:lineRule="auto"/>
        <w:rPr>
          <w:sz w:val="20"/>
          <w:szCs w:val="20"/>
          <w:color w:val="auto"/>
        </w:rPr>
      </w:pPr>
      <w:r>
        <w:rPr>
          <w:rFonts w:ascii="Arial" w:cs="Arial" w:eastAsia="Arial" w:hAnsi="Arial"/>
          <w:sz w:val="21"/>
          <w:szCs w:val="21"/>
          <w:i w:val="1"/>
          <w:iCs w:val="1"/>
          <w:color w:val="auto"/>
          <w:vertAlign w:val="superscript"/>
        </w:rPr>
        <w:t>2</w:t>
      </w:r>
      <w:r>
        <w:rPr>
          <w:rFonts w:ascii="Arial" w:cs="Arial" w:eastAsia="Arial" w:hAnsi="Arial"/>
          <w:sz w:val="16"/>
          <w:szCs w:val="16"/>
          <w:i w:val="1"/>
          <w:iCs w:val="1"/>
          <w:color w:val="auto"/>
        </w:rPr>
        <w:t>Purchase commitments include obligations made by us and our subsidiaries to various suppliers for raw materials used in the production of our products. These obligations vary in terms, but are generally satisfied within one year.</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addition, approximately $6.5 million of unrecognized tax benefits have been recorded as liabilities as of March 31, 2018. It is expected that the amount of unrecognized tax benefits will not significantly change within the next 12 months. As of March 31, 2018, we had $1.4 million of accrued interest and penalties related to unrecognized tax benefits.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There have been no material changes to our critical accounting policies from the information provided in Item 7, “Management’s Discussion and Analysis of Financial Condition and Results of Operations”, included in our Annual Report on Form 10-K for the fiscal year ended December 31, 2017 (“Form 10-K”).</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252525"/>
        </w:rPr>
        <w:t>Recently issued accounting pronouncements not yet adopted</w:t>
      </w:r>
    </w:p>
    <w:p>
      <w:pPr>
        <w:spacing w:after="0" w:line="22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252525"/>
        </w:rPr>
        <w:t xml:space="preserve">In February 2018, the Financial Accounting Standards Board (the “FASB”) issued Accounting Standards Update (“ASU”) No. 2018-02, “Income Statement—Reporting Comprehensive Income (Topic 220)”, which amends the previous guidance to allow for certain tax effects “stranded” in accumulated other comprehensive income, which are impacted by the </w:t>
      </w:r>
      <w:r>
        <w:rPr>
          <w:rFonts w:ascii="Arial" w:cs="Arial" w:eastAsia="Arial" w:hAnsi="Arial"/>
          <w:sz w:val="19"/>
          <w:szCs w:val="19"/>
          <w:color w:val="000000"/>
        </w:rPr>
        <w:t>Tax Cuts and Jobs Act (the “Tax Reform Act”)</w:t>
      </w:r>
      <w:r>
        <w:rPr>
          <w:rFonts w:ascii="Arial" w:cs="Arial" w:eastAsia="Arial" w:hAnsi="Arial"/>
          <w:sz w:val="19"/>
          <w:szCs w:val="19"/>
          <w:color w:val="252525"/>
        </w:rPr>
        <w:t xml:space="preserve">, to be reclassified from accumulated other comprehensive income into retained earnings. This amendment pertains only to those items impacted by the new tax law and will not apply to any future tax effects stranded in accumulated other comprehensive income. This standard is effective for fiscal years beginning after December 15, 2018, and allows for early adoption. </w:t>
      </w:r>
      <w:r>
        <w:rPr>
          <w:rFonts w:ascii="Arial" w:cs="Arial" w:eastAsia="Arial" w:hAnsi="Arial"/>
          <w:sz w:val="19"/>
          <w:szCs w:val="19"/>
          <w:color w:val="000000"/>
        </w:rPr>
        <w:t>The Company is currently evaluating the impact of ASU</w:t>
      </w:r>
      <w:r>
        <w:rPr>
          <w:rFonts w:ascii="Arial" w:cs="Arial" w:eastAsia="Arial" w:hAnsi="Arial"/>
          <w:sz w:val="19"/>
          <w:szCs w:val="19"/>
          <w:color w:val="252525"/>
        </w:rPr>
        <w:t xml:space="preserve"> </w:t>
      </w:r>
      <w:r>
        <w:rPr>
          <w:rFonts w:ascii="Arial" w:cs="Arial" w:eastAsia="Arial" w:hAnsi="Arial"/>
          <w:sz w:val="19"/>
          <w:szCs w:val="19"/>
          <w:color w:val="000000"/>
        </w:rPr>
        <w:t>No. 2018-02 on its financial position, results of operations and liquidity.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252525"/>
        </w:rPr>
        <w:t>In January 2017, the FASB issued ASU No. 2017-04, “Intangibles and Other (Topic 350): Simplifying the Test for Goodwill Impairment</w:t>
      </w:r>
      <w:r>
        <w:rPr>
          <w:rFonts w:ascii="Arial" w:cs="Arial" w:eastAsia="Arial" w:hAnsi="Arial"/>
          <w:sz w:val="19"/>
          <w:szCs w:val="19"/>
          <w:i w:val="1"/>
          <w:iCs w:val="1"/>
          <w:color w:val="252525"/>
        </w:rPr>
        <w:t>”</w:t>
      </w:r>
      <w:r>
        <w:rPr>
          <w:rFonts w:ascii="Arial" w:cs="Arial" w:eastAsia="Arial" w:hAnsi="Arial"/>
          <w:sz w:val="19"/>
          <w:szCs w:val="19"/>
          <w:color w:val="252525"/>
        </w:rPr>
        <w:t xml:space="preserve">, which eliminates the requirement to calculate the implied fair value of goodwill, but rather requires an entity to record an impairment charge based on the excess of a reporting unit’s carrying value over its fair value. This amendment is effective for annual or interim goodwill impairment tests in fiscal years beginning after December 15, 2019. Early adoption is permitted. </w:t>
      </w:r>
      <w:r>
        <w:rPr>
          <w:rFonts w:ascii="Arial" w:cs="Arial" w:eastAsia="Arial" w:hAnsi="Arial"/>
          <w:sz w:val="19"/>
          <w:szCs w:val="19"/>
          <w:color w:val="000000"/>
        </w:rPr>
        <w:t>The Company is currently evaluating</w:t>
      </w:r>
      <w:r>
        <w:rPr>
          <w:rFonts w:ascii="Arial" w:cs="Arial" w:eastAsia="Arial" w:hAnsi="Arial"/>
          <w:sz w:val="19"/>
          <w:szCs w:val="19"/>
          <w:color w:val="252525"/>
        </w:rPr>
        <w:t xml:space="preserve"> </w:t>
      </w:r>
      <w:r>
        <w:rPr>
          <w:rFonts w:ascii="Arial" w:cs="Arial" w:eastAsia="Arial" w:hAnsi="Arial"/>
          <w:sz w:val="19"/>
          <w:szCs w:val="19"/>
          <w:color w:val="000000"/>
        </w:rPr>
        <w:t>the impact of ASU No. 2017-04 on its financial position, results of operations and liquidity.</w:t>
      </w:r>
    </w:p>
    <w:p>
      <w:pPr>
        <w:spacing w:after="0" w:line="194"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In June 2016, the FASB issued ASU No. 2016-13, “Financial Instruments - Credit Losses (Topic 326): Measurement of Credit Losses on Financial Instruments”. The accounting standard changes the methodology for measuring credit losses on financial instruments and the</w:t>
      </w:r>
    </w:p>
    <w:p>
      <w:pPr>
        <w:sectPr>
          <w:pgSz w:w="11900" w:h="16838" w:orient="portrait"/>
          <w:cols w:equalWidth="0" w:num="1">
            <w:col w:w="11420"/>
          </w:cols>
          <w:pgMar w:left="240" w:top="121" w:right="239" w:bottom="0" w:gutter="0" w:footer="0" w:header="0"/>
        </w:sectPr>
      </w:pPr>
    </w:p>
    <w:bookmarkStart w:id="27" w:name="page28"/>
    <w:bookmarkEnd w:id="27"/>
    <w:p>
      <w:pPr>
        <w:spacing w:after="0" w:line="59"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timing when such losses are recorded. ASU No. 2016-13 is effective for fiscal years, and interim periods within those years, beginning after December 15, 2019. Early adoption is permitted for fiscal years, and interim periods within those years, beginning after December 15, 2018. The Company is currently evaluating the impact of ASU No. 2016-13 on its financial position, results of operations and liquidity.</w:t>
      </w:r>
    </w:p>
    <w:p>
      <w:pPr>
        <w:spacing w:after="0" w:line="16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February 2016, the FASB issued ASU No. 2016-02, “Leases (Topic 842)”. This update is intended to increase transparency and comparability among organizations by recognizing lease assets and lease liabilities on the balance sheet and disclosing key information about leasing arrangements. This update is effective for annual and interim reporting periods beginning after December 15, 2018, including interim periods within those fiscal years. Early adoption is permitted. The Company is currently evaluating the impact of ASU No. 2016-02 on its financial position, results of operations and liquidity.</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Recently adopted accounting pronouncements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252525"/>
        </w:rPr>
        <w:t xml:space="preserve">In May 2017, the Financial Accounting Standards Board (the “FASB”) issued Accounting Standards Update (“ASU”) No. 2017-09, “Compensation–Stock Compensation (Topic 718): Scope of Modification Accounting,” clarifying when a change to the terms or conditions of a share-based payment award must be accounted for as a modification. The new guidance requires modification accounting if the fair value, vesting condition or the classification of the award is not the same immediately before and after a change to the terms and conditions of the award. The new guidance was effective for the Company on a prospective basis beginning on January 1, 2018, with early adoption permitted. </w:t>
      </w:r>
      <w:r>
        <w:rPr>
          <w:rFonts w:ascii="Arial" w:cs="Arial" w:eastAsia="Arial" w:hAnsi="Arial"/>
          <w:sz w:val="18"/>
          <w:szCs w:val="18"/>
          <w:color w:val="000000"/>
        </w:rPr>
        <w:t>The adoption of ASU No. 2017-09 did not have a material impact on the Company’s financial position, results of operations and liquidity.</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252525"/>
        </w:rPr>
        <w:t>In January 2017, the FASB issued ASU No. 2017-01</w:t>
      </w:r>
      <w:r>
        <w:rPr>
          <w:rFonts w:ascii="Arial" w:cs="Arial" w:eastAsia="Arial" w:hAnsi="Arial"/>
          <w:sz w:val="20"/>
          <w:szCs w:val="20"/>
          <w:i w:val="1"/>
          <w:iCs w:val="1"/>
          <w:color w:val="252525"/>
        </w:rPr>
        <w:t>, “</w:t>
      </w:r>
      <w:r>
        <w:rPr>
          <w:rFonts w:ascii="Arial" w:cs="Arial" w:eastAsia="Arial" w:hAnsi="Arial"/>
          <w:sz w:val="20"/>
          <w:szCs w:val="20"/>
          <w:color w:val="252525"/>
        </w:rPr>
        <w:t>Business Combinations (Topic 805): Clarifying the Definition of a Business</w:t>
      </w:r>
      <w:r>
        <w:rPr>
          <w:rFonts w:ascii="Arial" w:cs="Arial" w:eastAsia="Arial" w:hAnsi="Arial"/>
          <w:sz w:val="20"/>
          <w:szCs w:val="20"/>
          <w:i w:val="1"/>
          <w:iCs w:val="1"/>
          <w:color w:val="252525"/>
        </w:rPr>
        <w:t>”</w:t>
      </w:r>
      <w:r>
        <w:rPr>
          <w:rFonts w:ascii="Arial" w:cs="Arial" w:eastAsia="Arial" w:hAnsi="Arial"/>
          <w:sz w:val="20"/>
          <w:szCs w:val="20"/>
          <w:color w:val="252525"/>
        </w:rPr>
        <w:t xml:space="preserve">, which clarifies the definition of a business with the objective of adding guidance to assist entities with evaluating whether transactions should be accounted for as acquisitions (or disposals) of assets or businesses. This amendment was effective for fiscal years beginning after December 15, 2017, and interim periods within those fiscal years. </w:t>
      </w:r>
      <w:r>
        <w:rPr>
          <w:rFonts w:ascii="Arial" w:cs="Arial" w:eastAsia="Arial" w:hAnsi="Arial"/>
          <w:sz w:val="20"/>
          <w:szCs w:val="20"/>
          <w:color w:val="000000"/>
        </w:rPr>
        <w:t>The adoption of ASU No. 2017-01 did not have a material impact on the</w:t>
      </w:r>
      <w:r>
        <w:rPr>
          <w:rFonts w:ascii="Arial" w:cs="Arial" w:eastAsia="Arial" w:hAnsi="Arial"/>
          <w:sz w:val="20"/>
          <w:szCs w:val="20"/>
          <w:color w:val="252525"/>
        </w:rPr>
        <w:t xml:space="preserve"> </w:t>
      </w:r>
      <w:r>
        <w:rPr>
          <w:rFonts w:ascii="Arial" w:cs="Arial" w:eastAsia="Arial" w:hAnsi="Arial"/>
          <w:sz w:val="20"/>
          <w:szCs w:val="20"/>
          <w:color w:val="000000"/>
        </w:rPr>
        <w:t>Company’s financial position, results of operations and liquidity.</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252525"/>
        </w:rPr>
        <w:t xml:space="preserve">In October 2016, the FASB issued ASU No. 2016-16, “Income Taxes (Topic 740): Intra-Entity Transfers of Assets Other Than Inventory”, in an effort to improve the accounting for the income tax consequences of intra-entity transfers of assets other than inventory. Current GAAP prohibits the recognition of current and deferred income taxes for an intra-entity asset transfer until the asset has been sold to an outside party. FASB ASU No. 2016-16 establishes the requirement that an entity recognizes the income tax consequences of an intra-entity transfer of an asset other than inventory when the transfer occurs. ASU No. 2016-16 was effective for financial statements issued for annual periods beginning after December 15, 2017 and interim periods within those annual periods. </w:t>
      </w:r>
      <w:r>
        <w:rPr>
          <w:rFonts w:ascii="Arial" w:cs="Arial" w:eastAsia="Arial" w:hAnsi="Arial"/>
          <w:sz w:val="18"/>
          <w:szCs w:val="18"/>
          <w:color w:val="000000"/>
        </w:rPr>
        <w:t>The Company adopted ASU No. 2016-16 effective</w:t>
      </w:r>
      <w:r>
        <w:rPr>
          <w:rFonts w:ascii="Arial" w:cs="Arial" w:eastAsia="Arial" w:hAnsi="Arial"/>
          <w:sz w:val="18"/>
          <w:szCs w:val="18"/>
          <w:color w:val="252525"/>
        </w:rPr>
        <w:t xml:space="preserve"> </w:t>
      </w:r>
      <w:r>
        <w:rPr>
          <w:rFonts w:ascii="Arial" w:cs="Arial" w:eastAsia="Arial" w:hAnsi="Arial"/>
          <w:sz w:val="18"/>
          <w:szCs w:val="18"/>
          <w:color w:val="000000"/>
        </w:rPr>
        <w:t>January 1, 2018 on a modified retrospective basis, resulting in a $6.6 million reclassification of the unrecognized income tax effects related to assets transfers that occurred prior to the adoption from deferred income taxes to opening retained earnings.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In August 2016, the FASB issued ASU No. 2016-15, “Statement of Cash Flows (Topic 230)”. The new guidance is intended to reduce diversity in practice in how certain transactions are classified in the statement of cash flows. ASU No. 2016-15 is effective for fiscal years, and interim periods within those years, beginning after December 15, 2017. Early adoption is permitted, provided that all of the amendments are adopted in the same period. The guidance requires application using a retrospective transition method. The adoption of ASU No. 2016-15 did not have a material impact on the Company’s financial position, results of operations and liquidity.</w:t>
      </w:r>
    </w:p>
    <w:p>
      <w:pPr>
        <w:spacing w:after="0" w:line="19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In May 2014, the FASB issued ASU No. 2014-09, “Revenue from Contracts with Customers (Topic 606)”, which superseded previous revenue recognition guidance. ASU No. 2014-09 and its amendments were included in Accounting Standards Codification (“ASC”) 606 “Revenue from Contracts with Customers”. ASC 606 requires that a company recognize revenue at an amount that reflects the consideration to which the company expects to be entitled in exchange for transferring goods or services to a customer. The Company adopted ASC 606 effective January 1, 2018, using the modified retrospective approach, with no impact to the opening retained earnings. Results for periods beginning on or after January 1, 2018 are presented under ASC 606, while prior periods are not adjusted and continue to be reported in accordance with the prior accounting guidance under ASC 605 “Revenue Recognition”.</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believe inflation did not have a significant impact on our results of operations for the periods presented.</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3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Act. Without limiting the foregoing, the words “believes,” “thinks,” “anticipates,” “plans,” “expects,” and similar expressions are intended to identify forward-looking statements.</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Management cautions that these statements are qualified by their terms and/or important factors, many of which are outside our control, and involve a number of risks, uncertainties and other factors, that could cause actual results and events to differ materially from the statements made including, but not limited to, the following:</w:t>
      </w:r>
    </w:p>
    <w:p>
      <w:pPr>
        <w:sectPr>
          <w:pgSz w:w="11900" w:h="16897" w:orient="portrait"/>
          <w:cols w:equalWidth="0" w:num="1">
            <w:col w:w="11420"/>
          </w:cols>
          <w:pgMar w:left="240" w:top="121" w:right="239" w:bottom="0" w:gutter="0" w:footer="0" w:header="0"/>
        </w:sectPr>
      </w:pPr>
    </w:p>
    <w:bookmarkStart w:id="28" w:name="page29"/>
    <w:bookmarkEnd w:id="28"/>
    <w:p>
      <w:pPr>
        <w:spacing w:after="0" w:line="133" w:lineRule="exact"/>
        <w:rPr>
          <w:sz w:val="20"/>
          <w:szCs w:val="20"/>
          <w:color w:val="auto"/>
        </w:rPr>
      </w:pPr>
    </w:p>
    <w:p>
      <w:pPr>
        <w:ind w:left="380" w:hanging="372"/>
        <w:spacing w:after="0"/>
        <w:tabs>
          <w:tab w:leader="none" w:pos="3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Our ability to recognize any and/or all of the benefits from the TCCC transaction and the AFF Transaction;</w:t>
      </w:r>
    </w:p>
    <w:p>
      <w:pPr>
        <w:spacing w:after="0" w:line="15" w:lineRule="exact"/>
        <w:rPr>
          <w:rFonts w:ascii="Arial" w:cs="Arial" w:eastAsia="Arial" w:hAnsi="Arial"/>
          <w:sz w:val="20"/>
          <w:szCs w:val="20"/>
          <w:color w:val="auto"/>
        </w:rPr>
      </w:pPr>
    </w:p>
    <w:p>
      <w:pPr>
        <w:ind w:left="380" w:hanging="372"/>
        <w:spacing w:after="0"/>
        <w:tabs>
          <w:tab w:leader="none" w:pos="3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effect of our extensive commercial arrangements with TCCC on our future performance;</w:t>
      </w:r>
    </w:p>
    <w:p>
      <w:pPr>
        <w:ind w:left="380" w:hanging="372"/>
        <w:spacing w:after="0" w:line="239" w:lineRule="auto"/>
        <w:tabs>
          <w:tab w:leader="none" w:pos="3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effect of TCCC becoming one of our significant shareholders and the potential divergence of TCCC’s interests from those of our other shareholders;</w:t>
      </w:r>
    </w:p>
    <w:p>
      <w:pPr>
        <w:spacing w:after="0" w:line="1" w:lineRule="exact"/>
        <w:rPr>
          <w:rFonts w:ascii="Arial" w:cs="Arial" w:eastAsia="Arial" w:hAnsi="Arial"/>
          <w:sz w:val="20"/>
          <w:szCs w:val="20"/>
          <w:color w:val="auto"/>
        </w:rPr>
      </w:pPr>
    </w:p>
    <w:p>
      <w:pPr>
        <w:ind w:left="380" w:hanging="372"/>
        <w:spacing w:after="0" w:line="252" w:lineRule="auto"/>
        <w:tabs>
          <w:tab w:leader="none" w:pos="38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effect of TCCC’s refranchising initiative to transition from a TCCC owned system to an independent bottling system, including our ability to maintain relationships with the bottlers/distributors and manage their ongoing commitment to focus on our products;</w:t>
      </w:r>
    </w:p>
    <w:p>
      <w:pPr>
        <w:ind w:left="380" w:hanging="372"/>
        <w:spacing w:after="0" w:line="239" w:lineRule="auto"/>
        <w:tabs>
          <w:tab w:leader="none" w:pos="3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Our ability to successfully enter into new distribution agreements with bottlers/distributors within the TCCC distribution system for new international territories;</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slowing of and/or decline in the sales growth rates of the energy drink category and/or the U.S. convenience store market generally;</w:t>
      </w:r>
    </w:p>
    <w:p>
      <w:pPr>
        <w:spacing w:after="0" w:line="22" w:lineRule="exact"/>
        <w:rPr>
          <w:rFonts w:ascii="Arial" w:cs="Arial" w:eastAsia="Arial" w:hAnsi="Arial"/>
          <w:sz w:val="18"/>
          <w:szCs w:val="18"/>
          <w:color w:val="auto"/>
        </w:rPr>
      </w:pPr>
    </w:p>
    <w:p>
      <w:pPr>
        <w:ind w:left="380" w:hanging="372"/>
        <w:spacing w:after="0" w:line="244" w:lineRule="auto"/>
        <w:tabs>
          <w:tab w:leader="none" w:pos="3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Disruption in distribution or sales and/or decline in sales due to the termination and/or appointment of existing and/or new domestic and/or international distributors;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ind w:left="380" w:hanging="372"/>
        <w:spacing w:after="0"/>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Lack of anticipated demand for our products in domestic and/or international markets;</w:t>
      </w:r>
    </w:p>
    <w:p>
      <w:pPr>
        <w:spacing w:after="0" w:line="15" w:lineRule="exact"/>
        <w:rPr>
          <w:rFonts w:ascii="Arial" w:cs="Arial" w:eastAsia="Arial" w:hAnsi="Arial"/>
          <w:sz w:val="20"/>
          <w:szCs w:val="20"/>
          <w:color w:val="auto"/>
        </w:rPr>
      </w:pPr>
    </w:p>
    <w:p>
      <w:pPr>
        <w:ind w:left="380" w:hanging="372"/>
        <w:spacing w:after="0"/>
        <w:tabs>
          <w:tab w:leader="none" w:pos="380" w:val="left"/>
        </w:tabs>
        <w:numPr>
          <w:ilvl w:val="0"/>
          <w:numId w:val="28"/>
        </w:numPr>
        <w:rPr>
          <w:rFonts w:ascii="Arial" w:cs="Arial" w:eastAsia="Arial" w:hAnsi="Arial"/>
          <w:sz w:val="19"/>
          <w:szCs w:val="19"/>
          <w:color w:val="auto"/>
        </w:rPr>
      </w:pPr>
      <w:r>
        <w:rPr>
          <w:rFonts w:ascii="Arial" w:cs="Arial" w:eastAsia="Arial" w:hAnsi="Arial"/>
          <w:sz w:val="19"/>
          <w:szCs w:val="19"/>
          <w:color w:val="auto"/>
        </w:rPr>
        <w:t>Fluctuations in the inventory levels of our bottlers/distributors, planned or otherwise, and the resultant impact on our revenues;</w:t>
      </w:r>
    </w:p>
    <w:p>
      <w:pPr>
        <w:spacing w:after="0" w:line="11" w:lineRule="exact"/>
        <w:rPr>
          <w:rFonts w:ascii="Arial" w:cs="Arial" w:eastAsia="Arial" w:hAnsi="Arial"/>
          <w:sz w:val="19"/>
          <w:szCs w:val="19"/>
          <w:color w:val="auto"/>
        </w:rPr>
      </w:pPr>
    </w:p>
    <w:p>
      <w:pPr>
        <w:ind w:left="380" w:right="20" w:hanging="372"/>
        <w:spacing w:after="0" w:line="239" w:lineRule="auto"/>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Unfavorable regulations, including taxation requirements, product registration requirements, tariffs, trade restrictions, container size limitations and/or ingredient restrictions;</w:t>
      </w:r>
    </w:p>
    <w:p>
      <w:pPr>
        <w:spacing w:after="0" w:line="1" w:lineRule="exact"/>
        <w:rPr>
          <w:rFonts w:ascii="Arial" w:cs="Arial" w:eastAsia="Arial" w:hAnsi="Arial"/>
          <w:sz w:val="20"/>
          <w:szCs w:val="20"/>
          <w:color w:val="auto"/>
        </w:rPr>
      </w:pPr>
    </w:p>
    <w:p>
      <w:pPr>
        <w:jc w:val="both"/>
        <w:ind w:left="380" w:hanging="372"/>
        <w:spacing w:after="0" w:line="239" w:lineRule="auto"/>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effect of inquiries from, and/or actions by, state attorneys general, the Federal Trade Commission (the “FTC”), the Food and Drug Administration (the “FDA”), municipalities, city attorneys, other government agencies, quasi-government agencies and/or government officials (including members of Congress), into the advertising, marketing, promotion, ingredients, sale and/or consumption of our energy drink products, including voluntary and/or required changes to our business practices;</w:t>
      </w:r>
    </w:p>
    <w:p>
      <w:pPr>
        <w:spacing w:after="0" w:line="2" w:lineRule="exact"/>
        <w:rPr>
          <w:rFonts w:ascii="Arial" w:cs="Arial" w:eastAsia="Arial" w:hAnsi="Arial"/>
          <w:sz w:val="20"/>
          <w:szCs w:val="20"/>
          <w:color w:val="auto"/>
        </w:rPr>
      </w:pPr>
    </w:p>
    <w:p>
      <w:pPr>
        <w:ind w:left="380" w:hanging="372"/>
        <w:spacing w:after="0" w:line="239" w:lineRule="auto"/>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Our ability to comply with regulations and evolving industry standards regarding consumer privacy and data use and security, including with respect to the General Data Protection Regulation approved by the European Union;</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Our ability to achieve profitability from certain of our operations outside the United States;</w:t>
      </w:r>
    </w:p>
    <w:p>
      <w:pPr>
        <w:ind w:left="380" w:hanging="372"/>
        <w:spacing w:after="0" w:line="252" w:lineRule="auto"/>
        <w:tabs>
          <w:tab w:leader="none" w:pos="380" w:val="left"/>
        </w:tabs>
        <w:numPr>
          <w:ilvl w:val="0"/>
          <w:numId w:val="28"/>
        </w:numPr>
        <w:rPr>
          <w:rFonts w:ascii="Arial" w:cs="Arial" w:eastAsia="Arial" w:hAnsi="Arial"/>
          <w:sz w:val="19"/>
          <w:szCs w:val="19"/>
          <w:color w:val="auto"/>
        </w:rPr>
      </w:pPr>
      <w:r>
        <w:rPr>
          <w:rFonts w:ascii="Arial" w:cs="Arial" w:eastAsia="Arial" w:hAnsi="Arial"/>
          <w:sz w:val="19"/>
          <w:szCs w:val="19"/>
          <w:color w:val="auto"/>
        </w:rPr>
        <w:t>Our ability to manage legal and regulatory requirements in foreign jurisdictions, potential difficulties in staffing and managing foreign operations and potentially higher incidence of fraud or corruption and credit risk of foreign customers and/or distributors;</w:t>
      </w:r>
    </w:p>
    <w:p>
      <w:pPr>
        <w:ind w:left="380" w:hanging="372"/>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produce our products in international markets in which they are sold, thereby reducing freight costs and/or product damages;</w:t>
      </w:r>
    </w:p>
    <w:p>
      <w:pPr>
        <w:spacing w:after="0" w:line="22" w:lineRule="exact"/>
        <w:rPr>
          <w:rFonts w:ascii="Arial" w:cs="Arial" w:eastAsia="Arial" w:hAnsi="Arial"/>
          <w:sz w:val="18"/>
          <w:szCs w:val="18"/>
          <w:color w:val="auto"/>
        </w:rPr>
      </w:pPr>
    </w:p>
    <w:p>
      <w:pPr>
        <w:ind w:left="380" w:hanging="372"/>
        <w:spacing w:after="0"/>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Our ability to effectively manage our inventories and/or our accounts receivables;</w:t>
      </w:r>
    </w:p>
    <w:p>
      <w:pPr>
        <w:ind w:left="380" w:hanging="372"/>
        <w:spacing w:after="0" w:line="239" w:lineRule="auto"/>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Our foreign currency exchange rate risk with respect to our sales, expenses, profits, assets and liabilities denominated in currencies other than the U.S. dollar, which will continue to increase as foreign sales increase;</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Changes in accounting standards may affect our reported profitability;</w:t>
      </w:r>
    </w:p>
    <w:p>
      <w:pPr>
        <w:ind w:left="380" w:hanging="372"/>
        <w:spacing w:after="0" w:line="239" w:lineRule="auto"/>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Any proceedings which may be brought against us by the Securities and Exchange Commission (the “SEC”), the FDA, the FTC or other governmental agencies or bodies;</w:t>
      </w:r>
    </w:p>
    <w:p>
      <w:pPr>
        <w:spacing w:after="0" w:line="1" w:lineRule="exact"/>
        <w:rPr>
          <w:rFonts w:ascii="Arial" w:cs="Arial" w:eastAsia="Arial" w:hAnsi="Arial"/>
          <w:sz w:val="20"/>
          <w:szCs w:val="20"/>
          <w:color w:val="auto"/>
        </w:rPr>
      </w:pPr>
    </w:p>
    <w:p>
      <w:pPr>
        <w:ind w:left="380" w:hanging="372"/>
        <w:spacing w:after="0" w:line="239" w:lineRule="auto"/>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outcome and/or possibility of future shareholder derivative actions or shareholder securities litigation filed against us and/or against certain of our officers and directors, and the possibility of other private shareholder litigation;</w:t>
      </w:r>
    </w:p>
    <w:p>
      <w:pPr>
        <w:spacing w:after="0" w:line="1" w:lineRule="exact"/>
        <w:rPr>
          <w:rFonts w:ascii="Arial" w:cs="Arial" w:eastAsia="Arial" w:hAnsi="Arial"/>
          <w:sz w:val="20"/>
          <w:szCs w:val="20"/>
          <w:color w:val="auto"/>
        </w:rPr>
      </w:pPr>
    </w:p>
    <w:p>
      <w:pPr>
        <w:jc w:val="both"/>
        <w:ind w:left="380" w:right="20" w:hanging="372"/>
        <w:spacing w:after="0" w:line="239" w:lineRule="auto"/>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outcome of product liability litigation and/or class action litigation regarding the safety of our products and/or the ingredients in and/or claims made in connection with our products and/or alleging false advertising, marketing and/or promotion, and the possibility of future product liability and/or class action lawsuits;</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outcome of any other litigation;</w:t>
      </w:r>
    </w:p>
    <w:p>
      <w:pPr>
        <w:ind w:left="380" w:hanging="372"/>
        <w:spacing w:after="0"/>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Unfavorable resolution of tax matters;</w:t>
      </w:r>
    </w:p>
    <w:p>
      <w:pPr>
        <w:ind w:left="380" w:hanging="372"/>
        <w:spacing w:after="0"/>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Uncertainty and volatility in the domestic and global economies;</w:t>
      </w:r>
    </w:p>
    <w:p>
      <w:pPr>
        <w:ind w:left="380" w:hanging="372"/>
        <w:spacing w:after="0"/>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Our ability to address any significant deficiencies or material weakness in our internal controls over financial reporting;</w:t>
      </w:r>
    </w:p>
    <w:p>
      <w:pPr>
        <w:ind w:left="380" w:hanging="372"/>
        <w:spacing w:after="0"/>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Our ability to continue to generate sufficient cash flows to support our expansion plans and general operating activities;</w:t>
      </w:r>
    </w:p>
    <w:p>
      <w:pPr>
        <w:jc w:val="both"/>
        <w:ind w:left="380" w:hanging="372"/>
        <w:spacing w:after="0" w:line="239" w:lineRule="auto"/>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Decreased demand for our products resulting from changes in consumer preferences, obesity and other perceived health concerns, including concerns relating to certain ingredients in our products or packaging, product safety concerns and/or from decreased consumer discretionary spending power;</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Changes in demand that are weather related and/or for other reasons, including changes in product category consumption;</w:t>
      </w:r>
    </w:p>
    <w:p>
      <w:pPr>
        <w:ind w:left="380" w:hanging="372"/>
        <w:spacing w:after="0" w:line="239" w:lineRule="auto"/>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impact on our business of competitive products and pricing pressures and our ability to gain or maintain our share of sales in the marketplace as a result of actions by competitors;</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Our ability to introduce new products;</w:t>
      </w:r>
    </w:p>
    <w:p>
      <w:pPr>
        <w:ind w:left="380" w:hanging="372"/>
        <w:spacing w:after="0"/>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An inability to achieve volume growth through product and packaging initiatives;</w:t>
      </w:r>
    </w:p>
    <w:p>
      <w:pPr>
        <w:ind w:left="380" w:hanging="372"/>
        <w:spacing w:after="0" w:line="244" w:lineRule="auto"/>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Our ability to sustain the current level of sales and/or achieve growth for our Monster Energy® brand energy drinks and/or our other products, including the Strategic Brands acquired from TCCC;</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left="380" w:hanging="372"/>
        <w:spacing w:after="0" w:line="242" w:lineRule="auto"/>
        <w:tabs>
          <w:tab w:leader="none" w:pos="3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impact of criticism of our energy drink products and/or the energy drink market generally and/or legislation enacted (whether as a result of such criticism or otherwise) that restricts the sale of energy drinks (including prohibiting the sale of energy drinks at certain establishments or pursuant to certain governmental programs), limit caffeine content in beverages, require certain product labeling disclosures and/or warnings, impose excise and/or sales taxes, limit product sizes and/or impose age restrictions for the sale of energy drinks;</w:t>
      </w:r>
    </w:p>
    <w:p>
      <w:pPr>
        <w:spacing w:after="0" w:line="4" w:lineRule="exact"/>
        <w:rPr>
          <w:rFonts w:ascii="Arial" w:cs="Arial" w:eastAsia="Arial" w:hAnsi="Arial"/>
          <w:sz w:val="20"/>
          <w:szCs w:val="20"/>
          <w:color w:val="auto"/>
        </w:rPr>
      </w:pPr>
    </w:p>
    <w:p>
      <w:pPr>
        <w:jc w:val="both"/>
        <w:ind w:left="380" w:hanging="372"/>
        <w:spacing w:after="0" w:line="332" w:lineRule="auto"/>
        <w:tabs>
          <w:tab w:leader="none" w:pos="3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comply with and/or resulting lower consumer demand for energy drinks due to proposed and/or future U.S. federal, state and local laws and regulations and/or proposed or existing laws and regulations in certain foreign jurisdictions and/or any changes therein, including changes in taxation requirements (including tax rate changes, new tax laws, new and/or increased excise, sales and/or other taxes</w:t>
      </w:r>
    </w:p>
    <w:p>
      <w:pPr>
        <w:sectPr>
          <w:pgSz w:w="11900" w:h="16971" w:orient="portrait"/>
          <w:cols w:equalWidth="0" w:num="1">
            <w:col w:w="11420"/>
          </w:cols>
          <w:pgMar w:left="240" w:top="352" w:right="239" w:bottom="0" w:gutter="0" w:footer="0" w:header="0"/>
        </w:sectPr>
      </w:pPr>
    </w:p>
    <w:bookmarkStart w:id="29" w:name="page30"/>
    <w:bookmarkEnd w:id="29"/>
    <w:p>
      <w:pPr>
        <w:jc w:val="both"/>
        <w:ind w:left="380"/>
        <w:spacing w:after="0" w:line="254" w:lineRule="auto"/>
        <w:rPr>
          <w:sz w:val="20"/>
          <w:szCs w:val="20"/>
          <w:color w:val="auto"/>
        </w:rPr>
      </w:pPr>
      <w:r>
        <w:rPr>
          <w:rFonts w:ascii="Arial" w:cs="Arial" w:eastAsia="Arial" w:hAnsi="Arial"/>
          <w:sz w:val="19"/>
          <w:szCs w:val="19"/>
          <w:color w:val="auto"/>
        </w:rPr>
        <w:t>on our products and revised tax law interpretations) and environmental laws, as well as the Federal Food Drug &amp; Cosmetic Act, as amended by the Dietary Supplement Health and Education Act, and regulations made thereunder or in connection therewith, as well as changes in any other food, drug or similar laws in the United States and internationally, especially those that may restrict the sale of energy drinks (including prohibiting the sale of energy drinks at certain establishments or pursuant to certain governmental programs), limit caffeine content in beverages, require certain product labeling disclosures and/or warnings, impose excise taxes, impose sugar taxes, limit product sizes, or impose age restrictions for the sale of energy drinks, as well as laws and regulations or rules made or enforced by the FDA, the Bureau of Alcohol, Tobacco and Firearms and Explosives and/or the FTC;</w:t>
      </w:r>
    </w:p>
    <w:p>
      <w:pPr>
        <w:spacing w:after="0" w:line="6" w:lineRule="exact"/>
        <w:rPr>
          <w:sz w:val="20"/>
          <w:szCs w:val="20"/>
          <w:color w:val="auto"/>
        </w:rPr>
      </w:pPr>
    </w:p>
    <w:p>
      <w:pPr>
        <w:jc w:val="both"/>
        <w:ind w:left="380" w:right="20" w:hanging="372"/>
        <w:spacing w:after="0" w:line="239" w:lineRule="auto"/>
        <w:tabs>
          <w:tab w:leader="none" w:pos="3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Our ability to satisfy all criteria set forth in any model energy drink guidelines, including, without limitation, those adopted by the American Beverage Association, of which the Company is a member, and/or any international beverage association and the impact on the Company of such guidelines;</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Disruptions in the timely import or export of our products and/or ingredients due to port strikes and related labor issues;</w:t>
      </w:r>
    </w:p>
    <w:p>
      <w:pPr>
        <w:ind w:left="380" w:hanging="372"/>
        <w:spacing w:after="0"/>
        <w:tabs>
          <w:tab w:leader="none" w:pos="3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effect of unfavorable or adverse public relations, press, articles, comments and/or media attention;</w:t>
      </w:r>
    </w:p>
    <w:p>
      <w:pPr>
        <w:jc w:val="both"/>
        <w:ind w:left="380" w:hanging="372"/>
        <w:spacing w:after="0" w:line="252" w:lineRule="auto"/>
        <w:tabs>
          <w:tab w:leader="none" w:pos="380" w:val="left"/>
        </w:tabs>
        <w:numPr>
          <w:ilvl w:val="0"/>
          <w:numId w:val="30"/>
        </w:numPr>
        <w:rPr>
          <w:rFonts w:ascii="Arial" w:cs="Arial" w:eastAsia="Arial" w:hAnsi="Arial"/>
          <w:sz w:val="19"/>
          <w:szCs w:val="19"/>
          <w:color w:val="auto"/>
        </w:rPr>
      </w:pPr>
      <w:r>
        <w:rPr>
          <w:rFonts w:ascii="Arial" w:cs="Arial" w:eastAsia="Arial" w:hAnsi="Arial"/>
          <w:sz w:val="19"/>
          <w:szCs w:val="19"/>
          <w:color w:val="auto"/>
        </w:rPr>
        <w:t>Changes in the cost, quality and availability of containers, packaging materials, aluminum, the Midwest and other premiums, raw materials and other ingredients and juice concentrates, and our ability to obtain and/or maintain favorable supply arrangements and relationships and procure timely and/or sufficient production of all or any of our products to meet customer demand;</w:t>
      </w:r>
    </w:p>
    <w:p>
      <w:pPr>
        <w:ind w:left="380" w:hanging="372"/>
        <w:spacing w:after="0" w:line="239" w:lineRule="auto"/>
        <w:tabs>
          <w:tab w:leader="none" w:pos="3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Any shortages that may be experienced in the procurement of containers and/or other raw materials including, without limitation, the PET containers used for our Monster Hydro® energy drinks;</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corporate activity among the limited number of suppliers from whom we purchase certain raw materials on our cost of sales;</w:t>
      </w:r>
    </w:p>
    <w:p>
      <w:pPr>
        <w:spacing w:after="0" w:line="22" w:lineRule="exact"/>
        <w:rPr>
          <w:rFonts w:ascii="Arial" w:cs="Arial" w:eastAsia="Arial" w:hAnsi="Arial"/>
          <w:sz w:val="18"/>
          <w:szCs w:val="18"/>
          <w:color w:val="auto"/>
        </w:rPr>
      </w:pPr>
    </w:p>
    <w:p>
      <w:pPr>
        <w:ind w:left="380" w:hanging="372"/>
        <w:spacing w:after="0" w:line="239" w:lineRule="auto"/>
        <w:tabs>
          <w:tab w:leader="none" w:pos="3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Our ability to pass on to our customers all or a portion of any increases in the costs of raw materials, ingredients, commodities and/or other cost inputs affecting our business;</w:t>
      </w:r>
    </w:p>
    <w:p>
      <w:pPr>
        <w:spacing w:after="0" w:line="1" w:lineRule="exact"/>
        <w:rPr>
          <w:rFonts w:ascii="Arial" w:cs="Arial" w:eastAsia="Arial" w:hAnsi="Arial"/>
          <w:sz w:val="20"/>
          <w:szCs w:val="20"/>
          <w:color w:val="auto"/>
        </w:rPr>
      </w:pPr>
    </w:p>
    <w:p>
      <w:pPr>
        <w:jc w:val="both"/>
        <w:ind w:left="380" w:hanging="372"/>
        <w:spacing w:after="0" w:line="239" w:lineRule="auto"/>
        <w:tabs>
          <w:tab w:leader="none" w:pos="3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Our ability to achieve both internal domestic and international forecasts, which may be based on projected volumes and sales of many product types and/or new products, certain of which are more profitable than others; there can be no assurance that we will achieve projected levels of sales as well as forecasted product and/or geographic mixes;</w:t>
      </w:r>
    </w:p>
    <w:p>
      <w:pPr>
        <w:spacing w:after="0" w:line="1" w:lineRule="exact"/>
        <w:rPr>
          <w:rFonts w:ascii="Arial" w:cs="Arial" w:eastAsia="Arial" w:hAnsi="Arial"/>
          <w:sz w:val="20"/>
          <w:szCs w:val="20"/>
          <w:color w:val="auto"/>
        </w:rPr>
      </w:pPr>
    </w:p>
    <w:p>
      <w:pPr>
        <w:ind w:left="380" w:hanging="372"/>
        <w:spacing w:after="0" w:line="239" w:lineRule="auto"/>
        <w:tabs>
          <w:tab w:leader="none" w:pos="3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Our ability to penetrate new domestic and/or international markets and/or gain approval or mitigate the delay in securing approval for the sale of our products in various countries;</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Economic or political instability in one or more of our international markets;</w:t>
      </w:r>
    </w:p>
    <w:p>
      <w:pPr>
        <w:ind w:left="380" w:hanging="372"/>
        <w:spacing w:after="0" w:line="239" w:lineRule="auto"/>
        <w:tabs>
          <w:tab w:leader="none" w:pos="3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effectiveness of sales and/or marketing efforts by us and/or by the full service bottlers/distributors of our products, most of whom distribute products that may be regarded as competitive with our products;</w:t>
      </w:r>
    </w:p>
    <w:p>
      <w:pPr>
        <w:spacing w:after="0" w:line="1" w:lineRule="exact"/>
        <w:rPr>
          <w:rFonts w:ascii="Arial" w:cs="Arial" w:eastAsia="Arial" w:hAnsi="Arial"/>
          <w:sz w:val="20"/>
          <w:szCs w:val="20"/>
          <w:color w:val="auto"/>
        </w:rPr>
      </w:pPr>
    </w:p>
    <w:p>
      <w:pPr>
        <w:jc w:val="both"/>
        <w:ind w:left="380" w:hanging="372"/>
        <w:spacing w:after="0" w:line="239" w:lineRule="auto"/>
        <w:tabs>
          <w:tab w:leader="none" w:pos="3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Unilateral decisions by full service bottlers/distributors, convenience chains, grocery chains, mass merchandisers, specialty chain stores, club stores and other customers to discontinue carrying all or any of our products that they are carrying at any time, restrict the range of our products they carry and/or devote less resources to the sale of our products;</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effects of retailer consolidation on our business;</w:t>
      </w:r>
    </w:p>
    <w:p>
      <w:pPr>
        <w:ind w:left="380" w:hanging="372"/>
        <w:spacing w:after="0"/>
        <w:tabs>
          <w:tab w:leader="none" w:pos="3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costs and/or effectiveness, now or in the future, of our advertising, marketing and promotional strategies;</w:t>
      </w:r>
    </w:p>
    <w:p>
      <w:pPr>
        <w:ind w:left="380" w:hanging="372"/>
        <w:spacing w:after="0"/>
        <w:tabs>
          <w:tab w:leader="none" w:pos="3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success of our sports marketing endeavors both domestically and internationally;</w:t>
      </w:r>
    </w:p>
    <w:p>
      <w:pPr>
        <w:ind w:left="380" w:hanging="372"/>
        <w:spacing w:after="0"/>
        <w:tabs>
          <w:tab w:leader="none" w:pos="3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Unforeseen economic and political changes and local or international catastrophic events;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ind w:left="380" w:hanging="372"/>
        <w:spacing w:after="0"/>
        <w:tabs>
          <w:tab w:leader="none" w:pos="3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Possible recalls of our products and/or defective production;</w:t>
      </w:r>
    </w:p>
    <w:p>
      <w:pPr>
        <w:spacing w:after="0" w:line="15" w:lineRule="exact"/>
        <w:rPr>
          <w:rFonts w:ascii="Arial" w:cs="Arial" w:eastAsia="Arial" w:hAnsi="Arial"/>
          <w:sz w:val="20"/>
          <w:szCs w:val="20"/>
          <w:color w:val="auto"/>
        </w:rPr>
      </w:pPr>
    </w:p>
    <w:p>
      <w:pPr>
        <w:ind w:left="380" w:hanging="372"/>
        <w:spacing w:after="0" w:line="252" w:lineRule="auto"/>
        <w:tabs>
          <w:tab w:leader="none" w:pos="380" w:val="left"/>
        </w:tabs>
        <w:numPr>
          <w:ilvl w:val="0"/>
          <w:numId w:val="31"/>
        </w:numPr>
        <w:rPr>
          <w:rFonts w:ascii="Arial" w:cs="Arial" w:eastAsia="Arial" w:hAnsi="Arial"/>
          <w:sz w:val="19"/>
          <w:szCs w:val="19"/>
          <w:color w:val="auto"/>
        </w:rPr>
      </w:pPr>
      <w:r>
        <w:rPr>
          <w:rFonts w:ascii="Arial" w:cs="Arial" w:eastAsia="Arial" w:hAnsi="Arial"/>
          <w:sz w:val="19"/>
          <w:szCs w:val="19"/>
          <w:color w:val="auto"/>
        </w:rPr>
        <w:t>Our ability to make suitable arrangements for the co-packing of any of our products both domestically and internationally, the timely replacement of discontinued co-packing arrangements and/or limitations on co-packing availability, including for retort production;</w:t>
      </w:r>
    </w:p>
    <w:p>
      <w:pPr>
        <w:ind w:left="380" w:hanging="372"/>
        <w:spacing w:after="0"/>
        <w:tabs>
          <w:tab w:leader="none" w:pos="3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Our ability to make suitable arrangements for the timely procurement of non-defective raw materials;</w:t>
      </w:r>
    </w:p>
    <w:p>
      <w:pPr>
        <w:ind w:left="380" w:hanging="372"/>
        <w:spacing w:after="0" w:line="239" w:lineRule="auto"/>
        <w:tabs>
          <w:tab w:leader="none" w:pos="3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Our inability to protect and/or the loss of our intellectual property rights and/or our inability to use our trademarks, trade names or designs and/or trade dress in certain countries;</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Volatility of stock prices which may restrict stock sales, stock purchases or other opportunities;</w:t>
      </w:r>
    </w:p>
    <w:p>
      <w:pPr>
        <w:ind w:left="380" w:right="20" w:hanging="372"/>
        <w:spacing w:after="0" w:line="239" w:lineRule="auto"/>
        <w:tabs>
          <w:tab w:leader="none" w:pos="3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Provisions in our organizational documents and/or control by insiders which may prevent changes in control even if such changes would be beneficial to other stockholders;</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failure of our bottlers and/or contract packers to manufacture our products on a timely basis or at all;</w:t>
      </w:r>
    </w:p>
    <w:p>
      <w:pPr>
        <w:ind w:left="380" w:hanging="372"/>
        <w:spacing w:after="0"/>
        <w:tabs>
          <w:tab w:leader="none" w:pos="3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Exposure to significant liabilities due to litigation, legal or regulatory proceedings;</w:t>
      </w:r>
    </w:p>
    <w:p>
      <w:pPr>
        <w:ind w:left="380" w:hanging="372"/>
        <w:spacing w:after="0" w:line="239" w:lineRule="auto"/>
        <w:tabs>
          <w:tab w:leader="none" w:pos="3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Any disruption in and/or lack of effectiveness of our information technology systems, including a breach of cyber security, that disrupts our business or negatively impacts customer relationships; and</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Recruitment and retention of senior management, other key employees and our employee base in general.</w:t>
      </w:r>
    </w:p>
    <w:p>
      <w:pPr>
        <w:spacing w:after="0" w:line="21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foregoing list of important factors and other risks detailed from time to time in our reports filed with the SEC is not exhaustive. See the section entitled “Risk Factors” in our Form 10-K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There have been no material changes in our market risk during the three-months ended March 31, 2018 compared with the disclosures in Part II, Item 7A of our Form 10-K.</w:t>
      </w:r>
    </w:p>
    <w:p>
      <w:pPr>
        <w:sectPr>
          <w:pgSz w:w="11900" w:h="16838" w:orient="portrait"/>
          <w:cols w:equalWidth="0" w:num="1">
            <w:col w:w="11420"/>
          </w:cols>
          <w:pgMar w:left="240" w:top="121" w:right="239" w:bottom="0" w:gutter="0" w:footer="0" w:header="0"/>
        </w:sectPr>
      </w:pPr>
    </w:p>
    <w:bookmarkStart w:id="30" w:name="page31"/>
    <w:bookmarkEnd w:id="30"/>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3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 Under the supervision and with the participation of the Company’s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our Chief Executive Officer and Chief Financial Officer, we have evaluated the effectiveness of the design and operation of our disclosure controls and procedures (as defined in Rules 13(a)-15(e) and 15(d)-15(e) of the Exchange Act) as of the end of the period covered by this report. Based upon this evaluation, the Chief Executive Officer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rules and forms of the SEC and</w:t>
      </w:r>
    </w:p>
    <w:p>
      <w:pPr>
        <w:spacing w:after="0" w:line="2" w:lineRule="exact"/>
        <w:rPr>
          <w:sz w:val="20"/>
          <w:szCs w:val="20"/>
          <w:color w:val="auto"/>
        </w:rPr>
      </w:pPr>
    </w:p>
    <w:p>
      <w:pPr>
        <w:ind w:firstLine="8"/>
        <w:spacing w:after="0" w:line="244" w:lineRule="auto"/>
        <w:tabs>
          <w:tab w:leader="none" w:pos="304" w:val="left"/>
        </w:tabs>
        <w:numPr>
          <w:ilvl w:val="0"/>
          <w:numId w:val="32"/>
        </w:numPr>
        <w:rPr>
          <w:rFonts w:ascii="Arial" w:cs="Arial" w:eastAsia="Arial" w:hAnsi="Arial"/>
          <w:sz w:val="20"/>
          <w:szCs w:val="20"/>
          <w:color w:val="auto"/>
        </w:rPr>
      </w:pPr>
      <w:r>
        <w:rPr>
          <w:rFonts w:ascii="Arial" w:cs="Arial" w:eastAsia="Arial" w:hAnsi="Arial"/>
          <w:sz w:val="20"/>
          <w:szCs w:val="20"/>
          <w:color w:val="auto"/>
        </w:rPr>
        <w:t>accumulated and communicated to our management, including its principal executive and principal financial officers, as appropriate, to allow timely decisions regarding required disclosures.</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Changes in Internal Control Over Financial Reporting </w:t>
      </w:r>
      <w:r>
        <w:rPr>
          <w:rFonts w:ascii="Arial" w:cs="Arial" w:eastAsia="Arial" w:hAnsi="Arial"/>
          <w:sz w:val="20"/>
          <w:szCs w:val="20"/>
          <w:color w:val="auto"/>
        </w:rPr>
        <w:t>– There were no changes in the Company’s internal controls over financial</w:t>
      </w:r>
      <w:r>
        <w:rPr>
          <w:rFonts w:ascii="Arial" w:cs="Arial" w:eastAsia="Arial" w:hAnsi="Arial"/>
          <w:sz w:val="20"/>
          <w:szCs w:val="20"/>
          <w:i w:val="1"/>
          <w:iCs w:val="1"/>
          <w:color w:val="auto"/>
        </w:rPr>
        <w:t xml:space="preserve"> </w:t>
      </w:r>
      <w:r>
        <w:rPr>
          <w:rFonts w:ascii="Arial" w:cs="Arial" w:eastAsia="Arial" w:hAnsi="Arial"/>
          <w:sz w:val="20"/>
          <w:szCs w:val="20"/>
          <w:color w:val="auto"/>
        </w:rPr>
        <w:t>reporting during the quarter ended March 31, 2018, that have materially affected, or are reasonably likely to materially affect, our internal control over financial reporting.</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 - OTHER INFORMATION</w:t>
      </w:r>
    </w:p>
    <w:p>
      <w:pPr>
        <w:spacing w:after="0" w:line="229"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9"/>
          <w:szCs w:val="19"/>
          <w:b w:val="1"/>
          <w:bCs w:val="1"/>
          <w:color w:val="auto"/>
        </w:rPr>
        <w:t>LEGAL PROCEEDINGS</w:t>
      </w:r>
    </w:p>
    <w:p>
      <w:pPr>
        <w:spacing w:after="0" w:line="23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information required by this Item is incorporated herein by reference to the Notes to Condensed Consolidated Financial Statements - Note 11. Commitments and Contingencies: Legal Proceedings in Part I, Item 1, of this Quarterly Report on Form 10-Q.</w:t>
      </w:r>
    </w:p>
    <w:p>
      <w:pPr>
        <w:spacing w:after="0" w:line="160"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2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Our risk factors are discussed in our Form 10-K. There have been no material changes with respect to the risk factors disclosed in our Form 10-K.</w:t>
      </w:r>
    </w:p>
    <w:p>
      <w:pPr>
        <w:spacing w:after="0" w:line="184"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9"/>
          <w:szCs w:val="19"/>
          <w:b w:val="1"/>
          <w:bCs w:val="1"/>
          <w:color w:val="auto"/>
        </w:rPr>
        <w:t>UNREGISTERED SALES OF EQUITY SECURITIES AND USE OF PROCEEDS</w:t>
      </w:r>
    </w:p>
    <w:p>
      <w:pPr>
        <w:spacing w:after="0" w:line="23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On February 28, 2017, the Company’s Board of Directors authorized a share repurchase program for the purchase of up to $500.0 million of the Company’s outstanding common stock (the “February 2017 Repurchase Plan”). During the three-months ended March 31, 2018, the Company purchased 4.3 million shares of common stock at an average purchase price of $57.74 per share, for a total amount of $249.9 million (excluding broker commissions), under the February 2017 Repurchase Plan, which exhausted the availability under the February 2017 Repurchase Plan.</w:t>
      </w:r>
    </w:p>
    <w:p>
      <w:pPr>
        <w:spacing w:after="0" w:line="20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February 27, 2018, the Company’s Board of Directors authorized a new share repurchase program for the purchase of up to $250.0 million of the Company’s outstanding common stock (the “February 2018 Repurchase Plan”). As of May 10, 2018, no shares have been repurchased pursuant to the February 2018 Repurchase Plan.</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tabular summary reflects the Company’s repurchase activity during the quarter ended March 31, 2018:</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jc w:val="center"/>
              <w:ind w:right="121"/>
              <w:spacing w:after="0"/>
              <w:rPr>
                <w:sz w:val="20"/>
                <w:szCs w:val="20"/>
                <w:color w:val="auto"/>
              </w:rPr>
            </w:pPr>
            <w:r>
              <w:rPr>
                <w:rFonts w:ascii="Arial" w:cs="Arial" w:eastAsia="Arial" w:hAnsi="Arial"/>
                <w:sz w:val="20"/>
                <w:szCs w:val="20"/>
                <w:color w:val="auto"/>
                <w:w w:val="93"/>
              </w:rPr>
              <w:t>Maximum Number (or</w:t>
            </w:r>
          </w:p>
        </w:tc>
      </w:tr>
      <w:tr>
        <w:trPr>
          <w:trHeight w:val="230"/>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jc w:val="center"/>
              <w:ind w:right="121"/>
              <w:spacing w:after="0"/>
              <w:rPr>
                <w:sz w:val="20"/>
                <w:szCs w:val="20"/>
                <w:color w:val="auto"/>
              </w:rPr>
            </w:pPr>
            <w:r>
              <w:rPr>
                <w:rFonts w:ascii="Arial" w:cs="Arial" w:eastAsia="Arial" w:hAnsi="Arial"/>
                <w:sz w:val="20"/>
                <w:szCs w:val="20"/>
                <w:color w:val="auto"/>
                <w:w w:val="94"/>
              </w:rPr>
              <w:t>Approximate Dollar</w:t>
            </w:r>
          </w:p>
        </w:tc>
      </w:tr>
      <w:tr>
        <w:trPr>
          <w:trHeight w:val="230"/>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20"/>
                <w:szCs w:val="20"/>
                <w:color w:val="auto"/>
                <w:w w:val="92"/>
              </w:rPr>
              <w:t>Total Number of</w:t>
            </w:r>
          </w:p>
        </w:tc>
        <w:tc>
          <w:tcPr>
            <w:tcW w:w="220" w:type="dxa"/>
            <w:vAlign w:val="bottom"/>
          </w:tcPr>
          <w:p>
            <w:pPr>
              <w:spacing w:after="0"/>
              <w:rPr>
                <w:sz w:val="19"/>
                <w:szCs w:val="19"/>
                <w:color w:val="auto"/>
              </w:rPr>
            </w:pPr>
          </w:p>
        </w:tc>
        <w:tc>
          <w:tcPr>
            <w:tcW w:w="2060" w:type="dxa"/>
            <w:vAlign w:val="bottom"/>
          </w:tcPr>
          <w:p>
            <w:pPr>
              <w:jc w:val="center"/>
              <w:ind w:right="121"/>
              <w:spacing w:after="0"/>
              <w:rPr>
                <w:sz w:val="20"/>
                <w:szCs w:val="20"/>
                <w:color w:val="auto"/>
              </w:rPr>
            </w:pPr>
            <w:r>
              <w:rPr>
                <w:rFonts w:ascii="Arial" w:cs="Arial" w:eastAsia="Arial" w:hAnsi="Arial"/>
                <w:sz w:val="20"/>
                <w:szCs w:val="20"/>
                <w:color w:val="auto"/>
                <w:w w:val="87"/>
              </w:rPr>
              <w:t>Value) of Shares that</w:t>
            </w:r>
          </w:p>
        </w:tc>
      </w:tr>
      <w:tr>
        <w:trPr>
          <w:trHeight w:val="230"/>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20"/>
                <w:szCs w:val="20"/>
                <w:color w:val="auto"/>
                <w:w w:val="85"/>
              </w:rPr>
              <w:t>Shares Purchased</w:t>
            </w:r>
          </w:p>
        </w:tc>
        <w:tc>
          <w:tcPr>
            <w:tcW w:w="220" w:type="dxa"/>
            <w:vAlign w:val="bottom"/>
          </w:tcPr>
          <w:p>
            <w:pPr>
              <w:spacing w:after="0"/>
              <w:rPr>
                <w:sz w:val="19"/>
                <w:szCs w:val="19"/>
                <w:color w:val="auto"/>
              </w:rPr>
            </w:pPr>
          </w:p>
        </w:tc>
        <w:tc>
          <w:tcPr>
            <w:tcW w:w="2060" w:type="dxa"/>
            <w:vAlign w:val="bottom"/>
          </w:tcPr>
          <w:p>
            <w:pPr>
              <w:jc w:val="center"/>
              <w:ind w:right="121"/>
              <w:spacing w:after="0"/>
              <w:rPr>
                <w:sz w:val="20"/>
                <w:szCs w:val="20"/>
                <w:color w:val="auto"/>
              </w:rPr>
            </w:pPr>
            <w:r>
              <w:rPr>
                <w:rFonts w:ascii="Arial" w:cs="Arial" w:eastAsia="Arial" w:hAnsi="Arial"/>
                <w:sz w:val="20"/>
                <w:szCs w:val="20"/>
                <w:color w:val="auto"/>
                <w:w w:val="87"/>
              </w:rPr>
              <w:t>May Yet Be Purchased</w:t>
            </w:r>
          </w:p>
        </w:tc>
      </w:tr>
      <w:tr>
        <w:trPr>
          <w:trHeight w:val="230"/>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90"/>
              </w:rPr>
              <w:t>Total Number</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20"/>
                <w:szCs w:val="20"/>
                <w:color w:val="auto"/>
                <w:w w:val="91"/>
              </w:rPr>
              <w:t>as Part of Publicly</w:t>
            </w:r>
          </w:p>
        </w:tc>
        <w:tc>
          <w:tcPr>
            <w:tcW w:w="220" w:type="dxa"/>
            <w:vAlign w:val="bottom"/>
          </w:tcPr>
          <w:p>
            <w:pPr>
              <w:spacing w:after="0"/>
              <w:rPr>
                <w:sz w:val="19"/>
                <w:szCs w:val="19"/>
                <w:color w:val="auto"/>
              </w:rPr>
            </w:pPr>
          </w:p>
        </w:tc>
        <w:tc>
          <w:tcPr>
            <w:tcW w:w="2060" w:type="dxa"/>
            <w:vAlign w:val="bottom"/>
          </w:tcPr>
          <w:p>
            <w:pPr>
              <w:jc w:val="center"/>
              <w:ind w:right="121"/>
              <w:spacing w:after="0"/>
              <w:rPr>
                <w:sz w:val="20"/>
                <w:szCs w:val="20"/>
                <w:color w:val="auto"/>
              </w:rPr>
            </w:pPr>
            <w:r>
              <w:rPr>
                <w:rFonts w:ascii="Arial" w:cs="Arial" w:eastAsia="Arial" w:hAnsi="Arial"/>
                <w:sz w:val="20"/>
                <w:szCs w:val="20"/>
                <w:color w:val="auto"/>
                <w:w w:val="88"/>
              </w:rPr>
              <w:t>Under the Plans or</w:t>
            </w:r>
          </w:p>
        </w:tc>
      </w:tr>
      <w:tr>
        <w:trPr>
          <w:trHeight w:val="230"/>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86"/>
              </w:rPr>
              <w:t>of Shares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20"/>
                <w:szCs w:val="20"/>
                <w:color w:val="auto"/>
                <w:w w:val="89"/>
              </w:rPr>
              <w:t>Average Price</w:t>
            </w:r>
          </w:p>
        </w:tc>
        <w:tc>
          <w:tcPr>
            <w:tcW w:w="2040" w:type="dxa"/>
            <w:vAlign w:val="bottom"/>
            <w:gridSpan w:val="2"/>
          </w:tcPr>
          <w:p>
            <w:pPr>
              <w:jc w:val="center"/>
              <w:ind w:right="200"/>
              <w:spacing w:after="0"/>
              <w:rPr>
                <w:sz w:val="20"/>
                <w:szCs w:val="20"/>
                <w:color w:val="auto"/>
              </w:rPr>
            </w:pPr>
            <w:r>
              <w:rPr>
                <w:rFonts w:ascii="Arial" w:cs="Arial" w:eastAsia="Arial" w:hAnsi="Arial"/>
                <w:sz w:val="20"/>
                <w:szCs w:val="20"/>
                <w:color w:val="auto"/>
                <w:w w:val="89"/>
              </w:rPr>
              <w:t>Announced Plans</w:t>
            </w:r>
          </w:p>
        </w:tc>
        <w:tc>
          <w:tcPr>
            <w:tcW w:w="220" w:type="dxa"/>
            <w:vAlign w:val="bottom"/>
          </w:tcPr>
          <w:p>
            <w:pPr>
              <w:spacing w:after="0"/>
              <w:rPr>
                <w:sz w:val="19"/>
                <w:szCs w:val="19"/>
                <w:color w:val="auto"/>
              </w:rPr>
            </w:pPr>
          </w:p>
        </w:tc>
        <w:tc>
          <w:tcPr>
            <w:tcW w:w="2060" w:type="dxa"/>
            <w:vAlign w:val="bottom"/>
          </w:tcPr>
          <w:p>
            <w:pPr>
              <w:jc w:val="center"/>
              <w:ind w:right="121"/>
              <w:spacing w:after="0"/>
              <w:rPr>
                <w:sz w:val="20"/>
                <w:szCs w:val="20"/>
                <w:color w:val="auto"/>
              </w:rPr>
            </w:pPr>
            <w:r>
              <w:rPr>
                <w:rFonts w:ascii="Arial" w:cs="Arial" w:eastAsia="Arial" w:hAnsi="Arial"/>
                <w:sz w:val="20"/>
                <w:szCs w:val="20"/>
                <w:color w:val="auto"/>
                <w:w w:val="89"/>
              </w:rPr>
              <w:t>Programs (In</w:t>
            </w:r>
          </w:p>
        </w:tc>
      </w:tr>
      <w:tr>
        <w:trPr>
          <w:trHeight w:val="246"/>
        </w:trPr>
        <w:tc>
          <w:tcPr>
            <w:tcW w:w="3340" w:type="dxa"/>
            <w:vAlign w:val="bottom"/>
            <w:gridSpan w:val="3"/>
          </w:tcPr>
          <w:p>
            <w:pPr>
              <w:spacing w:after="0"/>
              <w:rPr>
                <w:sz w:val="20"/>
                <w:szCs w:val="20"/>
                <w:color w:val="auto"/>
              </w:rPr>
            </w:pPr>
            <w:r>
              <w:rPr>
                <w:rFonts w:ascii="Arial" w:cs="Arial" w:eastAsia="Arial" w:hAnsi="Arial"/>
                <w:sz w:val="20"/>
                <w:szCs w:val="20"/>
                <w:color w:val="auto"/>
              </w:rPr>
              <w:t>Period</w:t>
            </w:r>
          </w:p>
        </w:tc>
        <w:tc>
          <w:tcPr>
            <w:tcW w:w="1600" w:type="dxa"/>
            <w:vAlign w:val="bottom"/>
          </w:tcPr>
          <w:p>
            <w:pPr>
              <w:jc w:val="center"/>
              <w:spacing w:after="0"/>
              <w:rPr>
                <w:sz w:val="20"/>
                <w:szCs w:val="20"/>
                <w:color w:val="auto"/>
              </w:rPr>
            </w:pPr>
            <w:r>
              <w:rPr>
                <w:rFonts w:ascii="Arial" w:cs="Arial" w:eastAsia="Arial" w:hAnsi="Arial"/>
                <w:sz w:val="20"/>
                <w:szCs w:val="20"/>
                <w:color w:val="auto"/>
                <w:w w:val="85"/>
              </w:rPr>
              <w:t>Purchased</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20"/>
                <w:szCs w:val="20"/>
                <w:color w:val="auto"/>
                <w:w w:val="84"/>
              </w:rPr>
              <w:t>per Share¹</w:t>
            </w:r>
          </w:p>
        </w:tc>
        <w:tc>
          <w:tcPr>
            <w:tcW w:w="2040" w:type="dxa"/>
            <w:vAlign w:val="bottom"/>
            <w:gridSpan w:val="2"/>
          </w:tcPr>
          <w:p>
            <w:pPr>
              <w:jc w:val="center"/>
              <w:ind w:right="220"/>
              <w:spacing w:after="0"/>
              <w:rPr>
                <w:sz w:val="20"/>
                <w:szCs w:val="20"/>
                <w:color w:val="auto"/>
              </w:rPr>
            </w:pPr>
            <w:r>
              <w:rPr>
                <w:rFonts w:ascii="Arial" w:cs="Arial" w:eastAsia="Arial" w:hAnsi="Arial"/>
                <w:sz w:val="20"/>
                <w:szCs w:val="20"/>
                <w:color w:val="auto"/>
                <w:w w:val="89"/>
              </w:rPr>
              <w:t>or Programs</w:t>
            </w:r>
          </w:p>
        </w:tc>
        <w:tc>
          <w:tcPr>
            <w:tcW w:w="220" w:type="dxa"/>
            <w:vAlign w:val="bottom"/>
          </w:tcPr>
          <w:p>
            <w:pPr>
              <w:spacing w:after="0"/>
              <w:rPr>
                <w:sz w:val="21"/>
                <w:szCs w:val="21"/>
                <w:color w:val="auto"/>
              </w:rPr>
            </w:pPr>
          </w:p>
        </w:tc>
        <w:tc>
          <w:tcPr>
            <w:tcW w:w="2060" w:type="dxa"/>
            <w:vAlign w:val="bottom"/>
          </w:tcPr>
          <w:p>
            <w:pPr>
              <w:jc w:val="center"/>
              <w:ind w:right="121"/>
              <w:spacing w:after="0"/>
              <w:rPr>
                <w:sz w:val="20"/>
                <w:szCs w:val="20"/>
                <w:color w:val="auto"/>
              </w:rPr>
            </w:pPr>
            <w:r>
              <w:rPr>
                <w:rFonts w:ascii="Arial" w:cs="Arial" w:eastAsia="Arial" w:hAnsi="Arial"/>
                <w:sz w:val="20"/>
                <w:szCs w:val="20"/>
                <w:color w:val="auto"/>
                <w:w w:val="87"/>
              </w:rPr>
              <w:t>thousands)²</w:t>
            </w:r>
          </w:p>
        </w:tc>
      </w:tr>
      <w:tr>
        <w:trPr>
          <w:trHeight w:val="206"/>
        </w:trPr>
        <w:tc>
          <w:tcPr>
            <w:tcW w:w="20" w:type="dxa"/>
            <w:vAlign w:val="bottom"/>
          </w:tcPr>
          <w:p>
            <w:pPr>
              <w:spacing w:after="0"/>
              <w:rPr>
                <w:sz w:val="17"/>
                <w:szCs w:val="17"/>
                <w:color w:val="auto"/>
              </w:rPr>
            </w:pPr>
          </w:p>
        </w:tc>
        <w:tc>
          <w:tcPr>
            <w:tcW w:w="308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Jan 1 - Jan 31</w:t>
            </w:r>
          </w:p>
        </w:tc>
        <w:tc>
          <w:tcPr>
            <w:tcW w:w="240" w:type="dxa"/>
            <w:vAlign w:val="bottom"/>
          </w:tcPr>
          <w:p>
            <w:pPr>
              <w:spacing w:after="0"/>
              <w:rPr>
                <w:sz w:val="17"/>
                <w:szCs w:val="17"/>
                <w:color w:val="auto"/>
              </w:rPr>
            </w:pPr>
          </w:p>
        </w:tc>
        <w:tc>
          <w:tcPr>
            <w:tcW w:w="160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220" w:type="dxa"/>
            <w:vAlign w:val="bottom"/>
          </w:tcPr>
          <w:p>
            <w:pPr>
              <w:spacing w:after="0"/>
              <w:rPr>
                <w:sz w:val="17"/>
                <w:szCs w:val="17"/>
                <w:color w:val="auto"/>
              </w:rPr>
            </w:pPr>
          </w:p>
        </w:tc>
        <w:tc>
          <w:tcPr>
            <w:tcW w:w="2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38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w:t>
            </w:r>
          </w:p>
        </w:tc>
        <w:tc>
          <w:tcPr>
            <w:tcW w:w="220" w:type="dxa"/>
            <w:vAlign w:val="bottom"/>
          </w:tcPr>
          <w:p>
            <w:pPr>
              <w:spacing w:after="0"/>
              <w:rPr>
                <w:sz w:val="17"/>
                <w:szCs w:val="17"/>
                <w:color w:val="auto"/>
              </w:rPr>
            </w:pPr>
          </w:p>
        </w:tc>
        <w:tc>
          <w:tcPr>
            <w:tcW w:w="182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w:t>
            </w:r>
          </w:p>
        </w:tc>
        <w:tc>
          <w:tcPr>
            <w:tcW w:w="220" w:type="dxa"/>
            <w:vAlign w:val="bottom"/>
          </w:tcPr>
          <w:p>
            <w:pPr>
              <w:spacing w:after="0"/>
              <w:rPr>
                <w:sz w:val="17"/>
                <w:szCs w:val="17"/>
                <w:color w:val="auto"/>
              </w:rPr>
            </w:pPr>
          </w:p>
        </w:tc>
        <w:tc>
          <w:tcPr>
            <w:tcW w:w="22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206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250,000</w:t>
            </w:r>
          </w:p>
        </w:tc>
      </w:tr>
      <w:tr>
        <w:trPr>
          <w:trHeight w:val="230"/>
        </w:trPr>
        <w:tc>
          <w:tcPr>
            <w:tcW w:w="3340" w:type="dxa"/>
            <w:vAlign w:val="bottom"/>
            <w:gridSpan w:val="3"/>
          </w:tcPr>
          <w:p>
            <w:pPr>
              <w:spacing w:after="0"/>
              <w:rPr>
                <w:sz w:val="20"/>
                <w:szCs w:val="20"/>
                <w:color w:val="auto"/>
              </w:rPr>
            </w:pPr>
            <w:r>
              <w:rPr>
                <w:rFonts w:ascii="Arial" w:cs="Arial" w:eastAsia="Arial" w:hAnsi="Arial"/>
                <w:sz w:val="20"/>
                <w:szCs w:val="20"/>
                <w:color w:val="auto"/>
              </w:rPr>
              <w:t>Feb 1 - Feb 28</w:t>
            </w:r>
          </w:p>
        </w:tc>
        <w:tc>
          <w:tcPr>
            <w:tcW w:w="16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4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18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2060" w:type="dxa"/>
            <w:vAlign w:val="bottom"/>
          </w:tcPr>
          <w:p>
            <w:pPr>
              <w:jc w:val="right"/>
              <w:ind w:right="21"/>
              <w:spacing w:after="0"/>
              <w:rPr>
                <w:sz w:val="20"/>
                <w:szCs w:val="20"/>
                <w:color w:val="auto"/>
              </w:rPr>
            </w:pPr>
            <w:r>
              <w:rPr>
                <w:rFonts w:ascii="Arial" w:cs="Arial" w:eastAsia="Arial" w:hAnsi="Arial"/>
                <w:sz w:val="20"/>
                <w:szCs w:val="20"/>
                <w:color w:val="auto"/>
              </w:rPr>
              <w:t>250,000</w:t>
            </w:r>
          </w:p>
        </w:tc>
      </w:tr>
      <w:tr>
        <w:trPr>
          <w:trHeight w:val="230"/>
        </w:trPr>
        <w:tc>
          <w:tcPr>
            <w:tcW w:w="3340" w:type="dxa"/>
            <w:vAlign w:val="bottom"/>
            <w:gridSpan w:val="3"/>
          </w:tcPr>
          <w:p>
            <w:pPr>
              <w:spacing w:after="0"/>
              <w:rPr>
                <w:sz w:val="20"/>
                <w:szCs w:val="20"/>
                <w:color w:val="auto"/>
              </w:rPr>
            </w:pPr>
            <w:r>
              <w:rPr>
                <w:rFonts w:ascii="Arial" w:cs="Arial" w:eastAsia="Arial" w:hAnsi="Arial"/>
                <w:sz w:val="20"/>
                <w:szCs w:val="20"/>
                <w:color w:val="auto"/>
              </w:rPr>
              <w:t>February 28, 2018 Authorization</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2060" w:type="dxa"/>
            <w:vAlign w:val="bottom"/>
          </w:tcPr>
          <w:p>
            <w:pPr>
              <w:jc w:val="right"/>
              <w:ind w:right="21"/>
              <w:spacing w:after="0"/>
              <w:rPr>
                <w:sz w:val="20"/>
                <w:szCs w:val="20"/>
                <w:color w:val="auto"/>
              </w:rPr>
            </w:pPr>
            <w:r>
              <w:rPr>
                <w:rFonts w:ascii="Arial" w:cs="Arial" w:eastAsia="Arial" w:hAnsi="Arial"/>
                <w:sz w:val="20"/>
                <w:szCs w:val="20"/>
                <w:color w:val="auto"/>
              </w:rPr>
              <w:t>500,000</w:t>
            </w:r>
          </w:p>
        </w:tc>
      </w:tr>
      <w:tr>
        <w:trPr>
          <w:trHeight w:val="240"/>
        </w:trPr>
        <w:tc>
          <w:tcPr>
            <w:tcW w:w="3340" w:type="dxa"/>
            <w:vAlign w:val="bottom"/>
            <w:gridSpan w:val="3"/>
          </w:tcPr>
          <w:p>
            <w:pPr>
              <w:spacing w:after="0"/>
              <w:rPr>
                <w:sz w:val="20"/>
                <w:szCs w:val="20"/>
                <w:color w:val="auto"/>
              </w:rPr>
            </w:pPr>
            <w:r>
              <w:rPr>
                <w:rFonts w:ascii="Arial" w:cs="Arial" w:eastAsia="Arial" w:hAnsi="Arial"/>
                <w:sz w:val="20"/>
                <w:szCs w:val="20"/>
                <w:color w:val="auto"/>
              </w:rPr>
              <w:t>Mar 1 - Mar 31</w:t>
            </w:r>
          </w:p>
        </w:tc>
        <w:tc>
          <w:tcPr>
            <w:tcW w:w="16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4,328,892</w:t>
            </w:r>
          </w:p>
        </w:tc>
        <w:tc>
          <w:tcPr>
            <w:tcW w:w="4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57.74</w:t>
            </w:r>
          </w:p>
        </w:tc>
        <w:tc>
          <w:tcPr>
            <w:tcW w:w="220" w:type="dxa"/>
            <w:vAlign w:val="bottom"/>
          </w:tcPr>
          <w:p>
            <w:pPr>
              <w:spacing w:after="0"/>
              <w:rPr>
                <w:sz w:val="20"/>
                <w:szCs w:val="20"/>
                <w:color w:val="auto"/>
              </w:rPr>
            </w:pPr>
          </w:p>
        </w:tc>
        <w:tc>
          <w:tcPr>
            <w:tcW w:w="1820" w:type="dxa"/>
            <w:vAlign w:val="bottom"/>
          </w:tcPr>
          <w:p>
            <w:pPr>
              <w:jc w:val="right"/>
              <w:ind w:right="1"/>
              <w:spacing w:after="0"/>
              <w:rPr>
                <w:sz w:val="20"/>
                <w:szCs w:val="20"/>
                <w:color w:val="auto"/>
              </w:rPr>
            </w:pPr>
            <w:r>
              <w:rPr>
                <w:rFonts w:ascii="Arial" w:cs="Arial" w:eastAsia="Arial" w:hAnsi="Arial"/>
                <w:sz w:val="20"/>
                <w:szCs w:val="20"/>
                <w:color w:val="auto"/>
              </w:rPr>
              <w:t>4,328,892</w:t>
            </w:r>
          </w:p>
        </w:tc>
        <w:tc>
          <w:tcPr>
            <w:tcW w:w="2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2060" w:type="dxa"/>
            <w:vAlign w:val="bottom"/>
          </w:tcPr>
          <w:p>
            <w:pPr>
              <w:jc w:val="right"/>
              <w:ind w:right="21"/>
              <w:spacing w:after="0"/>
              <w:rPr>
                <w:sz w:val="20"/>
                <w:szCs w:val="20"/>
                <w:color w:val="auto"/>
              </w:rPr>
            </w:pPr>
            <w:r>
              <w:rPr>
                <w:rFonts w:ascii="Arial" w:cs="Arial" w:eastAsia="Arial" w:hAnsi="Arial"/>
                <w:sz w:val="20"/>
                <w:szCs w:val="20"/>
                <w:color w:val="auto"/>
              </w:rPr>
              <w:t>250,000</w:t>
            </w:r>
          </w:p>
        </w:tc>
      </w:tr>
      <w:tr>
        <w:trPr>
          <w:trHeight w:val="230"/>
        </w:trPr>
        <w:tc>
          <w:tcPr>
            <w:tcW w:w="20" w:type="dxa"/>
            <w:vAlign w:val="bottom"/>
          </w:tcPr>
          <w:p>
            <w:pPr>
              <w:spacing w:after="0"/>
              <w:rPr>
                <w:sz w:val="19"/>
                <w:szCs w:val="19"/>
                <w:color w:val="auto"/>
              </w:rPr>
            </w:pPr>
          </w:p>
        </w:tc>
        <w:tc>
          <w:tcPr>
            <w:tcW w:w="3320" w:type="dxa"/>
            <w:vAlign w:val="bottom"/>
            <w:gridSpan w:val="2"/>
          </w:tcPr>
          <w:p>
            <w:pPr>
              <w:ind w:left="1340"/>
              <w:spacing w:after="0" w:line="220" w:lineRule="exact"/>
              <w:rPr>
                <w:sz w:val="20"/>
                <w:szCs w:val="20"/>
                <w:color w:val="auto"/>
              </w:rPr>
            </w:pPr>
            <w:r>
              <w:rPr>
                <w:rFonts w:ascii="Arial" w:cs="Arial" w:eastAsia="Arial" w:hAnsi="Arial"/>
                <w:sz w:val="20"/>
                <w:szCs w:val="20"/>
                <w:color w:val="auto"/>
              </w:rPr>
              <w:t>Total</w:t>
            </w:r>
          </w:p>
        </w:tc>
        <w:tc>
          <w:tcPr>
            <w:tcW w:w="16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4,328,892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¹Excluding broker commissions paid.</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²Net of broker commissions paid.</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During the three-months ended March 31, 2018, 34,303 shares were purchased from employees in lieu of cash payments for options exercised or withholding taxes due, for a total amount of $2.0 million. While such purchases are considered common stock repurchases, they are not counted as purchases against the Company’s authorized share repurchase programs.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15" w:right="239" w:bottom="0" w:gutter="0" w:footer="0" w:header="0"/>
        </w:sectPr>
      </w:pPr>
    </w:p>
    <w:bookmarkStart w:id="31" w:name="page32"/>
    <w:bookmarkEnd w:id="31"/>
    <w:p>
      <w:pPr>
        <w:spacing w:after="0"/>
        <w:tabs>
          <w:tab w:leader="none" w:pos="126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9"/>
          <w:szCs w:val="19"/>
          <w:b w:val="1"/>
          <w:bCs w:val="1"/>
          <w:color w:val="auto"/>
        </w:rPr>
        <w:t>DEFAULTS UPON SENIOR SECURITIES</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23"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200" w:type="dxa"/>
            <w:vAlign w:val="bottom"/>
          </w:tcPr>
          <w:p>
            <w:pPr>
              <w:spacing w:after="0"/>
              <w:rPr>
                <w:sz w:val="20"/>
                <w:szCs w:val="20"/>
                <w:color w:val="auto"/>
              </w:rPr>
            </w:pPr>
            <w:r>
              <w:rPr>
                <w:rFonts w:ascii="Arial" w:cs="Arial" w:eastAsia="Arial" w:hAnsi="Arial"/>
                <w:sz w:val="20"/>
                <w:szCs w:val="20"/>
                <w:b w:val="1"/>
                <w:bCs w:val="1"/>
                <w:color w:val="auto"/>
              </w:rPr>
              <w:t>ITEM 5.</w:t>
            </w:r>
          </w:p>
        </w:tc>
        <w:tc>
          <w:tcPr>
            <w:tcW w:w="10220" w:type="dxa"/>
            <w:vAlign w:val="bottom"/>
            <w:gridSpan w:val="6"/>
          </w:tcPr>
          <w:p>
            <w:pPr>
              <w:ind w:left="80"/>
              <w:spacing w:after="0"/>
              <w:rPr>
                <w:sz w:val="20"/>
                <w:szCs w:val="20"/>
                <w:color w:val="auto"/>
              </w:rPr>
            </w:pPr>
            <w:r>
              <w:rPr>
                <w:rFonts w:ascii="Arial" w:cs="Arial" w:eastAsia="Arial" w:hAnsi="Arial"/>
                <w:sz w:val="20"/>
                <w:szCs w:val="20"/>
                <w:b w:val="1"/>
                <w:bCs w:val="1"/>
                <w:color w:val="auto"/>
              </w:rPr>
              <w:t>OTHER INFORMATION</w:t>
            </w:r>
          </w:p>
        </w:tc>
      </w:tr>
      <w:tr>
        <w:trPr>
          <w:trHeight w:val="459"/>
        </w:trPr>
        <w:tc>
          <w:tcPr>
            <w:tcW w:w="1200" w:type="dxa"/>
            <w:vAlign w:val="bottom"/>
          </w:tcPr>
          <w:p>
            <w:pPr>
              <w:ind w:left="660"/>
              <w:spacing w:after="0"/>
              <w:rPr>
                <w:sz w:val="20"/>
                <w:szCs w:val="20"/>
                <w:color w:val="auto"/>
              </w:rPr>
            </w:pPr>
            <w:r>
              <w:rPr>
                <w:rFonts w:ascii="Arial" w:cs="Arial" w:eastAsia="Arial" w:hAnsi="Arial"/>
                <w:sz w:val="20"/>
                <w:szCs w:val="20"/>
                <w:color w:val="auto"/>
                <w:w w:val="97"/>
              </w:rPr>
              <w:t>None.</w:t>
            </w:r>
          </w:p>
        </w:tc>
        <w:tc>
          <w:tcPr>
            <w:tcW w:w="3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1200" w:type="dxa"/>
            <w:vAlign w:val="bottom"/>
          </w:tcPr>
          <w:p>
            <w:pPr>
              <w:spacing w:after="0"/>
              <w:rPr>
                <w:sz w:val="20"/>
                <w:szCs w:val="20"/>
                <w:color w:val="auto"/>
              </w:rPr>
            </w:pPr>
            <w:r>
              <w:rPr>
                <w:rFonts w:ascii="Arial" w:cs="Arial" w:eastAsia="Arial" w:hAnsi="Arial"/>
                <w:sz w:val="20"/>
                <w:szCs w:val="20"/>
                <w:b w:val="1"/>
                <w:bCs w:val="1"/>
                <w:color w:val="auto"/>
              </w:rPr>
              <w:t>ITEM 6.</w:t>
            </w:r>
          </w:p>
        </w:tc>
        <w:tc>
          <w:tcPr>
            <w:tcW w:w="10220" w:type="dxa"/>
            <w:vAlign w:val="bottom"/>
            <w:gridSpan w:val="6"/>
          </w:tcPr>
          <w:p>
            <w:pPr>
              <w:ind w:left="80"/>
              <w:spacing w:after="0"/>
              <w:rPr>
                <w:sz w:val="20"/>
                <w:szCs w:val="20"/>
                <w:color w:val="auto"/>
              </w:rPr>
            </w:pPr>
            <w:r>
              <w:rPr>
                <w:rFonts w:ascii="Arial" w:cs="Arial" w:eastAsia="Arial" w:hAnsi="Arial"/>
                <w:sz w:val="20"/>
                <w:szCs w:val="20"/>
                <w:b w:val="1"/>
                <w:bCs w:val="1"/>
                <w:color w:val="auto"/>
              </w:rPr>
              <w:t>EXHIBITS</w:t>
            </w:r>
          </w:p>
        </w:tc>
      </w:tr>
      <w:tr>
        <w:trPr>
          <w:trHeight w:val="415"/>
        </w:trPr>
        <w:tc>
          <w:tcPr>
            <w:tcW w:w="1200" w:type="dxa"/>
            <w:vAlign w:val="bottom"/>
          </w:tcPr>
          <w:p>
            <w:pPr>
              <w:spacing w:after="0"/>
              <w:rPr>
                <w:sz w:val="20"/>
                <w:szCs w:val="20"/>
                <w:color w:val="auto"/>
              </w:rPr>
            </w:pPr>
            <w:r>
              <w:rPr>
                <w:rFonts w:ascii="Arial" w:cs="Arial" w:eastAsia="Arial" w:hAnsi="Arial"/>
                <w:sz w:val="20"/>
                <w:szCs w:val="20"/>
                <w:color w:val="auto"/>
              </w:rPr>
              <w:t>31.1*</w:t>
            </w:r>
          </w:p>
        </w:tc>
        <w:tc>
          <w:tcPr>
            <w:tcW w:w="340" w:type="dxa"/>
            <w:vAlign w:val="bottom"/>
          </w:tcPr>
          <w:p>
            <w:pPr>
              <w:spacing w:after="0"/>
              <w:rPr>
                <w:sz w:val="24"/>
                <w:szCs w:val="24"/>
                <w:color w:val="auto"/>
              </w:rPr>
            </w:pPr>
          </w:p>
        </w:tc>
        <w:tc>
          <w:tcPr>
            <w:tcW w:w="7920" w:type="dxa"/>
            <w:vAlign w:val="bottom"/>
            <w:tcBorders>
              <w:bottom w:val="single" w:sz="8" w:color="0000EE"/>
            </w:tcBorders>
            <w:gridSpan w:val="3"/>
          </w:tcPr>
          <w:p>
            <w:pPr>
              <w:spacing w:after="0"/>
              <w:rPr>
                <w:rFonts w:ascii="Arial" w:cs="Arial" w:eastAsia="Arial" w:hAnsi="Arial"/>
                <w:sz w:val="20"/>
                <w:szCs w:val="20"/>
                <w:color w:val="0000EE"/>
                <w:w w:val="91"/>
              </w:rPr>
            </w:pPr>
            <w:hyperlink w:anchor="page32">
              <w:r>
                <w:rPr>
                  <w:rFonts w:ascii="Arial" w:cs="Arial" w:eastAsia="Arial" w:hAnsi="Arial"/>
                  <w:sz w:val="20"/>
                  <w:szCs w:val="20"/>
                  <w:color w:val="0000EE"/>
                  <w:w w:val="91"/>
                </w:rPr>
                <w:t>Certification of Chief Executive Officer Pursuant to Section 302 of the Sarbanes-Oxley Act of 2002</w:t>
              </w:r>
            </w:hyperlink>
          </w:p>
        </w:tc>
        <w:tc>
          <w:tcPr>
            <w:tcW w:w="1960" w:type="dxa"/>
            <w:vAlign w:val="bottom"/>
            <w:gridSpan w:val="2"/>
          </w:tcPr>
          <w:p>
            <w:pPr>
              <w:spacing w:after="0"/>
              <w:rPr>
                <w:sz w:val="24"/>
                <w:szCs w:val="24"/>
                <w:color w:val="auto"/>
              </w:rPr>
            </w:pPr>
          </w:p>
        </w:tc>
      </w:tr>
      <w:tr>
        <w:trPr>
          <w:trHeight w:val="439"/>
        </w:trPr>
        <w:tc>
          <w:tcPr>
            <w:tcW w:w="1200" w:type="dxa"/>
            <w:vAlign w:val="bottom"/>
          </w:tcPr>
          <w:p>
            <w:pPr>
              <w:spacing w:after="0"/>
              <w:rPr>
                <w:sz w:val="20"/>
                <w:szCs w:val="20"/>
                <w:color w:val="auto"/>
              </w:rPr>
            </w:pPr>
            <w:r>
              <w:rPr>
                <w:rFonts w:ascii="Arial" w:cs="Arial" w:eastAsia="Arial" w:hAnsi="Arial"/>
                <w:sz w:val="20"/>
                <w:szCs w:val="20"/>
                <w:color w:val="auto"/>
              </w:rPr>
              <w:t>31.2*</w:t>
            </w:r>
          </w:p>
        </w:tc>
        <w:tc>
          <w:tcPr>
            <w:tcW w:w="340" w:type="dxa"/>
            <w:vAlign w:val="bottom"/>
          </w:tcPr>
          <w:p>
            <w:pPr>
              <w:spacing w:after="0"/>
              <w:rPr>
                <w:sz w:val="24"/>
                <w:szCs w:val="24"/>
                <w:color w:val="auto"/>
              </w:rPr>
            </w:pPr>
          </w:p>
        </w:tc>
        <w:tc>
          <w:tcPr>
            <w:tcW w:w="9880" w:type="dxa"/>
            <w:vAlign w:val="bottom"/>
            <w:gridSpan w:val="5"/>
          </w:tcPr>
          <w:p>
            <w:pPr>
              <w:spacing w:after="0"/>
              <w:rPr>
                <w:rFonts w:ascii="Arial" w:cs="Arial" w:eastAsia="Arial" w:hAnsi="Arial"/>
                <w:sz w:val="20"/>
                <w:szCs w:val="20"/>
                <w:color w:val="0000EE"/>
              </w:rPr>
            </w:pPr>
            <w:hyperlink w:anchor="page33">
              <w:r>
                <w:rPr>
                  <w:rFonts w:ascii="Arial" w:cs="Arial" w:eastAsia="Arial" w:hAnsi="Arial"/>
                  <w:sz w:val="20"/>
                  <w:szCs w:val="20"/>
                  <w:color w:val="0000EE"/>
                </w:rPr>
                <w:t>Certification of Chief Financial Officer Pursuant to Section 302 of the Sarbanes-Oxley Act of 2002</w:t>
              </w:r>
            </w:hyperlink>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5600" w:type="dxa"/>
            <w:vAlign w:val="bottom"/>
            <w:shd w:val="clear" w:color="auto" w:fill="0000EE"/>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00" w:type="dxa"/>
            <w:vAlign w:val="bottom"/>
          </w:tcPr>
          <w:p>
            <w:pPr>
              <w:spacing w:after="0"/>
              <w:rPr>
                <w:sz w:val="20"/>
                <w:szCs w:val="20"/>
                <w:color w:val="auto"/>
              </w:rPr>
            </w:pPr>
            <w:r>
              <w:rPr>
                <w:rFonts w:ascii="Arial" w:cs="Arial" w:eastAsia="Arial" w:hAnsi="Arial"/>
                <w:sz w:val="20"/>
                <w:szCs w:val="20"/>
                <w:color w:val="auto"/>
              </w:rPr>
              <w:t>32.1*</w:t>
            </w:r>
          </w:p>
        </w:tc>
        <w:tc>
          <w:tcPr>
            <w:tcW w:w="340" w:type="dxa"/>
            <w:vAlign w:val="bottom"/>
          </w:tcPr>
          <w:p>
            <w:pPr>
              <w:spacing w:after="0"/>
              <w:rPr>
                <w:sz w:val="24"/>
                <w:szCs w:val="24"/>
                <w:color w:val="auto"/>
              </w:rPr>
            </w:pPr>
          </w:p>
        </w:tc>
        <w:tc>
          <w:tcPr>
            <w:tcW w:w="9880" w:type="dxa"/>
            <w:vAlign w:val="bottom"/>
            <w:tcBorders>
              <w:bottom w:val="single" w:sz="8" w:color="0000EE"/>
            </w:tcBorders>
            <w:gridSpan w:val="5"/>
          </w:tcPr>
          <w:p>
            <w:pPr>
              <w:spacing w:after="0"/>
              <w:rPr>
                <w:rFonts w:ascii="Arial" w:cs="Arial" w:eastAsia="Arial" w:hAnsi="Arial"/>
                <w:sz w:val="20"/>
                <w:szCs w:val="20"/>
                <w:color w:val="0000EE"/>
                <w:w w:val="94"/>
              </w:rPr>
            </w:pPr>
            <w:hyperlink w:anchor="page34">
              <w:r>
                <w:rPr>
                  <w:rFonts w:ascii="Arial" w:cs="Arial" w:eastAsia="Arial" w:hAnsi="Arial"/>
                  <w:sz w:val="20"/>
                  <w:szCs w:val="20"/>
                  <w:color w:val="0000EE"/>
                  <w:w w:val="94"/>
                </w:rPr>
                <w:t>Certification of Chief Executive Officer Pursuant to 18 U.S.C. Section 1350, as Adopted Pursuant to Section 906 of the</w:t>
              </w:r>
            </w:hyperlink>
          </w:p>
        </w:tc>
      </w:tr>
      <w:tr>
        <w:trPr>
          <w:trHeight w:val="210"/>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80" w:type="dxa"/>
            <w:vAlign w:val="bottom"/>
            <w:gridSpan w:val="5"/>
          </w:tcPr>
          <w:p>
            <w:pPr>
              <w:spacing w:after="0" w:line="209" w:lineRule="exact"/>
              <w:rPr>
                <w:rFonts w:ascii="Arial" w:cs="Arial" w:eastAsia="Arial" w:hAnsi="Arial"/>
                <w:sz w:val="20"/>
                <w:szCs w:val="20"/>
                <w:color w:val="0000EE"/>
              </w:rPr>
            </w:pPr>
            <w:hyperlink w:anchor="page34">
              <w:r>
                <w:rPr>
                  <w:rFonts w:ascii="Arial" w:cs="Arial" w:eastAsia="Arial" w:hAnsi="Arial"/>
                  <w:sz w:val="20"/>
                  <w:szCs w:val="20"/>
                  <w:color w:val="0000EE"/>
                </w:rPr>
                <w:t>Sarbanes-Oxley Act of 2002</w:t>
              </w:r>
            </w:hyperlink>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7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00" w:type="dxa"/>
            <w:vAlign w:val="bottom"/>
          </w:tcPr>
          <w:p>
            <w:pPr>
              <w:spacing w:after="0"/>
              <w:rPr>
                <w:sz w:val="20"/>
                <w:szCs w:val="20"/>
                <w:color w:val="auto"/>
              </w:rPr>
            </w:pPr>
            <w:r>
              <w:rPr>
                <w:rFonts w:ascii="Arial" w:cs="Arial" w:eastAsia="Arial" w:hAnsi="Arial"/>
                <w:sz w:val="20"/>
                <w:szCs w:val="20"/>
                <w:color w:val="auto"/>
              </w:rPr>
              <w:t>32.2*</w:t>
            </w:r>
          </w:p>
        </w:tc>
        <w:tc>
          <w:tcPr>
            <w:tcW w:w="340" w:type="dxa"/>
            <w:vAlign w:val="bottom"/>
          </w:tcPr>
          <w:p>
            <w:pPr>
              <w:spacing w:after="0"/>
              <w:rPr>
                <w:sz w:val="24"/>
                <w:szCs w:val="24"/>
                <w:color w:val="auto"/>
              </w:rPr>
            </w:pPr>
          </w:p>
        </w:tc>
        <w:tc>
          <w:tcPr>
            <w:tcW w:w="9880" w:type="dxa"/>
            <w:vAlign w:val="bottom"/>
            <w:gridSpan w:val="5"/>
          </w:tcPr>
          <w:p>
            <w:pPr>
              <w:spacing w:after="0"/>
              <w:rPr>
                <w:rFonts w:ascii="Arial" w:cs="Arial" w:eastAsia="Arial" w:hAnsi="Arial"/>
                <w:sz w:val="20"/>
                <w:szCs w:val="20"/>
                <w:color w:val="0000EE"/>
                <w:w w:val="94"/>
              </w:rPr>
            </w:pPr>
            <w:hyperlink w:anchor="page35">
              <w:r>
                <w:rPr>
                  <w:rFonts w:ascii="Arial" w:cs="Arial" w:eastAsia="Arial" w:hAnsi="Arial"/>
                  <w:sz w:val="20"/>
                  <w:szCs w:val="20"/>
                  <w:color w:val="0000EE"/>
                  <w:w w:val="94"/>
                </w:rPr>
                <w:t>Certification by Chief Financial Officer Pursuant to 18 U.S.C. Section 1350, as Adopted Pursuant to Section 906 of the</w:t>
              </w:r>
            </w:hyperlink>
          </w:p>
        </w:tc>
      </w:tr>
      <w:tr>
        <w:trPr>
          <w:trHeight w:val="210"/>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60" w:type="dxa"/>
            <w:vAlign w:val="bottom"/>
            <w:tcBorders>
              <w:top w:val="single" w:sz="8" w:color="0000EE"/>
            </w:tcBorders>
            <w:gridSpan w:val="4"/>
          </w:tcPr>
          <w:p>
            <w:pPr>
              <w:spacing w:after="0" w:line="209" w:lineRule="exact"/>
              <w:rPr>
                <w:rFonts w:ascii="Arial" w:cs="Arial" w:eastAsia="Arial" w:hAnsi="Arial"/>
                <w:sz w:val="20"/>
                <w:szCs w:val="20"/>
                <w:color w:val="0000EE"/>
              </w:rPr>
            </w:pPr>
            <w:hyperlink w:anchor="page35">
              <w:r>
                <w:rPr>
                  <w:rFonts w:ascii="Arial" w:cs="Arial" w:eastAsia="Arial" w:hAnsi="Arial"/>
                  <w:sz w:val="20"/>
                  <w:szCs w:val="20"/>
                  <w:color w:val="0000EE"/>
                </w:rPr>
                <w:t>Sarbanes-Oxley Act of 2002</w:t>
              </w:r>
            </w:hyperlink>
          </w:p>
        </w:tc>
        <w:tc>
          <w:tcPr>
            <w:tcW w:w="20" w:type="dxa"/>
            <w:vAlign w:val="bottom"/>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7620" w:type="dxa"/>
            <w:vAlign w:val="bottom"/>
            <w:gridSpan w:val="4"/>
          </w:tcPr>
          <w:p>
            <w:pPr>
              <w:spacing w:after="0" w:line="20" w:lineRule="exact"/>
              <w:rPr>
                <w:sz w:val="1"/>
                <w:szCs w:val="1"/>
                <w:color w:val="auto"/>
              </w:rPr>
            </w:pPr>
          </w:p>
        </w:tc>
      </w:tr>
      <w:tr>
        <w:trPr>
          <w:trHeight w:val="463"/>
        </w:trPr>
        <w:tc>
          <w:tcPr>
            <w:tcW w:w="1200" w:type="dxa"/>
            <w:vAlign w:val="bottom"/>
          </w:tcPr>
          <w:p>
            <w:pPr>
              <w:spacing w:after="0"/>
              <w:rPr>
                <w:sz w:val="20"/>
                <w:szCs w:val="20"/>
                <w:color w:val="auto"/>
              </w:rPr>
            </w:pPr>
            <w:r>
              <w:rPr>
                <w:rFonts w:ascii="Arial" w:cs="Arial" w:eastAsia="Arial" w:hAnsi="Arial"/>
                <w:sz w:val="20"/>
                <w:szCs w:val="20"/>
                <w:color w:val="auto"/>
              </w:rPr>
              <w:t>101*</w:t>
            </w:r>
          </w:p>
        </w:tc>
        <w:tc>
          <w:tcPr>
            <w:tcW w:w="340" w:type="dxa"/>
            <w:vAlign w:val="bottom"/>
          </w:tcPr>
          <w:p>
            <w:pPr>
              <w:spacing w:after="0"/>
              <w:rPr>
                <w:sz w:val="24"/>
                <w:szCs w:val="24"/>
                <w:color w:val="auto"/>
              </w:rPr>
            </w:pPr>
          </w:p>
        </w:tc>
        <w:tc>
          <w:tcPr>
            <w:tcW w:w="9880" w:type="dxa"/>
            <w:vAlign w:val="bottom"/>
            <w:gridSpan w:val="5"/>
          </w:tcPr>
          <w:p>
            <w:pPr>
              <w:spacing w:after="0"/>
              <w:rPr>
                <w:sz w:val="20"/>
                <w:szCs w:val="20"/>
                <w:color w:val="auto"/>
              </w:rPr>
            </w:pPr>
            <w:r>
              <w:rPr>
                <w:rFonts w:ascii="Arial" w:cs="Arial" w:eastAsia="Arial" w:hAnsi="Arial"/>
                <w:sz w:val="20"/>
                <w:szCs w:val="20"/>
                <w:color w:val="auto"/>
                <w:w w:val="93"/>
              </w:rPr>
              <w:t>The following financial information from Monster Beverage Corporation’s Quarterly Report on Form 10-Q for the quarter</w:t>
            </w:r>
          </w:p>
        </w:tc>
      </w:tr>
      <w:tr>
        <w:trPr>
          <w:trHeight w:val="230"/>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80" w:type="dxa"/>
            <w:vAlign w:val="bottom"/>
            <w:gridSpan w:val="5"/>
          </w:tcPr>
          <w:p>
            <w:pPr>
              <w:spacing w:after="0"/>
              <w:rPr>
                <w:sz w:val="20"/>
                <w:szCs w:val="20"/>
                <w:color w:val="auto"/>
              </w:rPr>
            </w:pPr>
            <w:r>
              <w:rPr>
                <w:rFonts w:ascii="Arial" w:cs="Arial" w:eastAsia="Arial" w:hAnsi="Arial"/>
                <w:sz w:val="20"/>
                <w:szCs w:val="20"/>
                <w:color w:val="auto"/>
                <w:w w:val="96"/>
              </w:rPr>
              <w:t>ended March 31, 2018, formatted in XBRL (eXtensible Business Reporting Language): (i) Condensed Consolidated</w:t>
            </w:r>
          </w:p>
        </w:tc>
      </w:tr>
      <w:tr>
        <w:trPr>
          <w:trHeight w:val="230"/>
        </w:trPr>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80" w:type="dxa"/>
            <w:vAlign w:val="bottom"/>
            <w:gridSpan w:val="5"/>
          </w:tcPr>
          <w:p>
            <w:pPr>
              <w:spacing w:after="0"/>
              <w:rPr>
                <w:sz w:val="20"/>
                <w:szCs w:val="20"/>
                <w:color w:val="auto"/>
              </w:rPr>
            </w:pPr>
            <w:r>
              <w:rPr>
                <w:rFonts w:ascii="Arial" w:cs="Arial" w:eastAsia="Arial" w:hAnsi="Arial"/>
                <w:sz w:val="20"/>
                <w:szCs w:val="20"/>
                <w:color w:val="auto"/>
                <w:w w:val="91"/>
              </w:rPr>
              <w:t>Balance Sheets as of March 31, 2018 and December 31, 2017, (ii) Condensed Consolidated Statements of Income for the</w:t>
            </w:r>
          </w:p>
        </w:tc>
      </w:tr>
      <w:tr>
        <w:trPr>
          <w:trHeight w:val="246"/>
        </w:trPr>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80" w:type="dxa"/>
            <w:vAlign w:val="bottom"/>
            <w:gridSpan w:val="5"/>
          </w:tcPr>
          <w:p>
            <w:pPr>
              <w:spacing w:after="0"/>
              <w:rPr>
                <w:sz w:val="20"/>
                <w:szCs w:val="20"/>
                <w:color w:val="auto"/>
              </w:rPr>
            </w:pPr>
            <w:r>
              <w:rPr>
                <w:rFonts w:ascii="Arial" w:cs="Arial" w:eastAsia="Arial" w:hAnsi="Arial"/>
                <w:sz w:val="20"/>
                <w:szCs w:val="20"/>
                <w:color w:val="auto"/>
                <w:w w:val="90"/>
              </w:rPr>
              <w:t>three-months ended March 31, 2018 and 2017, (iii) Condensed Consolidated Statements of Comprehensive Income for the</w:t>
            </w:r>
          </w:p>
        </w:tc>
      </w:tr>
    </w:tbl>
    <w:p>
      <w:pPr>
        <w:ind w:left="1540" w:right="40"/>
        <w:spacing w:after="0" w:line="269" w:lineRule="auto"/>
        <w:rPr>
          <w:sz w:val="20"/>
          <w:szCs w:val="20"/>
          <w:color w:val="auto"/>
        </w:rPr>
      </w:pPr>
      <w:r>
        <w:rPr>
          <w:rFonts w:ascii="Arial" w:cs="Arial" w:eastAsia="Arial" w:hAnsi="Arial"/>
          <w:sz w:val="19"/>
          <w:szCs w:val="19"/>
          <w:color w:val="auto"/>
        </w:rPr>
        <w:t>three-months ended March 31, 2018 and 2017, (iv) Condensed Consolidated Statements of Cash Flows for the three-months ended March 31, 2018 and 2017, and (v) the Notes to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Filed herewith</w:t>
      </w: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SIGNATURES</w:t>
      </w:r>
    </w:p>
    <w:p>
      <w:pPr>
        <w:spacing w:after="0" w:line="235"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Arial" w:cs="Arial" w:eastAsia="Arial" w:hAnsi="Arial"/>
                <w:sz w:val="20"/>
                <w:szCs w:val="20"/>
                <w:color w:val="auto"/>
              </w:rPr>
              <w:t>MONSTER BEVERAGE CORPORATION</w:t>
            </w:r>
          </w:p>
        </w:tc>
      </w:tr>
      <w:tr>
        <w:trPr>
          <w:trHeight w:val="250"/>
        </w:trPr>
        <w:tc>
          <w:tcPr>
            <w:tcW w:w="36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5680" w:type="dxa"/>
            <w:vAlign w:val="bottom"/>
            <w:gridSpan w:val="2"/>
          </w:tcPr>
          <w:p>
            <w:pPr>
              <w:spacing w:after="0"/>
              <w:rPr>
                <w:sz w:val="20"/>
                <w:szCs w:val="20"/>
                <w:color w:val="auto"/>
              </w:rPr>
            </w:pPr>
            <w:r>
              <w:rPr>
                <w:rFonts w:ascii="Arial" w:cs="Arial" w:eastAsia="Arial" w:hAnsi="Arial"/>
                <w:sz w:val="20"/>
                <w:szCs w:val="20"/>
                <w:color w:val="auto"/>
              </w:rPr>
              <w:t>Registrant</w:t>
            </w:r>
          </w:p>
        </w:tc>
      </w:tr>
      <w:tr>
        <w:trPr>
          <w:trHeight w:val="644"/>
        </w:trPr>
        <w:tc>
          <w:tcPr>
            <w:tcW w:w="3600" w:type="dxa"/>
            <w:vAlign w:val="bottom"/>
          </w:tcPr>
          <w:p>
            <w:pPr>
              <w:spacing w:after="0"/>
              <w:rPr>
                <w:sz w:val="20"/>
                <w:szCs w:val="20"/>
                <w:color w:val="auto"/>
              </w:rPr>
            </w:pPr>
            <w:r>
              <w:rPr>
                <w:rFonts w:ascii="Arial" w:cs="Arial" w:eastAsia="Arial" w:hAnsi="Arial"/>
                <w:sz w:val="20"/>
                <w:szCs w:val="20"/>
                <w:color w:val="auto"/>
              </w:rPr>
              <w:t>Date: May 10, 2018</w:t>
            </w:r>
          </w:p>
        </w:tc>
        <w:tc>
          <w:tcPr>
            <w:tcW w:w="218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20"/>
                <w:szCs w:val="20"/>
                <w:color w:val="auto"/>
              </w:rPr>
              <w:t>/s/ RODNEY C. SACKS</w:t>
            </w:r>
          </w:p>
        </w:tc>
      </w:tr>
      <w:tr>
        <w:trPr>
          <w:trHeight w:val="233"/>
        </w:trPr>
        <w:tc>
          <w:tcPr>
            <w:tcW w:w="36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98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Rodney C. Sacks</w:t>
            </w:r>
          </w:p>
        </w:tc>
        <w:tc>
          <w:tcPr>
            <w:tcW w:w="3700" w:type="dxa"/>
            <w:vAlign w:val="bottom"/>
          </w:tcPr>
          <w:p>
            <w:pPr>
              <w:spacing w:after="0"/>
              <w:rPr>
                <w:sz w:val="20"/>
                <w:szCs w:val="20"/>
                <w:color w:val="auto"/>
              </w:rPr>
            </w:pPr>
          </w:p>
        </w:tc>
      </w:tr>
      <w:tr>
        <w:trPr>
          <w:trHeight w:val="230"/>
        </w:trPr>
        <w:tc>
          <w:tcPr>
            <w:tcW w:w="36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Arial" w:cs="Arial" w:eastAsia="Arial" w:hAnsi="Arial"/>
                <w:sz w:val="20"/>
                <w:szCs w:val="20"/>
                <w:color w:val="auto"/>
              </w:rPr>
              <w:t>Chairman of the Board of Directors</w:t>
            </w:r>
          </w:p>
        </w:tc>
      </w:tr>
      <w:tr>
        <w:trPr>
          <w:trHeight w:val="250"/>
        </w:trPr>
        <w:tc>
          <w:tcPr>
            <w:tcW w:w="36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5680" w:type="dxa"/>
            <w:vAlign w:val="bottom"/>
            <w:gridSpan w:val="2"/>
          </w:tcPr>
          <w:p>
            <w:pPr>
              <w:spacing w:after="0"/>
              <w:rPr>
                <w:sz w:val="20"/>
                <w:szCs w:val="20"/>
                <w:color w:val="auto"/>
              </w:rPr>
            </w:pPr>
            <w:r>
              <w:rPr>
                <w:rFonts w:ascii="Arial" w:cs="Arial" w:eastAsia="Arial" w:hAnsi="Arial"/>
                <w:sz w:val="20"/>
                <w:szCs w:val="20"/>
                <w:color w:val="auto"/>
              </w:rPr>
              <w:t>and Chief Executive Officer</w:t>
            </w:r>
          </w:p>
        </w:tc>
      </w:tr>
      <w:tr>
        <w:trPr>
          <w:trHeight w:val="442"/>
        </w:trPr>
        <w:tc>
          <w:tcPr>
            <w:tcW w:w="3600" w:type="dxa"/>
            <w:vAlign w:val="bottom"/>
          </w:tcPr>
          <w:p>
            <w:pPr>
              <w:spacing w:after="0"/>
              <w:rPr>
                <w:sz w:val="24"/>
                <w:szCs w:val="24"/>
                <w:color w:val="auto"/>
              </w:rPr>
            </w:pPr>
          </w:p>
        </w:tc>
        <w:tc>
          <w:tcPr>
            <w:tcW w:w="4160" w:type="dxa"/>
            <w:vAlign w:val="bottom"/>
            <w:gridSpan w:val="2"/>
          </w:tcPr>
          <w:p>
            <w:pPr>
              <w:jc w:val="right"/>
              <w:ind w:right="1861"/>
              <w:spacing w:after="0"/>
              <w:rPr>
                <w:sz w:val="20"/>
                <w:szCs w:val="20"/>
                <w:color w:val="auto"/>
              </w:rPr>
            </w:pPr>
            <w:r>
              <w:rPr>
                <w:rFonts w:ascii="Arial" w:cs="Arial" w:eastAsia="Arial" w:hAnsi="Arial"/>
                <w:sz w:val="18"/>
                <w:szCs w:val="18"/>
                <w:color w:val="auto"/>
              </w:rPr>
              <w:t>49</w:t>
            </w:r>
          </w:p>
        </w:tc>
        <w:tc>
          <w:tcPr>
            <w:tcW w:w="3700" w:type="dxa"/>
            <w:vAlign w:val="bottom"/>
          </w:tcPr>
          <w:p>
            <w:pPr>
              <w:spacing w:after="0"/>
              <w:rPr>
                <w:sz w:val="24"/>
                <w:szCs w:val="24"/>
                <w:color w:val="auto"/>
              </w:rPr>
            </w:pPr>
          </w:p>
        </w:tc>
      </w:tr>
      <w:tr>
        <w:trPr>
          <w:trHeight w:val="132"/>
        </w:trPr>
        <w:tc>
          <w:tcPr>
            <w:tcW w:w="3600" w:type="dxa"/>
            <w:vAlign w:val="bottom"/>
            <w:tcBorders>
              <w:bottom w:val="single" w:sz="8" w:color="808080"/>
            </w:tcBorders>
          </w:tcPr>
          <w:p>
            <w:pPr>
              <w:spacing w:after="0"/>
              <w:rPr>
                <w:sz w:val="11"/>
                <w:szCs w:val="11"/>
                <w:color w:val="auto"/>
              </w:rPr>
            </w:pPr>
          </w:p>
        </w:tc>
        <w:tc>
          <w:tcPr>
            <w:tcW w:w="2180" w:type="dxa"/>
            <w:vAlign w:val="bottom"/>
            <w:tcBorders>
              <w:bottom w:val="single" w:sz="8" w:color="808080"/>
            </w:tcBorders>
          </w:tcPr>
          <w:p>
            <w:pPr>
              <w:spacing w:after="0"/>
              <w:rPr>
                <w:sz w:val="11"/>
                <w:szCs w:val="11"/>
                <w:color w:val="auto"/>
              </w:rPr>
            </w:pPr>
          </w:p>
        </w:tc>
        <w:tc>
          <w:tcPr>
            <w:tcW w:w="1980" w:type="dxa"/>
            <w:vAlign w:val="bottom"/>
            <w:tcBorders>
              <w:bottom w:val="single" w:sz="8" w:color="808080"/>
            </w:tcBorders>
          </w:tcPr>
          <w:p>
            <w:pPr>
              <w:spacing w:after="0"/>
              <w:rPr>
                <w:sz w:val="11"/>
                <w:szCs w:val="11"/>
                <w:color w:val="auto"/>
              </w:rPr>
            </w:pPr>
          </w:p>
        </w:tc>
        <w:tc>
          <w:tcPr>
            <w:tcW w:w="37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5" w:right="19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CERTIFICATION PURSUANT TO RULE 13A-14(a) OR 15D-14(a) OF THE SECURITIES EXCHANGE ACT OF 1934, AS ADOPTED PURSUANT TO SECTION 302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Rodney Sacks, certify that:</w:t>
      </w:r>
    </w:p>
    <w:p>
      <w:pPr>
        <w:spacing w:after="0" w:line="225"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Monster Beverage Corporation;</w:t>
      </w:r>
    </w:p>
    <w:p>
      <w:pPr>
        <w:spacing w:after="0" w:line="225" w:lineRule="exact"/>
        <w:rPr>
          <w:rFonts w:ascii="Arial" w:cs="Arial" w:eastAsia="Arial" w:hAnsi="Arial"/>
          <w:sz w:val="18"/>
          <w:szCs w:val="18"/>
          <w:color w:val="auto"/>
        </w:rPr>
      </w:pPr>
    </w:p>
    <w:p>
      <w:pPr>
        <w:ind w:left="340" w:hanging="332"/>
        <w:spacing w:after="0" w:line="342" w:lineRule="auto"/>
        <w:tabs>
          <w:tab w:leader="none" w:pos="529"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542"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52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620" w:hanging="315"/>
        <w:spacing w:after="0" w:line="264" w:lineRule="auto"/>
        <w:tabs>
          <w:tab w:leader="none" w:pos="1907"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620" w:hanging="315"/>
        <w:spacing w:after="0" w:line="264" w:lineRule="auto"/>
        <w:tabs>
          <w:tab w:leader="none" w:pos="1606"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620" w:hanging="315"/>
        <w:spacing w:after="0" w:line="342" w:lineRule="auto"/>
        <w:tabs>
          <w:tab w:leader="none" w:pos="1664"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620" w:hanging="315"/>
        <w:spacing w:after="0" w:line="264" w:lineRule="auto"/>
        <w:tabs>
          <w:tab w:leader="none" w:pos="1647"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hanging="332"/>
        <w:spacing w:after="0" w:line="308" w:lineRule="auto"/>
        <w:tabs>
          <w:tab w:leader="none" w:pos="448"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1620" w:hanging="315"/>
        <w:spacing w:after="0" w:line="308" w:lineRule="auto"/>
        <w:tabs>
          <w:tab w:leader="none" w:pos="1745"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620" w:hanging="315"/>
        <w:spacing w:after="0" w:line="277" w:lineRule="auto"/>
        <w:tabs>
          <w:tab w:leader="none" w:pos="16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4940" w:type="dxa"/>
            <w:vAlign w:val="bottom"/>
          </w:tcPr>
          <w:p>
            <w:pPr>
              <w:ind w:left="380"/>
              <w:spacing w:after="0"/>
              <w:rPr>
                <w:sz w:val="20"/>
                <w:szCs w:val="20"/>
                <w:color w:val="auto"/>
              </w:rPr>
            </w:pPr>
            <w:r>
              <w:rPr>
                <w:rFonts w:ascii="Arial" w:cs="Arial" w:eastAsia="Arial" w:hAnsi="Arial"/>
                <w:sz w:val="18"/>
                <w:szCs w:val="18"/>
                <w:color w:val="auto"/>
              </w:rPr>
              <w:t>May 10, 2018</w:t>
            </w:r>
          </w:p>
        </w:tc>
        <w:tc>
          <w:tcPr>
            <w:tcW w:w="5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Rodney C. Sacks</w:t>
            </w:r>
          </w:p>
        </w:tc>
      </w:tr>
      <w:tr>
        <w:trPr>
          <w:trHeight w:val="211"/>
        </w:trPr>
        <w:tc>
          <w:tcPr>
            <w:tcW w:w="7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5700" w:type="dxa"/>
            <w:vAlign w:val="bottom"/>
          </w:tcPr>
          <w:p>
            <w:pPr>
              <w:ind w:left="100"/>
              <w:spacing w:after="0"/>
              <w:rPr>
                <w:sz w:val="20"/>
                <w:szCs w:val="20"/>
                <w:color w:val="auto"/>
              </w:rPr>
            </w:pPr>
            <w:r>
              <w:rPr>
                <w:rFonts w:ascii="Arial" w:cs="Arial" w:eastAsia="Arial" w:hAnsi="Arial"/>
                <w:sz w:val="18"/>
                <w:szCs w:val="18"/>
                <w:color w:val="auto"/>
              </w:rPr>
              <w:t>Rodney C. Sacks</w:t>
            </w:r>
          </w:p>
        </w:tc>
      </w:tr>
    </w:tbl>
    <w:p>
      <w:pPr>
        <w:ind w:left="5820"/>
        <w:spacing w:after="0"/>
        <w:rPr>
          <w:sz w:val="20"/>
          <w:szCs w:val="20"/>
          <w:color w:val="auto"/>
        </w:rPr>
      </w:pPr>
      <w:r>
        <w:rPr>
          <w:rFonts w:ascii="Arial" w:cs="Arial" w:eastAsia="Arial" w:hAnsi="Arial"/>
          <w:sz w:val="18"/>
          <w:szCs w:val="18"/>
          <w:color w:val="auto"/>
        </w:rPr>
        <w:t>Chairman of the Board of Directors</w:t>
      </w:r>
    </w:p>
    <w:p>
      <w:pPr>
        <w:spacing w:after="0" w:line="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CERTIFICATION PURSUANT TO RULE 13A-14(a) OR 15D-14(a) OF THE SECURITIES EXCHANGE ACT OF 1934, AS ADOPTED PURSUANT TO SECTION 302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Hilton Schlosberg, certify that:</w:t>
      </w:r>
    </w:p>
    <w:p>
      <w:pPr>
        <w:spacing w:after="0" w:line="225"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Monster Beverage Corporation;</w:t>
      </w:r>
    </w:p>
    <w:p>
      <w:pPr>
        <w:spacing w:after="0" w:line="225" w:lineRule="exact"/>
        <w:rPr>
          <w:rFonts w:ascii="Arial" w:cs="Arial" w:eastAsia="Arial" w:hAnsi="Arial"/>
          <w:sz w:val="18"/>
          <w:szCs w:val="18"/>
          <w:color w:val="auto"/>
        </w:rPr>
      </w:pPr>
    </w:p>
    <w:p>
      <w:pPr>
        <w:ind w:left="340" w:hanging="332"/>
        <w:spacing w:after="0" w:line="342" w:lineRule="auto"/>
        <w:tabs>
          <w:tab w:leader="none" w:pos="529"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542"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52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620" w:hanging="315"/>
        <w:spacing w:after="0" w:line="264" w:lineRule="auto"/>
        <w:tabs>
          <w:tab w:leader="none" w:pos="1907"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620" w:hanging="315"/>
        <w:spacing w:after="0" w:line="264" w:lineRule="auto"/>
        <w:tabs>
          <w:tab w:leader="none" w:pos="1606"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620" w:hanging="315"/>
        <w:spacing w:after="0" w:line="342" w:lineRule="auto"/>
        <w:tabs>
          <w:tab w:leader="none" w:pos="1664"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620" w:hanging="315"/>
        <w:spacing w:after="0" w:line="264" w:lineRule="auto"/>
        <w:tabs>
          <w:tab w:leader="none" w:pos="1647"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hanging="332"/>
        <w:spacing w:after="0" w:line="308" w:lineRule="auto"/>
        <w:tabs>
          <w:tab w:leader="none" w:pos="448"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1620" w:hanging="315"/>
        <w:spacing w:after="0" w:line="308" w:lineRule="auto"/>
        <w:tabs>
          <w:tab w:leader="none" w:pos="1745"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620" w:hanging="315"/>
        <w:spacing w:after="0" w:line="277" w:lineRule="auto"/>
        <w:tabs>
          <w:tab w:leader="none" w:pos="16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4940" w:type="dxa"/>
            <w:vAlign w:val="bottom"/>
          </w:tcPr>
          <w:p>
            <w:pPr>
              <w:ind w:left="380"/>
              <w:spacing w:after="0"/>
              <w:rPr>
                <w:sz w:val="20"/>
                <w:szCs w:val="20"/>
                <w:color w:val="auto"/>
              </w:rPr>
            </w:pPr>
            <w:r>
              <w:rPr>
                <w:rFonts w:ascii="Arial" w:cs="Arial" w:eastAsia="Arial" w:hAnsi="Arial"/>
                <w:sz w:val="18"/>
                <w:szCs w:val="18"/>
                <w:color w:val="auto"/>
              </w:rPr>
              <w:t>May 10, 2018</w:t>
            </w:r>
          </w:p>
        </w:tc>
        <w:tc>
          <w:tcPr>
            <w:tcW w:w="5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Hilton H. Schlosberg</w:t>
            </w:r>
          </w:p>
        </w:tc>
      </w:tr>
      <w:tr>
        <w:trPr>
          <w:trHeight w:val="195"/>
        </w:trPr>
        <w:tc>
          <w:tcPr>
            <w:tcW w:w="78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5700" w:type="dxa"/>
            <w:vAlign w:val="bottom"/>
          </w:tcPr>
          <w:p>
            <w:pPr>
              <w:ind w:left="100"/>
              <w:spacing w:after="0" w:line="195" w:lineRule="exact"/>
              <w:rPr>
                <w:sz w:val="20"/>
                <w:szCs w:val="20"/>
                <w:color w:val="auto"/>
              </w:rPr>
            </w:pPr>
            <w:r>
              <w:rPr>
                <w:rFonts w:ascii="Arial" w:cs="Arial" w:eastAsia="Arial" w:hAnsi="Arial"/>
                <w:sz w:val="18"/>
                <w:szCs w:val="18"/>
                <w:color w:val="auto"/>
              </w:rPr>
              <w:t>Hilton H. Schlosberg</w:t>
            </w:r>
          </w:p>
        </w:tc>
      </w:tr>
      <w:tr>
        <w:trPr>
          <w:trHeight w:val="230"/>
        </w:trPr>
        <w:tc>
          <w:tcPr>
            <w:tcW w:w="7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700" w:type="dxa"/>
            <w:vAlign w:val="bottom"/>
          </w:tcPr>
          <w:p>
            <w:pPr>
              <w:ind w:left="100"/>
              <w:spacing w:after="0"/>
              <w:rPr>
                <w:sz w:val="20"/>
                <w:szCs w:val="20"/>
                <w:color w:val="auto"/>
              </w:rPr>
            </w:pPr>
            <w:r>
              <w:rPr>
                <w:rFonts w:ascii="Arial" w:cs="Arial" w:eastAsia="Arial" w:hAnsi="Arial"/>
                <w:sz w:val="18"/>
                <w:szCs w:val="18"/>
                <w:color w:val="auto"/>
              </w:rPr>
              <w:t>Vice Chairman of the Board of Directors,</w:t>
            </w:r>
          </w:p>
        </w:tc>
      </w:tr>
    </w:tbl>
    <w:p>
      <w:pPr>
        <w:ind w:left="5820"/>
        <w:spacing w:after="0"/>
        <w:rPr>
          <w:sz w:val="20"/>
          <w:szCs w:val="20"/>
          <w:color w:val="auto"/>
        </w:rPr>
      </w:pPr>
      <w:r>
        <w:rPr>
          <w:rFonts w:ascii="Arial" w:cs="Arial" w:eastAsia="Arial" w:hAnsi="Arial"/>
          <w:sz w:val="18"/>
          <w:szCs w:val="18"/>
          <w:color w:val="auto"/>
        </w:rPr>
        <w:t>President, Chief Operating Officer, Chief</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Financial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Monster Beverage Corporation (the “Company”) on Form 10-Q for the quarter ended March 31, 2018 as filed with the Securities and Exchange Commission (the “Report”), the undersigned, Rodney C. Sacks, Chairman of the Board of Directors and Chief Executive Officer of the Company, certifies, pursuant to 18 U.S.C. 1350, as adopted pursuant to Section 906 of the Sarbanes-Oxley Act of 2002, that:</w:t>
      </w:r>
    </w:p>
    <w:p>
      <w:pPr>
        <w:spacing w:after="0" w:line="166"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78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4900" w:type="dxa"/>
            <w:vAlign w:val="bottom"/>
          </w:tcPr>
          <w:p>
            <w:pPr>
              <w:ind w:left="420"/>
              <w:spacing w:after="0"/>
              <w:rPr>
                <w:sz w:val="20"/>
                <w:szCs w:val="20"/>
                <w:color w:val="auto"/>
              </w:rPr>
            </w:pPr>
            <w:r>
              <w:rPr>
                <w:rFonts w:ascii="Arial" w:cs="Arial" w:eastAsia="Arial" w:hAnsi="Arial"/>
                <w:sz w:val="18"/>
                <w:szCs w:val="18"/>
                <w:color w:val="auto"/>
              </w:rPr>
              <w:t>May 10, 2018</w:t>
            </w:r>
          </w:p>
        </w:tc>
        <w:tc>
          <w:tcPr>
            <w:tcW w:w="5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Rodney C. Sacks</w:t>
            </w:r>
          </w:p>
        </w:tc>
      </w:tr>
      <w:tr>
        <w:trPr>
          <w:trHeight w:val="211"/>
        </w:trPr>
        <w:tc>
          <w:tcPr>
            <w:tcW w:w="8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5700" w:type="dxa"/>
            <w:vAlign w:val="bottom"/>
          </w:tcPr>
          <w:p>
            <w:pPr>
              <w:ind w:left="100"/>
              <w:spacing w:after="0"/>
              <w:rPr>
                <w:sz w:val="20"/>
                <w:szCs w:val="20"/>
                <w:color w:val="auto"/>
              </w:rPr>
            </w:pPr>
            <w:r>
              <w:rPr>
                <w:rFonts w:ascii="Arial" w:cs="Arial" w:eastAsia="Arial" w:hAnsi="Arial"/>
                <w:sz w:val="18"/>
                <w:szCs w:val="18"/>
                <w:color w:val="auto"/>
              </w:rPr>
              <w:t>Rodney C. Sacks</w:t>
            </w:r>
          </w:p>
        </w:tc>
      </w:tr>
    </w:tbl>
    <w:p>
      <w:pPr>
        <w:ind w:left="5820"/>
        <w:spacing w:after="0"/>
        <w:rPr>
          <w:sz w:val="20"/>
          <w:szCs w:val="20"/>
          <w:color w:val="auto"/>
        </w:rPr>
      </w:pPr>
      <w:r>
        <w:rPr>
          <w:rFonts w:ascii="Arial" w:cs="Arial" w:eastAsia="Arial" w:hAnsi="Arial"/>
          <w:sz w:val="18"/>
          <w:szCs w:val="18"/>
          <w:color w:val="auto"/>
        </w:rPr>
        <w:t>Chairman of the Board of Directors</w:t>
      </w:r>
    </w:p>
    <w:p>
      <w:pPr>
        <w:spacing w:after="0" w:line="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Monster Beverage Corporation (the “Company”) on Form 10-Q for the quarter ended March 31, 2018 as filed with the Securities and Exchange Commission (the “Report”), the undersigned, Hilton H. Schlosberg, Vice Chairman of the Board of Directors, President, Chief Operating Officer, Chief Financial Officer and Secretary of the Company, certifies, pursuant to 18 U.S.C. 1350, as adopted pursuant to Section 906 of the Sarbanes-Oxley Act of 2002, that:</w:t>
      </w:r>
    </w:p>
    <w:p>
      <w:pPr>
        <w:spacing w:after="0" w:line="187"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78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4900" w:type="dxa"/>
            <w:vAlign w:val="bottom"/>
          </w:tcPr>
          <w:p>
            <w:pPr>
              <w:ind w:left="440"/>
              <w:spacing w:after="0"/>
              <w:rPr>
                <w:sz w:val="20"/>
                <w:szCs w:val="20"/>
                <w:color w:val="auto"/>
              </w:rPr>
            </w:pPr>
            <w:r>
              <w:rPr>
                <w:rFonts w:ascii="Arial" w:cs="Arial" w:eastAsia="Arial" w:hAnsi="Arial"/>
                <w:sz w:val="18"/>
                <w:szCs w:val="18"/>
                <w:color w:val="auto"/>
              </w:rPr>
              <w:t>May 10, 2018</w:t>
            </w:r>
          </w:p>
        </w:tc>
        <w:tc>
          <w:tcPr>
            <w:tcW w:w="5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Hilton H. Schlosberg</w:t>
            </w:r>
          </w:p>
        </w:tc>
      </w:tr>
      <w:tr>
        <w:trPr>
          <w:trHeight w:val="195"/>
        </w:trPr>
        <w:tc>
          <w:tcPr>
            <w:tcW w:w="8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5700" w:type="dxa"/>
            <w:vAlign w:val="bottom"/>
          </w:tcPr>
          <w:p>
            <w:pPr>
              <w:ind w:left="100"/>
              <w:spacing w:after="0" w:line="195" w:lineRule="exact"/>
              <w:rPr>
                <w:sz w:val="20"/>
                <w:szCs w:val="20"/>
                <w:color w:val="auto"/>
              </w:rPr>
            </w:pPr>
            <w:r>
              <w:rPr>
                <w:rFonts w:ascii="Arial" w:cs="Arial" w:eastAsia="Arial" w:hAnsi="Arial"/>
                <w:sz w:val="18"/>
                <w:szCs w:val="18"/>
                <w:color w:val="auto"/>
              </w:rPr>
              <w:t>Hilton H. Schlosberg</w:t>
            </w:r>
          </w:p>
        </w:tc>
      </w:tr>
      <w:tr>
        <w:trPr>
          <w:trHeight w:val="230"/>
        </w:trPr>
        <w:tc>
          <w:tcPr>
            <w:tcW w:w="8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5700" w:type="dxa"/>
            <w:vAlign w:val="bottom"/>
          </w:tcPr>
          <w:p>
            <w:pPr>
              <w:ind w:left="100"/>
              <w:spacing w:after="0"/>
              <w:rPr>
                <w:sz w:val="20"/>
                <w:szCs w:val="20"/>
                <w:color w:val="auto"/>
              </w:rPr>
            </w:pPr>
            <w:r>
              <w:rPr>
                <w:rFonts w:ascii="Arial" w:cs="Arial" w:eastAsia="Arial" w:hAnsi="Arial"/>
                <w:sz w:val="18"/>
                <w:szCs w:val="18"/>
                <w:color w:val="auto"/>
              </w:rPr>
              <w:t>Vice Chairman of the Board of Directors,</w:t>
            </w:r>
          </w:p>
        </w:tc>
      </w:tr>
    </w:tbl>
    <w:p>
      <w:pPr>
        <w:ind w:left="5820"/>
        <w:spacing w:after="0"/>
        <w:rPr>
          <w:sz w:val="20"/>
          <w:szCs w:val="20"/>
          <w:color w:val="auto"/>
        </w:rPr>
      </w:pPr>
      <w:r>
        <w:rPr>
          <w:rFonts w:ascii="Arial" w:cs="Arial" w:eastAsia="Arial" w:hAnsi="Arial"/>
          <w:sz w:val="18"/>
          <w:szCs w:val="18"/>
          <w:color w:val="auto"/>
        </w:rPr>
        <w:t>President, Chief Operating Officer, Chief</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Financial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1."/>
      <w:numFmt w:val="decimal"/>
      <w:start w:val="2"/>
    </w:lvl>
  </w:abstractNum>
  <w:abstractNum w:abstractNumId="2">
    <w:nsid w:val="257130A3"/>
    <w:multiLevelType w:val="hybridMultilevel"/>
    <w:lvl w:ilvl="0">
      <w:lvlJc w:val="left"/>
      <w:lvlText w:val="%1."/>
      <w:numFmt w:val="decimal"/>
      <w:start w:val="3"/>
    </w:lvl>
  </w:abstractNum>
  <w:abstractNum w:abstractNumId="3">
    <w:nsid w:val="62BBD95A"/>
    <w:multiLevelType w:val="hybridMultilevel"/>
    <w:lvl w:ilvl="0">
      <w:lvlJc w:val="left"/>
      <w:lvlText w:val="(%1)"/>
      <w:numFmt w:val="lowerRoman"/>
      <w:start w:val="2"/>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1)"/>
      <w:numFmt w:val="lowerRoman"/>
      <w:start w:val="1"/>
    </w:lvl>
  </w:abstractNum>
  <w:abstractNum w:abstractNumId="6">
    <w:nsid w:val="333AB105"/>
    <w:multiLevelType w:val="hybridMultilevel"/>
    <w:lvl w:ilvl="0">
      <w:lvlJc w:val="left"/>
      <w:lvlText w:val="1"/>
      <w:numFmt w:val="bullet"/>
      <w:start w:val="1"/>
    </w:lvl>
  </w:abstractNum>
  <w:abstractNum w:abstractNumId="7">
    <w:nsid w:val="721DA317"/>
    <w:multiLevelType w:val="hybridMultilevel"/>
    <w:lvl w:ilvl="0">
      <w:lvlJc w:val="left"/>
      <w:lvlText w:val="%1."/>
      <w:numFmt w:val="decimal"/>
      <w:start w:val="4"/>
    </w:lvl>
  </w:abstractNum>
  <w:abstractNum w:abstractNumId="8">
    <w:nsid w:val="2443A858"/>
    <w:multiLevelType w:val="hybridMultilevel"/>
    <w:lvl w:ilvl="0">
      <w:lvlJc w:val="left"/>
      <w:lvlText w:val="%1."/>
      <w:numFmt w:val="decimal"/>
      <w:start w:val="5"/>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1."/>
      <w:numFmt w:val="decimal"/>
      <w:start w:val="6"/>
    </w:lvl>
  </w:abstractNum>
  <w:abstractNum w:abstractNumId="11">
    <w:nsid w:val="75A2A8D4"/>
    <w:multiLevelType w:val="hybridMultilevel"/>
    <w:lvl w:ilvl="0">
      <w:lvlJc w:val="left"/>
      <w:lvlText w:val="%1."/>
      <w:numFmt w:val="decimal"/>
      <w:start w:val="7"/>
    </w:lvl>
  </w:abstractNum>
  <w:abstractNum w:abstractNumId="12">
    <w:nsid w:val="8EDBDAB"/>
    <w:multiLevelType w:val="hybridMultilevel"/>
    <w:lvl w:ilvl="0">
      <w:lvlJc w:val="left"/>
      <w:lvlText w:val="%1."/>
      <w:numFmt w:val="decimal"/>
      <w:start w:val="8"/>
    </w:lvl>
  </w:abstractNum>
  <w:abstractNum w:abstractNumId="13">
    <w:nsid w:val="79838CB2"/>
    <w:multiLevelType w:val="hybridMultilevel"/>
    <w:lvl w:ilvl="0">
      <w:lvlJc w:val="left"/>
      <w:lvlText w:val="%1."/>
      <w:numFmt w:val="decimal"/>
      <w:start w:val="9"/>
    </w:lvl>
  </w:abstractNum>
  <w:abstractNum w:abstractNumId="14">
    <w:nsid w:val="4353D0CD"/>
    <w:multiLevelType w:val="hybridMultilevel"/>
    <w:lvl w:ilvl="0">
      <w:lvlJc w:val="left"/>
      <w:lvlText w:val="%1."/>
      <w:numFmt w:val="decimal"/>
      <w:start w:val="10"/>
    </w:lvl>
  </w:abstractNum>
  <w:abstractNum w:abstractNumId="15">
    <w:nsid w:val="B03E0C6"/>
    <w:multiLevelType w:val="hybridMultilevel"/>
    <w:lvl w:ilvl="0">
      <w:lvlJc w:val="left"/>
      <w:lvlText w:val="%1."/>
      <w:numFmt w:val="decimal"/>
      <w:start w:val="11"/>
    </w:lvl>
  </w:abstractNum>
  <w:abstractNum w:abstractNumId="16">
    <w:nsid w:val="189A769B"/>
    <w:multiLevelType w:val="hybridMultilevel"/>
    <w:lvl w:ilvl="0">
      <w:lvlJc w:val="left"/>
      <w:lvlText w:val="%1."/>
      <w:numFmt w:val="decimal"/>
      <w:start w:val="12"/>
    </w:lvl>
  </w:abstractNum>
  <w:abstractNum w:abstractNumId="17">
    <w:nsid w:val="54E49EB4"/>
    <w:multiLevelType w:val="hybridMultilevel"/>
    <w:lvl w:ilvl="0">
      <w:lvlJc w:val="left"/>
      <w:lvlText w:val="%1."/>
      <w:numFmt w:val="decimal"/>
      <w:start w:val="13"/>
    </w:lvl>
  </w:abstractNum>
  <w:abstractNum w:abstractNumId="18">
    <w:nsid w:val="71F32454"/>
    <w:multiLevelType w:val="hybridMultilevel"/>
    <w:lvl w:ilvl="0">
      <w:lvlJc w:val="left"/>
      <w:lvlText w:val="%1."/>
      <w:numFmt w:val="decimal"/>
      <w:start w:val="14"/>
    </w:lvl>
  </w:abstractNum>
  <w:abstractNum w:abstractNumId="19">
    <w:nsid w:val="2CA88611"/>
    <w:multiLevelType w:val="hybridMultilevel"/>
    <w:lvl w:ilvl="0">
      <w:lvlJc w:val="left"/>
      <w:lvlText w:val="%1."/>
      <w:numFmt w:val="decimal"/>
      <w:start w:val="15"/>
    </w:lvl>
  </w:abstractNum>
  <w:abstractNum w:abstractNumId="20">
    <w:nsid w:val="836C40E"/>
    <w:multiLevelType w:val="hybridMultilevel"/>
    <w:lvl w:ilvl="0">
      <w:lvlJc w:val="left"/>
      <w:lvlText w:val="%1."/>
      <w:numFmt w:val="decimal"/>
      <w:start w:val="16"/>
    </w:lvl>
  </w:abstractNum>
  <w:abstractNum w:abstractNumId="21">
    <w:nsid w:val="2901D82"/>
    <w:multiLevelType w:val="hybridMultilevel"/>
    <w:lvl w:ilvl="0">
      <w:lvlJc w:val="left"/>
      <w:lvlText w:val="%1."/>
      <w:numFmt w:val="decimal"/>
      <w:start w:val="17"/>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8"/>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1)"/>
      <w:numFmt w:val="lowerRoman"/>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1)"/>
      <w:numFmt w:val="decimal"/>
      <w:start w:val="2"/>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2019-12-28T22:00:32Z</dcterms:created>
  <dcterms:modified xsi:type="dcterms:W3CDTF">2019-12-28T22:00:32Z</dcterms:modified>
</cp:coreProperties>
</file>