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50630x10q.htm"/>
        <w:bookmarkStart w:id="1" w:name="ksmnst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ab5766f7_45b5_4167_9c75_8e3a3460e98c"/>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041" w:type="dxa"/>
        <w:jc w:val="left"/>
        <w:tblInd w:w="0" w:type="dxa"/>
        <w:tblLayout w:type="fixed"/>
        <w:tblCellMar>
          <w:top w:w="0" w:type="dxa"/>
          <w:left w:w="0" w:type="dxa"/>
          <w:bottom w:w="0" w:type="dxa"/>
          <w:right w:w="0" w:type="dxa"/>
        </w:tblCellMar>
      </w:tblPr>
      <w:tblGrid>
        <w:gridCol w:w="3766"/>
        <w:gridCol w:w="3121"/>
        <w:gridCol w:w="154"/>
      </w:tblGrid>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June 30, 2025</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FxZQM3IJp0ytcZrLPIBRmw_3_2"/>
      <w:bookmarkStart w:id="4" w:name="Tc_Yn_anG3Rg0CVtlEzViyrtw_3_0"/>
      <w:bookmarkStart w:id="5" w:name="Tc_shsCAhJaa0OQWwvas4KCag_2_2"/>
      <w:bookmarkStart w:id="6" w:name="Tc_RrMvOOuawkqKyeU94Kb1WA_2_0"/>
      <w:bookmarkStart w:id="7" w:name="_7c34c122_80de_42ce_bdc9_cb651d4bdee5"/>
      <w:bookmarkStart w:id="8" w:name="Tc_FxZQM3IJp0ytcZrLPIBRmw_3_2"/>
      <w:bookmarkStart w:id="9" w:name="Tc_Yn_anG3Rg0CVtlEzViyrtw_3_0"/>
      <w:bookmarkStart w:id="10" w:name="Tc_shsCAhJaa0OQWwvas4KCag_2_2"/>
      <w:bookmarkStart w:id="11" w:name="Tc_RrMvOOuawkqKyeU94Kb1WA_2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g46ic8bcz0CgngbhpxRQFw_1_2"/>
      <w:bookmarkStart w:id="14" w:name="Tc_HnKrsTODgEuhGjZA_C3C-Q_1_1"/>
      <w:bookmarkStart w:id="15" w:name="Tc_cf9YY3Nt20K9kJZ9s61tHw_1_0"/>
      <w:bookmarkStart w:id="16" w:name="_fa178305_9a1f_42a6_93c4_acbfe5acb49e"/>
      <w:bookmarkStart w:id="17" w:name="Tc_g46ic8bcz0CgngbhpxRQFw_1_2"/>
      <w:bookmarkStart w:id="18" w:name="Tc_HnKrsTODgEuhGjZA_C3C-Q_1_1"/>
      <w:bookmarkStart w:id="19" w:name="Tc_cf9YY3Nt20K9kJZ9s61tHw_1_0"/>
      <w:bookmarkStart w:id="20" w:name="_fa178305_9a1f_42a6_93c4_acbfe5acb49e"/>
      <w:bookmarkEnd w:id="17"/>
      <w:bookmarkEnd w:id="18"/>
      <w:bookmarkEnd w:id="19"/>
      <w:bookmarkEnd w:id="20"/>
    </w:p>
    <w:tbl>
      <w:tblPr>
        <w:tblW w:w="5718" w:type="dxa"/>
        <w:jc w:val="left"/>
        <w:tblInd w:w="0" w:type="dxa"/>
        <w:tblLayout w:type="fixed"/>
        <w:tblCellMar>
          <w:top w:w="0" w:type="dxa"/>
          <w:left w:w="0" w:type="dxa"/>
          <w:bottom w:w="0" w:type="dxa"/>
          <w:right w:w="0" w:type="dxa"/>
        </w:tblCellMar>
      </w:tblPr>
      <w:tblGrid>
        <w:gridCol w:w="1576"/>
        <w:gridCol w:w="1621"/>
        <w:gridCol w:w="25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w:t>
              <w:br/>
              <w:t>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had 976,428,189 shares of common stock, par value $0.005 per share, outstanding as of July 31, 2025.</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9742eec2_ecef_4af3_875e_73016559e833"/>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9"/>
        <w:gridCol w:w="8314"/>
        <w:gridCol w:w="326"/>
        <w:gridCol w:w="826"/>
      </w:tblGrid>
      <w:tr>
        <w:trPr/>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9265" cy="175260"/>
                      <wp:effectExtent l="0" t="0" r="0" b="0"/>
                      <wp:wrapNone/>
                      <wp:docPr id="1" name="Frame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79390" cy="175260"/>
                      <wp:effectExtent l="0" t="0" r="0" b="0"/>
                      <wp:wrapNone/>
                      <wp:docPr id="2" name="Frame2"/>
                      <a:graphic xmlns:a="http://schemas.openxmlformats.org/drawingml/2006/main">
                        <a:graphicData uri="http://schemas.microsoft.com/office/word/2010/wordprocessingShape">
                          <wps:wsp>
                            <wps:cNvSpPr txBox="1"/>
                            <wps:spPr>
                              <a:xfrm>
                                <a:off x="0" y="0"/>
                                <a:ext cx="527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314"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314" w:type="dxa"/>
            <w:tcBorders/>
            <w:vAlign w:val="center"/>
          </w:tcPr>
          <w:p>
            <w:pPr>
              <w:pStyle w:val="TableContents"/>
              <w:pBdr/>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June 30, 2025 and December 31, 2024</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 and Six-Months Ended June 30, 2025 and 2024</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 Consolidated Statements of Comprehensive Income for the Three- and Six-Months Ended June 30, 2025 and 2024</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 and Six-Months Ended June 30, 2025 and 2024</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Six-Months Ended June 30, 2025 and 2024</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314" w:type="dxa"/>
            <w:tcBorders/>
            <w:vAlign w:val="center"/>
          </w:tcPr>
          <w:p>
            <w:pPr>
              <w:pStyle w:val="TableContents"/>
              <w:pBdr/>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14"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314" w:type="dxa"/>
            <w:tcBorders/>
            <w:vAlign w:val="center"/>
          </w:tcPr>
          <w:p>
            <w:pPr>
              <w:pStyle w:val="TableContents"/>
              <w:pBdr/>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314"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314" w:type="dxa"/>
            <w:tcBorders/>
            <w:vAlign w:val="center"/>
          </w:tcPr>
          <w:p>
            <w:pPr>
              <w:pStyle w:val="TableContents"/>
              <w:pBdr/>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314" w:type="dxa"/>
            <w:tcBorders/>
            <w:vAlign w:val="center"/>
          </w:tcPr>
          <w:p>
            <w:pPr>
              <w:pStyle w:val="TableContents"/>
              <w:pBdr/>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314" w:type="dxa"/>
            <w:tcBorders/>
            <w:vAlign w:val="center"/>
          </w:tcPr>
          <w:p>
            <w:pPr>
              <w:pStyle w:val="TableContents"/>
              <w:pBdr/>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314" w:type="dxa"/>
            <w:tcBorders/>
            <w:vAlign w:val="center"/>
          </w:tcPr>
          <w:p>
            <w:pPr>
              <w:pStyle w:val="TableContents"/>
              <w:pBdr/>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314" w:type="dxa"/>
            <w:tcBorders/>
            <w:vAlign w:val="center"/>
          </w:tcPr>
          <w:p>
            <w:pPr>
              <w:pStyle w:val="TableContents"/>
              <w:pBdr/>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314" w:type="dxa"/>
            <w:tcBorders/>
            <w:vAlign w:val="center"/>
          </w:tcPr>
          <w:p>
            <w:pPr>
              <w:pStyle w:val="TableContents"/>
              <w:pBdr/>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314" w:type="dxa"/>
            <w:tcBorders/>
            <w:vAlign w:val="center"/>
          </w:tcPr>
          <w:p>
            <w:pPr>
              <w:pStyle w:val="TableContents"/>
              <w:pBdr/>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39" w:type="dxa"/>
            <w:tcBorders/>
            <w:vAlign w:val="center"/>
          </w:tcPr>
          <w:p>
            <w:pPr>
              <w:pStyle w:val="TableContents"/>
              <w:bidi w:val="0"/>
              <w:spacing w:before="0" w:after="0"/>
              <w:ind w:left="0" w:right="0" w:hanging="0"/>
              <w:jc w:val="left"/>
              <w:rPr/>
            </w:pPr>
            <w:r>
              <w:rPr/>
              <w:t>​</w:t>
            </w:r>
          </w:p>
        </w:tc>
        <w:tc>
          <w:tcPr>
            <w:tcW w:w="8314" w:type="dxa"/>
            <w:tcBorders/>
            <w:vAlign w:val="center"/>
          </w:tcPr>
          <w:p>
            <w:pPr>
              <w:pStyle w:val="TableContents"/>
              <w:pBdr/>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3" w:name="PARTIFINANCIALINFORMATION_555950"/>
      <w:bookmarkStart w:id="24" w:name="_ebb657f4_fec0_42c6_8341_d981ece27cba"/>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JUNE 30, 2025 AND DECEMBER 31,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qTmy3K83QEGX6YS3bY14mw_45_5"/>
      <w:bookmarkStart w:id="28" w:name="Tc_hrLbf8uUHUyejlyLjOQYRA_45_2"/>
      <w:bookmarkStart w:id="29" w:name="Tc_xUbqiRz3f0KXL-j0d2-v3A_45_0"/>
      <w:bookmarkStart w:id="30" w:name="Tc_M023GoBuNUib-epi9U5yTQ_44_0"/>
      <w:bookmarkStart w:id="31" w:name="Tc_eSFt4ADBCkmmx2y1TxeJaA_43_0"/>
      <w:bookmarkStart w:id="32" w:name="Tc_2LgZCtOSF0WFQ2Nm5oIYBQ_42_0"/>
      <w:bookmarkStart w:id="33" w:name="Tc_7dmGt_vbd0CYs3L2nUyLyg_41_0"/>
      <w:bookmarkStart w:id="34" w:name="Tc_oVAq017PUkyc8O7y2UG3-g_40_0"/>
      <w:bookmarkStart w:id="35" w:name="Tc_hLmiRWH-D06ARvidgCg9tA_39_0"/>
      <w:bookmarkStart w:id="36" w:name="Tc_6oPzrb04o0usH1cBcOTZTA_37_0"/>
      <w:bookmarkStart w:id="37" w:name="Tc_PvSsfmZmokixA6qlwY6SfQ_35_0"/>
      <w:bookmarkStart w:id="38" w:name="Tc_v_cL0KHNTEaqeoprXmVAfg_33_0"/>
      <w:bookmarkStart w:id="39" w:name="Tc_FqV3hZUDZkC2klwm64iV9Q_32_0"/>
      <w:bookmarkStart w:id="40" w:name="Tc_iEUIwBsQlkyDU95MufY9jw_31_0"/>
      <w:bookmarkStart w:id="41" w:name="Tc_J9bP9dGx1Eu9Hr64o7Ax_w_29_0"/>
      <w:bookmarkStart w:id="42" w:name="Tc_ImHWw-Nc-02BLPtUA8srpw_28_0"/>
      <w:bookmarkStart w:id="43" w:name="Tc_SP_YJWuR6UeOS4qcWW0VDg_27_0"/>
      <w:bookmarkStart w:id="44" w:name="Tc_BacbYUnlwUa5atJNvCVakQ_26_0"/>
      <w:bookmarkStart w:id="45" w:name="Tc_VeIQnez3XEG0uOX7pltvGg_25_0"/>
      <w:bookmarkStart w:id="46" w:name="Tc_xOhhry_RNUylnImrycs3eA_24_0"/>
      <w:bookmarkStart w:id="47" w:name="Tc_7XWvfLXOpE-IiO7dl0usDw_23_5"/>
      <w:bookmarkStart w:id="48" w:name="Tc_0MqziMhOhUWXFcbXz6LS6w_23_2"/>
      <w:bookmarkStart w:id="49" w:name="Tc_SVlxB_USxk6ovXYf4FeXHg_23_0"/>
      <w:bookmarkStart w:id="50" w:name="Tc_FGLG9ihZ20yfSjK-0qMvHw_22_0"/>
      <w:bookmarkStart w:id="51" w:name="Tc_XlZ9sBAffUuHjLv5bVK8mg_21_0"/>
      <w:bookmarkStart w:id="52" w:name="Tc_hZqakQ5FgU2I2WigQSFBOw_19_5"/>
      <w:bookmarkStart w:id="53" w:name="Tc_mtRMtjZYCkKzaZISPQHEpg_19_2"/>
      <w:bookmarkStart w:id="54" w:name="Tc_nnS0pL2lPE28xHP7-K0q8g_19_0"/>
      <w:bookmarkStart w:id="55" w:name="Tc_VGnEdNVqSkSq9jLjwks_kQ_18_0"/>
      <w:bookmarkStart w:id="56" w:name="Tc_SM-0M1Yn0UuiwXJsN4Qt5Q_17_0"/>
      <w:bookmarkStart w:id="57" w:name="Tc_IN134JcTi0enz8dmSxC72Q_16_0"/>
      <w:bookmarkStart w:id="58" w:name="Tc_0tu7bZllREaqK1Vq5aA5sg_15_0"/>
      <w:bookmarkStart w:id="59" w:name="Tc_5Pqq3kH380-h8eIfsjguIw_14_0"/>
      <w:bookmarkStart w:id="60" w:name="Tc_aD2I6YX5rkWMU9Lncy8w0w_13_0"/>
      <w:bookmarkStart w:id="61" w:name="Tc_rtlfv1HlyUOd0YOS7pf-vQ_11_0"/>
      <w:bookmarkStart w:id="62" w:name="Tc_vWZW4WmHvEefSHyaA2bAXA_10_0"/>
      <w:bookmarkStart w:id="63" w:name="Tc_GQn-qDuxAkOxTZ5LTa0_4A_9_0"/>
      <w:bookmarkStart w:id="64" w:name="Tc_1HGSlO0CMEGz1YGmoFaIDA_8_0"/>
      <w:bookmarkStart w:id="65" w:name="Tc_v4_BbdMOCE-P74LFDG7ZKg_7_0"/>
      <w:bookmarkStart w:id="66" w:name="Tc_07PMBUbcSEmKUh0GIqGU5g_6_0"/>
      <w:bookmarkStart w:id="67" w:name="Tc_cQniHPzJUUyuKNhx07NPvA_5_5"/>
      <w:bookmarkStart w:id="68" w:name="Tc_8nZ_sduVcUyscmVFAjtR4A_5_2"/>
      <w:bookmarkStart w:id="69" w:name="Tc_wwR45kIzB0iXs0-M756lTg_5_0"/>
      <w:bookmarkStart w:id="70" w:name="Tc_h47B0NnXYU2tx4U0qAjNxw_4_0"/>
      <w:bookmarkStart w:id="71" w:name="Tc_vWoUD3rs60m9srq2rl_qMA_3_0"/>
      <w:bookmarkStart w:id="72" w:name="Tc_Kw1X6nAEsEmR8KN2tqGMOg_2_5"/>
      <w:bookmarkStart w:id="73" w:name="Tc_-LGprHWeUUyrolfCwhpNfQ_2_2"/>
      <w:bookmarkStart w:id="74" w:name="Tc_9fgaNE82EEOBDOOahqmehg_1_5"/>
      <w:bookmarkStart w:id="75" w:name="Tc_utvDwdtWrEqyV1liy_lpBQ_1_2"/>
      <w:bookmarkStart w:id="76" w:name="_aa78ee75_a14b_4317_a4f4_2660b50578dd"/>
      <w:bookmarkStart w:id="77" w:name="Tc_qTmy3K83QEGX6YS3bY14mw_45_5"/>
      <w:bookmarkStart w:id="78" w:name="Tc_hrLbf8uUHUyejlyLjOQYRA_45_2"/>
      <w:bookmarkStart w:id="79" w:name="Tc_xUbqiRz3f0KXL-j0d2-v3A_45_0"/>
      <w:bookmarkStart w:id="80" w:name="Tc_M023GoBuNUib-epi9U5yTQ_44_0"/>
      <w:bookmarkStart w:id="81" w:name="Tc_eSFt4ADBCkmmx2y1TxeJaA_43_0"/>
      <w:bookmarkStart w:id="82" w:name="Tc_2LgZCtOSF0WFQ2Nm5oIYBQ_42_0"/>
      <w:bookmarkStart w:id="83" w:name="Tc_7dmGt_vbd0CYs3L2nUyLyg_41_0"/>
      <w:bookmarkStart w:id="84" w:name="Tc_oVAq017PUkyc8O7y2UG3-g_40_0"/>
      <w:bookmarkStart w:id="85" w:name="Tc_hLmiRWH-D06ARvidgCg9tA_39_0"/>
      <w:bookmarkStart w:id="86" w:name="Tc_6oPzrb04o0usH1cBcOTZTA_37_0"/>
      <w:bookmarkStart w:id="87" w:name="Tc_PvSsfmZmokixA6qlwY6SfQ_35_0"/>
      <w:bookmarkStart w:id="88" w:name="Tc_v_cL0KHNTEaqeoprXmVAfg_33_0"/>
      <w:bookmarkStart w:id="89" w:name="Tc_FqV3hZUDZkC2klwm64iV9Q_32_0"/>
      <w:bookmarkStart w:id="90" w:name="Tc_iEUIwBsQlkyDU95MufY9jw_31_0"/>
      <w:bookmarkStart w:id="91" w:name="Tc_J9bP9dGx1Eu9Hr64o7Ax_w_29_0"/>
      <w:bookmarkStart w:id="92" w:name="Tc_ImHWw-Nc-02BLPtUA8srpw_28_0"/>
      <w:bookmarkStart w:id="93" w:name="Tc_SP_YJWuR6UeOS4qcWW0VDg_27_0"/>
      <w:bookmarkStart w:id="94" w:name="Tc_BacbYUnlwUa5atJNvCVakQ_26_0"/>
      <w:bookmarkStart w:id="95" w:name="Tc_VeIQnez3XEG0uOX7pltvGg_25_0"/>
      <w:bookmarkStart w:id="96" w:name="Tc_xOhhry_RNUylnImrycs3eA_24_0"/>
      <w:bookmarkStart w:id="97" w:name="Tc_7XWvfLXOpE-IiO7dl0usDw_23_5"/>
      <w:bookmarkStart w:id="98" w:name="Tc_0MqziMhOhUWXFcbXz6LS6w_23_2"/>
      <w:bookmarkStart w:id="99" w:name="Tc_SVlxB_USxk6ovXYf4FeXHg_23_0"/>
      <w:bookmarkStart w:id="100" w:name="Tc_FGLG9ihZ20yfSjK-0qMvHw_22_0"/>
      <w:bookmarkStart w:id="101" w:name="Tc_XlZ9sBAffUuHjLv5bVK8mg_21_0"/>
      <w:bookmarkStart w:id="102" w:name="Tc_hZqakQ5FgU2I2WigQSFBOw_19_5"/>
      <w:bookmarkStart w:id="103" w:name="Tc_mtRMtjZYCkKzaZISPQHEpg_19_2"/>
      <w:bookmarkStart w:id="104" w:name="Tc_nnS0pL2lPE28xHP7-K0q8g_19_0"/>
      <w:bookmarkStart w:id="105" w:name="Tc_VGnEdNVqSkSq9jLjwks_kQ_18_0"/>
      <w:bookmarkStart w:id="106" w:name="Tc_SM-0M1Yn0UuiwXJsN4Qt5Q_17_0"/>
      <w:bookmarkStart w:id="107" w:name="Tc_IN134JcTi0enz8dmSxC72Q_16_0"/>
      <w:bookmarkStart w:id="108" w:name="Tc_0tu7bZllREaqK1Vq5aA5sg_15_0"/>
      <w:bookmarkStart w:id="109" w:name="Tc_5Pqq3kH380-h8eIfsjguIw_14_0"/>
      <w:bookmarkStart w:id="110" w:name="Tc_aD2I6YX5rkWMU9Lncy8w0w_13_0"/>
      <w:bookmarkStart w:id="111" w:name="Tc_rtlfv1HlyUOd0YOS7pf-vQ_11_0"/>
      <w:bookmarkStart w:id="112" w:name="Tc_vWZW4WmHvEefSHyaA2bAXA_10_0"/>
      <w:bookmarkStart w:id="113" w:name="Tc_GQn-qDuxAkOxTZ5LTa0_4A_9_0"/>
      <w:bookmarkStart w:id="114" w:name="Tc_1HGSlO0CMEGz1YGmoFaIDA_8_0"/>
      <w:bookmarkStart w:id="115" w:name="Tc_v4_BbdMOCE-P74LFDG7ZKg_7_0"/>
      <w:bookmarkStart w:id="116" w:name="Tc_07PMBUbcSEmKUh0GIqGU5g_6_0"/>
      <w:bookmarkStart w:id="117" w:name="Tc_cQniHPzJUUyuKNhx07NPvA_5_5"/>
      <w:bookmarkStart w:id="118" w:name="Tc_8nZ_sduVcUyscmVFAjtR4A_5_2"/>
      <w:bookmarkStart w:id="119" w:name="Tc_wwR45kIzB0iXs0-M756lTg_5_0"/>
      <w:bookmarkStart w:id="120" w:name="Tc_h47B0NnXYU2tx4U0qAjNxw_4_0"/>
      <w:bookmarkStart w:id="121" w:name="Tc_vWoUD3rs60m9srq2rl_qMA_3_0"/>
      <w:bookmarkStart w:id="122" w:name="Tc_Kw1X6nAEsEmR8KN2tqGMOg_2_5"/>
      <w:bookmarkStart w:id="123" w:name="Tc_-LGprHWeUUyrolfCwhpNfQ_2_2"/>
      <w:bookmarkStart w:id="124" w:name="Tc_9fgaNE82EEOBDOOahqmehg_1_5"/>
      <w:bookmarkStart w:id="125" w:name="Tc_utvDwdtWrEqyV1liy_lpBQ_1_2"/>
      <w:bookmarkStart w:id="126" w:name="_aa78ee75_a14b_4317_a4f4_2660b50578dd"/>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272"/>
        <w:gridCol w:w="326"/>
        <w:gridCol w:w="196"/>
        <w:gridCol w:w="909"/>
        <w:gridCol w:w="326"/>
        <w:gridCol w:w="198"/>
        <w:gridCol w:w="978"/>
      </w:tblGrid>
      <w:tr>
        <w:trPr/>
        <w:tc>
          <w:tcPr>
            <w:tcW w:w="7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17720" cy="175260"/>
                      <wp:effectExtent l="0" t="0" r="0" b="0"/>
                      <wp:wrapNone/>
                      <wp:docPr id="4" name="Frame4"/>
                      <a:graphic xmlns:a="http://schemas.openxmlformats.org/drawingml/2006/main">
                        <a:graphicData uri="http://schemas.microsoft.com/office/word/2010/wordprocessingShape">
                          <wps:wsp>
                            <wps:cNvSpPr txBox="1"/>
                            <wps:spPr>
                              <a:xfrm>
                                <a:off x="0" y="0"/>
                                <a:ext cx="461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7215" cy="175260"/>
                      <wp:effectExtent l="0" t="0" r="0" b="0"/>
                      <wp:wrapNone/>
                      <wp:docPr id="7" name="Frame7"/>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5730" cy="175260"/>
                      <wp:effectExtent l="0" t="0" r="0" b="0"/>
                      <wp:wrapNone/>
                      <wp:docPr id="9" name="Frame9"/>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1030" cy="175260"/>
                      <wp:effectExtent l="0" t="0" r="0" b="0"/>
                      <wp:wrapNone/>
                      <wp:docPr id="10" name="Frame10"/>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1,926,927</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1,533,287</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145,253</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1,522,702</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1,221,646</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658,167</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737,107</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137,257</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107,262</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39,034</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42,202</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4,429,340</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3,641,504</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138,058</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1,090,898</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1,047,024</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184,791</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184,260</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1,418,827</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1,414,252</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136,331</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100,406</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8,729,888</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r>
      <w:tr>
        <w:trPr/>
        <w:tc>
          <w:tcPr>
            <w:tcW w:w="72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489,037</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466,775</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258,937</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220,764</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360,406</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267,711</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49,279</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45,809</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72,838</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92,454</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28,121</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1,258,618</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1,097,519</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169,763</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179,008</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110,203</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110,893</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373,951</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r>
      <w:tr>
        <w:trPr/>
        <w:tc>
          <w:tcPr>
            <w:tcW w:w="7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1,129,950 shares issued and 976,398 shares outstanding as of June 30, 2025; 1,126,329 shares issued and 973,079 shares outstanding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5,650</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5,285,157</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5,144,922</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8,380,571</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7,448,784</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(91,308)</w:t>
            </w:r>
          </w:p>
        </w:tc>
        <w:tc>
          <w:tcPr>
            <w:tcW w:w="32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(269,487)</w:t>
            </w:r>
          </w:p>
        </w:tc>
      </w:tr>
      <w:tr>
        <w:trPr/>
        <w:tc>
          <w:tcPr>
            <w:tcW w:w="72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in treasury, at cost; 153,552 shares and 153,250 shares as of June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(6,388,766)</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(6,372,133)</w:t>
            </w:r>
          </w:p>
        </w:tc>
      </w:tr>
      <w:tr>
        <w:trPr/>
        <w:tc>
          <w:tcPr>
            <w:tcW w:w="727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7,191,304</w:t>
            </w:r>
          </w:p>
        </w:tc>
        <w:tc>
          <w:tcPr>
            <w:tcW w:w="326" w:type="dxa"/>
            <w:tcBorders/>
            <w:vAlign w:val="center"/>
          </w:tcPr>
          <w:p>
            <w:pPr>
              <w:pStyle w:val="TableContents"/>
              <w:bidi w:val="0"/>
              <w:spacing w:before="0" w:after="0"/>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5,957,718</w:t>
            </w:r>
          </w:p>
        </w:tc>
      </w:tr>
      <w:tr>
        <w:trPr/>
        <w:tc>
          <w:tcPr>
            <w:tcW w:w="727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8,729,888</w:t>
            </w:r>
          </w:p>
        </w:tc>
        <w:tc>
          <w:tcPr>
            <w:tcW w:w="326" w:type="dxa"/>
            <w:tcBorders/>
            <w:shd w:fill="CCEE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7,719,089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7" w:name="_5d80ba39_bed6_48d6_ad04_6051226374fd"/>
      <w:bookmarkEnd w:id="127"/>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28" w:name="STATEMENTSOFINCOME_393941"/>
      <w:bookmarkEnd w:id="128"/>
      <w:r>
        <w:rPr>
          <w:rFonts w:ascii="Times New Roman;Times;serif" w:hAnsi="Times New Roman;Times;serif"/>
          <w:b/>
          <w:sz w:val="20"/>
        </w:rPr>
        <w:t>CONDENSED CONSOLIDATED STATEMENTS OF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SIX-MONTHS ENDED JUNE 30</w:t>
      </w:r>
      <w:r>
        <w:rPr>
          <w:rFonts w:ascii="Times New Roman;Times;serif" w:hAnsi="Times New Roman;Times;serif"/>
          <w:b/>
          <w:sz w:val="20"/>
        </w:rPr>
        <w:t>,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9" w:name="Tc_W_S_xUxaUEKeUxrVF7zfPQ_29_0"/>
      <w:bookmarkStart w:id="130" w:name="Tc_sHpvR_SYnk-GHKlP60gpKw_28_0"/>
      <w:bookmarkStart w:id="131" w:name="Tc_L77If-lLeUyG4W_e52oGEQ_27_0"/>
      <w:bookmarkStart w:id="132" w:name="Tc_rL2ncTTORUOuw_uT0XPtAg_25_11"/>
      <w:bookmarkStart w:id="133" w:name="Tc_N8aHTKwyX0SSRXvLlKJfxA_25_8"/>
      <w:bookmarkStart w:id="134" w:name="Tc_Y9J7hj0LRk6oYMTSXc-w1w_25_5"/>
      <w:bookmarkStart w:id="135" w:name="Tc_7DeTD2dPukGMR-83cbmk_w_25_2"/>
      <w:bookmarkStart w:id="136" w:name="Tc_4qhKbBOp8UWDZ-iu1PMZHw_25_0"/>
      <w:bookmarkStart w:id="137" w:name="Tc_IU-ixcSs8UO1QnVaLAo5_w_24_11"/>
      <w:bookmarkStart w:id="138" w:name="Tc_l8Le29tBqEiK3HGyVJ5wQQ_24_8"/>
      <w:bookmarkStart w:id="139" w:name="Tc_NjtDmeE8xEOtvEXX_iTzLg_24_5"/>
      <w:bookmarkStart w:id="140" w:name="Tc_VbY9CaYOfkudBkkbEVy44w_24_2"/>
      <w:bookmarkStart w:id="141" w:name="Tc_cOLu65_2xUqTIDewdp9D9g_24_0"/>
      <w:bookmarkStart w:id="142" w:name="Tc_lM9INB-kW0WclVFnDABaRg_23_0"/>
      <w:bookmarkStart w:id="143" w:name="Tc_7kYftBTXyUiAmPycWAM-6w_21_11"/>
      <w:bookmarkStart w:id="144" w:name="Tc_0CfyJcERt0qa-_nkk40GBA_21_8"/>
      <w:bookmarkStart w:id="145" w:name="Tc_eumlhy8VSU-F_gHKtBOuyQ_21_5"/>
      <w:bookmarkStart w:id="146" w:name="Tc_3myTrq2zEkyYlRPMWc5_2g_21_2"/>
      <w:bookmarkStart w:id="147" w:name="Tc_0AswROG3uUmpe8p59Y-ZfA_21_0"/>
      <w:bookmarkStart w:id="148" w:name="Tc_ixAvm-itHE2nAeoP7XGqtA_19_0"/>
      <w:bookmarkStart w:id="149" w:name="Tc_Jrb-f-P8a0y3Rs70Zls0MQ_17_0"/>
      <w:bookmarkStart w:id="150" w:name="Tc_sxfkHoRGwEGBoGHQ3rmzmw_15_0"/>
      <w:bookmarkStart w:id="151" w:name="Tc_3tUudjWByEareQq3rXhSRw_13_0"/>
      <w:bookmarkStart w:id="152" w:name="Tc_RpOduUZI-Eq16dgzcNpyXQ_11_0"/>
      <w:bookmarkStart w:id="153" w:name="Tc_E90PbVoLikaOYZd6zHydvg_9_0"/>
      <w:bookmarkStart w:id="154" w:name="Tc_E667k4_By0i7Ih7xn1ykkw_7_0"/>
      <w:bookmarkStart w:id="155" w:name="Tc_-QdyZwUFlUq50IeVd_LfEg_5_11"/>
      <w:bookmarkStart w:id="156" w:name="Tc_zgDfu0PLxkWLmeZ7XWaZjg_5_8"/>
      <w:bookmarkStart w:id="157" w:name="Tc__DZN1VXEt0u70i2o_AQHBw_5_5"/>
      <w:bookmarkStart w:id="158" w:name="Tc_pQKlhb4pbUSNa5oPI0l9Vg_5_2"/>
      <w:bookmarkStart w:id="159" w:name="Tc_Dc6Bj5BpE0O81PATDdbiPA_5_0"/>
      <w:bookmarkStart w:id="160" w:name="Tc_U9BWGpmFb0idYZXGa2H0LQ_3_11"/>
      <w:bookmarkStart w:id="161" w:name="Tc_3LH7rwY5v06utE_ZZKd27w_3_8"/>
      <w:bookmarkStart w:id="162" w:name="Tc_SXNkQBrw0ESWQ8zb7huhLg_3_5"/>
      <w:bookmarkStart w:id="163" w:name="Tc_B_twaD42WUC1VhIpq1wYHQ_3_2"/>
      <w:bookmarkStart w:id="164" w:name="Tc_XfPyNOZdykqzbEcrsbHUKQ_2_8"/>
      <w:bookmarkStart w:id="165" w:name="Tc_POpx3FlcTEeI7PQ7UJ8RKg_2_2"/>
      <w:bookmarkStart w:id="166" w:name="Tc_vUJMsts3dUS8i5lEZiIGag_1_8"/>
      <w:bookmarkStart w:id="167" w:name="Tc_1vOPE55GyE6lXFRzTWAuwA_1_2"/>
      <w:bookmarkStart w:id="168" w:name="_e41ed53e_8063_4a6b_97b7_63b0959abaf8"/>
      <w:bookmarkStart w:id="169" w:name="Tc_W_S_xUxaUEKeUxrVF7zfPQ_29_0"/>
      <w:bookmarkStart w:id="170" w:name="Tc_sHpvR_SYnk-GHKlP60gpKw_28_0"/>
      <w:bookmarkStart w:id="171" w:name="Tc_L77If-lLeUyG4W_e52oGEQ_27_0"/>
      <w:bookmarkStart w:id="172" w:name="Tc_rL2ncTTORUOuw_uT0XPtAg_25_11"/>
      <w:bookmarkStart w:id="173" w:name="Tc_N8aHTKwyX0SSRXvLlKJfxA_25_8"/>
      <w:bookmarkStart w:id="174" w:name="Tc_Y9J7hj0LRk6oYMTSXc-w1w_25_5"/>
      <w:bookmarkStart w:id="175" w:name="Tc_7DeTD2dPukGMR-83cbmk_w_25_2"/>
      <w:bookmarkStart w:id="176" w:name="Tc_4qhKbBOp8UWDZ-iu1PMZHw_25_0"/>
      <w:bookmarkStart w:id="177" w:name="Tc_IU-ixcSs8UO1QnVaLAo5_w_24_11"/>
      <w:bookmarkStart w:id="178" w:name="Tc_l8Le29tBqEiK3HGyVJ5wQQ_24_8"/>
      <w:bookmarkStart w:id="179" w:name="Tc_NjtDmeE8xEOtvEXX_iTzLg_24_5"/>
      <w:bookmarkStart w:id="180" w:name="Tc_VbY9CaYOfkudBkkbEVy44w_24_2"/>
      <w:bookmarkStart w:id="181" w:name="Tc_cOLu65_2xUqTIDewdp9D9g_24_0"/>
      <w:bookmarkStart w:id="182" w:name="Tc_lM9INB-kW0WclVFnDABaRg_23_0"/>
      <w:bookmarkStart w:id="183" w:name="Tc_7kYftBTXyUiAmPycWAM-6w_21_11"/>
      <w:bookmarkStart w:id="184" w:name="Tc_0CfyJcERt0qa-_nkk40GBA_21_8"/>
      <w:bookmarkStart w:id="185" w:name="Tc_eumlhy8VSU-F_gHKtBOuyQ_21_5"/>
      <w:bookmarkStart w:id="186" w:name="Tc_3myTrq2zEkyYlRPMWc5_2g_21_2"/>
      <w:bookmarkStart w:id="187" w:name="Tc_0AswROG3uUmpe8p59Y-ZfA_21_0"/>
      <w:bookmarkStart w:id="188" w:name="Tc_ixAvm-itHE2nAeoP7XGqtA_19_0"/>
      <w:bookmarkStart w:id="189" w:name="Tc_Jrb-f-P8a0y3Rs70Zls0MQ_17_0"/>
      <w:bookmarkStart w:id="190" w:name="Tc_sxfkHoRGwEGBoGHQ3rmzmw_15_0"/>
      <w:bookmarkStart w:id="191" w:name="Tc_3tUudjWByEareQq3rXhSRw_13_0"/>
      <w:bookmarkStart w:id="192" w:name="Tc_RpOduUZI-Eq16dgzcNpyXQ_11_0"/>
      <w:bookmarkStart w:id="193" w:name="Tc_E90PbVoLikaOYZd6zHydvg_9_0"/>
      <w:bookmarkStart w:id="194" w:name="Tc_E667k4_By0i7Ih7xn1ykkw_7_0"/>
      <w:bookmarkStart w:id="195" w:name="Tc_-QdyZwUFlUq50IeVd_LfEg_5_11"/>
      <w:bookmarkStart w:id="196" w:name="Tc_zgDfu0PLxkWLmeZ7XWaZjg_5_8"/>
      <w:bookmarkStart w:id="197" w:name="Tc__DZN1VXEt0u70i2o_AQHBw_5_5"/>
      <w:bookmarkStart w:id="198" w:name="Tc_pQKlhb4pbUSNa5oPI0l9Vg_5_2"/>
      <w:bookmarkStart w:id="199" w:name="Tc_Dc6Bj5BpE0O81PATDdbiPA_5_0"/>
      <w:bookmarkStart w:id="200" w:name="Tc_U9BWGpmFb0idYZXGa2H0LQ_3_11"/>
      <w:bookmarkStart w:id="201" w:name="Tc_3LH7rwY5v06utE_ZZKd27w_3_8"/>
      <w:bookmarkStart w:id="202" w:name="Tc_SXNkQBrw0ESWQ8zb7huhLg_3_5"/>
      <w:bookmarkStart w:id="203" w:name="Tc_B_twaD42WUC1VhIpq1wYHQ_3_2"/>
      <w:bookmarkStart w:id="204" w:name="Tc_XfPyNOZdykqzbEcrsbHUKQ_2_8"/>
      <w:bookmarkStart w:id="205" w:name="Tc_POpx3FlcTEeI7PQ7UJ8RKg_2_2"/>
      <w:bookmarkStart w:id="206" w:name="Tc_vUJMsts3dUS8i5lEZiIGag_1_8"/>
      <w:bookmarkStart w:id="207" w:name="Tc_1vOPE55GyE6lXFRzTWAuwA_1_2"/>
      <w:bookmarkStart w:id="208" w:name="_e41ed53e_8063_4a6b_97b7_63b0959abaf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10205" w:type="dxa"/>
        <w:jc w:val="left"/>
        <w:tblInd w:w="0" w:type="dxa"/>
        <w:tblLayout w:type="fixed"/>
        <w:tblCellMar>
          <w:top w:w="0" w:type="dxa"/>
          <w:left w:w="0" w:type="dxa"/>
          <w:bottom w:w="0" w:type="dxa"/>
          <w:right w:w="0" w:type="dxa"/>
        </w:tblCellMar>
      </w:tblPr>
      <w:tblGrid>
        <w:gridCol w:w="4669"/>
        <w:gridCol w:w="326"/>
        <w:gridCol w:w="196"/>
        <w:gridCol w:w="826"/>
        <w:gridCol w:w="326"/>
        <w:gridCol w:w="196"/>
        <w:gridCol w:w="845"/>
        <w:gridCol w:w="326"/>
        <w:gridCol w:w="196"/>
        <w:gridCol w:w="826"/>
        <w:gridCol w:w="326"/>
        <w:gridCol w:w="196"/>
        <w:gridCol w:w="951"/>
      </w:tblGrid>
      <w:tr>
        <w:trPr/>
        <w:tc>
          <w:tcPr>
            <w:tcW w:w="4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64815" cy="175260"/>
                      <wp:effectExtent l="0" t="0" r="0" b="0"/>
                      <wp:wrapNone/>
                      <wp:docPr id="11" name="Frame11"/>
                      <a:graphic xmlns:a="http://schemas.openxmlformats.org/drawingml/2006/main">
                        <a:graphicData uri="http://schemas.microsoft.com/office/word/2010/wordprocessingShape">
                          <wps:wsp>
                            <wps:cNvSpPr txBox="1"/>
                            <wps:spPr>
                              <a:xfrm>
                                <a:off x="0" y="0"/>
                                <a:ext cx="296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4510" cy="175260"/>
                      <wp:effectExtent l="0" t="0" r="0" b="0"/>
                      <wp:wrapNone/>
                      <wp:docPr id="14" name="Frame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36575" cy="175260"/>
                      <wp:effectExtent l="0" t="0" r="0" b="0"/>
                      <wp:wrapNone/>
                      <wp:docPr id="17" name="Frame17"/>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0" name="Frame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03885" cy="175260"/>
                      <wp:effectExtent l="0" t="0" r="0" b="0"/>
                      <wp:wrapNone/>
                      <wp:docPr id="23" name="Frame23"/>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9"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Six-Months Ended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51" w:type="dxa"/>
            <w:tcBorders/>
            <w:vAlign w:val="center"/>
          </w:tcPr>
          <w:p>
            <w:pPr>
              <w:pStyle w:val="TableContents"/>
              <w:bidi w:val="0"/>
              <w:spacing w:before="0" w:after="0"/>
              <w:ind w:left="0" w:right="0" w:hanging="0"/>
              <w:jc w:val="center"/>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2,111,593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3,966,150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3,799,695</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935,180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881,091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1,741,775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1,753,061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1,176,413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1,019,506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2,224,375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2,046,634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492,343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1,023,008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977,480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631,622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527,163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1,201,367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1,069,154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24,376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60,131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646,687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551,539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1,224,704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1,129,285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126,170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292,917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261,867 </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931,787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867,418</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r>
      <w:tr>
        <w:trPr/>
        <w:tc>
          <w:tcPr>
            <w:tcW w:w="46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0.84</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r>
      <w:tr>
        <w:trPr/>
        <w:tc>
          <w:tcPr>
            <w:tcW w:w="46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r>
      <w:tr>
        <w:trPr/>
        <w:tc>
          <w:tcPr>
            <w:tcW w:w="466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975,749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1,029,268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974,691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1,035,175 </w:t>
            </w:r>
          </w:p>
        </w:tc>
      </w:tr>
      <w:tr>
        <w:trPr/>
        <w:tc>
          <w:tcPr>
            <w:tcW w:w="46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983,997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1,037,378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982,748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1,044,363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09" w:name="_3ca930e8_4f47_4475_b5e2_490409de8e2a"/>
      <w:bookmarkEnd w:id="209"/>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210" w:name="STATEMENTSOFCOMPREHENSIVEINCOME_19420"/>
      <w:bookmarkEnd w:id="210"/>
      <w:r>
        <w:rPr>
          <w:rFonts w:ascii="Times New Roman;Times;serif" w:hAnsi="Times New Roman;Times;serif"/>
          <w:b/>
          <w:sz w:val="20"/>
        </w:rPr>
        <w:t>CONDENSED CONSOLIDATED STATEMENTS OF COMPREHENSIVE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SIX-MONTHS ENDED JUNE 30</w:t>
      </w:r>
      <w:r>
        <w:rPr>
          <w:rFonts w:ascii="Times New Roman;Times;serif" w:hAnsi="Times New Roman;Times;serif"/>
          <w:b/>
          <w:sz w:val="20"/>
        </w:rPr>
        <w:t>,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1" w:name="Tc_WAHnYEytskuRnKF19PRFCw_10_11"/>
      <w:bookmarkStart w:id="212" w:name="Tc_l0sxv5vJB02kQao2Y3vOxg_10_8"/>
      <w:bookmarkStart w:id="213" w:name="Tc_XbiNHXGLzkG3WNTcHjdsQQ_10_5"/>
      <w:bookmarkStart w:id="214" w:name="Tc_6yl61Y0bsEqFwJdB2yGyNw_10_2"/>
      <w:bookmarkStart w:id="215" w:name="Tc_jlED2VFD0k-ha6vBmTJpjw_10_0"/>
      <w:bookmarkStart w:id="216" w:name="Tc__Wq9m_OqKE-2fQC1aKU9fA_9_0"/>
      <w:bookmarkStart w:id="217" w:name="Tc_XranI_ffBE2KyXARz2F7sg_8_0"/>
      <w:bookmarkStart w:id="218" w:name="Tc_kMk9CXqUuEWlEuf0kypUTA_7_0"/>
      <w:bookmarkStart w:id="219" w:name="Tc_rMOI1k3Dg0mStW-TZooxug_6_0"/>
      <w:bookmarkStart w:id="220" w:name="Tc_gyZZf1jWVUq7HQe4T00AYQ_5_0"/>
      <w:bookmarkStart w:id="221" w:name="Tc_42xKYDNx90mABGlLiYVcnQ_4_11"/>
      <w:bookmarkStart w:id="222" w:name="Tc_VuUzZu48uEmc_X6DggV2dQ_4_8"/>
      <w:bookmarkStart w:id="223" w:name="Tc_4CoAS35EckGThA8JmG_MiQ_4_5"/>
      <w:bookmarkStart w:id="224" w:name="Tc_wZHhMyMh1U2th0_wh6dDVA_4_2"/>
      <w:bookmarkStart w:id="225" w:name="Tc_IMra2uSgqUuX1O8w7dRgZQ_4_0"/>
      <w:bookmarkStart w:id="226" w:name="Tc_ug22b54FXUmPnHT79eCU_Q_3_11"/>
      <w:bookmarkStart w:id="227" w:name="Tc__AkADUoeU0Wuh7H3r2kEAQ_3_8"/>
      <w:bookmarkStart w:id="228" w:name="Tc_e6wyDF7s50itoJQGpam-fw_3_5"/>
      <w:bookmarkStart w:id="229" w:name="Tc_RjTEUJArMUCJdy5EddgTdg_3_2"/>
      <w:bookmarkStart w:id="230" w:name="Tc_CpNXOc1q30mcI2DhqpuiwQ_2_8"/>
      <w:bookmarkStart w:id="231" w:name="Tc_jo-SMM2PrkaqNWN73ezmIw_2_2"/>
      <w:bookmarkStart w:id="232" w:name="Tc_Kr1c-uDyBk6-KjksEv5o3g_1_8"/>
      <w:bookmarkStart w:id="233" w:name="Tc_b5Na2JmkKUC6a7gkncVohQ_1_2"/>
      <w:bookmarkStart w:id="234" w:name="_573ee5ac_a9bc_4816_916d_45e1e2716977"/>
      <w:bookmarkStart w:id="235" w:name="Tc_WAHnYEytskuRnKF19PRFCw_10_11"/>
      <w:bookmarkStart w:id="236" w:name="Tc_l0sxv5vJB02kQao2Y3vOxg_10_8"/>
      <w:bookmarkStart w:id="237" w:name="Tc_XbiNHXGLzkG3WNTcHjdsQQ_10_5"/>
      <w:bookmarkStart w:id="238" w:name="Tc_6yl61Y0bsEqFwJdB2yGyNw_10_2"/>
      <w:bookmarkStart w:id="239" w:name="Tc_jlED2VFD0k-ha6vBmTJpjw_10_0"/>
      <w:bookmarkStart w:id="240" w:name="Tc__Wq9m_OqKE-2fQC1aKU9fA_9_0"/>
      <w:bookmarkStart w:id="241" w:name="Tc_XranI_ffBE2KyXARz2F7sg_8_0"/>
      <w:bookmarkStart w:id="242" w:name="Tc_kMk9CXqUuEWlEuf0kypUTA_7_0"/>
      <w:bookmarkStart w:id="243" w:name="Tc_rMOI1k3Dg0mStW-TZooxug_6_0"/>
      <w:bookmarkStart w:id="244" w:name="Tc_gyZZf1jWVUq7HQe4T00AYQ_5_0"/>
      <w:bookmarkStart w:id="245" w:name="Tc_42xKYDNx90mABGlLiYVcnQ_4_11"/>
      <w:bookmarkStart w:id="246" w:name="Tc_VuUzZu48uEmc_X6DggV2dQ_4_8"/>
      <w:bookmarkStart w:id="247" w:name="Tc_4CoAS35EckGThA8JmG_MiQ_4_5"/>
      <w:bookmarkStart w:id="248" w:name="Tc_wZHhMyMh1U2th0_wh6dDVA_4_2"/>
      <w:bookmarkStart w:id="249" w:name="Tc_IMra2uSgqUuX1O8w7dRgZQ_4_0"/>
      <w:bookmarkStart w:id="250" w:name="Tc_ug22b54FXUmPnHT79eCU_Q_3_11"/>
      <w:bookmarkStart w:id="251" w:name="Tc__AkADUoeU0Wuh7H3r2kEAQ_3_8"/>
      <w:bookmarkStart w:id="252" w:name="Tc_e6wyDF7s50itoJQGpam-fw_3_5"/>
      <w:bookmarkStart w:id="253" w:name="Tc_RjTEUJArMUCJdy5EddgTdg_3_2"/>
      <w:bookmarkStart w:id="254" w:name="Tc_CpNXOc1q30mcI2DhqpuiwQ_2_8"/>
      <w:bookmarkStart w:id="255" w:name="Tc_jo-SMM2PrkaqNWN73ezmIw_2_2"/>
      <w:bookmarkStart w:id="256" w:name="Tc_Kr1c-uDyBk6-KjksEv5o3g_1_8"/>
      <w:bookmarkStart w:id="257" w:name="Tc_b5Na2JmkKUC6a7gkncVohQ_1_2"/>
      <w:bookmarkStart w:id="258" w:name="_573ee5ac_a9bc_4816_916d_45e1e2716977"/>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148" w:type="dxa"/>
        <w:jc w:val="left"/>
        <w:tblInd w:w="0" w:type="dxa"/>
        <w:tblLayout w:type="fixed"/>
        <w:tblCellMar>
          <w:top w:w="0" w:type="dxa"/>
          <w:left w:w="0" w:type="dxa"/>
          <w:bottom w:w="0" w:type="dxa"/>
          <w:right w:w="0" w:type="dxa"/>
        </w:tblCellMar>
      </w:tblPr>
      <w:tblGrid>
        <w:gridCol w:w="5026"/>
        <w:gridCol w:w="326"/>
        <w:gridCol w:w="196"/>
        <w:gridCol w:w="691"/>
        <w:gridCol w:w="326"/>
        <w:gridCol w:w="196"/>
        <w:gridCol w:w="721"/>
        <w:gridCol w:w="326"/>
        <w:gridCol w:w="196"/>
        <w:gridCol w:w="826"/>
        <w:gridCol w:w="326"/>
        <w:gridCol w:w="196"/>
        <w:gridCol w:w="79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91510" cy="175260"/>
                      <wp:effectExtent l="0" t="0" r="0" b="0"/>
                      <wp:wrapNone/>
                      <wp:docPr id="24" name="Frame24"/>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57835" cy="175260"/>
                      <wp:effectExtent l="0" t="0" r="0" b="0"/>
                      <wp:wrapNone/>
                      <wp:docPr id="29" name="Frame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4510" cy="175260"/>
                      <wp:effectExtent l="0" t="0" r="0" b="0"/>
                      <wp:wrapNone/>
                      <wp:docPr id="32" name="Frame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5460" cy="175260"/>
                      <wp:effectExtent l="0" t="0" r="0" b="0"/>
                      <wp:wrapNone/>
                      <wp:docPr id="35"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Three-Months Ended </w:t>
            </w:r>
          </w:p>
        </w:tc>
        <w:tc>
          <w:tcPr>
            <w:tcW w:w="326" w:type="dxa"/>
            <w:tcBorders/>
            <w:vAlign w:val="center"/>
          </w:tcPr>
          <w:p>
            <w:pPr>
              <w:pStyle w:val="TableContents"/>
              <w:bidi w:val="0"/>
              <w:spacing w:before="0" w:after="0"/>
              <w:ind w:left="0" w:right="0" w:hanging="0"/>
              <w:jc w:val="center"/>
              <w:rPr/>
            </w:pPr>
            <w:r>
              <w:rPr/>
              <w:t>    </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Six-Months Ended </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931,787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867,418</w:t>
            </w:r>
          </w:p>
        </w:tc>
      </w:tr>
      <w:tr>
        <w:trPr/>
        <w:tc>
          <w:tcPr>
            <w:tcW w:w="502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5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(61,799)</w:t>
            </w:r>
          </w:p>
        </w:tc>
      </w:tr>
      <w:tr>
        <w:trPr/>
        <w:tc>
          <w:tcPr>
            <w:tcW w:w="502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unrealized gain (loss) on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w:t>
            </w:r>
          </w:p>
        </w:tc>
      </w:tr>
      <w:tr>
        <w:trPr/>
        <w:tc>
          <w:tcPr>
            <w:tcW w:w="5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4,074</w:t>
            </w:r>
          </w:p>
        </w:tc>
      </w:tr>
      <w:tr>
        <w:trPr/>
        <w:tc>
          <w:tcPr>
            <w:tcW w:w="502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(56,967)</w:t>
            </w:r>
          </w:p>
        </w:tc>
      </w:tr>
      <w:tr>
        <w:trPr/>
        <w:tc>
          <w:tcPr>
            <w:tcW w:w="5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Comprehensive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600,432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401,005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1,109,966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810,451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b/>
          <w:sz w:val="20"/>
        </w:rPr>
      </w:pPr>
      <w:bookmarkStart w:id="259" w:name="_1243fa57_6155_47f4_8374_902fa99588ce"/>
      <w:bookmarkEnd w:id="259"/>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260" w:name="STATEMENTSOFSTOCKHOLDERSEQUITY_603690"/>
      <w:bookmarkEnd w:id="260"/>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THREE- AND SIX-MONTHS ENDED JUNE 30</w:t>
      </w:r>
      <w:r>
        <w:rPr>
          <w:rFonts w:ascii="Times New Roman;Times;serif" w:hAnsi="Times New Roman;Times;serif"/>
          <w:b/>
          <w:sz w:val="20"/>
        </w:rPr>
        <w:t>,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1" w:name="Tc_ZqF-HTmX30WJKGe1TDraIw_21_21"/>
      <w:bookmarkStart w:id="262" w:name="Tc_nQjb4scMakOQ54mGaTipCA_21_18"/>
      <w:bookmarkStart w:id="263" w:name="Tc_er96izQqY0uk9sSYRTeryg_21_13"/>
      <w:bookmarkStart w:id="264" w:name="Tc_890M7PR2e02aBFv8Qku4DQ_21_10"/>
      <w:bookmarkStart w:id="265" w:name="Tc_na3kxGfogk28TEiy339Mnw_21_7"/>
      <w:bookmarkStart w:id="266" w:name="Tc_Rciwl0Yd8ke2qURXYcrzOQ_21_4"/>
      <w:bookmarkStart w:id="267" w:name="Tc_OBnPinwbdUGf-i3U2cZB2w_21_0"/>
      <w:bookmarkStart w:id="268" w:name="Tc_Pw_OkFYde0uXB7y2CL8zfA_20_19"/>
      <w:bookmarkStart w:id="269" w:name="Tc_KeYTaFtt0Em4wpkJuzaUFA_20_16"/>
      <w:bookmarkStart w:id="270" w:name="Tc_7QDKABuQGkSQOaKW7MOulg_20_14"/>
      <w:bookmarkStart w:id="271" w:name="Tc_KDKdsnJ2LkuMluXg0AqJBA_20_8"/>
      <w:bookmarkStart w:id="272" w:name="Tc_4lRgZg2fNUyCD0dUaiobpw_20_5"/>
      <w:bookmarkStart w:id="273" w:name="Tc_Ly4ORBRnSkC7owuGp1cuzQ_20_2"/>
      <w:bookmarkStart w:id="274" w:name="Tc_jErKKTrOJ06ovsGLOSufuQ_20_0"/>
      <w:bookmarkStart w:id="275" w:name="Tc_j2NsCXBW4E6Ry1PQxK4fAA_19_19"/>
      <w:bookmarkStart w:id="276" w:name="Tc_baTrGQ-iUESQ9u1xfgoBww_19_16"/>
      <w:bookmarkStart w:id="277" w:name="Tc_MEcTrxa4yECa_APginVrQA_19_11"/>
      <w:bookmarkStart w:id="278" w:name="Tc_pqqjWJOv0kGq3atAeECinA_19_8"/>
      <w:bookmarkStart w:id="279" w:name="Tc_WfyqBrlr-0SLKSrzjjwrVA_19_5"/>
      <w:bookmarkStart w:id="280" w:name="Tc_KODak8y0SUa5pXSkEvauaQ_19_2"/>
      <w:bookmarkStart w:id="281" w:name="Tc_YhXLF30Q7UWwSmuH3hH0yQ_19_0"/>
      <w:bookmarkStart w:id="282" w:name="Tc_j7yPJM1dKEWufkUya29oRg_18_19"/>
      <w:bookmarkStart w:id="283" w:name="Tc_CeedQq0eVE2PpYSztS7r0Q_18_16"/>
      <w:bookmarkStart w:id="284" w:name="Tc_bKtKhqpGRUKdp7oTpqoTUA_18_11"/>
      <w:bookmarkStart w:id="285" w:name="Tc_UHjE3oK6u06cM1sVAMjYsQ_18_8"/>
      <w:bookmarkStart w:id="286" w:name="Tc_er5k2Gboj06TW8nABw6-9g_18_5"/>
      <w:bookmarkStart w:id="287" w:name="Tc_tRVVvYiknU2jGS-ClA4idA_18_2"/>
      <w:bookmarkStart w:id="288" w:name="Tc_u0hc37pc3E6XY6FDUwIXsg_18_0"/>
      <w:bookmarkStart w:id="289" w:name="Tc_Ih8rzd_gZEa82NGYoMpa5Q_17_19"/>
      <w:bookmarkStart w:id="290" w:name="Tc_jYfYwhIsek-nPaende6kkg_17_16"/>
      <w:bookmarkStart w:id="291" w:name="Tc_Pn7oMED63EipxwwFONqo0Q_17_11"/>
      <w:bookmarkStart w:id="292" w:name="Tc_iKpOSrFJr0O10gFC6cURUg_17_8"/>
      <w:bookmarkStart w:id="293" w:name="Tc_eqh0dgi5ckabn0A9HVpFXw_17_5"/>
      <w:bookmarkStart w:id="294" w:name="Tc_sL0kS6BaoEeEmHk175Safw_17_2"/>
      <w:bookmarkStart w:id="295" w:name="Tc_JWvtQ8PXf0qF7V91zQ24bw_17_0"/>
      <w:bookmarkStart w:id="296" w:name="Tc_eL2z9oKeokKzxcNW4QGbgg_16_19"/>
      <w:bookmarkStart w:id="297" w:name="Tc__H9vHiEIb0iOHVghzuJ2sw_16_16"/>
      <w:bookmarkStart w:id="298" w:name="Tc_jWcxnez5ukSbyP91qJu0Fw_16_14"/>
      <w:bookmarkStart w:id="299" w:name="Tc_1VdObRxGMUG464jOQNrgug_16_11"/>
      <w:bookmarkStart w:id="300" w:name="Tc_HQ0Y3un_FU6A9NYT0OyuJw_16_0"/>
      <w:bookmarkStart w:id="301" w:name="Tc_1XhSNIPvb0mGWgxXLZyB-A_15_19"/>
      <w:bookmarkStart w:id="302" w:name="Tc_6HW3VTXK90WEjJxVagzDlA_15_16"/>
      <w:bookmarkStart w:id="303" w:name="Tc_lbnEwFzVJ0-cOlhGaO_A4w_15_14"/>
      <w:bookmarkStart w:id="304" w:name="Tc_XI-suhLU-EKYWg4XjoDdaQ_15_11"/>
      <w:bookmarkStart w:id="305" w:name="Tc_aaaJ6HcF7k-7QdnCQ9XWOQ_15_5"/>
      <w:bookmarkStart w:id="306" w:name="Tc_5PZN4qT0OUiazgDMYYmIgw_15_2"/>
      <w:bookmarkStart w:id="307" w:name="Tc_g75-u-aYjUi-izHL9u1znw_15_0"/>
      <w:bookmarkStart w:id="308" w:name="Tc_C6zBBaW3-EGJYD9hNR5e1Q_13_21"/>
      <w:bookmarkStart w:id="309" w:name="Tc_CMcXgan0_06_NQUdEWPrmg_13_18"/>
      <w:bookmarkStart w:id="310" w:name="Tc_x5Zb4y8KqUy7GxU2VZaPew_13_13"/>
      <w:bookmarkStart w:id="311" w:name="Tc_2VKCG9XWuEeheyV9plKiiA_13_10"/>
      <w:bookmarkStart w:id="312" w:name="Tc_9zg4utcypES_oCMGCHgcQw_13_7"/>
      <w:bookmarkStart w:id="313" w:name="Tc_Y8fM7H0PNE-Wo5TiIFawDQ_13_4"/>
      <w:bookmarkStart w:id="314" w:name="Tc_-sjsVzG5_k-_ZL2zGIWwuw_13_0"/>
      <w:bookmarkStart w:id="315" w:name="Tc_VMfIDgT-BU6T02F1POvWkA_12_19"/>
      <w:bookmarkStart w:id="316" w:name="Tc_unSJiII6wkCtPp5avsZnGg_12_16"/>
      <w:bookmarkStart w:id="317" w:name="Tc_I3LC5JNiWEau2q_6-xdtaA_12_14"/>
      <w:bookmarkStart w:id="318" w:name="Tc_ZEjO53c7UkaTlF8Gwar4EA_12_8"/>
      <w:bookmarkStart w:id="319" w:name="Tc__FDy1eDBakOGlJyYEtIjSw_12_5"/>
      <w:bookmarkStart w:id="320" w:name="Tc_LcDLWvvtvUaKaqMWcfIFqA_12_2"/>
      <w:bookmarkStart w:id="321" w:name="Tc_lRU9EZnzK0GCVYLbnnfayw_12_0"/>
      <w:bookmarkStart w:id="322" w:name="Tc_gaqRwFgkRUumu_14Zf7L2w_11_19"/>
      <w:bookmarkStart w:id="323" w:name="Tc_7rzbz5KlaEeF8UZ1yOHsZw_11_16"/>
      <w:bookmarkStart w:id="324" w:name="Tc_1ojB8y_qi0-5lBdc_K0iVg_11_11"/>
      <w:bookmarkStart w:id="325" w:name="Tc_95hP1WLheEO4RJpXcQXSUg_11_8"/>
      <w:bookmarkStart w:id="326" w:name="Tc_pJW49ZW1i0yw1XJywhStWQ_11_5"/>
      <w:bookmarkStart w:id="327" w:name="Tc_FY3puU9q7Eu0x58frZaOWQ_11_2"/>
      <w:bookmarkStart w:id="328" w:name="Tc_M5ug-M_1wkym_b9tqfrMHQ_11_0"/>
      <w:bookmarkStart w:id="329" w:name="Tc_OCh-1Qp6hkOyIvrokFJlsw_10_19"/>
      <w:bookmarkStart w:id="330" w:name="Tc_fn4I5YOmHUagYB_B-A13Pg_10_16"/>
      <w:bookmarkStart w:id="331" w:name="Tc_XFd9Q9kpw06x5svDKqG9WQ_10_11"/>
      <w:bookmarkStart w:id="332" w:name="Tc_Okr2G6BE4kWKhfKN5_DBEQ_10_8"/>
      <w:bookmarkStart w:id="333" w:name="Tc_gBICbMBn50qa_BySidJP0g_10_5"/>
      <w:bookmarkStart w:id="334" w:name="Tc_5SzsxqteN0qdXzxXwj_AHA_10_2"/>
      <w:bookmarkStart w:id="335" w:name="Tc_TS2ipmGNlUWix-kiqGdiNQ_10_0"/>
      <w:bookmarkStart w:id="336" w:name="Tc_hzP-emF5gUKib3VpzpKNzw_9_14"/>
      <w:bookmarkStart w:id="337" w:name="Tc_3ioDr1sFZk2zPYYwvDUqBQ_9_11"/>
      <w:bookmarkStart w:id="338" w:name="Tc_oONmPxuuc0ikzuQMYOJa7w_9_8"/>
      <w:bookmarkStart w:id="339" w:name="Tc_MRs9GHyoYkqSCAOokuLXCQ_9_5"/>
      <w:bookmarkStart w:id="340" w:name="Tc_LAJuD-gzsEKT5RtBPr-3CA_9_2"/>
      <w:bookmarkStart w:id="341" w:name="Tc_rD5zLMAeAUeXMsjytJenew_9_0"/>
      <w:bookmarkStart w:id="342" w:name="Tc_uYd_I6UXEEKtrR8ZWFGCgg_8_19"/>
      <w:bookmarkStart w:id="343" w:name="Tc_POn5jQO6CUa0BtH4OqDF1Q_8_16"/>
      <w:bookmarkStart w:id="344" w:name="Tc_-EDDoDbFKUSYM03v8c3wsQ_8_14"/>
      <w:bookmarkStart w:id="345" w:name="Tc_NonoC_jCZ0WzsRRnA77BPw_8_11"/>
      <w:bookmarkStart w:id="346" w:name="Tc_Y1NHCbPHL0Sq62f9X9MkaQ_8_0"/>
      <w:bookmarkStart w:id="347" w:name="Tc_-AwiWDsfWUCo0RDFu1E2eQ_7_19"/>
      <w:bookmarkStart w:id="348" w:name="Tc_pG7vIbXTSEuES4TDh3DrPw_7_16"/>
      <w:bookmarkStart w:id="349" w:name="Tc_COUSMesyq0W6oj3JUrSWYg_7_14"/>
      <w:bookmarkStart w:id="350" w:name="Tc_OUI3ntvdiUi3ml5GIz8YRw_7_11"/>
      <w:bookmarkStart w:id="351" w:name="Tc_8T2F5Ihs4kqmsqqwlTRamA_7_5"/>
      <w:bookmarkStart w:id="352" w:name="Tc_QlrMHwMWoUOi1qyFK2nbdQ_7_2"/>
      <w:bookmarkStart w:id="353" w:name="Tc_lHzuSUwf5Eyny5KVjybu0w_7_0"/>
      <w:bookmarkStart w:id="354" w:name="Tc_oWvLdIhj_ECd1__TunHM3A_5_21"/>
      <w:bookmarkStart w:id="355" w:name="Tc_BGy-MH82wE2jWVUkkGYbRA_5_18"/>
      <w:bookmarkStart w:id="356" w:name="Tc_dOAqgxHUw0yYQn6bXlePlQ_5_13"/>
      <w:bookmarkStart w:id="357" w:name="Tc_plDt4jrFIkCVwSZKwNU1cg_5_10"/>
      <w:bookmarkStart w:id="358" w:name="Tc_QQIBfF5tj0ytcfRx9oWSYA_5_7"/>
      <w:bookmarkStart w:id="359" w:name="Tc_QsqFX3EC9ka3oC5Ssrt5xw_5_4"/>
      <w:bookmarkStart w:id="360" w:name="Tc_Cdlq7JW5C06LwhBo42e-sQ_5_0"/>
      <w:bookmarkStart w:id="361" w:name="Tc_YOJ1GwerkU-iyMz-gfcBBA_4_21"/>
      <w:bookmarkStart w:id="362" w:name="Tc_Dqui1R9BTkSMX2PoTbl2rg_4_18"/>
      <w:bookmarkStart w:id="363" w:name="Tc_NfkaDa5kj0aKtyGBAYkKng_4_16"/>
      <w:bookmarkStart w:id="364" w:name="Tc_8ii4x0y4TE--CxWmDmj68w_4_13"/>
      <w:bookmarkStart w:id="365" w:name="Tc_dRTKbsPcYUe9lZDnxzM0qQ_4_10"/>
      <w:bookmarkStart w:id="366" w:name="Tc_pYPCVfTdSEeCHegYMkkhCw_4_7"/>
      <w:bookmarkStart w:id="367" w:name="Tc_qPegtgrwT0CvfZI_SrmMPw_4_4"/>
      <w:bookmarkStart w:id="368" w:name="Tc_ONo5jeq-w06l7mvjImSW0w_4_2"/>
      <w:bookmarkStart w:id="369" w:name="Tc_1ukiSMMKrUCJg3FQ6b6Oqg_3_21"/>
      <w:bookmarkStart w:id="370" w:name="Tc_nOOc_fDXMECto5KT4p7Lxw_3_16"/>
      <w:bookmarkStart w:id="371" w:name="Tc_beiu4vypWkS6quC6FLBdbg_3_13"/>
      <w:bookmarkStart w:id="372" w:name="Tc_cOmBRRjPkEiNO0Uu7Ot6sw_3_10"/>
      <w:bookmarkStart w:id="373" w:name="Tc_7pVBSWahaUqTO-ePDGVSsQ_3_7"/>
      <w:bookmarkStart w:id="374" w:name="Tc_mlFdymg0nE6Vc8IfMnRbIw_3_2"/>
      <w:bookmarkStart w:id="375" w:name="Tc_s24Z1CgJB0uEvNf-7CgSEA_2_21"/>
      <w:bookmarkStart w:id="376" w:name="Tc_Gj3PPDbxB0ql10ngsLOhLA_2_13"/>
      <w:bookmarkStart w:id="377" w:name="Tc_SAlZZx7SCUW2gCCAO7Ijzg_2_7"/>
      <w:bookmarkStart w:id="378" w:name="Tc_TIP3F66VQkWAUxJ-ZDmQNw_1_13"/>
      <w:bookmarkStart w:id="379" w:name="_f30de4c4_50e8_4b76_95e7_5cf508d24da9"/>
      <w:bookmarkStart w:id="380" w:name="Tc_ZqF-HTmX30WJKGe1TDraIw_21_21"/>
      <w:bookmarkStart w:id="381" w:name="Tc_nQjb4scMakOQ54mGaTipCA_21_18"/>
      <w:bookmarkStart w:id="382" w:name="Tc_er96izQqY0uk9sSYRTeryg_21_13"/>
      <w:bookmarkStart w:id="383" w:name="Tc_890M7PR2e02aBFv8Qku4DQ_21_10"/>
      <w:bookmarkStart w:id="384" w:name="Tc_na3kxGfogk28TEiy339Mnw_21_7"/>
      <w:bookmarkStart w:id="385" w:name="Tc_Rciwl0Yd8ke2qURXYcrzOQ_21_4"/>
      <w:bookmarkStart w:id="386" w:name="Tc_OBnPinwbdUGf-i3U2cZB2w_21_0"/>
      <w:bookmarkStart w:id="387" w:name="Tc_Pw_OkFYde0uXB7y2CL8zfA_20_19"/>
      <w:bookmarkStart w:id="388" w:name="Tc_KeYTaFtt0Em4wpkJuzaUFA_20_16"/>
      <w:bookmarkStart w:id="389" w:name="Tc_7QDKABuQGkSQOaKW7MOulg_20_14"/>
      <w:bookmarkStart w:id="390" w:name="Tc_KDKdsnJ2LkuMluXg0AqJBA_20_8"/>
      <w:bookmarkStart w:id="391" w:name="Tc_4lRgZg2fNUyCD0dUaiobpw_20_5"/>
      <w:bookmarkStart w:id="392" w:name="Tc_Ly4ORBRnSkC7owuGp1cuzQ_20_2"/>
      <w:bookmarkStart w:id="393" w:name="Tc_jErKKTrOJ06ovsGLOSufuQ_20_0"/>
      <w:bookmarkStart w:id="394" w:name="Tc_j2NsCXBW4E6Ry1PQxK4fAA_19_19"/>
      <w:bookmarkStart w:id="395" w:name="Tc_baTrGQ-iUESQ9u1xfgoBww_19_16"/>
      <w:bookmarkStart w:id="396" w:name="Tc_MEcTrxa4yECa_APginVrQA_19_11"/>
      <w:bookmarkStart w:id="397" w:name="Tc_pqqjWJOv0kGq3atAeECinA_19_8"/>
      <w:bookmarkStart w:id="398" w:name="Tc_WfyqBrlr-0SLKSrzjjwrVA_19_5"/>
      <w:bookmarkStart w:id="399" w:name="Tc_KODak8y0SUa5pXSkEvauaQ_19_2"/>
      <w:bookmarkStart w:id="400" w:name="Tc_YhXLF30Q7UWwSmuH3hH0yQ_19_0"/>
      <w:bookmarkStart w:id="401" w:name="Tc_j7yPJM1dKEWufkUya29oRg_18_19"/>
      <w:bookmarkStart w:id="402" w:name="Tc_CeedQq0eVE2PpYSztS7r0Q_18_16"/>
      <w:bookmarkStart w:id="403" w:name="Tc_bKtKhqpGRUKdp7oTpqoTUA_18_11"/>
      <w:bookmarkStart w:id="404" w:name="Tc_UHjE3oK6u06cM1sVAMjYsQ_18_8"/>
      <w:bookmarkStart w:id="405" w:name="Tc_er5k2Gboj06TW8nABw6-9g_18_5"/>
      <w:bookmarkStart w:id="406" w:name="Tc_tRVVvYiknU2jGS-ClA4idA_18_2"/>
      <w:bookmarkStart w:id="407" w:name="Tc_u0hc37pc3E6XY6FDUwIXsg_18_0"/>
      <w:bookmarkStart w:id="408" w:name="Tc_Ih8rzd_gZEa82NGYoMpa5Q_17_19"/>
      <w:bookmarkStart w:id="409" w:name="Tc_jYfYwhIsek-nPaende6kkg_17_16"/>
      <w:bookmarkStart w:id="410" w:name="Tc_Pn7oMED63EipxwwFONqo0Q_17_11"/>
      <w:bookmarkStart w:id="411" w:name="Tc_iKpOSrFJr0O10gFC6cURUg_17_8"/>
      <w:bookmarkStart w:id="412" w:name="Tc_eqh0dgi5ckabn0A9HVpFXw_17_5"/>
      <w:bookmarkStart w:id="413" w:name="Tc_sL0kS6BaoEeEmHk175Safw_17_2"/>
      <w:bookmarkStart w:id="414" w:name="Tc_JWvtQ8PXf0qF7V91zQ24bw_17_0"/>
      <w:bookmarkStart w:id="415" w:name="Tc_eL2z9oKeokKzxcNW4QGbgg_16_19"/>
      <w:bookmarkStart w:id="416" w:name="Tc__H9vHiEIb0iOHVghzuJ2sw_16_16"/>
      <w:bookmarkStart w:id="417" w:name="Tc_jWcxnez5ukSbyP91qJu0Fw_16_14"/>
      <w:bookmarkStart w:id="418" w:name="Tc_1VdObRxGMUG464jOQNrgug_16_11"/>
      <w:bookmarkStart w:id="419" w:name="Tc_HQ0Y3un_FU6A9NYT0OyuJw_16_0"/>
      <w:bookmarkStart w:id="420" w:name="Tc_1XhSNIPvb0mGWgxXLZyB-A_15_19"/>
      <w:bookmarkStart w:id="421" w:name="Tc_6HW3VTXK90WEjJxVagzDlA_15_16"/>
      <w:bookmarkStart w:id="422" w:name="Tc_lbnEwFzVJ0-cOlhGaO_A4w_15_14"/>
      <w:bookmarkStart w:id="423" w:name="Tc_XI-suhLU-EKYWg4XjoDdaQ_15_11"/>
      <w:bookmarkStart w:id="424" w:name="Tc_aaaJ6HcF7k-7QdnCQ9XWOQ_15_5"/>
      <w:bookmarkStart w:id="425" w:name="Tc_5PZN4qT0OUiazgDMYYmIgw_15_2"/>
      <w:bookmarkStart w:id="426" w:name="Tc_g75-u-aYjUi-izHL9u1znw_15_0"/>
      <w:bookmarkStart w:id="427" w:name="Tc_C6zBBaW3-EGJYD9hNR5e1Q_13_21"/>
      <w:bookmarkStart w:id="428" w:name="Tc_CMcXgan0_06_NQUdEWPrmg_13_18"/>
      <w:bookmarkStart w:id="429" w:name="Tc_x5Zb4y8KqUy7GxU2VZaPew_13_13"/>
      <w:bookmarkStart w:id="430" w:name="Tc_2VKCG9XWuEeheyV9plKiiA_13_10"/>
      <w:bookmarkStart w:id="431" w:name="Tc_9zg4utcypES_oCMGCHgcQw_13_7"/>
      <w:bookmarkStart w:id="432" w:name="Tc_Y8fM7H0PNE-Wo5TiIFawDQ_13_4"/>
      <w:bookmarkStart w:id="433" w:name="Tc_-sjsVzG5_k-_ZL2zGIWwuw_13_0"/>
      <w:bookmarkStart w:id="434" w:name="Tc_VMfIDgT-BU6T02F1POvWkA_12_19"/>
      <w:bookmarkStart w:id="435" w:name="Tc_unSJiII6wkCtPp5avsZnGg_12_16"/>
      <w:bookmarkStart w:id="436" w:name="Tc_I3LC5JNiWEau2q_6-xdtaA_12_14"/>
      <w:bookmarkStart w:id="437" w:name="Tc_ZEjO53c7UkaTlF8Gwar4EA_12_8"/>
      <w:bookmarkStart w:id="438" w:name="Tc__FDy1eDBakOGlJyYEtIjSw_12_5"/>
      <w:bookmarkStart w:id="439" w:name="Tc_LcDLWvvtvUaKaqMWcfIFqA_12_2"/>
      <w:bookmarkStart w:id="440" w:name="Tc_lRU9EZnzK0GCVYLbnnfayw_12_0"/>
      <w:bookmarkStart w:id="441" w:name="Tc_gaqRwFgkRUumu_14Zf7L2w_11_19"/>
      <w:bookmarkStart w:id="442" w:name="Tc_7rzbz5KlaEeF8UZ1yOHsZw_11_16"/>
      <w:bookmarkStart w:id="443" w:name="Tc_1ojB8y_qi0-5lBdc_K0iVg_11_11"/>
      <w:bookmarkStart w:id="444" w:name="Tc_95hP1WLheEO4RJpXcQXSUg_11_8"/>
      <w:bookmarkStart w:id="445" w:name="Tc_pJW49ZW1i0yw1XJywhStWQ_11_5"/>
      <w:bookmarkStart w:id="446" w:name="Tc_FY3puU9q7Eu0x58frZaOWQ_11_2"/>
      <w:bookmarkStart w:id="447" w:name="Tc_M5ug-M_1wkym_b9tqfrMHQ_11_0"/>
      <w:bookmarkStart w:id="448" w:name="Tc_OCh-1Qp6hkOyIvrokFJlsw_10_19"/>
      <w:bookmarkStart w:id="449" w:name="Tc_fn4I5YOmHUagYB_B-A13Pg_10_16"/>
      <w:bookmarkStart w:id="450" w:name="Tc_XFd9Q9kpw06x5svDKqG9WQ_10_11"/>
      <w:bookmarkStart w:id="451" w:name="Tc_Okr2G6BE4kWKhfKN5_DBEQ_10_8"/>
      <w:bookmarkStart w:id="452" w:name="Tc_gBICbMBn50qa_BySidJP0g_10_5"/>
      <w:bookmarkStart w:id="453" w:name="Tc_5SzsxqteN0qdXzxXwj_AHA_10_2"/>
      <w:bookmarkStart w:id="454" w:name="Tc_TS2ipmGNlUWix-kiqGdiNQ_10_0"/>
      <w:bookmarkStart w:id="455" w:name="Tc_hzP-emF5gUKib3VpzpKNzw_9_14"/>
      <w:bookmarkStart w:id="456" w:name="Tc_3ioDr1sFZk2zPYYwvDUqBQ_9_11"/>
      <w:bookmarkStart w:id="457" w:name="Tc_oONmPxuuc0ikzuQMYOJa7w_9_8"/>
      <w:bookmarkStart w:id="458" w:name="Tc_MRs9GHyoYkqSCAOokuLXCQ_9_5"/>
      <w:bookmarkStart w:id="459" w:name="Tc_LAJuD-gzsEKT5RtBPr-3CA_9_2"/>
      <w:bookmarkStart w:id="460" w:name="Tc_rD5zLMAeAUeXMsjytJenew_9_0"/>
      <w:bookmarkStart w:id="461" w:name="Tc_uYd_I6UXEEKtrR8ZWFGCgg_8_19"/>
      <w:bookmarkStart w:id="462" w:name="Tc_POn5jQO6CUa0BtH4OqDF1Q_8_16"/>
      <w:bookmarkStart w:id="463" w:name="Tc_-EDDoDbFKUSYM03v8c3wsQ_8_14"/>
      <w:bookmarkStart w:id="464" w:name="Tc_NonoC_jCZ0WzsRRnA77BPw_8_11"/>
      <w:bookmarkStart w:id="465" w:name="Tc_Y1NHCbPHL0Sq62f9X9MkaQ_8_0"/>
      <w:bookmarkStart w:id="466" w:name="Tc_-AwiWDsfWUCo0RDFu1E2eQ_7_19"/>
      <w:bookmarkStart w:id="467" w:name="Tc_pG7vIbXTSEuES4TDh3DrPw_7_16"/>
      <w:bookmarkStart w:id="468" w:name="Tc_COUSMesyq0W6oj3JUrSWYg_7_14"/>
      <w:bookmarkStart w:id="469" w:name="Tc_OUI3ntvdiUi3ml5GIz8YRw_7_11"/>
      <w:bookmarkStart w:id="470" w:name="Tc_8T2F5Ihs4kqmsqqwlTRamA_7_5"/>
      <w:bookmarkStart w:id="471" w:name="Tc_QlrMHwMWoUOi1qyFK2nbdQ_7_2"/>
      <w:bookmarkStart w:id="472" w:name="Tc_lHzuSUwf5Eyny5KVjybu0w_7_0"/>
      <w:bookmarkStart w:id="473" w:name="Tc_oWvLdIhj_ECd1__TunHM3A_5_21"/>
      <w:bookmarkStart w:id="474" w:name="Tc_BGy-MH82wE2jWVUkkGYbRA_5_18"/>
      <w:bookmarkStart w:id="475" w:name="Tc_dOAqgxHUw0yYQn6bXlePlQ_5_13"/>
      <w:bookmarkStart w:id="476" w:name="Tc_plDt4jrFIkCVwSZKwNU1cg_5_10"/>
      <w:bookmarkStart w:id="477" w:name="Tc_QQIBfF5tj0ytcfRx9oWSYA_5_7"/>
      <w:bookmarkStart w:id="478" w:name="Tc_QsqFX3EC9ka3oC5Ssrt5xw_5_4"/>
      <w:bookmarkStart w:id="479" w:name="Tc_Cdlq7JW5C06LwhBo42e-sQ_5_0"/>
      <w:bookmarkStart w:id="480" w:name="Tc_YOJ1GwerkU-iyMz-gfcBBA_4_21"/>
      <w:bookmarkStart w:id="481" w:name="Tc_Dqui1R9BTkSMX2PoTbl2rg_4_18"/>
      <w:bookmarkStart w:id="482" w:name="Tc_NfkaDa5kj0aKtyGBAYkKng_4_16"/>
      <w:bookmarkStart w:id="483" w:name="Tc_8ii4x0y4TE--CxWmDmj68w_4_13"/>
      <w:bookmarkStart w:id="484" w:name="Tc_dRTKbsPcYUe9lZDnxzM0qQ_4_10"/>
      <w:bookmarkStart w:id="485" w:name="Tc_pYPCVfTdSEeCHegYMkkhCw_4_7"/>
      <w:bookmarkStart w:id="486" w:name="Tc_qPegtgrwT0CvfZI_SrmMPw_4_4"/>
      <w:bookmarkStart w:id="487" w:name="Tc_ONo5jeq-w06l7mvjImSW0w_4_2"/>
      <w:bookmarkStart w:id="488" w:name="Tc_1ukiSMMKrUCJg3FQ6b6Oqg_3_21"/>
      <w:bookmarkStart w:id="489" w:name="Tc_nOOc_fDXMECto5KT4p7Lxw_3_16"/>
      <w:bookmarkStart w:id="490" w:name="Tc_beiu4vypWkS6quC6FLBdbg_3_13"/>
      <w:bookmarkStart w:id="491" w:name="Tc_cOmBRRjPkEiNO0Uu7Ot6sw_3_10"/>
      <w:bookmarkStart w:id="492" w:name="Tc_7pVBSWahaUqTO-ePDGVSsQ_3_7"/>
      <w:bookmarkStart w:id="493" w:name="Tc_mlFdymg0nE6Vc8IfMnRbIw_3_2"/>
      <w:bookmarkStart w:id="494" w:name="Tc_s24Z1CgJB0uEvNf-7CgSEA_2_21"/>
      <w:bookmarkStart w:id="495" w:name="Tc_Gj3PPDbxB0ql10ngsLOhLA_2_13"/>
      <w:bookmarkStart w:id="496" w:name="Tc_SAlZZx7SCUW2gCCAO7Ijzg_2_7"/>
      <w:bookmarkStart w:id="497" w:name="Tc_TIP3F66VQkWAUxJ-ZDmQNw_1_13"/>
      <w:bookmarkStart w:id="498" w:name="_f30de4c4_50e8_4b76_95e7_5cf508d24da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tbl>
      <w:tblPr>
        <w:tblW w:w="11682"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196"/>
        <w:gridCol w:w="826"/>
        <w:gridCol w:w="326"/>
        <w:gridCol w:w="196"/>
        <w:gridCol w:w="826"/>
        <w:gridCol w:w="326"/>
        <w:gridCol w:w="251"/>
        <w:gridCol w:w="965"/>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38835" cy="175260"/>
                      <wp:effectExtent l="0" t="0" r="0" b="0"/>
                      <wp:wrapNone/>
                      <wp:docPr id="36" name="Frame3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4510" cy="175260"/>
                      <wp:effectExtent l="0" t="0" r="0" b="0"/>
                      <wp:wrapNone/>
                      <wp:docPr id="38" name="Frame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24485" cy="175260"/>
                      <wp:effectExtent l="0" t="0" r="0" b="0"/>
                      <wp:wrapNone/>
                      <wp:docPr id="41" name="Frame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4510" cy="175260"/>
                      <wp:effectExtent l="0" t="0" r="0" b="0"/>
                      <wp:wrapNone/>
                      <wp:docPr id="44" name="Frame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47" name="Frame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9385" cy="175260"/>
                      <wp:effectExtent l="0" t="0" r="0" b="0"/>
                      <wp:wrapNone/>
                      <wp:docPr id="49" name="Frame4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12775" cy="175260"/>
                      <wp:effectExtent l="0" t="0" r="0" b="0"/>
                      <wp:wrapNone/>
                      <wp:docPr id="50" name="Frame50"/>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76885" cy="175260"/>
                      <wp:effectExtent l="0" t="0" r="0" b="0"/>
                      <wp:wrapNone/>
                      <wp:docPr id="52" name="Frame5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5" name="Frame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1185" cy="175260"/>
                      <wp:effectExtent l="0" t="0" r="0" b="0"/>
                      <wp:wrapNone/>
                      <wp:docPr id="58" name="Frame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1,126,329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5,144,922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7,448,784</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(269,487)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(6,372,133)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5,957,718</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20,727</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48,093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63,971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63,971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2,570</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2,570</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5,213,731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7,891,777</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(202,946)</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(6,388,766)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6,519,439</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31,842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31,842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39,591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100,759</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100,759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10,666</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488,794</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488,794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1,129,950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5,285,157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8,380,571</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(91,308)</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(6,388,766)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7,191,304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9" w:name="Tc_c7CK6rP26UC8fpOrt4gkfA_23_21"/>
      <w:bookmarkStart w:id="500" w:name="Tc_5Tn47Qceu0Gmt79V5lxAOQ_23_18"/>
      <w:bookmarkStart w:id="501" w:name="Tc_4VlV07cNE0mJDotySzINGQ_23_13"/>
      <w:bookmarkStart w:id="502" w:name="Tc_MYYdmnbQy0eL5nqWobfQJQ_23_10"/>
      <w:bookmarkStart w:id="503" w:name="Tc_j6olIM5fbk6TZKhxBmnoIQ_23_7"/>
      <w:bookmarkStart w:id="504" w:name="Tc_7R26pgl-MkqarogjekKSMQ_23_4"/>
      <w:bookmarkStart w:id="505" w:name="Tc_7OHuu1MD2UmwyBeE1q8odw_23_0"/>
      <w:bookmarkStart w:id="506" w:name="Tc_Zm4xHcRSO06wtNOVd3jk_A_22_19"/>
      <w:bookmarkStart w:id="507" w:name="Tc_s-bpjTFVvkiJ1nbrMcjJ5A_22_16"/>
      <w:bookmarkStart w:id="508" w:name="Tc_Hkoc7P-L8Uu-WBpQHsn3SA_22_14"/>
      <w:bookmarkStart w:id="509" w:name="Tc_kzbtsLtn3k-JfOyfD8ld5g_22_8"/>
      <w:bookmarkStart w:id="510" w:name="Tc_gVhiWEgP2kupr19TROk-oA_22_5"/>
      <w:bookmarkStart w:id="511" w:name="Tc_3iJbDSU1pEaYvkldIUBfpg_22_2"/>
      <w:bookmarkStart w:id="512" w:name="Tc_rjtJrFzWI0yA1DwTg-mhzA_22_0"/>
      <w:bookmarkStart w:id="513" w:name="Tc_6t3Hp0edYkC_IwfqVOUIag_21_19"/>
      <w:bookmarkStart w:id="514" w:name="Tc_sD_m230vZE6Cob1jTUf4Vw_21_16"/>
      <w:bookmarkStart w:id="515" w:name="Tc_OEPno5Swh0G7E5vk0428XA_21_11"/>
      <w:bookmarkStart w:id="516" w:name="Tc_ViEBzy_Nkk-HFJEu0X2lBA_21_8"/>
      <w:bookmarkStart w:id="517" w:name="Tc_S3gymYUIbUmGHDgtouT3dw_21_5"/>
      <w:bookmarkStart w:id="518" w:name="Tc_My_ogDct50ujExws7DA1Aw_21_2"/>
      <w:bookmarkStart w:id="519" w:name="Tc_1JMaqu5Ykk2Ny7I6cDKJgQ_21_0"/>
      <w:bookmarkStart w:id="520" w:name="Tc__yAi6e3RCU-A0J5_U-tUHA_20_19"/>
      <w:bookmarkStart w:id="521" w:name="Tc_Ua3Z6BNx7Uq789eYaE4XQQ_20_16"/>
      <w:bookmarkStart w:id="522" w:name="Tc_S3SvdXxzu0Cb-92YvTn2bA_20_11"/>
      <w:bookmarkStart w:id="523" w:name="Tc_KKRGnTmEGEWjrp12bM1Tjg_20_8"/>
      <w:bookmarkStart w:id="524" w:name="Tc_6MQyfYn96kuh0uxg3sHJUQ_20_5"/>
      <w:bookmarkStart w:id="525" w:name="Tc_pjonJ9bc5kOXo-7ymr6PHQ_20_2"/>
      <w:bookmarkStart w:id="526" w:name="Tc_McJzlJ66zk6R2Cj-u5pbnQ_20_0"/>
      <w:bookmarkStart w:id="527" w:name="Tc_v74ldFC5pEKc0CHxXaCeRg_19_14"/>
      <w:bookmarkStart w:id="528" w:name="Tc_8cZNjMIL9kGjQ41ifPAtAQ_19_11"/>
      <w:bookmarkStart w:id="529" w:name="Tc_hUKyn4nKckShLBLd5RDG4g_19_8"/>
      <w:bookmarkStart w:id="530" w:name="Tc_EeNOXvc8Kkm8hHUTCxOQAA_19_5"/>
      <w:bookmarkStart w:id="531" w:name="Tc_TX-wqfbPIEuWoIJv7JQyww_19_2"/>
      <w:bookmarkStart w:id="532" w:name="Tc_mJa9EElaVkOuq4HLQzdPJQ_19_0"/>
      <w:bookmarkStart w:id="533" w:name="Tc_1N8JLcAPtk-qi8fzfhw1hw_18_19"/>
      <w:bookmarkStart w:id="534" w:name="Tc_9OZ5L1Nw00iqoEJEXqVrbw_18_16"/>
      <w:bookmarkStart w:id="535" w:name="Tc_IKeVQHSBYkC6uXOZPiQsiA_18_11"/>
      <w:bookmarkStart w:id="536" w:name="Tc_cuErl78SVUeQYhN48WOaIg_18_8"/>
      <w:bookmarkStart w:id="537" w:name="Tc_MX4wAe-a2UWOz6jeq2tmGQ_18_5"/>
      <w:bookmarkStart w:id="538" w:name="Tc_1FK7AUjYt0e1LlYdfbGCtQ_18_2"/>
      <w:bookmarkStart w:id="539" w:name="Tc_e3gL4_4Bz0iO1VyJYR9KEg_18_0"/>
      <w:bookmarkStart w:id="540" w:name="Tc_d3fmsq7NEU29CpWmJ--9CA_17_19"/>
      <w:bookmarkStart w:id="541" w:name="Tc_no6K8GHogkCugd6tclRmWA_17_16"/>
      <w:bookmarkStart w:id="542" w:name="Tc_snJCn58huE-ixZ1Zjjt0hA_17_14"/>
      <w:bookmarkStart w:id="543" w:name="Tc_wBg9wFxQI0qk0p3cY_wK1g_17_11"/>
      <w:bookmarkStart w:id="544" w:name="Tc_ZIdK9ZM3BEC-wg1hPVc5eQ_17_0"/>
      <w:bookmarkStart w:id="545" w:name="Tc_7GUYnUrpbk6uPU27R6SsVw_16_19"/>
      <w:bookmarkStart w:id="546" w:name="Tc_03sp88Ae6keWZhUPT37NCQ_16_16"/>
      <w:bookmarkStart w:id="547" w:name="Tc_Pj1MrKCZ4Uqteswz3Yrh6g_16_14"/>
      <w:bookmarkStart w:id="548" w:name="Tc_UEe8Az5Qakqt9yZPdm_8CA_16_11"/>
      <w:bookmarkStart w:id="549" w:name="Tc_8VrasJd6AUG4PxiEsVwkwA_16_5"/>
      <w:bookmarkStart w:id="550" w:name="Tc_qq9SvUyo-EGTzKPcwRrxnQ_16_2"/>
      <w:bookmarkStart w:id="551" w:name="Tc_Sp5G_HjMGU6IMxZYKuD6iA_16_0"/>
      <w:bookmarkStart w:id="552" w:name="Tc_Q9wtz6o73UihKDOl6HKEZQ_14_21"/>
      <w:bookmarkStart w:id="553" w:name="Tc_J8jwmc-wYUiCqNFgKykmZg_14_18"/>
      <w:bookmarkStart w:id="554" w:name="Tc_prGz8VSdx0WS9nOEAfWkXA_14_13"/>
      <w:bookmarkStart w:id="555" w:name="Tc_j8eC30lPTEKGjd1uDMWjUA_14_10"/>
      <w:bookmarkStart w:id="556" w:name="Tc_garnE0TH_kaKf3xcTeTv4w_14_7"/>
      <w:bookmarkStart w:id="557" w:name="Tc_l8K9T-0hNEy57ofEyMfksA_14_4"/>
      <w:bookmarkStart w:id="558" w:name="Tc_eXFm80RaIkGuIm_lwuiAkg_14_0"/>
      <w:bookmarkStart w:id="559" w:name="Tc_o3YRcpZ5rECTjhf2w-N8Pw_13_19"/>
      <w:bookmarkStart w:id="560" w:name="Tc_4zPpYPoczkeCvcbCB6QbMw_13_16"/>
      <w:bookmarkStart w:id="561" w:name="Tc_GSbwHoGkWkiRsfhBjEMNmA_13_14"/>
      <w:bookmarkStart w:id="562" w:name="Tc_6kv1BuPtQk-ElxKam8n81g_13_8"/>
      <w:bookmarkStart w:id="563" w:name="Tc_DaEhBFNnMU69mvpTgFHTSg_13_5"/>
      <w:bookmarkStart w:id="564" w:name="Tc_ccBXHaYv-U-JNUD34Wn81Q_13_2"/>
      <w:bookmarkStart w:id="565" w:name="Tc_KtwMsRzzW0qFRQxx8cpl_Q_13_0"/>
      <w:bookmarkStart w:id="566" w:name="Tc_zebUFKZDU0mY4eF2pI_P3A_12_19"/>
      <w:bookmarkStart w:id="567" w:name="Tc_et2LmBbxlUenbVSq8K9P1Q_12_16"/>
      <w:bookmarkStart w:id="568" w:name="Tc_6pL6EMxFoke-ejr9Q8EbMA_12_11"/>
      <w:bookmarkStart w:id="569" w:name="Tc_jI7uWRCwwEK9me3F684ocg_12_8"/>
      <w:bookmarkStart w:id="570" w:name="Tc_8xZXn8LfykOGxWHdg9_vhg_12_5"/>
      <w:bookmarkStart w:id="571" w:name="Tc_BbYyHxiJvkKuG2aTiXeInw_12_2"/>
      <w:bookmarkStart w:id="572" w:name="Tc_NlCSH_LrokaiRMFVUDm_4g_12_0"/>
      <w:bookmarkStart w:id="573" w:name="Tc_XKLeHqfJE0iYJPwydBIaWQ_11_19"/>
      <w:bookmarkStart w:id="574" w:name="Tc_5BdZw8bbT0WFD1yxfZaeUg_11_16"/>
      <w:bookmarkStart w:id="575" w:name="Tc_S0WI2wwyy0aJCAuGKkZB-g_11_11"/>
      <w:bookmarkStart w:id="576" w:name="Tc_5lePlTWYTUGn04SJHONZYw_11_8"/>
      <w:bookmarkStart w:id="577" w:name="Tc_wUwLPzGiZk2Dk-VIg2c5ZA_11_5"/>
      <w:bookmarkStart w:id="578" w:name="Tc_f-kBMc-Z0ESdYwdV-w_HEw_11_2"/>
      <w:bookmarkStart w:id="579" w:name="Tc_E5lHYBdBB0KJ_obu6kx5gA_11_0"/>
      <w:bookmarkStart w:id="580" w:name="Tc_NbI_v8AteUS4EgvTIXwrAA_10_14"/>
      <w:bookmarkStart w:id="581" w:name="Tc_mFJzbW6WLEKRjPUPfYQqBg_10_11"/>
      <w:bookmarkStart w:id="582" w:name="Tc_Ck7rGuByck6eTx2faXh4lw_10_8"/>
      <w:bookmarkStart w:id="583" w:name="Tc_EWspBa_9Y0udRceHUX1dbw_10_5"/>
      <w:bookmarkStart w:id="584" w:name="Tc_v796T2b6zEOJiXCpmpMY8A_10_2"/>
      <w:bookmarkStart w:id="585" w:name="Tc_gDchNnBGsEOcBII9-95gcQ_10_0"/>
      <w:bookmarkStart w:id="586" w:name="Tc_35tTzq9wFEGeRWe1Y7HU-A_9_19"/>
      <w:bookmarkStart w:id="587" w:name="Tc_bex-hntnl0eepol5OeHXOw_9_16"/>
      <w:bookmarkStart w:id="588" w:name="Tc_u59E140lY0S6w9sVPw2GMA_9_11"/>
      <w:bookmarkStart w:id="589" w:name="Tc_6z9UMFIAlEu9LW9vbXuszg_9_8"/>
      <w:bookmarkStart w:id="590" w:name="Tc_MFPExeBZ7kW9W1TJNly5qA_9_5"/>
      <w:bookmarkStart w:id="591" w:name="Tc_TeUp_HUkfEu5pdyZqDWHlg_9_2"/>
      <w:bookmarkStart w:id="592" w:name="Tc_wHCLUaXKZ06bgOYi4S_XLw_9_0"/>
      <w:bookmarkStart w:id="593" w:name="Tc_G8AWjfg93E6DVA96vEFJuQ_8_19"/>
      <w:bookmarkStart w:id="594" w:name="Tc_NmQZbm2JdEmcJaA1da2xAA_8_16"/>
      <w:bookmarkStart w:id="595" w:name="Tc_UuY8PF6FA0Oa-O1-4ZOIdg_8_14"/>
      <w:bookmarkStart w:id="596" w:name="Tc_pxIJ0WlSsUGJhOv9J4KdZQ_8_11"/>
      <w:bookmarkStart w:id="597" w:name="Tc_9J38GdPWXUy9tOmuuFrz1Q_8_0"/>
      <w:bookmarkStart w:id="598" w:name="Tc_2aBvo7W_WkqPS6F-5DIOzw_7_19"/>
      <w:bookmarkStart w:id="599" w:name="Tc_Bh13TOLbtkyltAObWv_baA_7_16"/>
      <w:bookmarkStart w:id="600" w:name="Tc_t56LD4_eQkea907biXyNJA_7_14"/>
      <w:bookmarkStart w:id="601" w:name="Tc_t9jqPYYPlkeDSY5pUppYBw_7_11"/>
      <w:bookmarkStart w:id="602" w:name="Tc_tL5ZzqXbykSJoa-j--fUiA_7_5"/>
      <w:bookmarkStart w:id="603" w:name="Tc_Qb8k9jwi_Ue_R72FrrbuZw_7_2"/>
      <w:bookmarkStart w:id="604" w:name="Tc_Bv_KJz8bw0mxgC3G5A-tmQ_7_0"/>
      <w:bookmarkStart w:id="605" w:name="Tc_9BtPhL_pqUaeEx0_0QxNJQ_5_21"/>
      <w:bookmarkStart w:id="606" w:name="Tc_T4IlyRFpSECJXanlSpzHyg_5_18"/>
      <w:bookmarkStart w:id="607" w:name="Tc_ww4DuNFWr0KrAiT8X61olA_5_13"/>
      <w:bookmarkStart w:id="608" w:name="Tc_89MhibHscEiS3XTrAET3og_5_10"/>
      <w:bookmarkStart w:id="609" w:name="Tc_ueqGdPAZdUiLQYoSjSjdkg_5_7"/>
      <w:bookmarkStart w:id="610" w:name="Tc_m0DlK8Y4_0-kAfM-fbyx0g_5_4"/>
      <w:bookmarkStart w:id="611" w:name="Tc_IA3oVAKz_EWF575XLGGKcQ_5_0"/>
      <w:bookmarkStart w:id="612" w:name="Tc_W2o5RPhWqUq6ugl6XiwK8g_4_21"/>
      <w:bookmarkStart w:id="613" w:name="Tc_4dy3DtY1jESP50ianS749g_4_18"/>
      <w:bookmarkStart w:id="614" w:name="Tc_p7phpSnb_0SSq9US6OApRg_4_16"/>
      <w:bookmarkStart w:id="615" w:name="Tc_kJRByiIDB0KupT8fyCsp7Q_4_13"/>
      <w:bookmarkStart w:id="616" w:name="Tc_kEIJ4Tzr_EWfEegGiKAWPg_4_10"/>
      <w:bookmarkStart w:id="617" w:name="Tc_vE_FVUdpH0-McF8WXK6s3g_4_7"/>
      <w:bookmarkStart w:id="618" w:name="Tc_CwwD3DeMjk2FMg755kh-zA_4_4"/>
      <w:bookmarkStart w:id="619" w:name="Tc_Vq77RTWyuESPCD0b9DkUig_4_2"/>
      <w:bookmarkStart w:id="620" w:name="Tc__Ucr2cwiIUyz9J-n76pVoA_3_21"/>
      <w:bookmarkStart w:id="621" w:name="Tc_nMEPLIaMb0K_Opv7ZVe5MA_3_16"/>
      <w:bookmarkStart w:id="622" w:name="Tc_ZzJaYy-icE68A1Zta_wPLQ_3_13"/>
      <w:bookmarkStart w:id="623" w:name="Tc_FQBKDrStiUKk5j-kcidcdg_3_10"/>
      <w:bookmarkStart w:id="624" w:name="Tc_Ov5O9LMksE-PWoE5UKadlQ_3_7"/>
      <w:bookmarkStart w:id="625" w:name="Tc_0BgYgVoTW0yJd59RVVkK_g_3_2"/>
      <w:bookmarkStart w:id="626" w:name="Tc_FwDHJr-A3Uiz0hwi5KSzoQ_2_21"/>
      <w:bookmarkStart w:id="627" w:name="Tc_neJFsQqjcE-KGD-5tM3xVw_2_13"/>
      <w:bookmarkStart w:id="628" w:name="Tc_G1uyILwOE0uMq7AejbocGA_2_7"/>
      <w:bookmarkStart w:id="629" w:name="Tc_W9Ox686p1UGIAt9EypbwLQ_1_13"/>
      <w:bookmarkStart w:id="630" w:name="_7a4560e4_7e00_4866_9e2e_3d3fd636dbde"/>
      <w:bookmarkStart w:id="631" w:name="Tc_c7CK6rP26UC8fpOrt4gkfA_23_21"/>
      <w:bookmarkStart w:id="632" w:name="Tc_5Tn47Qceu0Gmt79V5lxAOQ_23_18"/>
      <w:bookmarkStart w:id="633" w:name="Tc_4VlV07cNE0mJDotySzINGQ_23_13"/>
      <w:bookmarkStart w:id="634" w:name="Tc_MYYdmnbQy0eL5nqWobfQJQ_23_10"/>
      <w:bookmarkStart w:id="635" w:name="Tc_j6olIM5fbk6TZKhxBmnoIQ_23_7"/>
      <w:bookmarkStart w:id="636" w:name="Tc_7R26pgl-MkqarogjekKSMQ_23_4"/>
      <w:bookmarkStart w:id="637" w:name="Tc_7OHuu1MD2UmwyBeE1q8odw_23_0"/>
      <w:bookmarkStart w:id="638" w:name="Tc_Zm4xHcRSO06wtNOVd3jk_A_22_19"/>
      <w:bookmarkStart w:id="639" w:name="Tc_s-bpjTFVvkiJ1nbrMcjJ5A_22_16"/>
      <w:bookmarkStart w:id="640" w:name="Tc_Hkoc7P-L8Uu-WBpQHsn3SA_22_14"/>
      <w:bookmarkStart w:id="641" w:name="Tc_kzbtsLtn3k-JfOyfD8ld5g_22_8"/>
      <w:bookmarkStart w:id="642" w:name="Tc_gVhiWEgP2kupr19TROk-oA_22_5"/>
      <w:bookmarkStart w:id="643" w:name="Tc_3iJbDSU1pEaYvkldIUBfpg_22_2"/>
      <w:bookmarkStart w:id="644" w:name="Tc_rjtJrFzWI0yA1DwTg-mhzA_22_0"/>
      <w:bookmarkStart w:id="645" w:name="Tc_6t3Hp0edYkC_IwfqVOUIag_21_19"/>
      <w:bookmarkStart w:id="646" w:name="Tc_sD_m230vZE6Cob1jTUf4Vw_21_16"/>
      <w:bookmarkStart w:id="647" w:name="Tc_OEPno5Swh0G7E5vk0428XA_21_11"/>
      <w:bookmarkStart w:id="648" w:name="Tc_ViEBzy_Nkk-HFJEu0X2lBA_21_8"/>
      <w:bookmarkStart w:id="649" w:name="Tc_S3gymYUIbUmGHDgtouT3dw_21_5"/>
      <w:bookmarkStart w:id="650" w:name="Tc_My_ogDct50ujExws7DA1Aw_21_2"/>
      <w:bookmarkStart w:id="651" w:name="Tc_1JMaqu5Ykk2Ny7I6cDKJgQ_21_0"/>
      <w:bookmarkStart w:id="652" w:name="Tc__yAi6e3RCU-A0J5_U-tUHA_20_19"/>
      <w:bookmarkStart w:id="653" w:name="Tc_Ua3Z6BNx7Uq789eYaE4XQQ_20_16"/>
      <w:bookmarkStart w:id="654" w:name="Tc_S3SvdXxzu0Cb-92YvTn2bA_20_11"/>
      <w:bookmarkStart w:id="655" w:name="Tc_KKRGnTmEGEWjrp12bM1Tjg_20_8"/>
      <w:bookmarkStart w:id="656" w:name="Tc_6MQyfYn96kuh0uxg3sHJUQ_20_5"/>
      <w:bookmarkStart w:id="657" w:name="Tc_pjonJ9bc5kOXo-7ymr6PHQ_20_2"/>
      <w:bookmarkStart w:id="658" w:name="Tc_McJzlJ66zk6R2Cj-u5pbnQ_20_0"/>
      <w:bookmarkStart w:id="659" w:name="Tc_v74ldFC5pEKc0CHxXaCeRg_19_14"/>
      <w:bookmarkStart w:id="660" w:name="Tc_8cZNjMIL9kGjQ41ifPAtAQ_19_11"/>
      <w:bookmarkStart w:id="661" w:name="Tc_hUKyn4nKckShLBLd5RDG4g_19_8"/>
      <w:bookmarkStart w:id="662" w:name="Tc_EeNOXvc8Kkm8hHUTCxOQAA_19_5"/>
      <w:bookmarkStart w:id="663" w:name="Tc_TX-wqfbPIEuWoIJv7JQyww_19_2"/>
      <w:bookmarkStart w:id="664" w:name="Tc_mJa9EElaVkOuq4HLQzdPJQ_19_0"/>
      <w:bookmarkStart w:id="665" w:name="Tc_1N8JLcAPtk-qi8fzfhw1hw_18_19"/>
      <w:bookmarkStart w:id="666" w:name="Tc_9OZ5L1Nw00iqoEJEXqVrbw_18_16"/>
      <w:bookmarkStart w:id="667" w:name="Tc_IKeVQHSBYkC6uXOZPiQsiA_18_11"/>
      <w:bookmarkStart w:id="668" w:name="Tc_cuErl78SVUeQYhN48WOaIg_18_8"/>
      <w:bookmarkStart w:id="669" w:name="Tc_MX4wAe-a2UWOz6jeq2tmGQ_18_5"/>
      <w:bookmarkStart w:id="670" w:name="Tc_1FK7AUjYt0e1LlYdfbGCtQ_18_2"/>
      <w:bookmarkStart w:id="671" w:name="Tc_e3gL4_4Bz0iO1VyJYR9KEg_18_0"/>
      <w:bookmarkStart w:id="672" w:name="Tc_d3fmsq7NEU29CpWmJ--9CA_17_19"/>
      <w:bookmarkStart w:id="673" w:name="Tc_no6K8GHogkCugd6tclRmWA_17_16"/>
      <w:bookmarkStart w:id="674" w:name="Tc_snJCn58huE-ixZ1Zjjt0hA_17_14"/>
      <w:bookmarkStart w:id="675" w:name="Tc_wBg9wFxQI0qk0p3cY_wK1g_17_11"/>
      <w:bookmarkStart w:id="676" w:name="Tc_ZIdK9ZM3BEC-wg1hPVc5eQ_17_0"/>
      <w:bookmarkStart w:id="677" w:name="Tc_7GUYnUrpbk6uPU27R6SsVw_16_19"/>
      <w:bookmarkStart w:id="678" w:name="Tc_03sp88Ae6keWZhUPT37NCQ_16_16"/>
      <w:bookmarkStart w:id="679" w:name="Tc_Pj1MrKCZ4Uqteswz3Yrh6g_16_14"/>
      <w:bookmarkStart w:id="680" w:name="Tc_UEe8Az5Qakqt9yZPdm_8CA_16_11"/>
      <w:bookmarkStart w:id="681" w:name="Tc_8VrasJd6AUG4PxiEsVwkwA_16_5"/>
      <w:bookmarkStart w:id="682" w:name="Tc_qq9SvUyo-EGTzKPcwRrxnQ_16_2"/>
      <w:bookmarkStart w:id="683" w:name="Tc_Sp5G_HjMGU6IMxZYKuD6iA_16_0"/>
      <w:bookmarkStart w:id="684" w:name="Tc_Q9wtz6o73UihKDOl6HKEZQ_14_21"/>
      <w:bookmarkStart w:id="685" w:name="Tc_J8jwmc-wYUiCqNFgKykmZg_14_18"/>
      <w:bookmarkStart w:id="686" w:name="Tc_prGz8VSdx0WS9nOEAfWkXA_14_13"/>
      <w:bookmarkStart w:id="687" w:name="Tc_j8eC30lPTEKGjd1uDMWjUA_14_10"/>
      <w:bookmarkStart w:id="688" w:name="Tc_garnE0TH_kaKf3xcTeTv4w_14_7"/>
      <w:bookmarkStart w:id="689" w:name="Tc_l8K9T-0hNEy57ofEyMfksA_14_4"/>
      <w:bookmarkStart w:id="690" w:name="Tc_eXFm80RaIkGuIm_lwuiAkg_14_0"/>
      <w:bookmarkStart w:id="691" w:name="Tc_o3YRcpZ5rECTjhf2w-N8Pw_13_19"/>
      <w:bookmarkStart w:id="692" w:name="Tc_4zPpYPoczkeCvcbCB6QbMw_13_16"/>
      <w:bookmarkStart w:id="693" w:name="Tc_GSbwHoGkWkiRsfhBjEMNmA_13_14"/>
      <w:bookmarkStart w:id="694" w:name="Tc_6kv1BuPtQk-ElxKam8n81g_13_8"/>
      <w:bookmarkStart w:id="695" w:name="Tc_DaEhBFNnMU69mvpTgFHTSg_13_5"/>
      <w:bookmarkStart w:id="696" w:name="Tc_ccBXHaYv-U-JNUD34Wn81Q_13_2"/>
      <w:bookmarkStart w:id="697" w:name="Tc_KtwMsRzzW0qFRQxx8cpl_Q_13_0"/>
      <w:bookmarkStart w:id="698" w:name="Tc_zebUFKZDU0mY4eF2pI_P3A_12_19"/>
      <w:bookmarkStart w:id="699" w:name="Tc_et2LmBbxlUenbVSq8K9P1Q_12_16"/>
      <w:bookmarkStart w:id="700" w:name="Tc_6pL6EMxFoke-ejr9Q8EbMA_12_11"/>
      <w:bookmarkStart w:id="701" w:name="Tc_jI7uWRCwwEK9me3F684ocg_12_8"/>
      <w:bookmarkStart w:id="702" w:name="Tc_8xZXn8LfykOGxWHdg9_vhg_12_5"/>
      <w:bookmarkStart w:id="703" w:name="Tc_BbYyHxiJvkKuG2aTiXeInw_12_2"/>
      <w:bookmarkStart w:id="704" w:name="Tc_NlCSH_LrokaiRMFVUDm_4g_12_0"/>
      <w:bookmarkStart w:id="705" w:name="Tc_XKLeHqfJE0iYJPwydBIaWQ_11_19"/>
      <w:bookmarkStart w:id="706" w:name="Tc_5BdZw8bbT0WFD1yxfZaeUg_11_16"/>
      <w:bookmarkStart w:id="707" w:name="Tc_S0WI2wwyy0aJCAuGKkZB-g_11_11"/>
      <w:bookmarkStart w:id="708" w:name="Tc_5lePlTWYTUGn04SJHONZYw_11_8"/>
      <w:bookmarkStart w:id="709" w:name="Tc_wUwLPzGiZk2Dk-VIg2c5ZA_11_5"/>
      <w:bookmarkStart w:id="710" w:name="Tc_f-kBMc-Z0ESdYwdV-w_HEw_11_2"/>
      <w:bookmarkStart w:id="711" w:name="Tc_E5lHYBdBB0KJ_obu6kx5gA_11_0"/>
      <w:bookmarkStart w:id="712" w:name="Tc_NbI_v8AteUS4EgvTIXwrAA_10_14"/>
      <w:bookmarkStart w:id="713" w:name="Tc_mFJzbW6WLEKRjPUPfYQqBg_10_11"/>
      <w:bookmarkStart w:id="714" w:name="Tc_Ck7rGuByck6eTx2faXh4lw_10_8"/>
      <w:bookmarkStart w:id="715" w:name="Tc_EWspBa_9Y0udRceHUX1dbw_10_5"/>
      <w:bookmarkStart w:id="716" w:name="Tc_v796T2b6zEOJiXCpmpMY8A_10_2"/>
      <w:bookmarkStart w:id="717" w:name="Tc_gDchNnBGsEOcBII9-95gcQ_10_0"/>
      <w:bookmarkStart w:id="718" w:name="Tc_35tTzq9wFEGeRWe1Y7HU-A_9_19"/>
      <w:bookmarkStart w:id="719" w:name="Tc_bex-hntnl0eepol5OeHXOw_9_16"/>
      <w:bookmarkStart w:id="720" w:name="Tc_u59E140lY0S6w9sVPw2GMA_9_11"/>
      <w:bookmarkStart w:id="721" w:name="Tc_6z9UMFIAlEu9LW9vbXuszg_9_8"/>
      <w:bookmarkStart w:id="722" w:name="Tc_MFPExeBZ7kW9W1TJNly5qA_9_5"/>
      <w:bookmarkStart w:id="723" w:name="Tc_TeUp_HUkfEu5pdyZqDWHlg_9_2"/>
      <w:bookmarkStart w:id="724" w:name="Tc_wHCLUaXKZ06bgOYi4S_XLw_9_0"/>
      <w:bookmarkStart w:id="725" w:name="Tc_G8AWjfg93E6DVA96vEFJuQ_8_19"/>
      <w:bookmarkStart w:id="726" w:name="Tc_NmQZbm2JdEmcJaA1da2xAA_8_16"/>
      <w:bookmarkStart w:id="727" w:name="Tc_UuY8PF6FA0Oa-O1-4ZOIdg_8_14"/>
      <w:bookmarkStart w:id="728" w:name="Tc_pxIJ0WlSsUGJhOv9J4KdZQ_8_11"/>
      <w:bookmarkStart w:id="729" w:name="Tc_9J38GdPWXUy9tOmuuFrz1Q_8_0"/>
      <w:bookmarkStart w:id="730" w:name="Tc_2aBvo7W_WkqPS6F-5DIOzw_7_19"/>
      <w:bookmarkStart w:id="731" w:name="Tc_Bh13TOLbtkyltAObWv_baA_7_16"/>
      <w:bookmarkStart w:id="732" w:name="Tc_t56LD4_eQkea907biXyNJA_7_14"/>
      <w:bookmarkStart w:id="733" w:name="Tc_t9jqPYYPlkeDSY5pUppYBw_7_11"/>
      <w:bookmarkStart w:id="734" w:name="Tc_tL5ZzqXbykSJoa-j--fUiA_7_5"/>
      <w:bookmarkStart w:id="735" w:name="Tc_Qb8k9jwi_Ue_R72FrrbuZw_7_2"/>
      <w:bookmarkStart w:id="736" w:name="Tc_Bv_KJz8bw0mxgC3G5A-tmQ_7_0"/>
      <w:bookmarkStart w:id="737" w:name="Tc_9BtPhL_pqUaeEx0_0QxNJQ_5_21"/>
      <w:bookmarkStart w:id="738" w:name="Tc_T4IlyRFpSECJXanlSpzHyg_5_18"/>
      <w:bookmarkStart w:id="739" w:name="Tc_ww4DuNFWr0KrAiT8X61olA_5_13"/>
      <w:bookmarkStart w:id="740" w:name="Tc_89MhibHscEiS3XTrAET3og_5_10"/>
      <w:bookmarkStart w:id="741" w:name="Tc_ueqGdPAZdUiLQYoSjSjdkg_5_7"/>
      <w:bookmarkStart w:id="742" w:name="Tc_m0DlK8Y4_0-kAfM-fbyx0g_5_4"/>
      <w:bookmarkStart w:id="743" w:name="Tc_IA3oVAKz_EWF575XLGGKcQ_5_0"/>
      <w:bookmarkStart w:id="744" w:name="Tc_W2o5RPhWqUq6ugl6XiwK8g_4_21"/>
      <w:bookmarkStart w:id="745" w:name="Tc_4dy3DtY1jESP50ianS749g_4_18"/>
      <w:bookmarkStart w:id="746" w:name="Tc_p7phpSnb_0SSq9US6OApRg_4_16"/>
      <w:bookmarkStart w:id="747" w:name="Tc_kJRByiIDB0KupT8fyCsp7Q_4_13"/>
      <w:bookmarkStart w:id="748" w:name="Tc_kEIJ4Tzr_EWfEegGiKAWPg_4_10"/>
      <w:bookmarkStart w:id="749" w:name="Tc_vE_FVUdpH0-McF8WXK6s3g_4_7"/>
      <w:bookmarkStart w:id="750" w:name="Tc_CwwD3DeMjk2FMg755kh-zA_4_4"/>
      <w:bookmarkStart w:id="751" w:name="Tc_Vq77RTWyuESPCD0b9DkUig_4_2"/>
      <w:bookmarkStart w:id="752" w:name="Tc__Ucr2cwiIUyz9J-n76pVoA_3_21"/>
      <w:bookmarkStart w:id="753" w:name="Tc_nMEPLIaMb0K_Opv7ZVe5MA_3_16"/>
      <w:bookmarkStart w:id="754" w:name="Tc_ZzJaYy-icE68A1Zta_wPLQ_3_13"/>
      <w:bookmarkStart w:id="755" w:name="Tc_FQBKDrStiUKk5j-kcidcdg_3_10"/>
      <w:bookmarkStart w:id="756" w:name="Tc_Ov5O9LMksE-PWoE5UKadlQ_3_7"/>
      <w:bookmarkStart w:id="757" w:name="Tc_0BgYgVoTW0yJd59RVVkK_g_3_2"/>
      <w:bookmarkStart w:id="758" w:name="Tc_FwDHJr-A3Uiz0hwi5KSzoQ_2_21"/>
      <w:bookmarkStart w:id="759" w:name="Tc_neJFsQqjcE-KGD-5tM3xVw_2_13"/>
      <w:bookmarkStart w:id="760" w:name="Tc_G1uyILwOE0uMq7AejbocGA_2_7"/>
      <w:bookmarkStart w:id="761" w:name="Tc_W9Ox686p1UGIAt9EypbwLQ_1_13"/>
      <w:bookmarkStart w:id="762" w:name="_7a4560e4_7e00_4866_9e2e_3d3fd636dbde"/>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tbl>
      <w:tblPr>
        <w:tblW w:w="11682"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196"/>
        <w:gridCol w:w="826"/>
        <w:gridCol w:w="326"/>
        <w:gridCol w:w="196"/>
        <w:gridCol w:w="826"/>
        <w:gridCol w:w="326"/>
        <w:gridCol w:w="251"/>
        <w:gridCol w:w="965"/>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38835" cy="175260"/>
                      <wp:effectExtent l="0" t="0" r="0" b="0"/>
                      <wp:wrapNone/>
                      <wp:docPr id="59" name="Frame5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4510" cy="175260"/>
                      <wp:effectExtent l="0" t="0" r="0" b="0"/>
                      <wp:wrapNone/>
                      <wp:docPr id="61" name="Frame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4485" cy="175260"/>
                      <wp:effectExtent l="0" t="0" r="0" b="0"/>
                      <wp:wrapNone/>
                      <wp:docPr id="64" name="Frame6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4510" cy="175260"/>
                      <wp:effectExtent l="0" t="0" r="0" b="0"/>
                      <wp:wrapNone/>
                      <wp:docPr id="67" name="Frame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4510" cy="175260"/>
                      <wp:effectExtent l="0" t="0" r="0" b="0"/>
                      <wp:wrapNone/>
                      <wp:docPr id="70" name="Frame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9385" cy="175260"/>
                      <wp:effectExtent l="0" t="0" r="0" b="0"/>
                      <wp:wrapNone/>
                      <wp:docPr id="72" name="Frame7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12775" cy="175260"/>
                      <wp:effectExtent l="0" t="0" r="0" b="0"/>
                      <wp:wrapNone/>
                      <wp:docPr id="73" name="Frame73"/>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76885" cy="175260"/>
                      <wp:effectExtent l="0" t="0" r="0" b="0"/>
                      <wp:wrapNone/>
                      <wp:docPr id="75" name="Frame7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2610" cy="175260"/>
                      <wp:effectExtent l="0" t="0" r="0" b="0"/>
                      <wp:wrapNone/>
                      <wp:docPr id="78" name="Frame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81" name="Frame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Comprehensive </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1,122,592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4,975,115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5,939,736</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(125,337)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(2,566,383)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8,228,744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38,392</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commodity derivatives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1,124,870</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5,624</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5,034,948</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6,381,785</w:t>
            </w:r>
          </w:p>
        </w:tc>
        <w:tc>
          <w:tcPr>
            <w:tcW w:w="326" w:type="dxa"/>
            <w:tcBorders/>
            <w:vAlign w:val="center"/>
          </w:tcPr>
          <w:p>
            <w:pPr>
              <w:pStyle w:val="TableContents"/>
              <w:bidi w:val="0"/>
              <w:spacing w:before="0" w:after="0"/>
              <w:ind w:left="0" w:right="0" w:hanging="0"/>
              <w:jc w:val="right"/>
              <w:rPr/>
            </w:pPr>
            <w:r>
              <w:rPr/>
              <w:t> </w:t>
            </w:r>
          </w:p>
        </w:tc>
        <w:tc>
          <w:tcPr>
            <w:tcW w:w="2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(157,940)</w:t>
            </w:r>
          </w:p>
        </w:tc>
        <w:tc>
          <w:tcPr>
            <w:tcW w:w="32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(83,172)</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(2,686,628)</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8,577,789</w:t>
            </w:r>
          </w:p>
        </w:tc>
      </w:tr>
      <w:tr>
        <w:trPr/>
        <w:tc>
          <w:tcPr>
            <w:tcW w:w="13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19,645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(3,145,817)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(3,145,817)</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(31,104)</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commodity derivatives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5,068,291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6,807,154</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(182,304)</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(5,832,445)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5,866,323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63" w:name="_41dfc6f0_a8eb_4ded_8ac5_ab10a8701359"/>
      <w:bookmarkEnd w:id="763"/>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764" w:name="STATEMENTSOFCASHFLOWS_392736"/>
      <w:bookmarkEnd w:id="764"/>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b/>
          <w:sz w:val="20"/>
        </w:rPr>
        <w:t xml:space="preserve">FOR THE </w:t>
      </w:r>
      <w:r>
        <w:rPr>
          <w:rFonts w:ascii="Times New Roman;Times;serif" w:hAnsi="Times New Roman;Times;serif"/>
          <w:b/>
          <w:color w:val="212529"/>
          <w:sz w:val="20"/>
          <w:shd w:fill="FFFFFF" w:val="clear"/>
        </w:rPr>
        <w:t>SIX-MONTHS ENDED JUNE 30</w:t>
      </w:r>
      <w:r>
        <w:rPr>
          <w:rFonts w:ascii="Times New Roman;Times;serif" w:hAnsi="Times New Roman;Times;serif"/>
          <w:b/>
          <w:sz w:val="20"/>
        </w:rPr>
        <w:t>,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65" w:name="Tc_XE6YEpoJKUejOvHc9mXbyQ_54_5"/>
      <w:bookmarkStart w:id="766" w:name="Tc_0Jz2B3FTNkCmdXgw81pf8Q_54_2"/>
      <w:bookmarkStart w:id="767" w:name="Tc_uXkxSZYRD0KLR6u1YaByDw_54_0"/>
      <w:bookmarkStart w:id="768" w:name="Tc_KmU3uGYXxUyEpJYDl4-3rg_53_5"/>
      <w:bookmarkStart w:id="769" w:name="Tc_QKGsUdLFiUaRJVdeu5Lnuw_53_2"/>
      <w:bookmarkStart w:id="770" w:name="Tc_KSRTtUrIjEWGmfFSyk3XzQ_53_0"/>
      <w:bookmarkStart w:id="771" w:name="Tc_GwpzxGdtb02hPqjt-SvSeA_52_0"/>
      <w:bookmarkStart w:id="772" w:name="Tc_xKbKNBClDUKPK2mxBFrhlQ_51_0"/>
      <w:bookmarkStart w:id="773" w:name="Tc_rd6_2XSbpUOAFTNsxwVLXQ_49_5"/>
      <w:bookmarkStart w:id="774" w:name="Tc_q1zavCc7oUS1Mk-LFnqPPg_49_2"/>
      <w:bookmarkStart w:id="775" w:name="Tc_WmqE_Jaij0yWwsntnOp42A_49_0"/>
      <w:bookmarkStart w:id="776" w:name="Tc_uQdXEEmQPEiLuUtcnnBIHQ_48_0"/>
      <w:bookmarkStart w:id="777" w:name="Tc_8Hq-aOW3pkK0bKbiti2NfA_47_0"/>
      <w:bookmarkStart w:id="778" w:name="Tc_XaiqB1oaVkWQaBGr30Mh4g_45_0"/>
      <w:bookmarkStart w:id="779" w:name="Tc_F7bkGCYNHke_wAvZggmA8A_43_0"/>
      <w:bookmarkStart w:id="780" w:name="Tc_HUmktbtspEesY2o2SvRh1w_42_0"/>
      <w:bookmarkStart w:id="781" w:name="Tc_5vLs70RAik21lPa5Un73WQ_41_0"/>
      <w:bookmarkStart w:id="782" w:name="Tc_y2Kv5aV3SkyJccou7j8dbA_40_0"/>
      <w:bookmarkStart w:id="783" w:name="Tc_1nL43j8hbUqf0X8BF1dp4g_39_0"/>
      <w:bookmarkStart w:id="784" w:name="Tc_qk5XmkWlSUWP8_vxTHNP4A_38_0"/>
      <w:bookmarkStart w:id="785" w:name="Tc_SNAl0ohdX0a_8_vwmAp7bw_37_0"/>
      <w:bookmarkStart w:id="786" w:name="Tc_4YkCVQEWo0WepQU9p6Mj-Q_36_0"/>
      <w:bookmarkStart w:id="787" w:name="Tc_FtzI1fBfpkWa01tkhLYJDg_34_0"/>
      <w:bookmarkStart w:id="788" w:name="Tc_Ko37zznPlkqmI93ONYIGxw_33_0"/>
      <w:bookmarkStart w:id="789" w:name="Tc_SkNRXHQXG0OR1X4BdlJ6HQ_32_0"/>
      <w:bookmarkStart w:id="790" w:name="Tc_Q0tDcyrJpUOD59XgPqH4sg_31_0"/>
      <w:bookmarkStart w:id="791" w:name="Tc_1OlP6f4pyEugLXcADBaFMQ_30_0"/>
      <w:bookmarkStart w:id="792" w:name="Tc_EaG5lKK6zky3UFiUGvxunQ_29_0"/>
      <w:bookmarkStart w:id="793" w:name="Tc_0eDLNxSP30Gbnlg5yZLkGQ_28_0"/>
      <w:bookmarkStart w:id="794" w:name="Tc_pWmC9A32cUuQycIPPw2jVA_27_0"/>
      <w:bookmarkStart w:id="795" w:name="Tc_xfibqM4OB0qqhemD4OE0Gw_25_0"/>
      <w:bookmarkStart w:id="796" w:name="Tc_Q3V9ExPW9Eie17aRSunneg_24_0"/>
      <w:bookmarkStart w:id="797" w:name="Tc_SGRH8pyX6ES6zRF82C8H6A_23_0"/>
      <w:bookmarkStart w:id="798" w:name="Tc_Je_I2dYapkOMxv6D1eCXDg_22_0"/>
      <w:bookmarkStart w:id="799" w:name="Tc_FjQKtndLrkSLHIueC_c3BA_21_0"/>
      <w:bookmarkStart w:id="800" w:name="Tc_BmFOsGkTD061CtSZlwSmMg_20_0"/>
      <w:bookmarkStart w:id="801" w:name="Tc_l4VT-CUPxU2Pg7Ke1kTquQ_19_0"/>
      <w:bookmarkStart w:id="802" w:name="Tc_6DJ3t6IV4U-6WJ2H5V0Qcg_18_0"/>
      <w:bookmarkStart w:id="803" w:name="Tc_HKEknLmUOEi3-oOxJS_PDg_17_0"/>
      <w:bookmarkStart w:id="804" w:name="Tc_Jl2k-6iMlkKf_4mLlWJJzQ_16_0"/>
      <w:bookmarkStart w:id="805" w:name="Tc_xAJ330Hagk2WRW5kIPSstw_15_0"/>
      <w:bookmarkStart w:id="806" w:name="Tc_RVGLT1mau06ukJit-vwwhA_14_0"/>
      <w:bookmarkStart w:id="807" w:name="Tc_iD4Oomdtl0SbZwVd0hikIw_13_0"/>
      <w:bookmarkStart w:id="808" w:name="Tc_K4OV2DIAhkeYvxJAlDvy8A_12_0"/>
      <w:bookmarkStart w:id="809" w:name="Tc_A0Fj7e_EF0GDvezrovisMA_11_0"/>
      <w:bookmarkStart w:id="810" w:name="Tc_3Rwkha7Xd0u0vsioBc76rw_10_0"/>
      <w:bookmarkStart w:id="811" w:name="Tc_6QvlmsafUkeALYo16_aNBQ_9_0"/>
      <w:bookmarkStart w:id="812" w:name="Tc_SMPAYTsXV0GH1QElx-u3Mg_8_0"/>
      <w:bookmarkStart w:id="813" w:name="Tc_R4rREAOVuUiWPxwMPDXFYQ_7_0"/>
      <w:bookmarkStart w:id="814" w:name="Tc_CZ0GmxHvUU6aouFZh0dPIA_6_0"/>
      <w:bookmarkStart w:id="815" w:name="Tc_V_4erTejcUOOxdaBBdSzNQ_5_5"/>
      <w:bookmarkStart w:id="816" w:name="Tc_XosmfEHUQkWZYjv1J1p6Ng_5_2"/>
      <w:bookmarkStart w:id="817" w:name="Tc_RrIf32XInk2ieILG99nF2Q_5_0"/>
      <w:bookmarkStart w:id="818" w:name="Tc_c0BNQ43SW028RVq0G_JlNQ_4_0"/>
      <w:bookmarkStart w:id="819" w:name="Tc_uTmfzzLpLESx6mo2qsJLtw_3_5"/>
      <w:bookmarkStart w:id="820" w:name="Tc_G4aVU1PnjUuzNz5rq97NqQ_3_2"/>
      <w:bookmarkStart w:id="821" w:name="Tc_sqUHu8wHNEO5AhII-Xi-bg_2_2"/>
      <w:bookmarkStart w:id="822" w:name="Tc__9QSKl3Cu0u2zxLiqbhFHQ_1_2"/>
      <w:bookmarkStart w:id="823" w:name="_71a6b9e4_4df5_4f37_9a92_3ee23909c94c"/>
      <w:bookmarkStart w:id="824" w:name="Tc_XE6YEpoJKUejOvHc9mXbyQ_54_5"/>
      <w:bookmarkStart w:id="825" w:name="Tc_0Jz2B3FTNkCmdXgw81pf8Q_54_2"/>
      <w:bookmarkStart w:id="826" w:name="Tc_uXkxSZYRD0KLR6u1YaByDw_54_0"/>
      <w:bookmarkStart w:id="827" w:name="Tc_KmU3uGYXxUyEpJYDl4-3rg_53_5"/>
      <w:bookmarkStart w:id="828" w:name="Tc_QKGsUdLFiUaRJVdeu5Lnuw_53_2"/>
      <w:bookmarkStart w:id="829" w:name="Tc_KSRTtUrIjEWGmfFSyk3XzQ_53_0"/>
      <w:bookmarkStart w:id="830" w:name="Tc_GwpzxGdtb02hPqjt-SvSeA_52_0"/>
      <w:bookmarkStart w:id="831" w:name="Tc_xKbKNBClDUKPK2mxBFrhlQ_51_0"/>
      <w:bookmarkStart w:id="832" w:name="Tc_rd6_2XSbpUOAFTNsxwVLXQ_49_5"/>
      <w:bookmarkStart w:id="833" w:name="Tc_q1zavCc7oUS1Mk-LFnqPPg_49_2"/>
      <w:bookmarkStart w:id="834" w:name="Tc_WmqE_Jaij0yWwsntnOp42A_49_0"/>
      <w:bookmarkStart w:id="835" w:name="Tc_uQdXEEmQPEiLuUtcnnBIHQ_48_0"/>
      <w:bookmarkStart w:id="836" w:name="Tc_8Hq-aOW3pkK0bKbiti2NfA_47_0"/>
      <w:bookmarkStart w:id="837" w:name="Tc_XaiqB1oaVkWQaBGr30Mh4g_45_0"/>
      <w:bookmarkStart w:id="838" w:name="Tc_F7bkGCYNHke_wAvZggmA8A_43_0"/>
      <w:bookmarkStart w:id="839" w:name="Tc_HUmktbtspEesY2o2SvRh1w_42_0"/>
      <w:bookmarkStart w:id="840" w:name="Tc_5vLs70RAik21lPa5Un73WQ_41_0"/>
      <w:bookmarkStart w:id="841" w:name="Tc_y2Kv5aV3SkyJccou7j8dbA_40_0"/>
      <w:bookmarkStart w:id="842" w:name="Tc_1nL43j8hbUqf0X8BF1dp4g_39_0"/>
      <w:bookmarkStart w:id="843" w:name="Tc_qk5XmkWlSUWP8_vxTHNP4A_38_0"/>
      <w:bookmarkStart w:id="844" w:name="Tc_SNAl0ohdX0a_8_vwmAp7bw_37_0"/>
      <w:bookmarkStart w:id="845" w:name="Tc_4YkCVQEWo0WepQU9p6Mj-Q_36_0"/>
      <w:bookmarkStart w:id="846" w:name="Tc_FtzI1fBfpkWa01tkhLYJDg_34_0"/>
      <w:bookmarkStart w:id="847" w:name="Tc_Ko37zznPlkqmI93ONYIGxw_33_0"/>
      <w:bookmarkStart w:id="848" w:name="Tc_SkNRXHQXG0OR1X4BdlJ6HQ_32_0"/>
      <w:bookmarkStart w:id="849" w:name="Tc_Q0tDcyrJpUOD59XgPqH4sg_31_0"/>
      <w:bookmarkStart w:id="850" w:name="Tc_1OlP6f4pyEugLXcADBaFMQ_30_0"/>
      <w:bookmarkStart w:id="851" w:name="Tc_EaG5lKK6zky3UFiUGvxunQ_29_0"/>
      <w:bookmarkStart w:id="852" w:name="Tc_0eDLNxSP30Gbnlg5yZLkGQ_28_0"/>
      <w:bookmarkStart w:id="853" w:name="Tc_pWmC9A32cUuQycIPPw2jVA_27_0"/>
      <w:bookmarkStart w:id="854" w:name="Tc_xfibqM4OB0qqhemD4OE0Gw_25_0"/>
      <w:bookmarkStart w:id="855" w:name="Tc_Q3V9ExPW9Eie17aRSunneg_24_0"/>
      <w:bookmarkStart w:id="856" w:name="Tc_SGRH8pyX6ES6zRF82C8H6A_23_0"/>
      <w:bookmarkStart w:id="857" w:name="Tc_Je_I2dYapkOMxv6D1eCXDg_22_0"/>
      <w:bookmarkStart w:id="858" w:name="Tc_FjQKtndLrkSLHIueC_c3BA_21_0"/>
      <w:bookmarkStart w:id="859" w:name="Tc_BmFOsGkTD061CtSZlwSmMg_20_0"/>
      <w:bookmarkStart w:id="860" w:name="Tc_l4VT-CUPxU2Pg7Ke1kTquQ_19_0"/>
      <w:bookmarkStart w:id="861" w:name="Tc_6DJ3t6IV4U-6WJ2H5V0Qcg_18_0"/>
      <w:bookmarkStart w:id="862" w:name="Tc_HKEknLmUOEi3-oOxJS_PDg_17_0"/>
      <w:bookmarkStart w:id="863" w:name="Tc_Jl2k-6iMlkKf_4mLlWJJzQ_16_0"/>
      <w:bookmarkStart w:id="864" w:name="Tc_xAJ330Hagk2WRW5kIPSstw_15_0"/>
      <w:bookmarkStart w:id="865" w:name="Tc_RVGLT1mau06ukJit-vwwhA_14_0"/>
      <w:bookmarkStart w:id="866" w:name="Tc_iD4Oomdtl0SbZwVd0hikIw_13_0"/>
      <w:bookmarkStart w:id="867" w:name="Tc_K4OV2DIAhkeYvxJAlDvy8A_12_0"/>
      <w:bookmarkStart w:id="868" w:name="Tc_A0Fj7e_EF0GDvezrovisMA_11_0"/>
      <w:bookmarkStart w:id="869" w:name="Tc_3Rwkha7Xd0u0vsioBc76rw_10_0"/>
      <w:bookmarkStart w:id="870" w:name="Tc_6QvlmsafUkeALYo16_aNBQ_9_0"/>
      <w:bookmarkStart w:id="871" w:name="Tc_SMPAYTsXV0GH1QElx-u3Mg_8_0"/>
      <w:bookmarkStart w:id="872" w:name="Tc_R4rREAOVuUiWPxwMPDXFYQ_7_0"/>
      <w:bookmarkStart w:id="873" w:name="Tc_CZ0GmxHvUU6aouFZh0dPIA_6_0"/>
      <w:bookmarkStart w:id="874" w:name="Tc_V_4erTejcUOOxdaBBdSzNQ_5_5"/>
      <w:bookmarkStart w:id="875" w:name="Tc_XosmfEHUQkWZYjv1J1p6Ng_5_2"/>
      <w:bookmarkStart w:id="876" w:name="Tc_RrIf32XInk2ieILG99nF2Q_5_0"/>
      <w:bookmarkStart w:id="877" w:name="Tc_c0BNQ43SW028RVq0G_JlNQ_4_0"/>
      <w:bookmarkStart w:id="878" w:name="Tc_uTmfzzLpLESx6mo2qsJLtw_3_5"/>
      <w:bookmarkStart w:id="879" w:name="Tc_G4aVU1PnjUuzNz5rq97NqQ_3_2"/>
      <w:bookmarkStart w:id="880" w:name="Tc_sqUHu8wHNEO5AhII-Xi-bg_2_2"/>
      <w:bookmarkStart w:id="881" w:name="Tc__9QSKl3Cu0u2zxLiqbhFHQ_1_2"/>
      <w:bookmarkStart w:id="882" w:name="_71a6b9e4_4df5_4f37_9a92_3ee23909c94c"/>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tbl>
      <w:tblPr>
        <w:tblW w:w="8577" w:type="dxa"/>
        <w:jc w:val="left"/>
        <w:tblInd w:w="0" w:type="dxa"/>
        <w:tblLayout w:type="fixed"/>
        <w:tblCellMar>
          <w:top w:w="0" w:type="dxa"/>
          <w:left w:w="0" w:type="dxa"/>
          <w:bottom w:w="0" w:type="dxa"/>
          <w:right w:w="0" w:type="dxa"/>
        </w:tblCellMar>
      </w:tblPr>
      <w:tblGrid>
        <w:gridCol w:w="5716"/>
        <w:gridCol w:w="326"/>
        <w:gridCol w:w="196"/>
        <w:gridCol w:w="826"/>
        <w:gridCol w:w="326"/>
        <w:gridCol w:w="196"/>
        <w:gridCol w:w="99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29660" cy="175260"/>
                      <wp:effectExtent l="0" t="0" r="0" b="0"/>
                      <wp:wrapNone/>
                      <wp:docPr id="82" name="Frame82"/>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4510" cy="175260"/>
                      <wp:effectExtent l="0" t="0" r="0" b="0"/>
                      <wp:wrapNone/>
                      <wp:docPr id="84" name="Frame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29285" cy="175260"/>
                      <wp:effectExtent l="0" t="0" r="0" b="0"/>
                      <wp:wrapNone/>
                      <wp:docPr id="87" name="Frame8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Six-Months Ended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931,787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867,418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52,405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39,913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impairment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53,854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41,262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(222,239)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(197,227)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104,633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123,484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(63,675)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(13,993)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14,512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(12,297)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(33,505)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28,510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71,516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54,242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(26,954)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973,616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848,433</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1,377,915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(283,097)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(342,121)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(60,460)</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(125,812)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(357,729)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903,304</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short-term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credit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52,093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(3,234,523)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(308,972)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(2,440,475)</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(44,203)</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393,640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(732,941)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1,926,927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1,564,734</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262,711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276,359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SIX-MONTHS ENDED</w:t>
      </w:r>
      <w:r>
        <w:rPr>
          <w:rFonts w:ascii="Times New Roman;Times;serif" w:hAnsi="Times New Roman;Times;serif"/>
          <w:sz w:val="20"/>
        </w:rPr>
        <w:t xml:space="preserve"> </w:t>
      </w:r>
      <w:r>
        <w:rPr>
          <w:rFonts w:ascii="Times New Roman;Times;serif" w:hAnsi="Times New Roman;Times;serif"/>
          <w:b/>
          <w:sz w:val="20"/>
        </w:rPr>
        <w:t>JUNE 30, 2025 AND 2024</w:t>
      </w:r>
    </w:p>
    <w:p>
      <w:pPr>
        <w:pStyle w:val="TextBody"/>
        <w:pBdr>
          <w:bottom w:val="single" w:sz="12" w:space="1" w:color="000000"/>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June 30, 2025 and 2024 were additions to other intangible assets of $2.7 million and $9.6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2025 and 2024 were property and equipment purchases of $4.2 million and $9.6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June 30, 2024 were treasury stock repurchases of $0.9 million.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883" w:name="a1BASISOFPRESENTATION_156061"/>
      <w:bookmarkStart w:id="884" w:name="a1BASISOFPRESENTATION_156061"/>
      <w:bookmarkEnd w:id="884"/>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2024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w:t>
      </w:r>
      <w:r>
        <w:rPr>
          <w:rFonts w:ascii="Times New Roman;Times;serif" w:hAnsi="Times New Roman;Times;serif"/>
          <w:color w:val="212529"/>
          <w:sz w:val="20"/>
        </w:rPr>
        <w:t>three- and six-months ended June 30, 2025 and 2024</w:t>
      </w:r>
      <w:r>
        <w:rPr>
          <w:rFonts w:ascii="Times New Roman;Times;serif" w:hAnsi="Times New Roman;Times;serif"/>
          <w:sz w:val="20"/>
        </w:rPr>
        <w:t>,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this update primarily require more detailed disclosures related to the rate reconciliation and income taxes paid. The amendments in ASU 2023-09 are effective for fiscal years beginning after December 15, 2024. Early adoption is permitted. The Company is currently evaluating the impact ASU 2023-09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currently evaluating the impact ASU 2024-03 will have on its consolidated financial statements.</w:t>
      </w:r>
    </w:p>
    <w:p>
      <w:pPr>
        <w:pStyle w:val="TextBody"/>
        <w:bidi w:val="0"/>
        <w:spacing w:before="0" w:after="0"/>
        <w:ind w:left="0" w:right="0" w:hanging="0"/>
        <w:jc w:val="both"/>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flavored malt beverages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w:t>
      </w:r>
      <w:r>
        <w:rPr>
          <w:rFonts w:ascii="Times New Roman;Times;serif" w:hAnsi="Times New Roman;Times;serif"/>
          <w:color w:val="212529"/>
          <w:sz w:val="20"/>
          <w:shd w:fill="FFFFFF" w:val="clear"/>
        </w:rPr>
        <w:t>June 30, 2025 and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expenses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and/or free products or cash rebates;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885" w:name="Tc_cvhqYGTJbUqz1KA8jMh7Ng_9_14"/>
      <w:bookmarkStart w:id="886" w:name="Tc_h7uJKkznKUiSYJO-9ZhLOQ_9_11"/>
      <w:bookmarkStart w:id="887" w:name="Tc_25I0mmdu30WssEpxfW3rhg_9_8"/>
      <w:bookmarkStart w:id="888" w:name="Tc_kanzcZEIIUO8k3Zt-NN0fA_9_5"/>
      <w:bookmarkStart w:id="889" w:name="Tc_eTiwb__ltUmBFq-dW8SReQ_9_2"/>
      <w:bookmarkStart w:id="890" w:name="Tc_3qrC1mNj-USnfpkjnvKYew_9_0"/>
      <w:bookmarkStart w:id="891" w:name="Tc_i_ycbIwxDUiwlRJwUkb-TQ_8_0"/>
      <w:bookmarkStart w:id="892" w:name="Tc_8N2HtexVNUetR9ZanKFGBQ_7_0"/>
      <w:bookmarkStart w:id="893" w:name="Tc_9T9_pgWIvE2bWQ1ybx4WmQ_6_0"/>
      <w:bookmarkStart w:id="894" w:name="Tc_fiykQnbq_km9pf_lsZd92A_5_14"/>
      <w:bookmarkStart w:id="895" w:name="Tc_L6jzEJQMpkGnpLRAzZG7og_5_11"/>
      <w:bookmarkStart w:id="896" w:name="Tc_cFCadNFP7UeJqjmDFeuG_w_5_8"/>
      <w:bookmarkStart w:id="897" w:name="Tc_KwvLXQDMdUW4_R9kmhHiOA_5_5"/>
      <w:bookmarkStart w:id="898" w:name="Tc_cOvmcJMe40is3Me_vAWxCA_5_2"/>
      <w:bookmarkStart w:id="899" w:name="Tc_YrTIdcL-8kqukzIza7-EBA_5_0"/>
      <w:bookmarkStart w:id="900" w:name="Tc_KXaaSa-jek-ISp_DQJPszg_4_14"/>
      <w:bookmarkStart w:id="901" w:name="Tc_uDXJycuWY0ei9K5by6vyrQ_4_11"/>
      <w:bookmarkStart w:id="902" w:name="Tc_AD6OPhN8LUqBwvvksxGKAA_4_8"/>
      <w:bookmarkStart w:id="903" w:name="Tc_3o-vm-liq06AI6ow1IR76Q_4_5"/>
      <w:bookmarkStart w:id="904" w:name="Tc_DFBZ46X-FUWkvZWR1fhMyA_4_2"/>
      <w:bookmarkStart w:id="905" w:name="Tc_npJGNJvhi064mdbVDlIvrQ_4_0"/>
      <w:bookmarkStart w:id="906" w:name="Tc_cM4I1-2uwUygi-2HYAvtMw_3_11"/>
      <w:bookmarkStart w:id="907" w:name="Tc_6z4leP7SRkm4lFjViPTj9Q_3_8"/>
      <w:bookmarkStart w:id="908" w:name="Tc_GxCfdFwHZEeRHUmBg5AazA_3_2"/>
      <w:bookmarkStart w:id="909" w:name="Tc_hpy2yKzn1kOZYzEad-_sAw_2_11"/>
      <w:bookmarkStart w:id="910" w:name="Tc_4B5uzXPUGkm0k1740OrSjg_2_8"/>
      <w:bookmarkStart w:id="911" w:name="Tc_w4MoBSzxNEqND8Fw22we-Q_1_2"/>
      <w:bookmarkStart w:id="912" w:name="_dcfba5a3_6053_4592_a0cb_201e65cc2901"/>
      <w:bookmarkStart w:id="913" w:name="Tc_r-r0jdCQbUuS4qgTxpEaFg_9_14"/>
      <w:bookmarkStart w:id="914" w:name="Tc_pv8XiqYEFkCytCPHUOQVjw_9_11"/>
      <w:bookmarkStart w:id="915" w:name="Tc_S502KA1AV0qsB2P94AbVGQ_9_8"/>
      <w:bookmarkStart w:id="916" w:name="Tc_FrnnbXBxxkeX54aUipn2SQ_9_5"/>
      <w:bookmarkStart w:id="917" w:name="Tc_4y9JHxSxmUu3WWwXkqxWhQ_9_2"/>
      <w:bookmarkStart w:id="918" w:name="Tc_KzfI3SEaskOv9JF9mbevvA_9_0"/>
      <w:bookmarkStart w:id="919" w:name="Tc__-LHhnODvUidNBBN0dT10A_8_0"/>
      <w:bookmarkStart w:id="920" w:name="Tc_yksNy2Zc-Uy9LgtI8vH3kQ_7_0"/>
      <w:bookmarkStart w:id="921" w:name="Tc_JsIp-77zG0KE35WnK0JUvA_6_0"/>
      <w:bookmarkStart w:id="922" w:name="Tc_D09bKXxvckCfQqybIDqtuA_5_14"/>
      <w:bookmarkStart w:id="923" w:name="Tc_OSnr7XUQpEyQe51B7ItQBQ_5_11"/>
      <w:bookmarkStart w:id="924" w:name="Tc_gu6D6j8Wik6z1lPRvww_LQ_5_8"/>
      <w:bookmarkStart w:id="925" w:name="Tc_NmETDS6-MEijOaNpvi9b1Q_5_5"/>
      <w:bookmarkStart w:id="926" w:name="Tc_wjPtg3qPBEutU3NqlIIi-g_5_2"/>
      <w:bookmarkStart w:id="927" w:name="Tc_TogyvPNsXEO2_7hqXabLXw_5_0"/>
      <w:bookmarkStart w:id="928" w:name="Tc_dATLgCaUvkSTWvH1njAzyA_4_14"/>
      <w:bookmarkStart w:id="929" w:name="Tc_ZtV3zlAJq0e5d3qgw6R6Vw_4_11"/>
      <w:bookmarkStart w:id="930" w:name="Tc_jA9Pp6-OP0uj33oYn6ptXw_4_8"/>
      <w:bookmarkStart w:id="931" w:name="Tc_PeMSA1JOZ0KGHaC4RPngUw_4_5"/>
      <w:bookmarkStart w:id="932" w:name="Tc_B_6WqvPS-kCdoVTXi1uq8Q_4_2"/>
      <w:bookmarkStart w:id="933" w:name="Tc_y9z94kB4o0CiIRaiT7Hptg_4_0"/>
      <w:bookmarkStart w:id="934" w:name="Tc_571KfoPNaECkxTeKifDxQw_3_11"/>
      <w:bookmarkStart w:id="935" w:name="Tc_eYYBLQYpE0KueOhBbbwf-w_3_8"/>
      <w:bookmarkStart w:id="936" w:name="Tc_sRq1NLQ8VEu8EH0f_JtfLQ_3_2"/>
      <w:bookmarkStart w:id="937" w:name="Tc_oBtGFwdK7ki8R25SOQseMg_2_11"/>
      <w:bookmarkStart w:id="938" w:name="Tc_55_muR-OyUG4FYSkjWqm1w_2_8"/>
      <w:bookmarkStart w:id="939" w:name="Tc_DD6XouHX7k-KJqFODYaF9A_1_2"/>
      <w:bookmarkStart w:id="940" w:name="_220eae69_a6ce_45dc_85c8_6740366435ee"/>
      <w:bookmarkStart w:id="941" w:name="Tc_FiMu17X2aUqCD6WS644Ebg_9_14"/>
      <w:bookmarkStart w:id="942" w:name="Tc_TUp9P-2B50qxCl3t_Jysyg_9_11"/>
      <w:bookmarkStart w:id="943" w:name="Tc_5mhbFxFwWkSKduEd-sYBZA_9_8"/>
      <w:bookmarkStart w:id="944" w:name="Tc_AajO_eXJX0GGTPZ3Bm8Q5A_9_5"/>
      <w:bookmarkStart w:id="945" w:name="Tc_xkn4MNvQu0COAux-pJblfQ_9_2"/>
      <w:bookmarkStart w:id="946" w:name="Tc_MvKkI2nAIE-L-JTCrdP_yA_9_0"/>
      <w:bookmarkStart w:id="947" w:name="Tc_vBACozLnY0agMa4OT3kgtg_8_0"/>
      <w:bookmarkStart w:id="948" w:name="Tc_SS6ve-E4akKXcuRj1uw8MA_7_0"/>
      <w:bookmarkStart w:id="949" w:name="Tc_PFpHdPigmEKAyppwpTn7dA_6_0"/>
      <w:bookmarkStart w:id="950" w:name="Tc_hksJ8Ut6TUu7lxouhf3qnA_5_14"/>
      <w:bookmarkStart w:id="951" w:name="Tc_bwN7g4HspEu1drELv-ouMA_5_11"/>
      <w:bookmarkStart w:id="952" w:name="Tc_fUAoL5n09k2jshQKSIJGLA_5_8"/>
      <w:bookmarkStart w:id="953" w:name="Tc_ONrIB9Xi5Uec92dRT2F-yg_5_5"/>
      <w:bookmarkStart w:id="954" w:name="Tc_fwRf-TpdnEWeh5IkooyT5Q_5_2"/>
      <w:bookmarkStart w:id="955" w:name="Tc_Mo3ErV92fU29FMZ18ls7pQ_5_0"/>
      <w:bookmarkStart w:id="956" w:name="Tc_exd1IGCwN0aXpqN1vDcNtA_4_14"/>
      <w:bookmarkStart w:id="957" w:name="Tc_pXrHFHW8TUqGhGk4bDPT1w_4_11"/>
      <w:bookmarkStart w:id="958" w:name="Tc_MH39c0hnok645ywCzgr0xw_4_8"/>
      <w:bookmarkStart w:id="959" w:name="Tc_5w1HkFAzjEO1nrO1dh0Mwg_4_5"/>
      <w:bookmarkStart w:id="960" w:name="Tc_devDFh6dfEqloVy9Nlpcwg_4_2"/>
      <w:bookmarkStart w:id="961" w:name="Tc_Lauat4EUE0uPaXY1NtO9Fg_4_0"/>
      <w:bookmarkStart w:id="962" w:name="Tc_dM-xVDCV9kOCuN5SEA3Yvw_3_11"/>
      <w:bookmarkStart w:id="963" w:name="Tc_cJDFceO4yk68g7JFbawbPw_3_8"/>
      <w:bookmarkStart w:id="964" w:name="Tc_bHQa_baN90Oxb-7UdQSxxw_3_2"/>
      <w:bookmarkStart w:id="965" w:name="Tc_wajp1X-y1EGbMPRVNwdtlQ_2_11"/>
      <w:bookmarkStart w:id="966" w:name="Tc_PuflPEAMDUqrRUPYJ_gRbg_2_8"/>
      <w:bookmarkStart w:id="967" w:name="Tc_5CRYKtJDhkaMfH-rMH5tNQ_1_2"/>
      <w:bookmarkStart w:id="968" w:name="_a455006d_229b_4f87_9ac0_b9e396400e85"/>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72235" cy="175260"/>
                      <wp:effectExtent l="0" t="0" r="0" b="0"/>
                      <wp:wrapNone/>
                      <wp:docPr id="88" name="Frame8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3510" cy="175260"/>
                      <wp:effectExtent l="0" t="0" r="0" b="0"/>
                      <wp:wrapNone/>
                      <wp:docPr id="96" name="Frame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3400" cy="175260"/>
                      <wp:effectExtent l="0" t="0" r="0" b="0"/>
                      <wp:wrapNone/>
                      <wp:docPr id="97" name="Frame9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765" cy="175260"/>
                      <wp:effectExtent l="0" t="0" r="0" b="0"/>
                      <wp:wrapNone/>
                      <wp:docPr id="99" name="Frame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2610" cy="175260"/>
                      <wp:effectExtent l="0" t="0" r="0" b="0"/>
                      <wp:wrapNone/>
                      <wp:docPr id="100" name="Frame1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7860" cy="175260"/>
                      <wp:effectExtent l="0" t="0" r="0" b="0"/>
                      <wp:wrapNone/>
                      <wp:docPr id="103" name="Frame1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2025</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439,418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153,926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1,937,321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129,893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498,216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161,694</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2,111,593</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72235" cy="175260"/>
                      <wp:effectExtent l="0" t="0" r="0" b="0"/>
                      <wp:wrapNone/>
                      <wp:docPr id="104" name="Frame10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1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33400" cy="175260"/>
                      <wp:effectExtent l="0" t="0" r="0" b="0"/>
                      <wp:wrapNone/>
                      <wp:docPr id="113" name="Frame11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1765" cy="175260"/>
                      <wp:effectExtent l="0" t="0" r="0" b="0"/>
                      <wp:wrapNone/>
                      <wp:docPr id="115" name="Frame1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9"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351,985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132,078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1,742,808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393,923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145,088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1,900,597</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72235" cy="175260"/>
                      <wp:effectExtent l="0" t="0" r="0" b="0"/>
                      <wp:wrapNone/>
                      <wp:docPr id="120" name="Frame12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3510" cy="175260"/>
                      <wp:effectExtent l="0" t="0" r="0" b="0"/>
                      <wp:wrapNone/>
                      <wp:docPr id="128" name="Frame1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3400" cy="175260"/>
                      <wp:effectExtent l="0" t="0" r="0" b="0"/>
                      <wp:wrapNone/>
                      <wp:docPr id="129" name="Frame12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1765" cy="175260"/>
                      <wp:effectExtent l="0" t="0" r="0" b="0"/>
                      <wp:wrapNone/>
                      <wp:docPr id="131" name="Frame13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2610" cy="175260"/>
                      <wp:effectExtent l="0" t="0" r="0" b="0"/>
                      <wp:wrapNone/>
                      <wp:docPr id="132" name="Frame1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57860" cy="175260"/>
                      <wp:effectExtent l="0" t="0" r="0" b="0"/>
                      <wp:wrapNone/>
                      <wp:docPr id="135" name="Frame1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2025</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2,277,927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785,489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285,945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3,652,869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882,791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306,216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3,966,150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969" w:name="Tc_QMxIFOJ0wUiDov_Lt6fDFw_9_14"/>
      <w:bookmarkStart w:id="970" w:name="Tc_HtFQp44mBEuUFjapQzI5ug_9_11"/>
      <w:bookmarkStart w:id="971" w:name="Tc_UgiQLNJMmEO1dkg_ESr-qw_9_8"/>
      <w:bookmarkStart w:id="972" w:name="Tc_aAVdlS8OUUatJgda0L_1zw_9_5"/>
      <w:bookmarkStart w:id="973" w:name="Tc_I6UWxkpxSECmIkatoZC74g_9_2"/>
      <w:bookmarkStart w:id="974" w:name="Tc_ZWGvrNCxKEidzwm5IJ4tUQ_9_0"/>
      <w:bookmarkStart w:id="975" w:name="Tc_MydRQZ9_nEeWOCmJRUFeLA_8_0"/>
      <w:bookmarkStart w:id="976" w:name="Tc_ER-DipeFZkqtVvHPBoloUw_7_0"/>
      <w:bookmarkStart w:id="977" w:name="Tc_KWrutm7tBkuttuN_z2Dnlw_6_0"/>
      <w:bookmarkStart w:id="978" w:name="Tc_tRHkGSeqfkmHnSA6QcSCBA_5_14"/>
      <w:bookmarkStart w:id="979" w:name="Tc_ApSuhhmBhU6QhFg2xA_UPg_5_11"/>
      <w:bookmarkStart w:id="980" w:name="Tc_OTCVmg5eiES5_oGBjidhcA_5_8"/>
      <w:bookmarkStart w:id="981" w:name="Tc_rIBYTXmjh02Anbx9_3lGiA_5_5"/>
      <w:bookmarkStart w:id="982" w:name="Tc_y0zOIoq33US9AFNQPiE2rw_5_2"/>
      <w:bookmarkStart w:id="983" w:name="Tc_yzTG1izolkiYUxmunrUTdg_5_0"/>
      <w:bookmarkStart w:id="984" w:name="Tc_Uz0Iu9vw90OyzsQbON0jtQ_4_14"/>
      <w:bookmarkStart w:id="985" w:name="Tc_X-Dv3DZ0K0qluQbgIdntzQ_4_11"/>
      <w:bookmarkStart w:id="986" w:name="Tc_SAe1KH15ZkqXTNm_7DxDPA_4_8"/>
      <w:bookmarkStart w:id="987" w:name="Tc_NiV16_3f4028gggKJGrjBw_4_5"/>
      <w:bookmarkStart w:id="988" w:name="Tc_1flFgASXz0iUBvH8-1A1hg_4_2"/>
      <w:bookmarkStart w:id="989" w:name="Tc_ygzr2SLqEUK9OEGvOoaqLw_4_0"/>
      <w:bookmarkStart w:id="990" w:name="Tc_dri3CQpMmk2LIyFE2EmaKQ_3_11"/>
      <w:bookmarkStart w:id="991" w:name="Tc_2elfPC72O0O-IGzhnTrknw_3_8"/>
      <w:bookmarkStart w:id="992" w:name="Tc_S7SdeI1mn0ODPmsPI0SqMw_3_2"/>
      <w:bookmarkStart w:id="993" w:name="Tc_85M7JaepP0iA_G3Z3G_qiA_2_11"/>
      <w:bookmarkStart w:id="994" w:name="Tc_n401nFoPIUKwAV_lLH0Lfg_2_8"/>
      <w:bookmarkStart w:id="995" w:name="Tc__nzUdhRQfkW1HPoXWQDHfg_1_2"/>
      <w:bookmarkStart w:id="996" w:name="_84d9aae6_16d7_4765_9092_67d4eb59bb31"/>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72235" cy="175260"/>
                      <wp:effectExtent l="0" t="0" r="0" b="0"/>
                      <wp:wrapNone/>
                      <wp:docPr id="136" name="Frame13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39"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3510" cy="175260"/>
                      <wp:effectExtent l="0" t="0" r="0" b="0"/>
                      <wp:wrapNone/>
                      <wp:docPr id="144" name="Frame1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3400" cy="175260"/>
                      <wp:effectExtent l="0" t="0" r="0" b="0"/>
                      <wp:wrapNone/>
                      <wp:docPr id="145" name="Frame14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765" cy="175260"/>
                      <wp:effectExtent l="0" t="0" r="0" b="0"/>
                      <wp:wrapNone/>
                      <wp:docPr id="147" name="Frame1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2610" cy="175260"/>
                      <wp:effectExtent l="0" t="0" r="0" b="0"/>
                      <wp:wrapNone/>
                      <wp:docPr id="148"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860" cy="175260"/>
                      <wp:effectExtent l="0" t="0" r="0" b="0"/>
                      <wp:wrapNone/>
                      <wp:docPr id="151" name="Frame1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2,194,909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704,214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254,096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3,471,859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85,275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789,489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276,303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3,799,695</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Amounts received from certain bottlers/distributors at inception of their distribution contracts or at the inception of certain sales/marketing programs are accounted for as deferred revenue. As of </w:t>
      </w:r>
      <w:r>
        <w:rPr>
          <w:rFonts w:ascii="Times New Roman;Times;serif" w:hAnsi="Times New Roman;Times;serif"/>
          <w:color w:val="212529"/>
          <w:sz w:val="20"/>
        </w:rPr>
        <w:t>June 30, 2025 and December 31, 2024</w:t>
      </w:r>
      <w:r>
        <w:rPr>
          <w:rFonts w:ascii="Times New Roman;Times;serif" w:hAnsi="Times New Roman;Times;serif"/>
          <w:sz w:val="20"/>
        </w:rPr>
        <w:t xml:space="preserve">, the Company had $219.0 million and $224.8 million, respectively, of deferred revenue, which is included in current and long-term deferred revenue in the Company’s condensed consolidated balance sheets. During both the </w:t>
      </w:r>
      <w:r>
        <w:rPr>
          <w:rFonts w:ascii="Times New Roman;Times;serif" w:hAnsi="Times New Roman;Times;serif"/>
          <w:color w:val="212529"/>
          <w:sz w:val="20"/>
          <w:shd w:fill="FFFFFF" w:val="clear"/>
        </w:rPr>
        <w:t>three-months ended June 30, 2025 and 2024,</w:t>
      </w:r>
      <w:r>
        <w:rPr>
          <w:rFonts w:ascii="Times New Roman;Times;serif" w:hAnsi="Times New Roman;Times;serif"/>
          <w:sz w:val="20"/>
        </w:rPr>
        <w:t xml:space="preserve"> $10.0 million of deferred revenue was recognized in net sales. During both the six-months ended June 30, 2025 and 2024, $19.9 million of deferred revenue was recognized in net sales. See Note 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997" w:name="Tc_hdWeTCdghku5-KDhYs-bXw_15_17"/>
      <w:bookmarkStart w:id="998" w:name="Tc_YmzCnyCDCEyLGLF5j234VQ_15_14"/>
      <w:bookmarkStart w:id="999" w:name="Tc_CwVFfr7FFEi09-YOmhTVOQ_15_11"/>
      <w:bookmarkStart w:id="1000" w:name="Tc_YiDV6lkfJUKvfOl1AeW6Mw_15_8"/>
      <w:bookmarkStart w:id="1001" w:name="Tc_G38RtYubJkujgC-R6czmiA_15_5"/>
      <w:bookmarkStart w:id="1002" w:name="Tc_gfJ6QgDNdE6xp299hajvGA_15_2"/>
      <w:bookmarkStart w:id="1003" w:name="Tc_5AeIl3QXY0qkavR6Iqeq2Q_15_0"/>
      <w:bookmarkStart w:id="1004" w:name="Tc_hX4Yg9xZCUWkyO7X0kL59Q_14_0"/>
      <w:bookmarkStart w:id="1005" w:name="Tc_scMW-FgamU-NwqO-jKqngg_13_0"/>
      <w:bookmarkStart w:id="1006" w:name="Tc_X_CIXWF0jEatOWmJOvZlCg_12_0"/>
      <w:bookmarkStart w:id="1007" w:name="Tc_coRi13WvWE2Nr531bliLtQ_11_0"/>
      <w:bookmarkStart w:id="1008" w:name="Tc_u-9XhIEqRUevVqc1Q60rgg_10_0"/>
      <w:bookmarkStart w:id="1009" w:name="Tc_zI6Ob-YHxk2zDiCgMbpmUg_9_0"/>
      <w:bookmarkStart w:id="1010" w:name="Tc_uO-7JFK31UObzhfWW7xWFw_8_17"/>
      <w:bookmarkStart w:id="1011" w:name="Tc_C123gLWZkUaMtaLQnViQEQ_8_14"/>
      <w:bookmarkStart w:id="1012" w:name="Tc_N_vXjeXSHkuq6LUxgIyqCA_8_11"/>
      <w:bookmarkStart w:id="1013" w:name="Tc_fVrDdjByu0-YQtCyB_H8EA_8_8"/>
      <w:bookmarkStart w:id="1014" w:name="Tc_5tQXsNHRb0abqsHF0jlPPA_8_5"/>
      <w:bookmarkStart w:id="1015" w:name="Tc_jcw9pBv_wUeely4TQY8wrg_8_2"/>
      <w:bookmarkStart w:id="1016" w:name="Tc_iNTPD5ienUW56HtMRz0FUQ_8_0"/>
      <w:bookmarkStart w:id="1017" w:name="Tc_ujBQgE0cr021YMpNBqNZ8g_7_0"/>
      <w:bookmarkStart w:id="1018" w:name="Tc_1B7PAtVcmk-msadjAFB96w_6_0"/>
      <w:bookmarkStart w:id="1019" w:name="Tc_RDGN_PoGH0SlBvdVUnXTrQ_5_17"/>
      <w:bookmarkStart w:id="1020" w:name="Tc_S2n2rekP-Eanr89v8iycUQ_5_14"/>
      <w:bookmarkStart w:id="1021" w:name="Tc_RooJbxpoTkOJnJNTN8lafA_5_11"/>
      <w:bookmarkStart w:id="1022" w:name="Tc_wyCHC2eWx0-Oe1nv9PzcGA_5_8"/>
      <w:bookmarkStart w:id="1023" w:name="Tc_fgsLgMPWFU6S8TpxVJdebA_5_5"/>
      <w:bookmarkStart w:id="1024" w:name="Tc_DNmEQWr_KkKiX80ASyHOpQ_5_2"/>
      <w:bookmarkStart w:id="1025" w:name="Tc_nmdU5hOl4U2V0GVmObV_Mg_5_0"/>
      <w:bookmarkStart w:id="1026" w:name="Tc_VZA_UJ7DAkmkMzClPYdvRA_4_17"/>
      <w:bookmarkStart w:id="1027" w:name="Tc_6BSuC1AOAkumau72S6C9QQ_4_14"/>
      <w:bookmarkStart w:id="1028" w:name="Tc_7WHNE6vNpkKBG3Cr14vpnw_4_11"/>
      <w:bookmarkStart w:id="1029" w:name="Tc_3LXDwHkDk0ObpI79WcAjyA_4_8"/>
      <w:bookmarkStart w:id="1030" w:name="Tc_tE8947zObEK95g789tQ8Lg_4_5"/>
      <w:bookmarkStart w:id="1031" w:name="Tc_ULE8Ri1fuEidYcz2n1muLg_4_2"/>
      <w:bookmarkStart w:id="1032" w:name="Tc_cLA6pDBxjEie9rLHzqGtKA_3_17"/>
      <w:bookmarkStart w:id="1033" w:name="Tc_emU7asDYj0a1NzOyz_Rj4Q_3_14"/>
      <w:bookmarkStart w:id="1034" w:name="Tc_hCnnRE5NGEOK_FPUHTpsWQ_3_8"/>
      <w:bookmarkStart w:id="1035" w:name="Tc_7weVmtEbpkaipUCrVu9w5w_3_5"/>
      <w:bookmarkStart w:id="1036" w:name="Tc_chfbtHN7902OY1mRBqBwaQ_2_17"/>
      <w:bookmarkStart w:id="1037" w:name="Tc_pIQkdhsqukyG5pvhMiaCqw_2_14"/>
      <w:bookmarkStart w:id="1038" w:name="Tc_tU5rPPV9I0yYz1WVhKUoEw_2_8"/>
      <w:bookmarkStart w:id="1039" w:name="Tc_81Eojd0fvEelv6tV15PDwQ_2_5"/>
      <w:bookmarkStart w:id="1040" w:name="Tc_O9P2ZY773UyGwNgvuxsuug_1_17"/>
      <w:bookmarkStart w:id="1041" w:name="Tc_rhHHF-AbBUakrsGU32XewQ_1_14"/>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b w:val="false"/>
          <w:i w:val="false"/>
          <w:caps w:val="false"/>
          <w:smallCaps w:val="false"/>
          <w:sz w:val="20"/>
        </w:rPr>
        <w:t>3.</w:t>
      </w:r>
      <w:r>
        <w:rPr>
          <w:rFonts w:ascii="Times New Roman;Times;serif" w:hAnsi="Times New Roman;Times;serif"/>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 June 30, 2025. The Company held no short-term or long-term investments at December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36"/>
        <w:gridCol w:w="326"/>
        <w:gridCol w:w="211"/>
        <w:gridCol w:w="781"/>
        <w:gridCol w:w="326"/>
        <w:gridCol w:w="330"/>
        <w:gridCol w:w="661"/>
        <w:gridCol w:w="326"/>
        <w:gridCol w:w="375"/>
        <w:gridCol w:w="616"/>
        <w:gridCol w:w="326"/>
        <w:gridCol w:w="211"/>
        <w:gridCol w:w="781"/>
        <w:gridCol w:w="326"/>
        <w:gridCol w:w="454"/>
        <w:gridCol w:w="747"/>
        <w:gridCol w:w="326"/>
        <w:gridCol w:w="397"/>
        <w:gridCol w:w="849"/>
      </w:tblGrid>
      <w:tr>
        <w:trPr/>
        <w:tc>
          <w:tcPr>
            <w:tcW w:w="1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65860" cy="175260"/>
                      <wp:effectExtent l="0" t="0" r="0" b="0"/>
                      <wp:wrapNone/>
                      <wp:docPr id="152" name="Frame152"/>
                      <a:graphic xmlns:a="http://schemas.openxmlformats.org/drawingml/2006/main">
                        <a:graphicData uri="http://schemas.microsoft.com/office/word/2010/wordprocessingShape">
                          <wps:wsp>
                            <wps:cNvSpPr txBox="1"/>
                            <wps:spPr>
                              <a:xfrm>
                                <a:off x="0" y="0"/>
                                <a:ext cx="1165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9550" cy="175260"/>
                      <wp:effectExtent l="0" t="0" r="0" b="0"/>
                      <wp:wrapNone/>
                      <wp:docPr id="157" name="Frame157"/>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19735" cy="175260"/>
                      <wp:effectExtent l="0" t="0" r="0" b="0"/>
                      <wp:wrapNone/>
                      <wp:docPr id="158" name="Frame15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8125" cy="175260"/>
                      <wp:effectExtent l="0" t="0" r="0" b="0"/>
                      <wp:wrapNone/>
                      <wp:docPr id="160" name="Frame16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91160" cy="175260"/>
                      <wp:effectExtent l="0" t="0" r="0" b="0"/>
                      <wp:wrapNone/>
                      <wp:docPr id="161" name="Frame16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4"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88290" cy="175260"/>
                      <wp:effectExtent l="0" t="0" r="0" b="0"/>
                      <wp:wrapNone/>
                      <wp:docPr id="166" name="Frame16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74345" cy="175260"/>
                      <wp:effectExtent l="0" t="0" r="0" b="0"/>
                      <wp:wrapNone/>
                      <wp:docPr id="167" name="Frame167"/>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2095" cy="175260"/>
                      <wp:effectExtent l="0" t="0" r="0" b="0"/>
                      <wp:wrapNone/>
                      <wp:docPr id="169" name="Frame169"/>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39115" cy="175260"/>
                      <wp:effectExtent l="0" t="0" r="0" b="0"/>
                      <wp:wrapNone/>
                      <wp:docPr id="170" name="Frame170"/>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w:t>
            </w:r>
          </w:p>
        </w:tc>
      </w:tr>
      <w:tr>
        <w:trPr/>
        <w:tc>
          <w:tcPr>
            <w:tcW w:w="1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105,900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105,920</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33,929</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33,986</w:t>
            </w:r>
          </w:p>
        </w:tc>
        <w:tc>
          <w:tcPr>
            <w:tcW w:w="32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103,939</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104,072</w:t>
            </w:r>
          </w:p>
        </w:tc>
        <w:tc>
          <w:tcPr>
            <w:tcW w:w="326" w:type="dxa"/>
            <w:tcBorders/>
            <w:shd w:fill="CCEEFF" w:val="clear"/>
            <w:vAlign w:val="center"/>
          </w:tcPr>
          <w:p>
            <w:pPr>
              <w:pStyle w:val="TableContents"/>
              <w:bidi w:val="0"/>
              <w:spacing w:before="0" w:after="0"/>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283,101</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283,311</w:t>
            </w:r>
          </w:p>
        </w:tc>
        <w:tc>
          <w:tcPr>
            <w:tcW w:w="326" w:type="dxa"/>
            <w:tcBorders/>
            <w:vAlign w:val="center"/>
          </w:tcPr>
          <w:p>
            <w:pPr>
              <w:pStyle w:val="TableContents"/>
              <w:bidi w:val="0"/>
              <w:spacing w:before="0" w:after="0"/>
              <w:ind w:left="0" w:right="0" w:hanging="0"/>
              <w:jc w:val="left"/>
              <w:rPr/>
            </w:pPr>
            <w:r>
              <w:rPr/>
              <w:t>​</w:t>
            </w:r>
          </w:p>
        </w:tc>
        <w:tc>
          <w:tcPr>
            <w:tcW w:w="4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and six-months ended June 30, 2025 and 2024, realized gains or losses recognized on the sale of investments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investments at June 30, 2025 carried investment grade credit ratings.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042" w:name="Tc_dMEACt6xdEGFzm9b4Z3OUg_11_5"/>
      <w:bookmarkStart w:id="1043" w:name="Tc_P8ZbhIM5y0yMH4nX7dST2A_11_2"/>
      <w:bookmarkStart w:id="1044" w:name="Tc_U8KKGpoC1kqTf5H-D_3aPQ_11_0"/>
      <w:bookmarkStart w:id="1045" w:name="Tc_LlAs0_O8vkuzRq8GanEVIg_10_0"/>
      <w:bookmarkStart w:id="1046" w:name="Tc_KuoaqcH6EE2Yio9y2uBD-w_9_0"/>
      <w:bookmarkStart w:id="1047" w:name="Tc_kr-L8m_8XU-p_7cqFIXnjQ_8_0"/>
      <w:bookmarkStart w:id="1048" w:name="Tc_5gABlurNcUSnnRFBMWNPDg_7_0"/>
      <w:bookmarkStart w:id="1049" w:name="Tc_bWRlc5Me6UetiWU8oLDrmg_6_0"/>
      <w:bookmarkStart w:id="1050" w:name="Tc_iSYyMyBOhkCXSTb8k7xxbQ_5_0"/>
      <w:bookmarkStart w:id="1051" w:name="Tc_u8skVGIDT0CETlptT8ycTg_4_5"/>
      <w:bookmarkStart w:id="1052" w:name="Tc_06jpLnwBK0qk_eyo9OXyUA_4_2"/>
      <w:bookmarkStart w:id="1053" w:name="Tc_sZLsQckbskKJ6FCUpUJzNw_4_0"/>
      <w:bookmarkStart w:id="1054" w:name="Tc_fNUKKTEo6kaQkP6cHeJmPg_3_0"/>
      <w:bookmarkStart w:id="1055" w:name="Tc_8DWVgieH10-U_i1vnpb5kQ_2_5"/>
      <w:bookmarkStart w:id="1056" w:name="Tc_kbQlkHbtIUOACJXhDtYV0w_2_2"/>
      <w:bookmarkStart w:id="1057" w:name="Tc_bmHjQyDnDkyAQ0zr8TRmVQ_1_2"/>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sz w:val="20"/>
        </w:rPr>
        <w:t>The following table summarizes the underlying contractual maturities of the Company’s investments at June 30, 2025. The Company held no short-term or long-term investments at December 31, 2024.</w:t>
      </w:r>
    </w:p>
    <w:p>
      <w:pPr>
        <w:pStyle w:val="TextBody"/>
        <w:bidi w:val="0"/>
        <w:spacing w:before="0" w:after="0"/>
        <w:ind w:left="0" w:right="0" w:hanging="0"/>
        <w:jc w:val="left"/>
        <w:rPr/>
      </w:pPr>
      <w:r>
        <w:rPr/>
        <w:t>​</w:t>
      </w:r>
    </w:p>
    <w:tbl>
      <w:tblPr>
        <w:tblW w:w="5035" w:type="dxa"/>
        <w:jc w:val="left"/>
        <w:tblInd w:w="0" w:type="dxa"/>
        <w:tblLayout w:type="fixed"/>
        <w:tblCellMar>
          <w:top w:w="0" w:type="dxa"/>
          <w:left w:w="0" w:type="dxa"/>
          <w:bottom w:w="0" w:type="dxa"/>
          <w:right w:w="0" w:type="dxa"/>
        </w:tblCellMar>
      </w:tblPr>
      <w:tblGrid>
        <w:gridCol w:w="1906"/>
        <w:gridCol w:w="326"/>
        <w:gridCol w:w="293"/>
        <w:gridCol w:w="1087"/>
        <w:gridCol w:w="326"/>
        <w:gridCol w:w="211"/>
        <w:gridCol w:w="88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10310" cy="175260"/>
                      <wp:effectExtent l="0" t="0" r="0" b="0"/>
                      <wp:wrapNone/>
                      <wp:docPr id="171" name="Frame17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6055" cy="175260"/>
                      <wp:effectExtent l="0" t="0" r="0" b="0"/>
                      <wp:wrapNone/>
                      <wp:docPr id="173" name="Frame17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0245" cy="175260"/>
                      <wp:effectExtent l="0" t="0" r="0" b="0"/>
                      <wp:wrapNone/>
                      <wp:docPr id="174" name="Frame174"/>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62610" cy="175260"/>
                      <wp:effectExtent l="0" t="0" r="0" b="0"/>
                      <wp:wrapNone/>
                      <wp:docPr id="177" name="Frame1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2025</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105,920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104,072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283,311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5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058" w:name="_839788ad_c501_4b43_a655_cc7e4a324398_3"/>
      <w:bookmarkStart w:id="1059" w:name="_839788ad_c501_4b43_a655_cc7e4a324398_2"/>
      <w:bookmarkStart w:id="1060" w:name="_839788ad_c501_4b43_a655_cc7e4a324398"/>
      <w:bookmarkStart w:id="1061" w:name="_349b750c_fa94_4c60_9c87_084131f7ccf7_3"/>
      <w:bookmarkStart w:id="1062" w:name="_349b750c_fa94_4c60_9c87_084131f7ccf7_2"/>
      <w:bookmarkStart w:id="1063" w:name="_349b750c_fa94_4c60_9c87_084131f7ccf7"/>
      <w:bookmarkStart w:id="1064" w:name="_a2942ca6_f60f_435f_9704_8594af99e835_3"/>
      <w:bookmarkStart w:id="1065" w:name="_a2942ca6_f60f_435f_9704_8594af99e835_2"/>
      <w:bookmarkStart w:id="1066" w:name="_a2942ca6_f60f_435f_9704_8594af99e835"/>
      <w:bookmarkStart w:id="1067" w:name="Tc_sFi8hZ5aOUWPrIl6RhYsWg_15_11"/>
      <w:bookmarkStart w:id="1068" w:name="Tc_7cJWwsNkmE6hJPNK_DDSRQ_15_8"/>
      <w:bookmarkStart w:id="1069" w:name="Tc_HuHI3nzDsEiIFt9xZ794ZA_15_5"/>
      <w:bookmarkStart w:id="1070" w:name="Tc_SK38QCqZoUmCQlfplv3uVw_15_2"/>
      <w:bookmarkStart w:id="1071" w:name="Tc_k7Gl8_Yat0G0gl6v2Qoslw_15_0"/>
      <w:bookmarkStart w:id="1072" w:name="Tc_dRflptQtlUuctYSwISc7aA_14_0"/>
      <w:bookmarkStart w:id="1073" w:name="Tc_FU7VVCoNDEeiXDVSl7U_hA_13_0"/>
      <w:bookmarkStart w:id="1074" w:name="Tc_d8tFjQwXHUueIZB6Me_AnQ_12_0"/>
      <w:bookmarkStart w:id="1075" w:name="Tc_ZhClMDWxo0q6iINlTm_VXA_11_0"/>
      <w:bookmarkStart w:id="1076" w:name="Tc_AZflkOyGEkSq2W9ZzdW1GQ_10_11"/>
      <w:bookmarkStart w:id="1077" w:name="Tc_tWA5MJl6-0WeRNvkGvImjQ_10_8"/>
      <w:bookmarkStart w:id="1078" w:name="Tc_L-HZVSoEuEiuHoQAIXJurQ_10_5"/>
      <w:bookmarkStart w:id="1079" w:name="Tc_R1zT9QBT1kWIMIpxgLpEzw_10_2"/>
      <w:bookmarkStart w:id="1080" w:name="Tc_cRpLObi6v0SFSNxmZ1tmrQ_10_0"/>
      <w:bookmarkStart w:id="1081" w:name="Tc_SC7RVs-V5ESvPv9uaz6Upg_9_0"/>
      <w:bookmarkStart w:id="1082" w:name="Tc_TY4Spsh_OUeZh5dnFQ5LIQ_7_11"/>
      <w:bookmarkStart w:id="1083" w:name="Tc_thUVtpDk9UeBzMNG4hN-xQ_7_8"/>
      <w:bookmarkStart w:id="1084" w:name="Tc_lbZ3GRu2-EmJ-bLIfGI6VQ_7_5"/>
      <w:bookmarkStart w:id="1085" w:name="Tc_qwjeU73GAkaq0iv7shxY0Q_7_2"/>
      <w:bookmarkStart w:id="1086" w:name="Tc_jwTIU1w5WkGhe46JUtaRHg_7_0"/>
      <w:bookmarkStart w:id="1087" w:name="Tc_omcTlSLVxUiwie7n1Iq2qw_6_0"/>
      <w:bookmarkStart w:id="1088" w:name="Tc_rpzr4FG4y0Wjkt03CZF0Dw_5_0"/>
      <w:bookmarkStart w:id="1089" w:name="Tc_qhToAnyYNkeVWZFr16MmCQ_4_0"/>
      <w:bookmarkStart w:id="1090" w:name="Tc_AS6T4TiuikCm6LNB8uvcGw_3_0"/>
      <w:bookmarkStart w:id="1091" w:name="Tc_6I0fIasyTEyU5dTKqWBPRA_2_11"/>
      <w:bookmarkStart w:id="1092" w:name="Tc_72VuYC02e0aLAYQumKhhMw_2_8"/>
      <w:bookmarkStart w:id="1093" w:name="Tc_78sPjLehwkCU6jU7Pzm-GA_2_5"/>
      <w:bookmarkStart w:id="1094" w:name="Tc_MJLVxZ_PREaQnpSKgvxf4w_2_2"/>
      <w:bookmarkStart w:id="1095" w:name="Tc_jyg3C-E8xU-MoxzrqCF58w_2_0"/>
      <w:bookmarkStart w:id="1096" w:name="Tc_jwDwcnMNDEKOK1Ze3yEvXQ_1_11"/>
      <w:bookmarkStart w:id="1097" w:name="Tc_6l5wZojAMkCstBVHO_c09Q_1_8"/>
      <w:bookmarkStart w:id="1098" w:name="Tc_fJG5NPwSZ0OSf3A_Fu4Ptw_1_5"/>
      <w:bookmarkStart w:id="1099" w:name="Tc_5VDYdnQxzU6tcsl0jCH4pQ_1_2"/>
      <w:bookmarkStart w:id="1100" w:name="Tc_EVsNzQE0t0CRlNaPL16uRw_1_0"/>
      <w:bookmarkStart w:id="1101" w:name="_c899e345_8a9f_4227_b79e_3e69ce4878b9"/>
      <w:bookmarkStart w:id="1102" w:name="Tc_RYmVqcrERESv1RaZwQSzHw_19_11"/>
      <w:bookmarkStart w:id="1103" w:name="Tc_mjCGyzqrek-MyVdQcITODw_19_8"/>
      <w:bookmarkStart w:id="1104" w:name="Tc_ITp1jOSq4EG7pq0OepN6dQ_19_5"/>
      <w:bookmarkStart w:id="1105" w:name="Tc_pn_-vLTfSUKewI7zdAGWwg_19_2"/>
      <w:bookmarkStart w:id="1106" w:name="Tc_qoxxHgjTvUa1EhDPRZxzUA_19_0"/>
      <w:bookmarkStart w:id="1107" w:name="Tc_mAfq5k_MzkG-YsZClosijw_18_0"/>
      <w:bookmarkStart w:id="1108" w:name="Tc_0WxMP8CfJUmJjT-jZ7hU0Q_17_0"/>
      <w:bookmarkStart w:id="1109" w:name="Tc_KWEvROyuU0exJ8cXJj1tJg_16_0"/>
      <w:bookmarkStart w:id="1110" w:name="Tc_ekM6EaP5-ESaaId3xQqFvg_15_0"/>
      <w:bookmarkStart w:id="1111" w:name="Tc_ukRX-GWBGkqR-yXe6IvoCA_14_0"/>
      <w:bookmarkStart w:id="1112" w:name="Tc_OuzbOENEnkGKzN8mYmwu_A_13_11"/>
      <w:bookmarkStart w:id="1113" w:name="Tc_7KmUAPWTnE6ijK354XfeZw_13_8"/>
      <w:bookmarkStart w:id="1114" w:name="Tc_OI_frnPOwkaW8VjH1PJjgQ_13_5"/>
      <w:bookmarkStart w:id="1115" w:name="Tc_xc_PnEQrUU6RfAmzyfMN8Q_13_2"/>
      <w:bookmarkStart w:id="1116" w:name="Tc_HeIto7m_40uR9qoYJcZs9g_13_0"/>
      <w:bookmarkStart w:id="1117" w:name="Tc_fynEQFU-OEe-79JQNbJ-IQ_12_0"/>
      <w:bookmarkStart w:id="1118" w:name="Tc_y92C-rRj5UyhT8vX6MKsvg_10_11"/>
      <w:bookmarkStart w:id="1119" w:name="Tc_zx9MN3J7aEuFsltoBgWziw_10_8"/>
      <w:bookmarkStart w:id="1120" w:name="Tc_CUXw_Rd27EKeMgcrx6q5pA_10_5"/>
      <w:bookmarkStart w:id="1121" w:name="Tc_HDY0QZtB2EORCBbbnx3aPQ_10_2"/>
      <w:bookmarkStart w:id="1122" w:name="Tc_ooc3J_0nnEiBkcOqtUB8GQ_10_0"/>
      <w:bookmarkStart w:id="1123" w:name="Tc_gc4F9nNOA0KWRmkRchT_rw_9_0"/>
      <w:bookmarkStart w:id="1124" w:name="Tc_6P15Wn35s0C_valVl-jICg_8_0"/>
      <w:bookmarkStart w:id="1125" w:name="Tc_DBlh61EWM0SXM01tM02X4Q_7_0"/>
      <w:bookmarkStart w:id="1126" w:name="Tc_sqKGv3zO5UuC6MNnQidgfQ_6_0"/>
      <w:bookmarkStart w:id="1127" w:name="Tc_2FqbVu4bjUa9xue_aHznVA_5_0"/>
      <w:bookmarkStart w:id="1128" w:name="Tc_YOXEGCf27kKiq7auUxV6Yw_4_0"/>
      <w:bookmarkStart w:id="1129" w:name="Tc_chir8vpQuEKrDK2BMACSyg_3_0"/>
      <w:bookmarkStart w:id="1130" w:name="Tc_n4UPo_7WSUmg959pYb3biQ_2_11"/>
      <w:bookmarkStart w:id="1131" w:name="Tc_drgqmspYW0-zO7gWDqQKvA_2_8"/>
      <w:bookmarkStart w:id="1132" w:name="Tc_249_5TltN0SDZpWWR_JySw_2_5"/>
      <w:bookmarkStart w:id="1133" w:name="Tc_AkmcIf3ByUqK9CzxQR4FsA_2_2"/>
      <w:bookmarkStart w:id="1134" w:name="Tc_JBTpX_CQbEKh3JMTHh3NBw_2_0"/>
      <w:bookmarkStart w:id="1135" w:name="Tc_7tciRA0DuU2eRX1-zvRoSw_1_11"/>
      <w:bookmarkStart w:id="1136" w:name="Tc_WSIoo9957EO5dHhlwtnCng_1_8"/>
      <w:bookmarkStart w:id="1137" w:name="Tc_KKW_d6PdfkWdrppKtPaT2A_1_5"/>
      <w:bookmarkStart w:id="1138" w:name="Tc_PQl10Dz7I0KfwiELB5QYhA_1_2"/>
      <w:bookmarkStart w:id="1139" w:name="Tc_jaUWp1YD50-_8Bj0BbCRvQ_1_0"/>
      <w:bookmarkStart w:id="1140" w:name="_28b21def_c64e_419b_9475_3e21586523d5"/>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hanging="0"/>
        <w:jc w:val="left"/>
        <w:rPr/>
      </w:pPr>
      <w:r>
        <w:rPr/>
        <w:t>​</w:t>
      </w:r>
    </w:p>
    <w:tbl>
      <w:tblPr>
        <w:tblW w:w="785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78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53210" cy="175260"/>
                      <wp:effectExtent l="0" t="0" r="0" b="0"/>
                      <wp:wrapNone/>
                      <wp:docPr id="178" name="Frame178"/>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81" name="Frame1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3355" cy="175260"/>
                      <wp:effectExtent l="0" t="0" r="0" b="0"/>
                      <wp:wrapNone/>
                      <wp:docPr id="186" name="Frame18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84480" cy="175260"/>
                      <wp:effectExtent l="0" t="0" r="0" b="0"/>
                      <wp:wrapNone/>
                      <wp:docPr id="187" name="Frame18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57860" cy="175260"/>
                      <wp:effectExtent l="0" t="0" r="0" b="0"/>
                      <wp:wrapNone/>
                      <wp:docPr id="190" name="Frame1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1,151,621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1,151,621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722,386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722,386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107,522</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139,905</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139,905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15,627</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15,627</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351,103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2,225,110</w: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1,874,007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1,926,927</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145,253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145,253</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16,696</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138,058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138,058</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351,103</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2,225,110</w:t>
            </w:r>
          </w:p>
        </w:tc>
      </w:tr>
    </w:tbl>
    <w:p>
      <w:pPr>
        <w:pStyle w:val="TextBody"/>
        <w:bidi w:val="0"/>
        <w:spacing w:before="0" w:after="0"/>
        <w:ind w:left="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69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53210" cy="175260"/>
                      <wp:effectExtent l="0" t="0" r="0" b="0"/>
                      <wp:wrapNone/>
                      <wp:docPr id="191" name="Frame19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94" name="Frame1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3355" cy="175260"/>
                      <wp:effectExtent l="0" t="0" r="0" b="0"/>
                      <wp:wrapNone/>
                      <wp:docPr id="199" name="Frame19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84480" cy="175260"/>
                      <wp:effectExtent l="0" t="0" r="0" b="0"/>
                      <wp:wrapNone/>
                      <wp:docPr id="200" name="Frame200"/>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7860" cy="175260"/>
                      <wp:effectExtent l="0" t="0" r="0" b="0"/>
                      <wp:wrapNone/>
                      <wp:docPr id="203" name="Frame2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1,533,301</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1,533,301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w:t>
      </w:r>
      <w:r>
        <w:rPr>
          <w:rFonts w:ascii="Times New Roman;Times;serif" w:hAnsi="Times New Roman;Times;serif"/>
          <w:color w:val="212529"/>
          <w:sz w:val="20"/>
        </w:rPr>
        <w:t>three- and six-months ended June 30, 2025</w:t>
      </w:r>
      <w:r>
        <w:rPr>
          <w:rFonts w:ascii="Times New Roman;Times;serif" w:hAnsi="Times New Roman;Times;serif"/>
          <w:sz w:val="20"/>
        </w:rPr>
        <w:t>, or during the year-ended December 31, 2024, and there were no changes in the Company’s valuation techniques.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141" w:name="Tc_AAXoXu1Y7k6x6l63xPnbtg_6_5"/>
      <w:bookmarkStart w:id="1142" w:name="Tc_MTriYFlQI0mczODRnVi7xQ_6_2"/>
      <w:bookmarkStart w:id="1143" w:name="Tc_uhedvYwTbkqkGecZVBsQvg_5_0"/>
      <w:bookmarkStart w:id="1144" w:name="Tc__z-aq94-F02ss-AsZVai-A_4_0"/>
      <w:bookmarkStart w:id="1145" w:name="Tc_wapLcnQ2IU6NCAJTaUc2aQ_3_5"/>
      <w:bookmarkStart w:id="1146" w:name="Tc_8ZFpkG7IGk6OxfTYtkTcYg_3_2"/>
      <w:bookmarkStart w:id="1147" w:name="Tc_SRmgAN5-cU2yNUqaiam8GA_3_0"/>
      <w:bookmarkStart w:id="1148" w:name="Tc_zJNbJGM9LEeeN8CNdmuFcA_2_5"/>
      <w:bookmarkStart w:id="1149" w:name="Tc_RMVJQs5ISES8X5cxWY_0xg_2_2"/>
      <w:bookmarkStart w:id="1150" w:name="Tc_poxZvUQUfkmsp4CUnTD-JA_1_5"/>
      <w:bookmarkStart w:id="1151" w:name="Tc_h9L4iCbqCEGe0ZNrVLjMWA_1_2"/>
      <w:bookmarkStart w:id="1152" w:name="Tc_AAXoXu1Y7k6x6l63xPnbtg_6_5"/>
      <w:bookmarkStart w:id="1153" w:name="Tc_MTriYFlQI0mczODRnVi7xQ_6_2"/>
      <w:bookmarkStart w:id="1154" w:name="Tc_uhedvYwTbkqkGecZVBsQvg_5_0"/>
      <w:bookmarkStart w:id="1155" w:name="Tc__z-aq94-F02ss-AsZVai-A_4_0"/>
      <w:bookmarkStart w:id="1156" w:name="Tc_wapLcnQ2IU6NCAJTaUc2aQ_3_5"/>
      <w:bookmarkStart w:id="1157" w:name="Tc_8ZFpkG7IGk6OxfTYtkTcYg_3_2"/>
      <w:bookmarkStart w:id="1158" w:name="Tc_SRmgAN5-cU2yNUqaiam8GA_3_0"/>
      <w:bookmarkStart w:id="1159" w:name="Tc_zJNbJGM9LEeeN8CNdmuFcA_2_5"/>
      <w:bookmarkStart w:id="1160" w:name="Tc_RMVJQs5ISES8X5cxWY_0xg_2_2"/>
      <w:bookmarkStart w:id="1161" w:name="Tc_poxZvUQUfkmsp4CUnTD-JA_1_5"/>
      <w:bookmarkStart w:id="1162" w:name="Tc_h9L4iCbqCEGe0ZNrVLjMWA_1_2"/>
      <w:bookmarkEnd w:id="1152"/>
      <w:bookmarkEnd w:id="1153"/>
      <w:bookmarkEnd w:id="1154"/>
      <w:bookmarkEnd w:id="1155"/>
      <w:bookmarkEnd w:id="1156"/>
      <w:bookmarkEnd w:id="1157"/>
      <w:bookmarkEnd w:id="1158"/>
      <w:bookmarkEnd w:id="1159"/>
      <w:bookmarkEnd w:id="1160"/>
      <w:bookmarkEnd w:id="1161"/>
      <w:bookmarkEnd w:id="1162"/>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hanging="0"/>
        <w:jc w:val="left"/>
        <w:rPr/>
      </w:pPr>
      <w:r>
        <w:rPr/>
        <w:t>​</w:t>
      </w:r>
    </w:p>
    <w:tbl>
      <w:tblPr>
        <w:tblW w:w="4375" w:type="dxa"/>
        <w:jc w:val="left"/>
        <w:tblInd w:w="0" w:type="dxa"/>
        <w:tblLayout w:type="fixed"/>
        <w:tblCellMar>
          <w:top w:w="0" w:type="dxa"/>
          <w:left w:w="0" w:type="dxa"/>
          <w:bottom w:w="0" w:type="dxa"/>
          <w:right w:w="0" w:type="dxa"/>
        </w:tblCellMar>
      </w:tblPr>
      <w:tblGrid>
        <w:gridCol w:w="1426"/>
        <w:gridCol w:w="326"/>
        <w:gridCol w:w="211"/>
        <w:gridCol w:w="781"/>
        <w:gridCol w:w="326"/>
        <w:gridCol w:w="250"/>
        <w:gridCol w:w="1055"/>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05510" cy="175260"/>
                      <wp:effectExtent l="0" t="0" r="0" b="0"/>
                      <wp:wrapNone/>
                      <wp:docPr id="204" name="Frame20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7" name="Frame2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8750" cy="175260"/>
                      <wp:effectExtent l="0" t="0" r="0" b="0"/>
                      <wp:wrapNone/>
                      <wp:docPr id="209" name="Frame20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69925" cy="175260"/>
                      <wp:effectExtent l="0" t="0" r="0" b="0"/>
                      <wp:wrapNone/>
                      <wp:docPr id="210" name="Frame210"/>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257,954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232,698</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399,024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503,209</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658,167</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737,107</w:t>
            </w:r>
          </w:p>
        </w:tc>
      </w:tr>
    </w:tbl>
    <w:p>
      <w:pPr>
        <w:pStyle w:val="TextBody"/>
        <w:pBdr/>
        <w:bidi w:val="0"/>
        <w:spacing w:before="0" w:after="0"/>
        <w:ind w:left="0" w:right="0" w:hanging="720"/>
        <w:jc w:val="both"/>
        <w:rPr/>
      </w:pPr>
      <w:r>
        <w:rPr/>
        <w:t>​</w:t>
      </w:r>
    </w:p>
    <w:p>
      <w:pPr>
        <w:pStyle w:val="TextBody"/>
        <w:pBdr/>
        <w:bidi w:val="0"/>
        <w:spacing w:before="0" w:after="0"/>
        <w:ind w:left="0" w:right="0" w:hanging="720"/>
        <w:jc w:val="both"/>
        <w:rPr/>
      </w:pPr>
      <w:r>
        <w:rPr/>
        <w:t>​</w:t>
      </w:r>
    </w:p>
    <w:p>
      <w:pPr>
        <w:pStyle w:val="Normal"/>
        <w:bidi w:val="0"/>
        <w:spacing w:before="0" w:after="0"/>
        <w:jc w:val="left"/>
        <w:rPr>
          <w:sz w:val="4"/>
          <w:szCs w:val="4"/>
        </w:rPr>
      </w:pPr>
      <w:r>
        <w:rPr>
          <w:sz w:val="4"/>
          <w:szCs w:val="4"/>
        </w:rPr>
      </w:r>
      <w:bookmarkStart w:id="1163" w:name="Tc_GNhqrRO2nEWH0lT6_6Demw_13_5"/>
      <w:bookmarkStart w:id="1164" w:name="Tc_tBR5vv2yCESEeEtui18VeQ_13_2"/>
      <w:bookmarkStart w:id="1165" w:name="Tc_SJ90-YBVFE2EuVdiByWZ_A_12_0"/>
      <w:bookmarkStart w:id="1166" w:name="Tc_ScSImbloRUqa5869vm9QCw_10_0"/>
      <w:bookmarkStart w:id="1167" w:name="Tc_gBhxV2sh9USNo67e8a1YXw_9_0"/>
      <w:bookmarkStart w:id="1168" w:name="Tc_m6CCfxB1EUuuuIrTHy4IUA_8_0"/>
      <w:bookmarkStart w:id="1169" w:name="Tc_Z80-iUY74UamtiUqdSRDZg_7_0"/>
      <w:bookmarkStart w:id="1170" w:name="Tc_WSY6cmJ1aEmSl6ZnJO8l3g_6_0"/>
      <w:bookmarkStart w:id="1171" w:name="Tc_DNJT73M3OEa_fqxwLbPmxw_5_0"/>
      <w:bookmarkStart w:id="1172" w:name="Tc_KnHfJuV01UykbRwK_juP8w_4_0"/>
      <w:bookmarkStart w:id="1173" w:name="Tc_iJCoVrfVCE6W_KN7Fgqfxw_3_5"/>
      <w:bookmarkStart w:id="1174" w:name="Tc_FKl2S_NkLUS_F2CzVcaDKw_3_2"/>
      <w:bookmarkStart w:id="1175" w:name="Tc_Mn9LAxRuYkKViesy47o1vg_3_0"/>
      <w:bookmarkStart w:id="1176" w:name="Tc_Q1PKItr8Q0WL1PhUhA63Dw_2_5"/>
      <w:bookmarkStart w:id="1177" w:name="Tc_8tv5TFfbg0W3azdZ8OpQlw_2_2"/>
      <w:bookmarkStart w:id="1178" w:name="Tc_jTL46m--OUGE0ygjLYbRuw_1_5"/>
      <w:bookmarkStart w:id="1179" w:name="Tc_449KAcPzt0KDzS9t6y9xcg_1_2"/>
      <w:bookmarkStart w:id="1180" w:name="Tc_GNhqrRO2nEWH0lT6_6Demw_13_5"/>
      <w:bookmarkStart w:id="1181" w:name="Tc_tBR5vv2yCESEeEtui18VeQ_13_2"/>
      <w:bookmarkStart w:id="1182" w:name="Tc_SJ90-YBVFE2EuVdiByWZ_A_12_0"/>
      <w:bookmarkStart w:id="1183" w:name="Tc_ScSImbloRUqa5869vm9QCw_10_0"/>
      <w:bookmarkStart w:id="1184" w:name="Tc_gBhxV2sh9USNo67e8a1YXw_9_0"/>
      <w:bookmarkStart w:id="1185" w:name="Tc_m6CCfxB1EUuuuIrTHy4IUA_8_0"/>
      <w:bookmarkStart w:id="1186" w:name="Tc_Z80-iUY74UamtiUqdSRDZg_7_0"/>
      <w:bookmarkStart w:id="1187" w:name="Tc_WSY6cmJ1aEmSl6ZnJO8l3g_6_0"/>
      <w:bookmarkStart w:id="1188" w:name="Tc_DNJT73M3OEa_fqxwLbPmxw_5_0"/>
      <w:bookmarkStart w:id="1189" w:name="Tc_KnHfJuV01UykbRwK_juP8w_4_0"/>
      <w:bookmarkStart w:id="1190" w:name="Tc_iJCoVrfVCE6W_KN7Fgqfxw_3_5"/>
      <w:bookmarkStart w:id="1191" w:name="Tc_FKl2S_NkLUS_F2CzVcaDKw_3_2"/>
      <w:bookmarkStart w:id="1192" w:name="Tc_Mn9LAxRuYkKViesy47o1vg_3_0"/>
      <w:bookmarkStart w:id="1193" w:name="Tc_Q1PKItr8Q0WL1PhUhA63Dw_2_5"/>
      <w:bookmarkStart w:id="1194" w:name="Tc_8tv5TFfbg0W3azdZ8OpQlw_2_2"/>
      <w:bookmarkStart w:id="1195" w:name="Tc_jTL46m--OUGE0ygjLYbRuw_1_5"/>
      <w:bookmarkStart w:id="1196" w:name="Tc_449KAcPzt0KDzS9t6y9xcg_1_2"/>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hanging="0"/>
        <w:jc w:val="left"/>
        <w:rPr/>
      </w:pPr>
      <w:r>
        <w:rPr/>
        <w:t>​</w:t>
      </w:r>
    </w:p>
    <w:tbl>
      <w:tblPr>
        <w:tblW w:w="7210" w:type="dxa"/>
        <w:jc w:val="left"/>
        <w:tblInd w:w="0" w:type="dxa"/>
        <w:tblLayout w:type="fixed"/>
        <w:tblCellMar>
          <w:top w:w="0" w:type="dxa"/>
          <w:left w:w="0" w:type="dxa"/>
          <w:bottom w:w="0" w:type="dxa"/>
          <w:right w:w="0" w:type="dxa"/>
        </w:tblCellMar>
      </w:tblPr>
      <w:tblGrid>
        <w:gridCol w:w="4111"/>
        <w:gridCol w:w="326"/>
        <w:gridCol w:w="211"/>
        <w:gridCol w:w="931"/>
        <w:gridCol w:w="326"/>
        <w:gridCol w:w="220"/>
        <w:gridCol w:w="1085"/>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10485" cy="175260"/>
                      <wp:effectExtent l="0" t="0" r="0" b="0"/>
                      <wp:wrapNone/>
                      <wp:docPr id="211" name="Frame211"/>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9700" cy="175260"/>
                      <wp:effectExtent l="0" t="0" r="0" b="0"/>
                      <wp:wrapNone/>
                      <wp:docPr id="216" name="Frame21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88975" cy="175260"/>
                      <wp:effectExtent l="0" t="0" r="0" b="0"/>
                      <wp:wrapNone/>
                      <wp:docPr id="217" name="Frame217"/>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179,492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178,056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642,447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561,408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384,770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280,663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80,178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69,818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178,980</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1,428,817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1,342,248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(337,919)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(295,224)</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1,090,898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1,047,024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and amortization expense was $23.3 million and $17.8 million for the </w:t>
      </w:r>
      <w:r>
        <w:rPr>
          <w:rFonts w:ascii="Times New Roman;Times;serif" w:hAnsi="Times New Roman;Times;serif"/>
          <w:color w:val="212529"/>
          <w:sz w:val="20"/>
        </w:rPr>
        <w:t>three-months ended June 30, 2025 and 2024</w:t>
      </w:r>
      <w:r>
        <w:rPr>
          <w:rFonts w:ascii="Times New Roman;Times;serif" w:hAnsi="Times New Roman;Times;serif"/>
          <w:sz w:val="20"/>
        </w:rPr>
        <w:t xml:space="preserve">, respectively. Total depreciation and amortization expense was $43.7 million and $36.9 million for the </w:t>
      </w:r>
      <w:r>
        <w:rPr>
          <w:rFonts w:ascii="Times New Roman;Times;serif" w:hAnsi="Times New Roman;Times;serif"/>
          <w:color w:val="212529"/>
          <w:sz w:val="20"/>
        </w:rPr>
        <w:t>six-months ended June 30, 2025 and 2024</w:t>
      </w:r>
      <w:r>
        <w:rPr>
          <w:rFonts w:ascii="Times New Roman;Times;serif" w:hAnsi="Times New Roman;Times;serif"/>
          <w:sz w:val="20"/>
        </w:rPr>
        <w:t>,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97" w:name="Tc_zS1VJl5kIkio5IDHyH2auA_6_14"/>
      <w:bookmarkStart w:id="1198" w:name="Tc_aoyblkBZnUyN06NKNatMkA_6_11"/>
      <w:bookmarkStart w:id="1199" w:name="Tc_LskjShIrwkiSEzZ77xTKAg_6_8"/>
      <w:bookmarkStart w:id="1200" w:name="Tc_fXoDJ_54e0a5iwJI7uJ3GA_6_5"/>
      <w:bookmarkStart w:id="1201" w:name="Tc_DeiaSopEwUC_hT18GusEHg_6_2"/>
      <w:bookmarkStart w:id="1202" w:name="Tc_3t707StuUUShr36Pv8oLCg_6_0"/>
      <w:bookmarkStart w:id="1203" w:name="Tc_TD4zUAyQW06mCNK7d5RuhQ_5_0"/>
      <w:bookmarkStart w:id="1204" w:name="Tc_6B84QWjJK0KY9qSmaEbykw_4_14"/>
      <w:bookmarkStart w:id="1205" w:name="Tc_IXJwper6REytD5hWH3a5dA_4_11"/>
      <w:bookmarkStart w:id="1206" w:name="Tc_K0ZNaMAKDUm3VsVh676Klg_4_8"/>
      <w:bookmarkStart w:id="1207" w:name="Tc_eYJapGuiU0qtv2VteL1xhg_4_5"/>
      <w:bookmarkStart w:id="1208" w:name="Tc_42MnnpDg20WlNxI_ISrBJg_4_2"/>
      <w:bookmarkStart w:id="1209" w:name="Tc_KP955Wpd8katf16Mq-GOaw_4_0"/>
      <w:bookmarkStart w:id="1210" w:name="Tc_jrExbGKsIEKr5o-vnA1-Lg_3_14"/>
      <w:bookmarkStart w:id="1211" w:name="Tc_Ydt_fGYJz0CU9sGVYZJeIg_3_11"/>
      <w:bookmarkStart w:id="1212" w:name="Tc_QUt-ydubZUm-pEc-fTJGEQ_3_8"/>
      <w:bookmarkStart w:id="1213" w:name="Tc_V6LyUhF5FU2J_M2RMyLPSQ_3_5"/>
      <w:bookmarkStart w:id="1214" w:name="Tc_YUeeDF0Fx0OzFNcElEtQ2w_3_2"/>
      <w:bookmarkStart w:id="1215" w:name="Tc_Cn5GV7a__kKelcmPFZzncw_2_8"/>
      <w:bookmarkStart w:id="1216" w:name="Tc_gaXm1hUq90643xZ-qM5Iyw_2_5"/>
      <w:bookmarkStart w:id="1217" w:name="Tc_pNMd2l7AUEaIbmMq4uxWjg_2_2"/>
      <w:bookmarkStart w:id="1218" w:name="Tc_ERJUfq7ETkaLUQ7L0pfsiw_1_2"/>
      <w:bookmarkStart w:id="1219" w:name="_2e69e3ea_1eb2_4ded_a12e_71cac5175567"/>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is a roll-forward of goodwill for the </w:t>
      </w:r>
      <w:r>
        <w:rPr>
          <w:rFonts w:ascii="Times New Roman;Times;serif" w:hAnsi="Times New Roman;Times;serif"/>
          <w:color w:val="212529"/>
          <w:sz w:val="20"/>
          <w:shd w:fill="FFFFFF" w:val="clear"/>
        </w:rPr>
        <w:t>six-months ended June 30, 2025 and 2024</w:t>
      </w:r>
      <w:r>
        <w:rPr>
          <w:rFonts w:ascii="Times New Roman;Times;serif" w:hAnsi="Times New Roman;Times;serif"/>
          <w:sz w:val="20"/>
        </w:rPr>
        <w:t xml:space="preserve"> by reportable segment:</w:t>
      </w:r>
    </w:p>
    <w:p>
      <w:pPr>
        <w:pStyle w:val="TextBody"/>
        <w:bidi w:val="0"/>
        <w:spacing w:before="0" w:after="0"/>
        <w:ind w:left="0" w:right="0" w:firstLine="720"/>
        <w:jc w:val="both"/>
        <w:rPr/>
      </w:pPr>
      <w:r>
        <w:rPr/>
        <w:t>​</w:t>
      </w:r>
    </w:p>
    <w:tbl>
      <w:tblPr>
        <w:tblW w:w="8824"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307"/>
        <w:gridCol w:w="503"/>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48460" cy="175260"/>
                      <wp:effectExtent l="0" t="0" r="0" b="0"/>
                      <wp:wrapNone/>
                      <wp:docPr id="218" name="Frame21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5935" cy="175260"/>
                      <wp:effectExtent l="0" t="0" r="0" b="0"/>
                      <wp:wrapNone/>
                      <wp:docPr id="221" name="Frame2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95935" cy="175260"/>
                      <wp:effectExtent l="0" t="0" r="0" b="0"/>
                      <wp:wrapNone/>
                      <wp:docPr id="224" name="Frame2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4945" cy="175260"/>
                      <wp:effectExtent l="0" t="0" r="0" b="0"/>
                      <wp:wrapNone/>
                      <wp:docPr id="226" name="Frame22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19405" cy="175260"/>
                      <wp:effectExtent l="0" t="0" r="0" b="0"/>
                      <wp:wrapNone/>
                      <wp:docPr id="227" name="Frame227"/>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57860" cy="175260"/>
                      <wp:effectExtent l="0" t="0" r="0" b="0"/>
                      <wp:wrapNone/>
                      <wp:docPr id="233" name="Frame2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goodwill impairment balance at December 31, 2024 and June 30, 2025 was $86.3 million related entirely to Alcohol Brands.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220" w:name="Tc_nLB-87nY-kySLbbT_W7qsA_7_2"/>
      <w:bookmarkStart w:id="1221" w:name="Tc_vzCw107wBkW7trhiNb4NBw_6_0"/>
      <w:bookmarkStart w:id="1222" w:name="Tc_DIPTCOnbdEas23bZoaCtLw_5_0"/>
      <w:bookmarkStart w:id="1223" w:name="Tc_4F7ixZCXskKxDlT7wTBWqg_4_0"/>
      <w:bookmarkStart w:id="1224" w:name="Tc_7v2shlZXdkK-kYWyPNdxeQ_3_0"/>
      <w:bookmarkStart w:id="1225" w:name="Tc_aUKolqR4ZECXpRKCVSF4eg_2_0"/>
      <w:bookmarkStart w:id="1226" w:name="Tc_ryJ-PolsPUiiOfepiYyHvA_1_2"/>
      <w:bookmarkStart w:id="1227" w:name="Tc_jdY2F1pOPUqQFF8ixlwzdg_1_0"/>
      <w:bookmarkStart w:id="1228" w:name="Tc_cCxF8QlPI0Org8VOtvDCSA_7_5"/>
      <w:bookmarkStart w:id="1229" w:name="Tc_2C_FSCT1F0CFNxrhZv7nWA_7_2"/>
      <w:bookmarkStart w:id="1230" w:name="Tc_-TaHYcPcc0a7WQtrzZ7luw_6_0"/>
      <w:bookmarkStart w:id="1231" w:name="Tc_UaYMbwcwm0GYmCXN1RaniA_4_0"/>
      <w:bookmarkStart w:id="1232" w:name="Tc_GHdKTr-tAUyAX90tvT4yvQ_3_5"/>
      <w:bookmarkStart w:id="1233" w:name="Tc_AZpng8Pz1EaOJP4OeNK5sw_3_2"/>
      <w:bookmarkStart w:id="1234" w:name="Tc_eMij4R1vnk2y1-ixODf80Q_3_0"/>
      <w:bookmarkStart w:id="1235" w:name="Tc__Siq937ZXESYiaT0n9zNNw_2_5"/>
      <w:bookmarkStart w:id="1236" w:name="Tc_wM5UT0cd9kq9KDJpjmWHAA_2_2"/>
      <w:bookmarkStart w:id="1237" w:name="Tc_ANB5nRm7VUWocg9_T7dLbg_1_5"/>
      <w:bookmarkStart w:id="1238" w:name="Tc_R-ZGdkK4bES593cJ9_ms6g_1_2"/>
      <w:bookmarkStart w:id="1239" w:name="_e9768743_e4a2_4b35_bdd8_e8f6ac51ab82"/>
      <w:bookmarkStart w:id="1240" w:name="Tc_al7U8ApxJU-Wof0mGbzpwA_6_14"/>
      <w:bookmarkStart w:id="1241" w:name="Tc_q1o97lpHYkeWhkLJo3zskg_6_11"/>
      <w:bookmarkStart w:id="1242" w:name="Tc_mB3jmlCRqUuHe_mHrsD11g_6_8"/>
      <w:bookmarkStart w:id="1243" w:name="Tc_RZghx-rLRkSHiE7zXmm3tw_6_5"/>
      <w:bookmarkStart w:id="1244" w:name="Tc_9ERQuDB67ki6H0MKapnhvw_6_2"/>
      <w:bookmarkStart w:id="1245" w:name="Tc_KlAy2NQ_iEGtos_3cMHWvg_6_0"/>
      <w:bookmarkStart w:id="1246" w:name="Tc_U-ClrYbyYkW0znyPdKE12g_5_0"/>
      <w:bookmarkStart w:id="1247" w:name="Tc_rQE1BpYbe0SxdNClmyHn8Q_4_14"/>
      <w:bookmarkStart w:id="1248" w:name="Tc_JXcczW9MtUWQeC0i9T2hjw_4_11"/>
      <w:bookmarkStart w:id="1249" w:name="Tc_6o3Fbe6KdEa3F_wVUJOivQ_4_8"/>
      <w:bookmarkStart w:id="1250" w:name="Tc_-v7dEFRFQkiElAT0FnEISw_4_5"/>
      <w:bookmarkStart w:id="1251" w:name="Tc_USHvDrN6TUGl-vPxxT8LhA_4_2"/>
      <w:bookmarkStart w:id="1252" w:name="Tc_uS1YHlWpokeWza5kFbKYsA_4_0"/>
      <w:bookmarkStart w:id="1253" w:name="Tc_Mc6Q2oLqIUSXYsO1j6L6Gw_3_14"/>
      <w:bookmarkStart w:id="1254" w:name="Tc_ki92Sp7R_UWo_6HC6MXV_g_3_11"/>
      <w:bookmarkStart w:id="1255" w:name="Tc_JBDhCKuczU2EIYeOxNgg5g_3_8"/>
      <w:bookmarkStart w:id="1256" w:name="Tc_4PNqmVbDAkuTgXJhnN9GRQ_3_5"/>
      <w:bookmarkStart w:id="1257" w:name="Tc_7_SqbKCE7keGgNhZehFW_w_3_2"/>
      <w:bookmarkStart w:id="1258" w:name="Tc_izna1c_eiEKRuRLntpDvhQ_2_8"/>
      <w:bookmarkStart w:id="1259" w:name="Tc_hO758sUvAE2muRpZfKox5Q_2_5"/>
      <w:bookmarkStart w:id="1260" w:name="Tc_vdzNk8vtdkGpwyRLwdPonA_2_2"/>
      <w:bookmarkStart w:id="1261" w:name="Tc_aXw7GzmR1UKZrSV3SmSn0A_1_2"/>
      <w:bookmarkStart w:id="1262" w:name="_aed5bb4a_25e7_4df6_b4bb_6ba46d5c6895"/>
      <w:bookmarkStart w:id="1263" w:name="Tc_nLB-87nY-kySLbbT_W7qsA_7_2"/>
      <w:bookmarkStart w:id="1264" w:name="Tc_vzCw107wBkW7trhiNb4NBw_6_0"/>
      <w:bookmarkStart w:id="1265" w:name="Tc_DIPTCOnbdEas23bZoaCtLw_5_0"/>
      <w:bookmarkStart w:id="1266" w:name="Tc_4F7ixZCXskKxDlT7wTBWqg_4_0"/>
      <w:bookmarkStart w:id="1267" w:name="Tc_7v2shlZXdkK-kYWyPNdxeQ_3_0"/>
      <w:bookmarkStart w:id="1268" w:name="Tc_aUKolqR4ZECXpRKCVSF4eg_2_0"/>
      <w:bookmarkStart w:id="1269" w:name="Tc_ryJ-PolsPUiiOfepiYyHvA_1_2"/>
      <w:bookmarkStart w:id="1270" w:name="Tc_jdY2F1pOPUqQFF8ixlwzdg_1_0"/>
      <w:bookmarkStart w:id="1271" w:name="Tc_cCxF8QlPI0Org8VOtvDCSA_7_5"/>
      <w:bookmarkStart w:id="1272" w:name="Tc_2C_FSCT1F0CFNxrhZv7nWA_7_2"/>
      <w:bookmarkStart w:id="1273" w:name="Tc_-TaHYcPcc0a7WQtrzZ7luw_6_0"/>
      <w:bookmarkStart w:id="1274" w:name="Tc_UaYMbwcwm0GYmCXN1RaniA_4_0"/>
      <w:bookmarkStart w:id="1275" w:name="Tc_GHdKTr-tAUyAX90tvT4yvQ_3_5"/>
      <w:bookmarkStart w:id="1276" w:name="Tc_AZpng8Pz1EaOJP4OeNK5sw_3_2"/>
      <w:bookmarkStart w:id="1277" w:name="Tc_eMij4R1vnk2y1-ixODf80Q_3_0"/>
      <w:bookmarkStart w:id="1278" w:name="Tc__Siq937ZXESYiaT0n9zNNw_2_5"/>
      <w:bookmarkStart w:id="1279" w:name="Tc_wM5UT0cd9kq9KDJpjmWHAA_2_2"/>
      <w:bookmarkStart w:id="1280" w:name="Tc_ANB5nRm7VUWocg9_T7dLbg_1_5"/>
      <w:bookmarkStart w:id="1281" w:name="Tc_R-ZGdkK4bES593cJ9_ms6g_1_2"/>
      <w:bookmarkStart w:id="1282" w:name="_e9768743_e4a2_4b35_bdd8_e8f6ac51ab82"/>
      <w:bookmarkStart w:id="1283" w:name="Tc_al7U8ApxJU-Wof0mGbzpwA_6_14"/>
      <w:bookmarkStart w:id="1284" w:name="Tc_q1o97lpHYkeWhkLJo3zskg_6_11"/>
      <w:bookmarkStart w:id="1285" w:name="Tc_mB3jmlCRqUuHe_mHrsD11g_6_8"/>
      <w:bookmarkStart w:id="1286" w:name="Tc_RZghx-rLRkSHiE7zXmm3tw_6_5"/>
      <w:bookmarkStart w:id="1287" w:name="Tc_9ERQuDB67ki6H0MKapnhvw_6_2"/>
      <w:bookmarkStart w:id="1288" w:name="Tc_KlAy2NQ_iEGtos_3cMHWvg_6_0"/>
      <w:bookmarkStart w:id="1289" w:name="Tc_U-ClrYbyYkW0znyPdKE12g_5_0"/>
      <w:bookmarkStart w:id="1290" w:name="Tc_rQE1BpYbe0SxdNClmyHn8Q_4_14"/>
      <w:bookmarkStart w:id="1291" w:name="Tc_JXcczW9MtUWQeC0i9T2hjw_4_11"/>
      <w:bookmarkStart w:id="1292" w:name="Tc_6o3Fbe6KdEa3F_wVUJOivQ_4_8"/>
      <w:bookmarkStart w:id="1293" w:name="Tc_-v7dEFRFQkiElAT0FnEISw_4_5"/>
      <w:bookmarkStart w:id="1294" w:name="Tc_USHvDrN6TUGl-vPxxT8LhA_4_2"/>
      <w:bookmarkStart w:id="1295" w:name="Tc_uS1YHlWpokeWza5kFbKYsA_4_0"/>
      <w:bookmarkStart w:id="1296" w:name="Tc_Mc6Q2oLqIUSXYsO1j6L6Gw_3_14"/>
      <w:bookmarkStart w:id="1297" w:name="Tc_ki92Sp7R_UWo_6HC6MXV_g_3_11"/>
      <w:bookmarkStart w:id="1298" w:name="Tc_JBDhCKuczU2EIYeOxNgg5g_3_8"/>
      <w:bookmarkStart w:id="1299" w:name="Tc_4PNqmVbDAkuTgXJhnN9GRQ_3_5"/>
      <w:bookmarkStart w:id="1300" w:name="Tc_7_SqbKCE7keGgNhZehFW_w_3_2"/>
      <w:bookmarkStart w:id="1301" w:name="Tc_izna1c_eiEKRuRLntpDvhQ_2_8"/>
      <w:bookmarkStart w:id="1302" w:name="Tc_hO758sUvAE2muRpZfKox5Q_2_5"/>
      <w:bookmarkStart w:id="1303" w:name="Tc_vdzNk8vtdkGpwyRLwdPonA_2_2"/>
      <w:bookmarkStart w:id="1304" w:name="Tc_aXw7GzmR1UKZrSV3SmSn0A_1_2"/>
      <w:bookmarkStart w:id="1305" w:name="_aed5bb4a_25e7_4df6_b4bb_6ba46d5c6895"/>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48460" cy="175260"/>
                      <wp:effectExtent l="0" t="0" r="0" b="0"/>
                      <wp:wrapNone/>
                      <wp:docPr id="234" name="Frame2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5935" cy="175260"/>
                      <wp:effectExtent l="0" t="0" r="0" b="0"/>
                      <wp:wrapNone/>
                      <wp:docPr id="237" name="Frame2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5935" cy="175260"/>
                      <wp:effectExtent l="0" t="0" r="0" b="0"/>
                      <wp:wrapNone/>
                      <wp:docPr id="240"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3" name="Frame2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860" cy="175260"/>
                      <wp:effectExtent l="0" t="0" r="0" b="0"/>
                      <wp:wrapNone/>
                      <wp:docPr id="249" name="Frame2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2371"/>
        <w:gridCol w:w="326"/>
        <w:gridCol w:w="211"/>
        <w:gridCol w:w="931"/>
        <w:gridCol w:w="326"/>
        <w:gridCol w:w="220"/>
        <w:gridCol w:w="1085"/>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05585" cy="175260"/>
                      <wp:effectExtent l="0" t="0" r="0" b="0"/>
                      <wp:wrapNone/>
                      <wp:docPr id="250" name="Frame250"/>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1185" cy="175260"/>
                      <wp:effectExtent l="0" t="0" r="0" b="0"/>
                      <wp:wrapNone/>
                      <wp:docPr id="253" name="Frame2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9700" cy="175260"/>
                      <wp:effectExtent l="0" t="0" r="0" b="0"/>
                      <wp:wrapNone/>
                      <wp:docPr id="255" name="Frame25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88975" cy="175260"/>
                      <wp:effectExtent l="0" t="0" r="0" b="0"/>
                      <wp:wrapNone/>
                      <wp:docPr id="256" name="Frame256"/>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190,336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(95,740)</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(86,703)</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97,097</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1,324,231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1,317,155</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1,418,827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1,414,252</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ten years. Total amortization expense was $4.3 million and $1.7 million for the three-months ended June 30, 2025 and 2024, respectively. Total amortization expense was $8.7 million and $3.0 million for the six-months ended June 30, 2025 and 2024, respectively. </w:t>
      </w:r>
      <w:r>
        <w:rPr>
          <w:rFonts w:ascii="Times New Roman;Times;serif" w:hAnsi="Times New Roman;Times;serif"/>
          <w:color w:val="212529"/>
          <w:sz w:val="20"/>
          <w:shd w:fill="FFFFFF" w:val="clear"/>
        </w:rPr>
        <w:t>For the three- and six-months ended June 30, 2025</w:t>
      </w:r>
      <w:r>
        <w:rPr>
          <w:rFonts w:ascii="Times New Roman;Times;serif" w:hAnsi="Times New Roman;Times;serif"/>
          <w:sz w:val="20"/>
        </w:rPr>
        <w:t xml:space="preserve"> and</w:t>
      </w:r>
      <w:r>
        <w:rPr>
          <w:rFonts w:ascii="Times New Roman;Times;serif" w:hAnsi="Times New Roman;Times;serif"/>
          <w:color w:val="212529"/>
          <w:sz w:val="20"/>
          <w:shd w:fill="FFFFFF" w:val="clear"/>
        </w:rPr>
        <w:t xml:space="preserve"> 2024</w:t>
      </w:r>
      <w:r>
        <w:rPr>
          <w:rFonts w:ascii="Times New Roman;Times;serif" w:hAnsi="Times New Roman;Times;serif"/>
          <w:sz w:val="20"/>
        </w:rPr>
        <w:t>, no impairment charges were recorded to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June 30, 2025:</w:t>
      </w:r>
    </w:p>
    <w:p>
      <w:pPr>
        <w:pStyle w:val="TextBody"/>
        <w:bidi w:val="0"/>
        <w:spacing w:before="0" w:after="0"/>
        <w:ind w:left="0" w:right="0" w:hanging="0"/>
        <w:jc w:val="left"/>
        <w:rPr/>
      </w:pPr>
      <w:r>
        <w:rPr/>
        <w:t>​</w:t>
      </w:r>
    </w:p>
    <w:tbl>
      <w:tblPr>
        <w:tblW w:w="5279" w:type="dxa"/>
        <w:jc w:val="left"/>
        <w:tblInd w:w="0" w:type="dxa"/>
        <w:tblLayout w:type="fixed"/>
        <w:tblCellMar>
          <w:top w:w="0" w:type="dxa"/>
          <w:left w:w="0" w:type="dxa"/>
          <w:bottom w:w="0" w:type="dxa"/>
          <w:right w:w="0" w:type="dxa"/>
        </w:tblCellMar>
      </w:tblPr>
      <w:tblGrid>
        <w:gridCol w:w="3961"/>
        <w:gridCol w:w="326"/>
        <w:gridCol w:w="211"/>
        <w:gridCol w:w="781"/>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15235" cy="175260"/>
                      <wp:effectExtent l="0" t="0" r="0" b="0"/>
                      <wp:wrapNone/>
                      <wp:docPr id="257" name="Frame25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(from July 1, 2025 to December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9,423</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18,710</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16,937</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14,323</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21,448</w:t>
            </w:r>
          </w:p>
        </w:tc>
      </w:tr>
      <w:tr>
        <w:trPr/>
        <w:tc>
          <w:tcPr>
            <w:tcW w:w="3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94,596</w:t>
            </w:r>
          </w:p>
        </w:tc>
      </w:tr>
    </w:tbl>
    <w:p>
      <w:pPr>
        <w:pStyle w:val="TextBody"/>
        <w:bidi w:val="0"/>
        <w:spacing w:before="0" w:after="0"/>
        <w:ind w:left="0" w:right="0" w:hanging="0"/>
        <w:jc w:val="left"/>
        <w:rPr/>
      </w:pPr>
      <w:r>
        <w:rPr/>
        <w:t>​</w:t>
      </w:r>
    </w:p>
    <w:tbl>
      <w:tblPr>
        <w:tblW w:w="3107" w:type="dxa"/>
        <w:jc w:val="left"/>
        <w:tblInd w:w="0" w:type="dxa"/>
        <w:tblLayout w:type="fixed"/>
        <w:tblCellMar>
          <w:top w:w="0" w:type="dxa"/>
          <w:left w:w="0" w:type="dxa"/>
          <w:bottom w:w="0" w:type="dxa"/>
          <w:right w:w="0" w:type="dxa"/>
        </w:tblCellMar>
      </w:tblPr>
      <w:tblGrid>
        <w:gridCol w:w="271"/>
        <w:gridCol w:w="2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for both the three-months ended June 30, 2025 and 2024. Revenue recognized was $19.9 million for both the six-months ended June 30, 2025 and 2024.</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306" w:name="Tc_yxG9w7AdXEaxfSQswutayA_9_2"/>
      <w:bookmarkStart w:id="1307" w:name="Tc_E4LfOqJs9kqcwiYzBArB3Q_9_0"/>
      <w:bookmarkStart w:id="1308" w:name="Tc_Ewl2hJ5CPU6_XbgsuvExrw_8_0"/>
      <w:bookmarkStart w:id="1309" w:name="Tc_0Lwr_9VnhUuOsG_daQ6hog_7_0"/>
      <w:bookmarkStart w:id="1310" w:name="Tc_27kcOVHw8kGKMy7Q2NR1CA_6_0"/>
      <w:bookmarkStart w:id="1311" w:name="Tc_lut8nStEeE-U8l_Pjg4iXQ_5_0"/>
      <w:bookmarkStart w:id="1312" w:name="Tc_1F6-cWsg-k6DMCNeUB6vkQ_4_0"/>
      <w:bookmarkStart w:id="1313" w:name="Tc_a64muyBTS0errdlXO9mmow_3_2"/>
      <w:bookmarkStart w:id="1314" w:name="Tc_vJVgC6GWbUerKv12u_0XOQ_3_0"/>
      <w:bookmarkStart w:id="1315" w:name="Tc_U1n5FLnhu0ul9spHQjFWWA_2_2"/>
      <w:bookmarkStart w:id="1316" w:name="Tc_TAximL1vtUKpHdL4xCueHg_1_2"/>
      <w:bookmarkStart w:id="1317" w:name="Tc_yxG9w7AdXEaxfSQswutayA_9_2"/>
      <w:bookmarkStart w:id="1318" w:name="Tc_E4LfOqJs9kqcwiYzBArB3Q_9_0"/>
      <w:bookmarkStart w:id="1319" w:name="Tc_Ewl2hJ5CPU6_XbgsuvExrw_8_0"/>
      <w:bookmarkStart w:id="1320" w:name="Tc_0Lwr_9VnhUuOsG_daQ6hog_7_0"/>
      <w:bookmarkStart w:id="1321" w:name="Tc_27kcOVHw8kGKMy7Q2NR1CA_6_0"/>
      <w:bookmarkStart w:id="1322" w:name="Tc_lut8nStEeE-U8l_Pjg4iXQ_5_0"/>
      <w:bookmarkStart w:id="1323" w:name="Tc_1F6-cWsg-k6DMCNeUB6vkQ_4_0"/>
      <w:bookmarkStart w:id="1324" w:name="Tc_a64muyBTS0errdlXO9mmow_3_2"/>
      <w:bookmarkStart w:id="1325" w:name="Tc_vJVgC6GWbUerKv12u_0XOQ_3_0"/>
      <w:bookmarkStart w:id="1326" w:name="Tc_U1n5FLnhu0ul9spHQjFWWA_2_2"/>
      <w:bookmarkStart w:id="1327" w:name="Tc_TAximL1vtUKpHdL4xCueHg_1_2"/>
      <w:bookmarkEnd w:id="1317"/>
      <w:bookmarkEnd w:id="1318"/>
      <w:bookmarkEnd w:id="1319"/>
      <w:bookmarkEnd w:id="1320"/>
      <w:bookmarkEnd w:id="1321"/>
      <w:bookmarkEnd w:id="1322"/>
      <w:bookmarkEnd w:id="1323"/>
      <w:bookmarkEnd w:id="1324"/>
      <w:bookmarkEnd w:id="1325"/>
      <w:bookmarkEnd w:id="1326"/>
      <w:bookmarkEnd w:id="1327"/>
    </w:p>
    <w:tbl>
      <w:tblPr>
        <w:tblW w:w="932" w:type="dxa"/>
        <w:jc w:val="left"/>
        <w:tblInd w:w="0" w:type="dxa"/>
        <w:tblLayout w:type="fixed"/>
        <w:tblCellMar>
          <w:top w:w="0" w:type="dxa"/>
          <w:left w:w="0" w:type="dxa"/>
          <w:bottom w:w="0" w:type="dxa"/>
          <w:right w:w="0" w:type="dxa"/>
        </w:tblCellMar>
      </w:tblPr>
      <w:tblGrid>
        <w:gridCol w:w="271"/>
        <w:gridCol w:w="66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6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repaid the outstanding balance of $200.0 million on long-term debt in April 2025. As of December 31, 2024, the Company’s long-term debt consisted of the following:</w:t>
      </w:r>
    </w:p>
    <w:p>
      <w:pPr>
        <w:pStyle w:val="TextBody"/>
        <w:bidi w:val="0"/>
        <w:spacing w:before="0" w:after="0"/>
        <w:ind w:left="0" w:right="0" w:hanging="0"/>
        <w:jc w:val="left"/>
        <w:rPr/>
      </w:pPr>
      <w:r>
        <w:rPr/>
        <w:t>​</w:t>
      </w:r>
    </w:p>
    <w:tbl>
      <w:tblPr>
        <w:tblW w:w="5802" w:type="dxa"/>
        <w:jc w:val="left"/>
        <w:tblInd w:w="0" w:type="dxa"/>
        <w:tblLayout w:type="fixed"/>
        <w:tblCellMar>
          <w:top w:w="0" w:type="dxa"/>
          <w:left w:w="0" w:type="dxa"/>
          <w:bottom w:w="0" w:type="dxa"/>
          <w:right w:w="0" w:type="dxa"/>
        </w:tblCellMar>
      </w:tblPr>
      <w:tblGrid>
        <w:gridCol w:w="4171"/>
        <w:gridCol w:w="326"/>
        <w:gridCol w:w="250"/>
        <w:gridCol w:w="1055"/>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648585" cy="175260"/>
                      <wp:effectExtent l="0" t="0" r="0" b="0"/>
                      <wp:wrapNone/>
                      <wp:docPr id="261" name="Frame261"/>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8750" cy="175260"/>
                      <wp:effectExtent l="0" t="0" r="0" b="0"/>
                      <wp:wrapNone/>
                      <wp:docPr id="263" name="Frame26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69925" cy="175260"/>
                      <wp:effectExtent l="0" t="0" r="0" b="0"/>
                      <wp:wrapNone/>
                      <wp:docPr id="264" name="Frame264"/>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373,951</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373,951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was repaid in April 2025 with no additional borrowings permitted. The Revolving Credit Facility matures in May 2029. Borrowings under the Revolving Credit Facility bear interest at a variable rate per annum equal to the applicable rate plus margin (as defined in the Credit Facilities). Borrowings may be repaid at any time during the term of the Revolving Credit Facility and may be reborrowed prior to the maturity date. As of June 30, 2025, no borrowings were outstanding under the Credit Facilities, and the Company was in compliance with all covenants under the Credit Facilities.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As of June 30, 2025, no amount was outstanding on this line of credit.</w:t>
      </w:r>
    </w:p>
    <w:p>
      <w:pPr>
        <w:pStyle w:val="TextBody"/>
        <w:bidi w:val="0"/>
        <w:spacing w:before="0" w:after="0"/>
        <w:ind w:left="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36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$275.4 million at June 30, 2025,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$491.3 million at June 30, 2025, which related primarily to sponsorships and other marketing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Litigation — </w:t>
      </w:r>
      <w:r>
        <w:rPr>
          <w:rFonts w:ascii="Times New Roman;Times;serif" w:hAnsi="Times New Roman;Times;serif"/>
          <w:sz w:val="20"/>
        </w:rPr>
        <w:t xml:space="preserve">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evaluates, on a quarterly basis, developments in legal proceedings and other matters that could cause an increase or decrease in the amount of the liability that is accrued, if any, and any related insurance reimbursements. </w:t>
      </w:r>
      <w:r>
        <w:rPr>
          <w:rFonts w:ascii="Times New Roman;Times;serif" w:hAnsi="Times New Roman;Times;serif"/>
          <w:color w:val="212529"/>
          <w:sz w:val="20"/>
          <w:shd w:fill="FFFFFF" w:val="clear"/>
        </w:rPr>
        <w:t>As of June 30, 2025 and December 31, 2024</w:t>
      </w:r>
      <w:r>
        <w:rPr>
          <w:rFonts w:ascii="Times New Roman;Times;serif" w:hAnsi="Times New Roman;Times;serif"/>
          <w:sz w:val="20"/>
        </w:rPr>
        <w:t>, $30.6 million and $16.8 million, respectively, of loss contingencies were included in the Company’s accompanying condensed consolidated balance sheets.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328" w:name="Tc_hZ-udX8ayUWiWFVp8GBjGg_8_11"/>
      <w:bookmarkStart w:id="1329" w:name="Tc_QxDCtNJdvEeKUAF2tZRs8g_8_8"/>
      <w:bookmarkStart w:id="1330" w:name="Tc_zwMvEitmY0mCNUX62sByoA_8_5"/>
      <w:bookmarkStart w:id="1331" w:name="Tc_HRaCMK0OikiR-iWs4-fWBQ_8_2"/>
      <w:bookmarkStart w:id="1332" w:name="Tc_x53sgcbzh0WbzyQX1ojWbg_8_0"/>
      <w:bookmarkStart w:id="1333" w:name="Tc_oz-sjecxb06t_eMxB7-YSg_7_0"/>
      <w:bookmarkStart w:id="1334" w:name="Tc_ASRlMNKNTk-bU4C_bxbMtQ_6_0"/>
      <w:bookmarkStart w:id="1335" w:name="Tc_p1RAzEroNUmeJilQ6XGapg_5_11"/>
      <w:bookmarkStart w:id="1336" w:name="Tc_h98LH-UJnE2gX6Atueraxg_5_8"/>
      <w:bookmarkStart w:id="1337" w:name="Tc_dcDmlbJio0CwERvfDZF2iQ_5_5"/>
      <w:bookmarkStart w:id="1338" w:name="Tc_jlNRDRqbz0qSUChWhy0xFQ_5_2"/>
      <w:bookmarkStart w:id="1339" w:name="Tc_G3t_7oG99Uqh2xztEIg5dQ_5_0"/>
      <w:bookmarkStart w:id="1340" w:name="Tc_P1epjp5C6UW6MrRjTXqbfw_4_11"/>
      <w:bookmarkStart w:id="1341" w:name="Tc_tkQ1CXb8vUKIb-27Un9o-g_4_8"/>
      <w:bookmarkStart w:id="1342" w:name="Tc_aPGL-Ypl4k245B-ATOXIFA_4_5"/>
      <w:bookmarkStart w:id="1343" w:name="Tc_FPZMkIzScEuFPD7JLA2lZg_4_2"/>
      <w:bookmarkStart w:id="1344" w:name="Tc_wBEsEj2n8kS8hiWvJgSQSQ_3_8"/>
      <w:bookmarkStart w:id="1345" w:name="Tc_Yumou7X4bUKZRfaQKbyxcA_3_5"/>
      <w:bookmarkStart w:id="1346" w:name="Tc_QplVpxnxVEesMYOyAarM-Q_3_2"/>
      <w:bookmarkStart w:id="1347" w:name="Tc_Wr4CLGGoyU-oFeJRPzWyGw_2_8"/>
      <w:bookmarkStart w:id="1348" w:name="Tc_zmYwvEoSzk6EUE2Pm-MN1A_2_5"/>
      <w:bookmarkStart w:id="1349" w:name="Tc_EmSt_BNEUUylpkZYlKpctA_2_2"/>
      <w:bookmarkStart w:id="1350" w:name="Tc_9z_S2e4NCEaCbmz1R7WY8g_1_8"/>
      <w:bookmarkStart w:id="1351" w:name="Tc__aYfGrDBm0u5yK9zrhnyrQ_1_5"/>
      <w:bookmarkStart w:id="1352" w:name="Tc__QOpkF_kRka8JSVjP8Ax8A_1_2"/>
      <w:bookmarkStart w:id="1353" w:name="_54819f0d_37fa_4553_ae63_2f683f059320"/>
      <w:bookmarkStart w:id="1354" w:name="Tc_cdFHyBGK0ky6iH-NvYxdug_9_11"/>
      <w:bookmarkStart w:id="1355" w:name="Tc_dM14hzJDOEe90m-KxQG6rA_9_8"/>
      <w:bookmarkStart w:id="1356" w:name="Tc_yYO5upkqYkiTFdi2r7_78Q_9_5"/>
      <w:bookmarkStart w:id="1357" w:name="Tc_HbyufXah8UKkmVG8QBeqNg_9_2"/>
      <w:bookmarkStart w:id="1358" w:name="Tc_qRiZqvULI063lDdKN1jwVg_9_0"/>
      <w:bookmarkStart w:id="1359" w:name="Tc_eywApTmZJ0ObhQJJG3yWDA_8_0"/>
      <w:bookmarkStart w:id="1360" w:name="Tc_ANl5huquWk-9IRslFgibUA_7_0"/>
      <w:bookmarkStart w:id="1361" w:name="Tc_mksz_H4F4kCtgQn064KZGg_6_0"/>
      <w:bookmarkStart w:id="1362" w:name="Tc_em5ZOZ8Co0yzuJXhPzvwnA_5_11"/>
      <w:bookmarkStart w:id="1363" w:name="Tc_pgZf9snKd0i0_4A505hM7A_5_8"/>
      <w:bookmarkStart w:id="1364" w:name="Tc_vTDLr8A4o0GKB61CS3MpJg_5_5"/>
      <w:bookmarkStart w:id="1365" w:name="Tc_dtPzQwSj0kC7V_syti66pQ_5_2"/>
      <w:bookmarkStart w:id="1366" w:name="Tc_SDogBfgn80-pqTMdUVxbgg_5_0"/>
      <w:bookmarkStart w:id="1367" w:name="Tc_NkeDcFv_-02FF6_P7Sq8Ow_4_11"/>
      <w:bookmarkStart w:id="1368" w:name="Tc_WmKMCLXdFEGCXL0C9tkO6g_4_8"/>
      <w:bookmarkStart w:id="1369" w:name="Tc_kBJIZDCzPkeaKj42Gu2jLw_4_5"/>
      <w:bookmarkStart w:id="1370" w:name="Tc_0wvb64SN3EmnlwkDaX-gaQ_4_2"/>
      <w:bookmarkStart w:id="1371" w:name="Tc_vE2qkWqD9U-UJq0GPouQtA_3_8"/>
      <w:bookmarkStart w:id="1372" w:name="Tc_W84ES9kVb0ewpl2dhpHuKg_3_5"/>
      <w:bookmarkStart w:id="1373" w:name="Tc_H1gpjglzHkyXgO8LDV8rKA_3_2"/>
      <w:bookmarkStart w:id="1374" w:name="Tc_ZRKJmK9xtkiQDXqU_EtdHQ_2_8"/>
      <w:bookmarkStart w:id="1375" w:name="Tc_cT7anqHoGU69uRK_PAJagQ_2_5"/>
      <w:bookmarkStart w:id="1376" w:name="Tc_7bibGFsBkUmlg88iwnqGzA_2_2"/>
      <w:bookmarkStart w:id="1377" w:name="Tc_oVCDIP6tbEeqTzRt1DPcNA_1_8"/>
      <w:bookmarkStart w:id="1378" w:name="Tc_i-_d8gShxUOeZ9_7-U7G-w_1_5"/>
      <w:bookmarkStart w:id="1379" w:name="Tc_RbsshAWKuE6YBB5Ymw2NCg_1_2"/>
      <w:bookmarkStart w:id="1380" w:name="_ce60d7f1_6680_451d_83ad_c274debf5c64"/>
      <w:bookmarkStart w:id="1381" w:name="Tc_hZ-udX8ayUWiWFVp8GBjGg_8_11"/>
      <w:bookmarkStart w:id="1382" w:name="Tc_QxDCtNJdvEeKUAF2tZRs8g_8_8"/>
      <w:bookmarkStart w:id="1383" w:name="Tc_zwMvEitmY0mCNUX62sByoA_8_5"/>
      <w:bookmarkStart w:id="1384" w:name="Tc_HRaCMK0OikiR-iWs4-fWBQ_8_2"/>
      <w:bookmarkStart w:id="1385" w:name="Tc_x53sgcbzh0WbzyQX1ojWbg_8_0"/>
      <w:bookmarkStart w:id="1386" w:name="Tc_oz-sjecxb06t_eMxB7-YSg_7_0"/>
      <w:bookmarkStart w:id="1387" w:name="Tc_ASRlMNKNTk-bU4C_bxbMtQ_6_0"/>
      <w:bookmarkStart w:id="1388" w:name="Tc_p1RAzEroNUmeJilQ6XGapg_5_11"/>
      <w:bookmarkStart w:id="1389" w:name="Tc_h98LH-UJnE2gX6Atueraxg_5_8"/>
      <w:bookmarkStart w:id="1390" w:name="Tc_dcDmlbJio0CwERvfDZF2iQ_5_5"/>
      <w:bookmarkStart w:id="1391" w:name="Tc_jlNRDRqbz0qSUChWhy0xFQ_5_2"/>
      <w:bookmarkStart w:id="1392" w:name="Tc_G3t_7oG99Uqh2xztEIg5dQ_5_0"/>
      <w:bookmarkStart w:id="1393" w:name="Tc_P1epjp5C6UW6MrRjTXqbfw_4_11"/>
      <w:bookmarkStart w:id="1394" w:name="Tc_tkQ1CXb8vUKIb-27Un9o-g_4_8"/>
      <w:bookmarkStart w:id="1395" w:name="Tc_aPGL-Ypl4k245B-ATOXIFA_4_5"/>
      <w:bookmarkStart w:id="1396" w:name="Tc_FPZMkIzScEuFPD7JLA2lZg_4_2"/>
      <w:bookmarkStart w:id="1397" w:name="Tc_wBEsEj2n8kS8hiWvJgSQSQ_3_8"/>
      <w:bookmarkStart w:id="1398" w:name="Tc_Yumou7X4bUKZRfaQKbyxcA_3_5"/>
      <w:bookmarkStart w:id="1399" w:name="Tc_QplVpxnxVEesMYOyAarM-Q_3_2"/>
      <w:bookmarkStart w:id="1400" w:name="Tc_Wr4CLGGoyU-oFeJRPzWyGw_2_8"/>
      <w:bookmarkStart w:id="1401" w:name="Tc_zmYwvEoSzk6EUE2Pm-MN1A_2_5"/>
      <w:bookmarkStart w:id="1402" w:name="Tc_EmSt_BNEUUylpkZYlKpctA_2_2"/>
      <w:bookmarkStart w:id="1403" w:name="Tc_9z_S2e4NCEaCbmz1R7WY8g_1_8"/>
      <w:bookmarkStart w:id="1404" w:name="Tc__aYfGrDBm0u5yK9zrhnyrQ_1_5"/>
      <w:bookmarkStart w:id="1405" w:name="Tc__QOpkF_kRka8JSVjP8Ax8A_1_2"/>
      <w:bookmarkStart w:id="1406" w:name="_54819f0d_37fa_4553_ae63_2f683f059320"/>
      <w:bookmarkStart w:id="1407" w:name="Tc_cdFHyBGK0ky6iH-NvYxdug_9_11"/>
      <w:bookmarkStart w:id="1408" w:name="Tc_dM14hzJDOEe90m-KxQG6rA_9_8"/>
      <w:bookmarkStart w:id="1409" w:name="Tc_yYO5upkqYkiTFdi2r7_78Q_9_5"/>
      <w:bookmarkStart w:id="1410" w:name="Tc_HbyufXah8UKkmVG8QBeqNg_9_2"/>
      <w:bookmarkStart w:id="1411" w:name="Tc_qRiZqvULI063lDdKN1jwVg_9_0"/>
      <w:bookmarkStart w:id="1412" w:name="Tc_eywApTmZJ0ObhQJJG3yWDA_8_0"/>
      <w:bookmarkStart w:id="1413" w:name="Tc_ANl5huquWk-9IRslFgibUA_7_0"/>
      <w:bookmarkStart w:id="1414" w:name="Tc_mksz_H4F4kCtgQn064KZGg_6_0"/>
      <w:bookmarkStart w:id="1415" w:name="Tc_em5ZOZ8Co0yzuJXhPzvwnA_5_11"/>
      <w:bookmarkStart w:id="1416" w:name="Tc_pgZf9snKd0i0_4A505hM7A_5_8"/>
      <w:bookmarkStart w:id="1417" w:name="Tc_vTDLr8A4o0GKB61CS3MpJg_5_5"/>
      <w:bookmarkStart w:id="1418" w:name="Tc_dtPzQwSj0kC7V_syti66pQ_5_2"/>
      <w:bookmarkStart w:id="1419" w:name="Tc_SDogBfgn80-pqTMdUVxbgg_5_0"/>
      <w:bookmarkStart w:id="1420" w:name="Tc_NkeDcFv_-02FF6_P7Sq8Ow_4_11"/>
      <w:bookmarkStart w:id="1421" w:name="Tc_WmKMCLXdFEGCXL0C9tkO6g_4_8"/>
      <w:bookmarkStart w:id="1422" w:name="Tc_kBJIZDCzPkeaKj42Gu2jLw_4_5"/>
      <w:bookmarkStart w:id="1423" w:name="Tc_0wvb64SN3EmnlwkDaX-gaQ_4_2"/>
      <w:bookmarkStart w:id="1424" w:name="Tc_vE2qkWqD9U-UJq0GPouQtA_3_8"/>
      <w:bookmarkStart w:id="1425" w:name="Tc_W84ES9kVb0ewpl2dhpHuKg_3_5"/>
      <w:bookmarkStart w:id="1426" w:name="Tc_H1gpjglzHkyXgO8LDV8rKA_3_2"/>
      <w:bookmarkStart w:id="1427" w:name="Tc_ZRKJmK9xtkiQDXqU_EtdHQ_2_8"/>
      <w:bookmarkStart w:id="1428" w:name="Tc_cT7anqHoGU69uRK_PAJagQ_2_5"/>
      <w:bookmarkStart w:id="1429" w:name="Tc_7bibGFsBkUmlg88iwnqGzA_2_2"/>
      <w:bookmarkStart w:id="1430" w:name="Tc_oVCDIP6tbEeqTzRt1DPcNA_1_8"/>
      <w:bookmarkStart w:id="1431" w:name="Tc_i-_d8gShxUOeZ9_7-U7G-w_1_5"/>
      <w:bookmarkStart w:id="1432" w:name="Tc_RbsshAWKuE6YBB5Ymw2NCg_1_2"/>
      <w:bookmarkStart w:id="1433" w:name="_ce60d7f1_6680_451d_83ad_c274debf5c64"/>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45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Changes in accumulated other comprehensive loss by component, after tax, </w:t>
      </w:r>
      <w:r>
        <w:rPr>
          <w:rFonts w:ascii="Times New Roman;Times;serif" w:hAnsi="Times New Roman;Times;serif"/>
          <w:color w:val="212529"/>
          <w:sz w:val="20"/>
        </w:rPr>
        <w:t xml:space="preserve">for the six-months ended June 30, 2025 and 2024 </w:t>
      </w:r>
      <w:r>
        <w:rPr>
          <w:rFonts w:ascii="Times New Roman;Times;serif" w:hAnsi="Times New Roman;Times;serif"/>
          <w:sz w:val="20"/>
        </w:rPr>
        <w:t>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23"/>
        <w:gridCol w:w="326"/>
        <w:gridCol w:w="328"/>
        <w:gridCol w:w="1054"/>
        <w:gridCol w:w="326"/>
        <w:gridCol w:w="211"/>
        <w:gridCol w:w="876"/>
        <w:gridCol w:w="326"/>
        <w:gridCol w:w="499"/>
        <w:gridCol w:w="874"/>
        <w:gridCol w:w="326"/>
        <w:gridCol w:w="211"/>
        <w:gridCol w:w="925"/>
      </w:tblGrid>
      <w:tr>
        <w:trPr/>
        <w:tc>
          <w:tcPr>
            <w:tcW w:w="3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91105" cy="175260"/>
                      <wp:effectExtent l="0" t="0" r="0" b="0"/>
                      <wp:wrapNone/>
                      <wp:docPr id="265" name="Frame265"/>
                      <a:graphic xmlns:a="http://schemas.openxmlformats.org/drawingml/2006/main">
                        <a:graphicData uri="http://schemas.microsoft.com/office/word/2010/wordprocessingShape">
                          <wps:wsp>
                            <wps:cNvSpPr txBox="1"/>
                            <wps:spPr>
                              <a:xfrm>
                                <a:off x="0" y="0"/>
                                <a:ext cx="2491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69290" cy="175260"/>
                      <wp:effectExtent l="0" t="0" r="0" b="0"/>
                      <wp:wrapNone/>
                      <wp:docPr id="266" name="Frame266"/>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56260" cy="175260"/>
                      <wp:effectExtent l="0" t="0" r="0" b="0"/>
                      <wp:wrapNone/>
                      <wp:docPr id="269" name="Frame269"/>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16865" cy="175260"/>
                      <wp:effectExtent l="0" t="0" r="0" b="0"/>
                      <wp:wrapNone/>
                      <wp:docPr id="271" name="Frame271"/>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4990" cy="175260"/>
                      <wp:effectExtent l="0" t="0" r="0" b="0"/>
                      <wp:wrapNone/>
                      <wp:docPr id="272" name="Frame27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87375" cy="175260"/>
                      <wp:effectExtent l="0" t="0" r="0" b="0"/>
                      <wp:wrapNone/>
                      <wp:docPr id="275" name="Frame275"/>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3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3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w:t>
            </w:r>
          </w:p>
        </w:tc>
        <w:tc>
          <w:tcPr>
            <w:tcW w:w="13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3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w:t>
            </w:r>
          </w:p>
        </w:tc>
        <w:tc>
          <w:tcPr>
            <w:tcW w:w="10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3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39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9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r>
      <w:tr>
        <w:trPr/>
        <w:tc>
          <w:tcPr>
            <w:tcW w:w="39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26"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181,132</w:t>
            </w:r>
          </w:p>
        </w:tc>
      </w:tr>
      <w:tr>
        <w:trPr/>
        <w:tc>
          <w:tcPr>
            <w:tcW w:w="39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39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164,730</w:t>
            </w:r>
          </w:p>
        </w:tc>
        <w:tc>
          <w:tcPr>
            <w:tcW w:w="326" w:type="dxa"/>
            <w:tcBorders/>
            <w:vAlign w:val="center"/>
          </w:tcPr>
          <w:p>
            <w:pPr>
              <w:pStyle w:val="TableContents"/>
              <w:bidi w:val="0"/>
              <w:spacing w:before="0" w:after="0"/>
              <w:ind w:left="0" w:right="0" w:hanging="0"/>
              <w:jc w:val="righ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178,179</w:t>
            </w:r>
          </w:p>
        </w:tc>
      </w:tr>
      <w:tr>
        <w:trPr/>
        <w:tc>
          <w:tcPr>
            <w:tcW w:w="39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(105,200)</w:t>
            </w:r>
          </w:p>
        </w:tc>
        <w:tc>
          <w:tcPr>
            <w:tcW w:w="326" w:type="dxa"/>
            <w:tcBorders/>
            <w:shd w:fill="CCEEFF" w:val="clear"/>
            <w:vAlign w:val="center"/>
          </w:tcPr>
          <w:p>
            <w:pPr>
              <w:pStyle w:val="TableContents"/>
              <w:bidi w:val="0"/>
              <w:spacing w:before="0" w:after="0"/>
              <w:ind w:left="0" w:right="0" w:hanging="0"/>
              <w:jc w:val="right"/>
              <w:rPr/>
            </w:pPr>
            <w:r>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(91,308)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0"/>
        <w:gridCol w:w="326"/>
        <w:gridCol w:w="380"/>
        <w:gridCol w:w="1029"/>
        <w:gridCol w:w="326"/>
        <w:gridCol w:w="211"/>
        <w:gridCol w:w="881"/>
        <w:gridCol w:w="326"/>
        <w:gridCol w:w="457"/>
        <w:gridCol w:w="942"/>
        <w:gridCol w:w="326"/>
        <w:gridCol w:w="211"/>
        <w:gridCol w:w="930"/>
      </w:tblGrid>
      <w:tr>
        <w:trPr/>
        <w:tc>
          <w:tcPr>
            <w:tcW w:w="3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51100" cy="175260"/>
                      <wp:effectExtent l="0" t="0" r="0" b="0"/>
                      <wp:wrapNone/>
                      <wp:docPr id="276" name="Frame276"/>
                      <a:graphic xmlns:a="http://schemas.openxmlformats.org/drawingml/2006/main">
                        <a:graphicData uri="http://schemas.microsoft.com/office/word/2010/wordprocessingShape">
                          <wps:wsp>
                            <wps:cNvSpPr txBox="1"/>
                            <wps:spPr>
                              <a:xfrm>
                                <a:off x="0" y="0"/>
                                <a:ext cx="2451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1300" cy="175260"/>
                      <wp:effectExtent l="0" t="0" r="0" b="0"/>
                      <wp:wrapNone/>
                      <wp:docPr id="278" name="Frame27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53415" cy="175260"/>
                      <wp:effectExtent l="0" t="0" r="0" b="0"/>
                      <wp:wrapNone/>
                      <wp:docPr id="279" name="Frame279"/>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59435" cy="175260"/>
                      <wp:effectExtent l="0" t="0" r="0" b="0"/>
                      <wp:wrapNone/>
                      <wp:docPr id="282" name="Frame282"/>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90195" cy="175260"/>
                      <wp:effectExtent l="0" t="0" r="0" b="0"/>
                      <wp:wrapNone/>
                      <wp:docPr id="284" name="Frame28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98170" cy="175260"/>
                      <wp:effectExtent l="0" t="0" r="0" b="0"/>
                      <wp:wrapNone/>
                      <wp:docPr id="285" name="Frame285"/>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90550" cy="175260"/>
                      <wp:effectExtent l="0" t="0" r="0" b="0"/>
                      <wp:wrapNone/>
                      <wp:docPr id="288" name="Frame28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Gains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 on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Available-for-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(128,989)</w:t>
            </w:r>
          </w:p>
        </w:tc>
        <w:tc>
          <w:tcPr>
            <w:tcW w:w="326" w:type="dxa"/>
            <w:tcBorders/>
            <w:shd w:fill="CCEEFF" w:val="cle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(125,337)</w:t>
            </w:r>
          </w:p>
        </w:tc>
      </w:tr>
      <w:tr>
        <w:trPr/>
        <w:tc>
          <w:tcPr>
            <w:tcW w:w="38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(61,799)</w:t>
            </w:r>
          </w:p>
        </w:tc>
        <w:tc>
          <w:tcPr>
            <w:tcW w:w="326" w:type="dxa"/>
            <w:tcBorders/>
            <w:vAlign w:val="center"/>
          </w:tcPr>
          <w:p>
            <w:pPr>
              <w:pStyle w:val="TableContents"/>
              <w:bidi w:val="0"/>
              <w:spacing w:before="0" w:after="0"/>
              <w:ind w:left="0" w:right="0" w:hanging="0"/>
              <w:jc w:val="righ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r>
      <w:tr>
        <w:trPr/>
        <w:tc>
          <w:tcPr>
            <w:tcW w:w="38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(61,799)</w:t>
            </w:r>
          </w:p>
        </w:tc>
        <w:tc>
          <w:tcPr>
            <w:tcW w:w="326" w:type="dxa"/>
            <w:tcBorders/>
            <w:shd w:fill="CCEEFF" w:val="clear"/>
            <w:vAlign w:val="center"/>
          </w:tcPr>
          <w:p>
            <w:pPr>
              <w:pStyle w:val="TableContents"/>
              <w:bidi w:val="0"/>
              <w:spacing w:before="0" w:after="0"/>
              <w:ind w:left="0" w:right="0" w:hanging="0"/>
              <w:jc w:val="righ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(56,967)</w:t>
            </w:r>
          </w:p>
        </w:tc>
      </w:tr>
      <w:tr>
        <w:trPr/>
        <w:tc>
          <w:tcPr>
            <w:tcW w:w="38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(190,788)</w:t>
            </w:r>
          </w:p>
        </w:tc>
        <w:tc>
          <w:tcPr>
            <w:tcW w:w="326" w:type="dxa"/>
            <w:tcBorders/>
            <w:vAlign w:val="center"/>
          </w:tcPr>
          <w:p>
            <w:pPr>
              <w:pStyle w:val="TableContents"/>
              <w:bidi w:val="0"/>
              <w:spacing w:before="0" w:after="0"/>
              <w:ind w:left="0" w:right="0" w:hanging="0"/>
              <w:jc w:val="right"/>
              <w:rPr/>
            </w:pPr>
            <w:r>
              <w:rPr/>
              <w:t>​</w:t>
            </w:r>
          </w:p>
        </w:tc>
        <w:tc>
          <w:tcPr>
            <w:tcW w:w="4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(182,304)</w:t>
            </w:r>
          </w:p>
        </w:tc>
      </w:tr>
    </w:tbl>
    <w:p>
      <w:pPr>
        <w:pStyle w:val="TextBody"/>
        <w:pBdr/>
        <w:bidi w:val="0"/>
        <w:spacing w:before="0" w:after="0"/>
        <w:ind w:left="0" w:right="0" w:hanging="72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18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June 30, 2025, no shares were repurchased under the August 2024 Repurchase Plan. As of August 6,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August 6,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2025, no shares of common stock were purchased from employees in lieu of cash payments for options exercised or withholding taxes due.</w:t>
      </w:r>
    </w:p>
    <w:p>
      <w:pPr>
        <w:pStyle w:val="TextBody"/>
        <w:bidi w:val="0"/>
        <w:spacing w:before="0" w:after="0"/>
        <w:ind w:left="0" w:right="0" w:firstLine="720"/>
        <w:jc w:val="both"/>
        <w:rPr/>
      </w:pPr>
      <w:r>
        <w:rPr/>
        <w:t>​</w:t>
      </w:r>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3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June 30, 2025: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434" w:name="Tc_rBl43Y6qy0eeWbXP3mf-uw_6_9"/>
      <w:bookmarkStart w:id="1435" w:name="Tc_BYxsNUmTMEKk6GDuOKy0-g_6_7"/>
      <w:bookmarkStart w:id="1436" w:name="Tc_4LpULcC-nkuXYzCOnclrjA_6_5"/>
      <w:bookmarkStart w:id="1437" w:name="Tc_gIfUaVU140WcSdirhgLaJg_6_3"/>
      <w:bookmarkStart w:id="1438" w:name="Tc_Fy10cEyrmEWDrPM8yq3skA_6_0"/>
      <w:bookmarkStart w:id="1439" w:name="Tc_8FGXFnwRIUmpN439aDH4jQ_5_9"/>
      <w:bookmarkStart w:id="1440" w:name="Tc_nSxbzccSJ0-NOYBpj88uEg_5_7"/>
      <w:bookmarkStart w:id="1441" w:name="Tc_YGUM9LPrdEmPWUyKBgIi2A_5_5"/>
      <w:bookmarkStart w:id="1442" w:name="Tc_IlbL9LCj1EKu7iRZxpHq9w_5_3"/>
      <w:bookmarkStart w:id="1443" w:name="Tc_NoWg0fbm-0C42MobNLqNog_5_0"/>
      <w:bookmarkStart w:id="1444" w:name="Tc_1Rus_XU8j0qIMJ5rFkKeRw_4_9"/>
      <w:bookmarkStart w:id="1445" w:name="Tc_U-PdNSAWZkOPFFL-yPCMHA_4_7"/>
      <w:bookmarkStart w:id="1446" w:name="Tc_m5FJdzRC306HdJhLNMsYLg_4_5"/>
      <w:bookmarkStart w:id="1447" w:name="Tc_uC7WQtQBlE6O3D76s4eNcQ_4_3"/>
      <w:bookmarkStart w:id="1448" w:name="Tc_-_FqGoqihkOWFucgSxKHeg_4_0"/>
      <w:bookmarkStart w:id="1449" w:name="Tc_RQ66lglsGUGr7N1enxLbuw_3_9"/>
      <w:bookmarkStart w:id="1450" w:name="Tc_4CYtPIlQTk2ny5BfkAIBZA_3_7"/>
      <w:bookmarkStart w:id="1451" w:name="Tc_HM3RdAL1UEqAkjas1xcKKg_3_5"/>
      <w:bookmarkStart w:id="1452" w:name="Tc_J8t13hWa9EmPH2_T6C9DSQ_3_3"/>
      <w:bookmarkStart w:id="1453" w:name="Tc_ryPuQ7fl5EyHpAV1WhirSg_3_0"/>
      <w:bookmarkStart w:id="1454" w:name="Tc_XMkHU1bnLEGRo52J4LPIPw_2_8"/>
      <w:bookmarkStart w:id="1455" w:name="Tc_SvYw9a80006rWeUxqz8hWQ_2_6"/>
      <w:bookmarkStart w:id="1456" w:name="Tc_GFkfNlOMjUKB-2-PtYGOlg_2_4"/>
      <w:bookmarkStart w:id="1457" w:name="Tc_v3GNJtAK_0SEwsgtjYsODA_2_2"/>
      <w:bookmarkStart w:id="1458" w:name="Tc_40gR8AuMvUKqoSzc1BfsOA_1_6"/>
      <w:bookmarkStart w:id="1459" w:name="Tc_FhIFk_s0_EOsa8fl37ICBg_1_2"/>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Pr>
          <w:rFonts w:ascii="Times New Roman;Times;serif" w:hAnsi="Times New Roman;Times;serif"/>
          <w:sz w:val="20"/>
        </w:rPr>
        <w:t>The Company recorded $33.2 million and $18.8 million of compensation expense relating to outstanding options, restricted stock units, performance share units and other share-based awards during the three-months ended June 30, 2025 and 2024, respectively. The Company recorded $53.9 million and $41.3 million of compensation expense relating to outstanding options, restricted stock units, performance share units and other share-based awards during the six-months ended June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June 30, 2025 and 2024 was $6.4 million and $1.5 million, respectively. The tax benefit for tax deductions from non-qualified stock option exercises, disqualifying dispositions of incentive stock options and vesting of restricted stock units and performance share units for the six-months ended June 30, 2025 and 2024 was $13.6 million and $9.0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June 30, 2025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hanging="0"/>
        <w:jc w:val="left"/>
        <w:rPr/>
      </w:pPr>
      <w:r>
        <w:rPr/>
        <w:t>​</w:t>
      </w:r>
    </w:p>
    <w:tbl>
      <w:tblPr>
        <w:tblW w:w="8264" w:type="dxa"/>
        <w:jc w:val="left"/>
        <w:tblInd w:w="0" w:type="dxa"/>
        <w:tblLayout w:type="fixed"/>
        <w:tblCellMar>
          <w:top w:w="0" w:type="dxa"/>
          <w:left w:w="0" w:type="dxa"/>
          <w:bottom w:w="0" w:type="dxa"/>
          <w:right w:w="0" w:type="dxa"/>
        </w:tblCellMar>
      </w:tblPr>
      <w:tblGrid>
        <w:gridCol w:w="1846"/>
        <w:gridCol w:w="326"/>
        <w:gridCol w:w="865"/>
        <w:gridCol w:w="865"/>
        <w:gridCol w:w="865"/>
        <w:gridCol w:w="526"/>
        <w:gridCol w:w="800"/>
        <w:gridCol w:w="800"/>
        <w:gridCol w:w="800"/>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172210" cy="175260"/>
                      <wp:effectExtent l="0" t="0" r="0" b="0"/>
                      <wp:wrapNone/>
                      <wp:docPr id="289" name="Frame28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49275" cy="175260"/>
                      <wp:effectExtent l="0" t="0" r="0" b="0"/>
                      <wp:wrapNone/>
                      <wp:docPr id="291" name="Frame291"/>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49275" cy="175260"/>
                      <wp:effectExtent l="0" t="0" r="0" b="0"/>
                      <wp:wrapNone/>
                      <wp:docPr id="292" name="Frame29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49275" cy="175260"/>
                      <wp:effectExtent l="0" t="0" r="0" b="0"/>
                      <wp:wrapNone/>
                      <wp:docPr id="293" name="Frame29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34010" cy="175260"/>
                      <wp:effectExtent l="0" t="0" r="0" b="0"/>
                      <wp:wrapNone/>
                      <wp:docPr id="294" name="Frame29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08000" cy="175260"/>
                      <wp:effectExtent l="0" t="0" r="0" b="0"/>
                      <wp:wrapNone/>
                      <wp:docPr id="295" name="Frame29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08000" cy="175260"/>
                      <wp:effectExtent l="0" t="0" r="0" b="0"/>
                      <wp:wrapNone/>
                      <wp:docPr id="296" name="Frame296"/>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08000" cy="175260"/>
                      <wp:effectExtent l="0" t="0" r="0" b="0"/>
                      <wp:wrapNone/>
                      <wp:docPr id="297" name="Frame29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2585" cy="175260"/>
                      <wp:effectExtent l="0" t="0" r="0" b="0"/>
                      <wp:wrapNone/>
                      <wp:docPr id="298" name="Frame2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June 30, </w:t>
            </w:r>
          </w:p>
        </w:tc>
        <w:tc>
          <w:tcPr>
            <w:tcW w:w="526" w:type="dxa"/>
            <w:tcBorders/>
            <w:vAlign w:val="center"/>
          </w:tcPr>
          <w:p>
            <w:pPr>
              <w:pStyle w:val="TableContents"/>
              <w:bidi w:val="0"/>
              <w:spacing w:before="0" w:after="0"/>
              <w:ind w:left="0" w:right="0" w:hanging="0"/>
              <w:jc w:val="left"/>
              <w:rPr/>
            </w:pPr>
            <w:r>
              <w:rPr/>
              <w:t>​</w:t>
            </w:r>
          </w:p>
        </w:tc>
        <w:tc>
          <w:tcPr>
            <w:tcW w:w="24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 June 30, </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65" w:type="dxa"/>
            <w:tcBorders/>
            <w:vAlign w:val="center"/>
          </w:tcPr>
          <w:p>
            <w:pPr>
              <w:pStyle w:val="TableContents"/>
              <w:bidi w:val="0"/>
              <w:spacing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526"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00"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460" w:name="Tc_Bvwu8JJgrk-vBC1hT2JfWQ_14_9"/>
      <w:bookmarkStart w:id="1461" w:name="Tc_SNC0glW4QkyZZqQie8SSBg_14_4"/>
      <w:bookmarkStart w:id="1462" w:name="Tc_X89ijCH9CUSMaV-1vRMFEQ_14_0"/>
      <w:bookmarkStart w:id="1463" w:name="Tc_O5y7EL7L40aReugUDoqLvA_13_9"/>
      <w:bookmarkStart w:id="1464" w:name="Tc_woh1GWZ-ykezipBSABQ0fw_13_4"/>
      <w:bookmarkStart w:id="1465" w:name="Tc_yJ9yRBantUK6op-OkvS0Ow_13_0"/>
      <w:bookmarkStart w:id="1466" w:name="Tc_dA37L6hC10We6P4zVEtO0Q_12_9"/>
      <w:bookmarkStart w:id="1467" w:name="Tc_rT5A0n4SnEiEYClPxI1Jcg_12_4"/>
      <w:bookmarkStart w:id="1468" w:name="Tc_fiFNTI6040K_JtvTvRNdsQ_12_0"/>
      <w:bookmarkStart w:id="1469" w:name="Tc_kaoZWCyE50uf0FoAXylNXg_11_4"/>
      <w:bookmarkStart w:id="1470" w:name="Tc_aOTyIkzR8E-EsMpiPNnf9w_11_0"/>
      <w:bookmarkStart w:id="1471" w:name="Tc_eGMJyjaVME6d66dPy0B6Cg_10_4"/>
      <w:bookmarkStart w:id="1472" w:name="Tc_VxAhE75ks0CP8twbuKWZ2g_10_0"/>
      <w:bookmarkStart w:id="1473" w:name="Tc_3N6KPe5ei0alhEnCzbVSwQ_9_4"/>
      <w:bookmarkStart w:id="1474" w:name="Tc_wUAi10GNm0mbx_QeWrsd6w_9_0"/>
      <w:bookmarkStart w:id="1475" w:name="Tc_Ze6vXuF7iUWnYDmf-zQ2XQ_8_4"/>
      <w:bookmarkStart w:id="1476" w:name="Tc_MgLZYC7_1U-l1JKWKNCPwg_8_0"/>
      <w:bookmarkStart w:id="1477" w:name="Tc_bU5tSIaGb0eKqlfflhr8uQ_7_9"/>
      <w:bookmarkStart w:id="1478" w:name="Tc_Q37R0MtIhk2x3kId_8wZOA_7_4"/>
      <w:bookmarkStart w:id="1479" w:name="Tc_zKAvJtQCykujHl-saGyPqw_7_0"/>
      <w:bookmarkStart w:id="1480" w:name="Tc_0qt6nhEQLE6ErxeZ9bFs8w_6_9"/>
      <w:bookmarkStart w:id="1481" w:name="Tc_gXOZtYp6dkOh9u5Zn_7glw_6_7"/>
      <w:bookmarkStart w:id="1482" w:name="Tc_k0du7LdNv0--icQkOODqwg_6_4"/>
      <w:bookmarkStart w:id="1483" w:name="Tc_lT_j7ItO-0q4nzvw5E6tag_6_2"/>
      <w:bookmarkStart w:id="1484" w:name="Tc_Ee10L_oGm0-d-XphgbyJdw_6_0"/>
      <w:bookmarkStart w:id="1485" w:name="Tc_gVNAnhueXkioNXPR98SkmA_5_9"/>
      <w:bookmarkStart w:id="1486" w:name="Tc_WI9xQuNTIkGd9Qr7nzoJJg_5_7"/>
      <w:bookmarkStart w:id="1487" w:name="Tc_4he8DDSX4UKL61c-0bP2yQ_5_4"/>
      <w:bookmarkStart w:id="1488" w:name="Tc_uTuGyqipqkyDLytFQlOuEw_5_2"/>
      <w:bookmarkStart w:id="1489" w:name="Tc_6ygtLWckB0SYn8-FYxHAlQ_4_7"/>
      <w:bookmarkStart w:id="1490" w:name="Tc_q4S5dhAF9keRF8sVvfku2g_4_4"/>
      <w:bookmarkStart w:id="1491" w:name="Tc_1BiCUCh0S0GaxgVMqQSPkQ_4_2"/>
      <w:bookmarkStart w:id="1492" w:name="Tc_K05iulIbjkujRC4XiJliCg_3_7"/>
      <w:bookmarkStart w:id="1493" w:name="Tc_Wgb7tNY9H0S2dXn7s39dDQ_3_4"/>
      <w:bookmarkStart w:id="1494" w:name="Tc_o4DRBpvrJUqoM3cCGqd5iQ_2_7"/>
      <w:bookmarkStart w:id="1495" w:name="Tc_9r92IswXvkGsYmBMdftj4w_1_7"/>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44"/>
        <w:gridCol w:w="326"/>
        <w:gridCol w:w="1202"/>
        <w:gridCol w:w="326"/>
        <w:gridCol w:w="319"/>
        <w:gridCol w:w="864"/>
        <w:gridCol w:w="326"/>
        <w:gridCol w:w="1066"/>
        <w:gridCol w:w="326"/>
        <w:gridCol w:w="250"/>
        <w:gridCol w:w="1056"/>
      </w:tblGrid>
      <w:tr>
        <w:trPr/>
        <w:tc>
          <w:tcPr>
            <w:tcW w:w="4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631440" cy="175260"/>
                      <wp:effectExtent l="0" t="0" r="0" b="0"/>
                      <wp:wrapNone/>
                      <wp:docPr id="299" name="Frame299"/>
                      <a:graphic xmlns:a="http://schemas.openxmlformats.org/drawingml/2006/main">
                        <a:graphicData uri="http://schemas.microsoft.com/office/word/2010/wordprocessingShape">
                          <wps:wsp>
                            <wps:cNvSpPr txBox="1"/>
                            <wps:spPr>
                              <a:xfrm>
                                <a:off x="0" y="0"/>
                                <a:ext cx="263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63270" cy="175260"/>
                      <wp:effectExtent l="0" t="0" r="0" b="0"/>
                      <wp:wrapNone/>
                      <wp:docPr id="301" name="Frame301"/>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2565" cy="175260"/>
                      <wp:effectExtent l="0" t="0" r="0" b="0"/>
                      <wp:wrapNone/>
                      <wp:docPr id="303" name="Frame30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48640" cy="175260"/>
                      <wp:effectExtent l="0" t="0" r="0" b="0"/>
                      <wp:wrapNone/>
                      <wp:docPr id="304" name="Frame304"/>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76910" cy="175260"/>
                      <wp:effectExtent l="0" t="0" r="0" b="0"/>
                      <wp:wrapNone/>
                      <wp:docPr id="306" name="Frame30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58750" cy="175260"/>
                      <wp:effectExtent l="0" t="0" r="0" b="0"/>
                      <wp:wrapNone/>
                      <wp:docPr id="308" name="Frame30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70560" cy="175260"/>
                      <wp:effectExtent l="0" t="0" r="0" b="0"/>
                      <wp:wrapNone/>
                      <wp:docPr id="309" name="Frame309"/>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1056" w:type="dxa"/>
            <w:tcBorders/>
            <w:vAlign w:val="center"/>
          </w:tcPr>
          <w:p>
            <w:pPr>
              <w:pStyle w:val="TableContents"/>
              <w:bidi w:val="0"/>
              <w:spacing w:before="0" w:after="0"/>
              <w:ind w:left="0" w:right="0" w:hanging="0"/>
              <w:jc w:val="center"/>
              <w:rPr/>
            </w:pPr>
            <w:r>
              <w:rPr/>
              <w:t>​</w:t>
            </w:r>
          </w:p>
        </w:tc>
      </w:tr>
      <w:tr>
        <w:trPr/>
        <w:tc>
          <w:tcPr>
            <w:tcW w:w="41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1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years)</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400,207</w:t>
            </w:r>
          </w:p>
        </w:tc>
      </w:tr>
      <w:tr>
        <w:trPr/>
        <w:tc>
          <w:tcPr>
            <w:tcW w:w="4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p>
        </w:tc>
        <w:tc>
          <w:tcPr>
            <w:tcW w:w="326"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r>
      <w:tr>
        <w:trPr/>
        <w:tc>
          <w:tcPr>
            <w:tcW w:w="4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26"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left"/>
              <w:rPr/>
            </w:pPr>
            <w:r>
              <w:rPr/>
              <w:t>​</w:t>
            </w:r>
          </w:p>
        </w:tc>
      </w:tr>
      <w:tr>
        <w:trPr/>
        <w:tc>
          <w:tcPr>
            <w:tcW w:w="4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r>
      <w:tr>
        <w:trPr/>
        <w:tc>
          <w:tcPr>
            <w:tcW w:w="4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left"/>
              <w:rPr/>
            </w:pPr>
            <w:r>
              <w:rPr/>
              <w:t>​</w:t>
            </w:r>
          </w:p>
        </w:tc>
      </w:tr>
      <w:tr>
        <w:trPr/>
        <w:tc>
          <w:tcPr>
            <w:tcW w:w="4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26"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584,124</w:t>
            </w:r>
          </w:p>
        </w:tc>
      </w:tr>
      <w:tr>
        <w:trPr/>
        <w:tc>
          <w:tcPr>
            <w:tcW w:w="4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540,196</w:t>
            </w:r>
          </w:p>
        </w:tc>
      </w:tr>
      <w:tr>
        <w:trPr/>
        <w:tc>
          <w:tcPr>
            <w:tcW w:w="4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2025</w:t>
            </w:r>
          </w:p>
        </w:tc>
        <w:tc>
          <w:tcPr>
            <w:tcW w:w="326"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420,082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June 30, 2025 and 2024 was $21.20 per share and $19.52 per share, respectively. The weighted-average grant-date fair value of options granted during the six-months ended June 30, 2025 and 2024 was $19.85 per share and $22.64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June 30, 2025 and 2024 was $38.0 million and $10.2 million, respectively. The total intrinsic value of options exercised during the six-months ended June 30, 2025 and 2024 was $86.1 million and $57.8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June 30, 2025 and 2024 was $39.6 million and $13.7 million, respectively. Cash received from option exercises under all plans for the six-months ended June 30, 2025 and 2024 was $87.7 million and $52.1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2025, there was $144.6 million of total unrecognized compensation expense related to non-vested options granted to employees under the Company’s stock-based compensation plans. That cost is expected to be recognized over a weighted-average period of 2.8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496" w:name="Tc_UtoNrXzeFkWC0h2Gc0pgzA_8_4"/>
      <w:bookmarkStart w:id="1497" w:name="Tc_dSm45gq3YESoEENRqXPFhg_8_0"/>
      <w:bookmarkStart w:id="1498" w:name="Tc_wAtRoFdaQkK_n1BSDBQwlg_7_4"/>
      <w:bookmarkStart w:id="1499" w:name="Tc_H0nasLF4bkm0LTHNT3HhNg_7_0"/>
      <w:bookmarkStart w:id="1500" w:name="Tc_V7yNeMm5RkaUazn8OZCwNA_6_4"/>
      <w:bookmarkStart w:id="1501" w:name="Tc_P5ro2zq8cUeUQXu8vFqnpA_6_0"/>
      <w:bookmarkStart w:id="1502" w:name="Tc_1zmWPx_kA0aKKPXs1q2LaQ_5_4"/>
      <w:bookmarkStart w:id="1503" w:name="Tc_nnyOyD8XCE6DIQps1txbIA_5_0"/>
      <w:bookmarkStart w:id="1504" w:name="Tc_I72AaY4ZB0erni0wJBhmBg_4_4"/>
      <w:bookmarkStart w:id="1505" w:name="Tc_xy-_ltC5E0Sxmdxw9U6d8Q_4_0"/>
      <w:bookmarkStart w:id="1506" w:name="Tc_l-566SAsXkyxAYSKK4y-Dg_3_4"/>
      <w:bookmarkStart w:id="1507" w:name="Tc_fgQkc0fNyECqeMNsFR6bFw_3_0"/>
      <w:bookmarkStart w:id="1508" w:name="Tc__guD7OBhlEmjCZDyTFRLPw_2_4"/>
      <w:bookmarkStart w:id="1509" w:name="Tc_gflkczyRg0ewTuw9TtqpjA_2_2"/>
      <w:bookmarkStart w:id="1510" w:name="Tc_bCfbEW6LPUW0Kc4CAGLThA_1_4"/>
      <w:bookmarkStart w:id="1511" w:name="Tc_S30nK78yuUO0f5YXgSZbOQ_1_2"/>
      <w:bookmarkStart w:id="1512" w:name="_ca0314b6_f814_41ad_8c96_66c4002846ac"/>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6684" w:type="dxa"/>
        <w:jc w:val="left"/>
        <w:tblInd w:w="0" w:type="dxa"/>
        <w:tblLayout w:type="fixed"/>
        <w:tblCellMar>
          <w:top w:w="0" w:type="dxa"/>
          <w:left w:w="0" w:type="dxa"/>
          <w:bottom w:w="0" w:type="dxa"/>
          <w:right w:w="0" w:type="dxa"/>
        </w:tblCellMar>
      </w:tblPr>
      <w:tblGrid>
        <w:gridCol w:w="2581"/>
        <w:gridCol w:w="326"/>
        <w:gridCol w:w="1531"/>
        <w:gridCol w:w="326"/>
        <w:gridCol w:w="455"/>
        <w:gridCol w:w="1465"/>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38935" cy="175260"/>
                      <wp:effectExtent l="0" t="0" r="0" b="0"/>
                      <wp:wrapNone/>
                      <wp:docPr id="310" name="Frame31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72185" cy="175260"/>
                      <wp:effectExtent l="0" t="0" r="0" b="0"/>
                      <wp:wrapNone/>
                      <wp:docPr id="312" name="Frame31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88925" cy="175260"/>
                      <wp:effectExtent l="0" t="0" r="0" b="0"/>
                      <wp:wrapNone/>
                      <wp:docPr id="314" name="Frame31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30275" cy="175260"/>
                      <wp:effectExtent l="0" t="0" r="0" b="0"/>
                      <wp:wrapNone/>
                      <wp:docPr id="315" name="Frame315"/>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tc>
        <w:tc>
          <w:tcPr>
            <w:tcW w:w="326" w:type="dxa"/>
            <w:tcBorders/>
            <w:vAlign w:val="center"/>
          </w:tcPr>
          <w:p>
            <w:pPr>
              <w:pStyle w:val="TableContents"/>
              <w:bidi w:val="0"/>
              <w:spacing w:before="0" w:after="0"/>
              <w:ind w:left="0" w:right="0" w:hanging="0"/>
              <w:jc w:val="left"/>
              <w:rPr/>
            </w:pPr>
            <w:r>
              <w:rPr/>
              <w:t>​</w:t>
            </w:r>
          </w:p>
        </w:tc>
        <w:tc>
          <w:tcPr>
            <w:tcW w:w="19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 Fair Value</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r>
      <w:tr>
        <w:trPr/>
        <w:tc>
          <w:tcPr>
            <w:tcW w:w="25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04/01/25 - 06/30/25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53.08</w:t>
            </w:r>
          </w:p>
        </w:tc>
      </w:tr>
    </w:tbl>
    <w:p>
      <w:pPr>
        <w:pStyle w:val="TextBody"/>
        <w:bidi w:val="0"/>
        <w:spacing w:before="0" w:after="0"/>
        <w:ind w:left="0" w:right="0" w:hanging="0"/>
        <w:jc w:val="left"/>
        <w:rPr/>
      </w:pPr>
      <w:r>
        <w:rPr/>
        <w:t>​</w:t>
      </w:r>
    </w:p>
    <w:p>
      <w:pPr>
        <w:pStyle w:val="TextBody"/>
        <w:bidi w:val="0"/>
        <w:spacing w:lineRule="auto" w:line="240" w:before="0" w:after="240"/>
        <w:ind w:left="1080" w:right="108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June 30, 2025 and 2024 was $62.68 and $49.12 per share, respectively. The weighted-average grant-date fair value of restricted stock units and/or performance share units granted during the six-months ended June 30, 2025 and 2024 was $55.32 and $59.58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2.0 million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June 30, 2025, total unrecognized compensation expense relating to non-vested restricted stock units and performance share units was $67.8 million, which is expected to be recognized over a weighted-average period of 2.0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June 30, 2025, other share-based awards outstanding included grants that vest over three years payable in the first quarters of 2026, 2027 and 2028.</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June 30, 2025, there was $1.0 million of unrecognized compensation expense related to non-vested other share-based awards granted to employees under the Company’s stock-based compensation plans. That cost is expected to be recognized over a weighted-average period of 1.8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13" w:name="Tc_zVPkNIVALEKDTmnGTrpPig_7_2"/>
      <w:bookmarkStart w:id="1514" w:name="Tc_fJLaJ6T4N06Ag9t44-tbbA_7_0"/>
      <w:bookmarkStart w:id="1515" w:name="Tc_iGszKmsG_0KynG9Nmkh7Pg_6_0"/>
      <w:bookmarkStart w:id="1516" w:name="Tc_4haUZFUPD0iIssfDj8ckhg_5_0"/>
      <w:bookmarkStart w:id="1517" w:name="Tc_WHcLAQZqEEGUJgOUCCAHqA_4_0"/>
      <w:bookmarkStart w:id="1518" w:name="Tc_wGya8qYZAk6dgr7TTQ8l4g_3_2"/>
      <w:bookmarkStart w:id="1519" w:name="Tc_yRCMv7rQdkSOLKPRF6yHsw_3_0"/>
      <w:bookmarkStart w:id="1520" w:name="Tc_G3DxKMsxvEqYp_PBrtJDWQ_2_2"/>
      <w:bookmarkStart w:id="1521" w:name="Tc_mqAcWcUMGUqm4aqO6TnETg_1_2"/>
      <w:bookmarkStart w:id="1522" w:name="Tc_zVPkNIVALEKDTmnGTrpPig_7_2"/>
      <w:bookmarkStart w:id="1523" w:name="Tc_fJLaJ6T4N06Ag9t44-tbbA_7_0"/>
      <w:bookmarkStart w:id="1524" w:name="Tc_iGszKmsG_0KynG9Nmkh7Pg_6_0"/>
      <w:bookmarkStart w:id="1525" w:name="Tc_4haUZFUPD0iIssfDj8ckhg_5_0"/>
      <w:bookmarkStart w:id="1526" w:name="Tc_WHcLAQZqEEGUJgOUCCAHqA_4_0"/>
      <w:bookmarkStart w:id="1527" w:name="Tc_wGya8qYZAk6dgr7TTQ8l4g_3_2"/>
      <w:bookmarkStart w:id="1528" w:name="Tc_yRCMv7rQdkSOLKPRF6yHsw_3_0"/>
      <w:bookmarkStart w:id="1529" w:name="Tc_G3DxKMsxvEqYp_PBrtJDWQ_2_2"/>
      <w:bookmarkStart w:id="1530" w:name="Tc_mqAcWcUMGUqm4aqO6TnETg_1_2"/>
      <w:bookmarkEnd w:id="1522"/>
      <w:bookmarkEnd w:id="1523"/>
      <w:bookmarkEnd w:id="1524"/>
      <w:bookmarkEnd w:id="1525"/>
      <w:bookmarkEnd w:id="1526"/>
      <w:bookmarkEnd w:id="1527"/>
      <w:bookmarkEnd w:id="1528"/>
      <w:bookmarkEnd w:id="1529"/>
      <w:bookmarkEnd w:id="1530"/>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1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six-months ended June 30, 2025:</w:t>
      </w:r>
    </w:p>
    <w:p>
      <w:pPr>
        <w:pStyle w:val="TextBody"/>
        <w:bidi w:val="0"/>
        <w:spacing w:before="0" w:after="0"/>
        <w:ind w:left="0" w:right="0" w:hanging="0"/>
        <w:jc w:val="left"/>
        <w:rPr/>
      </w:pPr>
      <w:r>
        <w:rPr/>
        <w:t>​</w:t>
      </w:r>
    </w:p>
    <w:tbl>
      <w:tblPr>
        <w:tblW w:w="6568" w:type="dxa"/>
        <w:jc w:val="left"/>
        <w:tblInd w:w="0" w:type="dxa"/>
        <w:tblLayout w:type="fixed"/>
        <w:tblCellMar>
          <w:top w:w="0" w:type="dxa"/>
          <w:left w:w="0" w:type="dxa"/>
          <w:bottom w:w="0" w:type="dxa"/>
          <w:right w:w="0" w:type="dxa"/>
        </w:tblCellMar>
      </w:tblPr>
      <w:tblGrid>
        <w:gridCol w:w="4411"/>
        <w:gridCol w:w="326"/>
        <w:gridCol w:w="435"/>
        <w:gridCol w:w="139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800985" cy="175260"/>
                      <wp:effectExtent l="0" t="0" r="0" b="0"/>
                      <wp:wrapNone/>
                      <wp:docPr id="316" name="Frame316"/>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76225" cy="175260"/>
                      <wp:effectExtent l="0" t="0" r="0" b="0"/>
                      <wp:wrapNone/>
                      <wp:docPr id="318" name="Frame318"/>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86460" cy="175260"/>
                      <wp:effectExtent l="0" t="0" r="0" b="0"/>
                      <wp:wrapNone/>
                      <wp:docPr id="319" name="Frame31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3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4,066</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June 30, 2025, the Company had approximately $0.9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2021 through 2024 U.S. federal income tax returns are subject to examination by the IRS. The Company’s state income tax returns are subject to examination for the 2019 through 2024 tax years. The United Kingdom and Ireland income tax returns are subject to examination for the 2020 through 2024 tax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31" w:name="Tc_iGZP-8K3kUqdH8LQ6rwP3Q_7_0"/>
      <w:bookmarkStart w:id="1532" w:name="Tc_bpaqxRF9f0W8GFmu2jns2A_6_0"/>
      <w:bookmarkStart w:id="1533" w:name="Tc_sLZJxWqd3k6Abe--m29Cbw_5_0"/>
      <w:bookmarkStart w:id="1534" w:name="Tc_ktVvCzUonUmrXrYPioMmWg_4_0"/>
      <w:bookmarkStart w:id="1535" w:name="Tc_bHfdRKMiPESlDl41jWawlA_3_8"/>
      <w:bookmarkStart w:id="1536" w:name="Tc_DBkYa5hT50i8rOZ7_KU1sg_3_6"/>
      <w:bookmarkStart w:id="1537" w:name="Tc_HuwjmXtbn0qKvW6jgw2fGg_3_4"/>
      <w:bookmarkStart w:id="1538" w:name="Tc_9eAvWPba4kSOpnR-lq3yTA_3_2"/>
      <w:bookmarkStart w:id="1539" w:name="Tc_BmArvhg2ZEilvEjErWMJ9w_2_6"/>
      <w:bookmarkStart w:id="1540" w:name="Tc_adrLFd2Bn0ODucKqsN_STw_2_2"/>
      <w:bookmarkStart w:id="1541" w:name="Tc_amuv7WQZ5Uyw6xPoyFKtFA_1_6"/>
      <w:bookmarkStart w:id="1542" w:name="Tc_Kf5KvjBw7EeCDwouUvmI3w_1_2"/>
      <w:bookmarkStart w:id="1543" w:name="_eddd514f_331a_4132_8b29_0f5b0858f646"/>
      <w:bookmarkStart w:id="1544" w:name="Tc_iGZP-8K3kUqdH8LQ6rwP3Q_7_0"/>
      <w:bookmarkStart w:id="1545" w:name="Tc_bpaqxRF9f0W8GFmu2jns2A_6_0"/>
      <w:bookmarkStart w:id="1546" w:name="Tc_sLZJxWqd3k6Abe--m29Cbw_5_0"/>
      <w:bookmarkStart w:id="1547" w:name="Tc_ktVvCzUonUmrXrYPioMmWg_4_0"/>
      <w:bookmarkStart w:id="1548" w:name="Tc_bHfdRKMiPESlDl41jWawlA_3_8"/>
      <w:bookmarkStart w:id="1549" w:name="Tc_DBkYa5hT50i8rOZ7_KU1sg_3_6"/>
      <w:bookmarkStart w:id="1550" w:name="Tc_HuwjmXtbn0qKvW6jgw2fGg_3_4"/>
      <w:bookmarkStart w:id="1551" w:name="Tc_9eAvWPba4kSOpnR-lq3yTA_3_2"/>
      <w:bookmarkStart w:id="1552" w:name="Tc_BmArvhg2ZEilvEjErWMJ9w_2_6"/>
      <w:bookmarkStart w:id="1553" w:name="Tc_adrLFd2Bn0ODucKqsN_STw_2_2"/>
      <w:bookmarkStart w:id="1554" w:name="Tc_amuv7WQZ5Uyw6xPoyFKtFA_1_6"/>
      <w:bookmarkStart w:id="1555" w:name="Tc_Kf5KvjBw7EeCDwouUvmI3w_1_2"/>
      <w:bookmarkStart w:id="1556" w:name="_eddd514f_331a_4132_8b29_0f5b0858f646"/>
      <w:bookmarkEnd w:id="1544"/>
      <w:bookmarkEnd w:id="1545"/>
      <w:bookmarkEnd w:id="1546"/>
      <w:bookmarkEnd w:id="1547"/>
      <w:bookmarkEnd w:id="1548"/>
      <w:bookmarkEnd w:id="1549"/>
      <w:bookmarkEnd w:id="1550"/>
      <w:bookmarkEnd w:id="1551"/>
      <w:bookmarkEnd w:id="1552"/>
      <w:bookmarkEnd w:id="1553"/>
      <w:bookmarkEnd w:id="1554"/>
      <w:bookmarkEnd w:id="1555"/>
      <w:bookmarkEnd w:id="1556"/>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2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tbl>
      <w:tblPr>
        <w:tblW w:w="8059" w:type="dxa"/>
        <w:jc w:val="left"/>
        <w:tblInd w:w="0" w:type="dxa"/>
        <w:tblLayout w:type="fixed"/>
        <w:tblCellMar>
          <w:top w:w="0" w:type="dxa"/>
          <w:left w:w="0" w:type="dxa"/>
          <w:bottom w:w="0" w:type="dxa"/>
          <w:right w:w="0" w:type="dxa"/>
        </w:tblCellMar>
      </w:tblPr>
      <w:tblGrid>
        <w:gridCol w:w="3226"/>
        <w:gridCol w:w="326"/>
        <w:gridCol w:w="781"/>
        <w:gridCol w:w="326"/>
        <w:gridCol w:w="931"/>
        <w:gridCol w:w="326"/>
        <w:gridCol w:w="78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48510" cy="175260"/>
                      <wp:effectExtent l="0" t="0" r="0" b="0"/>
                      <wp:wrapNone/>
                      <wp:docPr id="320" name="Frame320"/>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95935" cy="175260"/>
                      <wp:effectExtent l="0" t="0" r="0" b="0"/>
                      <wp:wrapNone/>
                      <wp:docPr id="322" name="Frame3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91185" cy="175260"/>
                      <wp:effectExtent l="0" t="0" r="0" b="0"/>
                      <wp:wrapNone/>
                      <wp:docPr id="324" name="Frame3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26"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57860" cy="175260"/>
                      <wp:effectExtent l="0" t="0" r="0" b="0"/>
                      <wp:wrapNone/>
                      <wp:docPr id="328" name="Frame3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center"/>
              <w:rPr/>
            </w:pPr>
            <w:r>
              <w:rPr/>
              <w:t>​</w:t>
            </w:r>
          </w:p>
        </w:tc>
        <w:tc>
          <w:tcPr>
            <w:tcW w:w="214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2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975,749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1,029,268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974,691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1,035,175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983,997</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1,037,378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982,748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1,044,363</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three-months ended June 30, 2025 and 2024, options and awards outstanding totaling 7.2 million shares and 8.8 million shares, respectively, were excluded from the calculations as their effect would have been antidilutive. For the six-months ended June 30, 2025 and 2024, options and awards outstanding totaling 9.9 million shares and 6.9 million shares, respectively, were excluded from the calculations as their effect would have been antidilutive.</w:t>
      </w:r>
    </w:p>
    <w:p>
      <w:pPr>
        <w:pStyle w:val="TextBody"/>
        <w:bidi w:val="0"/>
        <w:spacing w:before="0" w:after="0"/>
        <w:ind w:left="0" w:right="0" w:firstLine="720"/>
        <w:jc w:val="both"/>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557" w:name="Tc_o0ju8Vgd60WsbIbZaUO_vw_19_17"/>
      <w:bookmarkStart w:id="1558" w:name="Tc_-0WUlkCvMk2nH9zUkEYb4A_19_14"/>
      <w:bookmarkStart w:id="1559" w:name="Tc_l2Yyb13L2UiFjyfL18inWw_19_11"/>
      <w:bookmarkStart w:id="1560" w:name="Tc_8GW0JFitREi7BHWNom3b1Q_19_8"/>
      <w:bookmarkStart w:id="1561" w:name="Tc_j6niDB-120yeE5IfEAjK5Q_19_5"/>
      <w:bookmarkStart w:id="1562" w:name="Tc_PyCnBDcmv0-8UQLvbzFmyQ_19_2"/>
      <w:bookmarkStart w:id="1563" w:name="Tc_1TVa9EFykUGhge_DgTO2NA_19_0"/>
      <w:bookmarkStart w:id="1564" w:name="Tc_LuMHqPMC9ke250bGnC2NJg_17_17"/>
      <w:bookmarkStart w:id="1565" w:name="Tc_9_TtGiCZcEO0BpW8r9VArg_17_0"/>
      <w:bookmarkStart w:id="1566" w:name="Tc_Stb2gK1yg0KnOSXJvZqqgQ_15_0"/>
      <w:bookmarkStart w:id="1567" w:name="Tc_1sC0b-JSME-NLmBezYwMyw_13_0"/>
      <w:bookmarkStart w:id="1568" w:name="Tc_3GVMVfKrHkeVgJKC7s1meA_12_0"/>
      <w:bookmarkStart w:id="1569" w:name="Tc_5Toyg_EyMk6A4-C-P2HLBw_11_0"/>
      <w:bookmarkStart w:id="1570" w:name="Tc_8B-d38pCUUuc4tXPhIT4Og_10_15"/>
      <w:bookmarkStart w:id="1571" w:name="Tc_-AAO5N2C5EeAYUUSNVw8Hw_10_0"/>
      <w:bookmarkStart w:id="1572" w:name="Tc_RY5gLZwq_UC6RrdpFouurA_9_15"/>
      <w:bookmarkStart w:id="1573" w:name="Tc_tc-IaflfkEirEyv2YNzAuQ_9_0"/>
      <w:bookmarkStart w:id="1574" w:name="Tc_amjgFQmASk6NsUx35Xj-Ig_7_15"/>
      <w:bookmarkStart w:id="1575" w:name="Tc_RB7CO13FDUu9y4oYB_EI0g_7_0"/>
      <w:bookmarkStart w:id="1576" w:name="Tc_bhE0DDqwGEu5hcs9bSnK7g_6_15"/>
      <w:bookmarkStart w:id="1577" w:name="Tc_Jt8Uq8MPokWWa_ZOmQOeqA_6_0"/>
      <w:bookmarkStart w:id="1578" w:name="Tc_8rzhO7og_E-6tmpzNSqW5g_4_17"/>
      <w:bookmarkStart w:id="1579" w:name="Tc_90GBvdU_80SwfgzJ1cxbBQ_4_15"/>
      <w:bookmarkStart w:id="1580" w:name="Tc_qY716tyn_Ee9v-cNgmZlcA_4_14"/>
      <w:bookmarkStart w:id="1581" w:name="Tc_bIpGXM6Hx02sGLbaLnU6gw_4_11"/>
      <w:bookmarkStart w:id="1582" w:name="Tc_OqOzYOAaXUCTyO1sxEMobA_4_8"/>
      <w:bookmarkStart w:id="1583" w:name="Tc_g2tYMekRZUGT_roJ6m0SMg_4_5"/>
      <w:bookmarkStart w:id="1584" w:name="Tc_8edPmEQ3HkSLpBuPCwsW5g_4_2"/>
      <w:bookmarkStart w:id="1585" w:name="Tc_qwqrcAeykUOFNY5NH6oUXA_4_0"/>
      <w:bookmarkStart w:id="1586" w:name="Tc_Y-73G5uRuk-Vu0Ul3m1C0g_3_17"/>
      <w:bookmarkStart w:id="1587" w:name="Tc_B-1q8bHMp0iHtytAMBZWhQ_3_14"/>
      <w:bookmarkStart w:id="1588" w:name="Tc_VKc293VdakKEw3i-mLWobg_3_11"/>
      <w:bookmarkStart w:id="1589" w:name="Tc_ThDvbR62m0OaJ6v1NeIaCw_3_8"/>
      <w:bookmarkStart w:id="1590" w:name="Tc_IjeZbHE5DEC-NA80ugf-5A_3_5"/>
      <w:bookmarkStart w:id="1591" w:name="Tc_06akvc_smUCwjSbAGjKfuA_3_2"/>
      <w:bookmarkStart w:id="1592" w:name="Tc_YTVyhAXuRUOK4DVuqrT9Kw_2_14"/>
      <w:bookmarkStart w:id="1593" w:name="Tc_k2Lc_kc3W0mGWWWmWkpp-w_2_8"/>
      <w:bookmarkStart w:id="1594" w:name="Tc_Ejua1GeUIUiPiNEruEk8PA_2_5"/>
      <w:bookmarkStart w:id="1595" w:name="Tc_q5N25wM8_k6RNnOY2tdyrg_2_2"/>
      <w:bookmarkStart w:id="1596" w:name="Tc_P2pnf7SCakOQ2vQWL9v7BQ_1_2"/>
      <w:bookmarkStart w:id="1597" w:name="_dde2e7e6_9afc_434f_913b_af5a2c3abdeb"/>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chief operating decision maker is the chief executive officer (the “CEO”). The CEO assesses segments’ performance by using each segment’s operating income and considers budget-to-actual variances on a periodic basis (at least quarterly) when making decisions about operational planning, including whether to invest resources into the segments or into other parts of the Company. Further, the CEO uses segments’ operating income when comparing the results of each segment with one another.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Three-Months Ended June 30, 2025</w:t>
      </w:r>
    </w:p>
    <w:tbl>
      <w:tblPr>
        <w:tblW w:w="10205" w:type="dxa"/>
        <w:jc w:val="left"/>
        <w:tblInd w:w="0" w:type="dxa"/>
        <w:tblLayout w:type="fixed"/>
        <w:tblCellMar>
          <w:top w:w="0" w:type="dxa"/>
          <w:left w:w="0" w:type="dxa"/>
          <w:bottom w:w="0" w:type="dxa"/>
          <w:right w:w="0" w:type="dxa"/>
        </w:tblCellMar>
      </w:tblPr>
      <w:tblGrid>
        <w:gridCol w:w="1871"/>
        <w:gridCol w:w="326"/>
        <w:gridCol w:w="211"/>
        <w:gridCol w:w="931"/>
        <w:gridCol w:w="326"/>
        <w:gridCol w:w="211"/>
        <w:gridCol w:w="781"/>
        <w:gridCol w:w="326"/>
        <w:gridCol w:w="211"/>
        <w:gridCol w:w="743"/>
        <w:gridCol w:w="326"/>
        <w:gridCol w:w="211"/>
        <w:gridCol w:w="571"/>
        <w:gridCol w:w="326"/>
        <w:gridCol w:w="252"/>
        <w:gridCol w:w="1009"/>
        <w:gridCol w:w="326"/>
        <w:gridCol w:w="221"/>
        <w:gridCol w:w="1026"/>
      </w:tblGrid>
      <w:tr>
        <w:trPr/>
        <w:tc>
          <w:tcPr>
            <w:tcW w:w="1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188085" cy="175260"/>
                      <wp:effectExtent l="0" t="0" r="0" b="0"/>
                      <wp:wrapNone/>
                      <wp:docPr id="329" name="Frame329"/>
                      <a:graphic xmlns:a="http://schemas.openxmlformats.org/drawingml/2006/main">
                        <a:graphicData uri="http://schemas.microsoft.com/office/word/2010/wordprocessingShape">
                          <wps:wsp>
                            <wps:cNvSpPr txBox="1"/>
                            <wps:spPr>
                              <a:xfrm>
                                <a:off x="0" y="0"/>
                                <a:ext cx="118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32"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35" name="Frame3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71805" cy="175260"/>
                      <wp:effectExtent l="0" t="0" r="0" b="0"/>
                      <wp:wrapNone/>
                      <wp:docPr id="338" name="Frame33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62585" cy="175260"/>
                      <wp:effectExtent l="0" t="0" r="0" b="0"/>
                      <wp:wrapNone/>
                      <wp:docPr id="341" name="Frame3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60020" cy="175260"/>
                      <wp:effectExtent l="0" t="0" r="0" b="0"/>
                      <wp:wrapNone/>
                      <wp:docPr id="343" name="Frame34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0715" cy="175260"/>
                      <wp:effectExtent l="0" t="0" r="0" b="0"/>
                      <wp:wrapNone/>
                      <wp:docPr id="344" name="Frame344"/>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0335" cy="175260"/>
                      <wp:effectExtent l="0" t="0" r="0" b="0"/>
                      <wp:wrapNone/>
                      <wp:docPr id="346" name="Frame34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51510" cy="175260"/>
                      <wp:effectExtent l="0" t="0" r="0" b="0"/>
                      <wp:wrapNone/>
                      <wp:docPr id="347" name="Frame347"/>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Energy®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7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1,937,321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129,893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861,518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1,075,803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1,176,413</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174,769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right"/>
              <w:rPr/>
            </w:pPr>
            <w:r>
              <w:rPr/>
              <w:t>​</w:t>
            </w:r>
          </w:p>
        </w:tc>
        <w:tc>
          <w:tcPr>
            <w:tcW w:w="1026" w:type="dxa"/>
            <w:tcBorders/>
            <w:shd w:fill="CCEEFF" w:val="cle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115,232</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87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65,140</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7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(180,372)</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631,622</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646,687</w:t>
            </w:r>
          </w:p>
        </w:tc>
      </w:tr>
      <w:tr>
        <w:trPr/>
        <w:tc>
          <w:tcPr>
            <w:tcW w:w="1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27,557</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and certain overhead expenses</w:t>
      </w:r>
    </w:p>
    <w:p>
      <w:pPr>
        <w:pStyle w:val="TextBody"/>
        <w:bidi w:val="0"/>
        <w:spacing w:before="0" w:after="24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1598" w:name="Tc_WaCrabUxPUSMhxBiYq5-gw_19_17"/>
      <w:bookmarkStart w:id="1599" w:name="Tc_RyuWjFHz6Ui1fWNGBeroww_19_14"/>
      <w:bookmarkStart w:id="1600" w:name="Tc_Ex9QQur160Cp6jv5uEcTCQ_19_11"/>
      <w:bookmarkStart w:id="1601" w:name="Tc_Rq3ho1XqNUuRLCdRADxI1g_19_8"/>
      <w:bookmarkStart w:id="1602" w:name="Tc_-Y2gTL154kCb4xIr2Vo6dA_19_5"/>
      <w:bookmarkStart w:id="1603" w:name="Tc_2_c7am7_1UuuZmkiQ5iPDA_19_2"/>
      <w:bookmarkStart w:id="1604" w:name="Tc_KVao05O2ik6_iXl4-pYVEQ_19_0"/>
      <w:bookmarkStart w:id="1605" w:name="Tc_IOjqn6tJekK4KfVRFCVvzA_17_17"/>
      <w:bookmarkStart w:id="1606" w:name="Tc_0o94DUHjv0uH4dt5o_P53w_17_0"/>
      <w:bookmarkStart w:id="1607" w:name="Tc_W6hPPDFJsUyDGhHGFHl3vQ_15_0"/>
      <w:bookmarkStart w:id="1608" w:name="Tc_6p6k-_JvDUaNCgmzOAGE4Q_13_0"/>
      <w:bookmarkStart w:id="1609" w:name="Tc_8CB645ONu0qiY9Ms5G1nXw_12_0"/>
      <w:bookmarkStart w:id="1610" w:name="Tc_b_AAtVEf5k2jG-5lMUTpHw_11_0"/>
      <w:bookmarkStart w:id="1611" w:name="Tc_NBb0L-xDAkay4CIbgsJifw_10_15"/>
      <w:bookmarkStart w:id="1612" w:name="Tc_yVo3MQyn30-5weu-BBhWzQ_10_0"/>
      <w:bookmarkStart w:id="1613" w:name="Tc_WSTtUfpPTkOfeYtXAD-2aA_9_15"/>
      <w:bookmarkStart w:id="1614" w:name="Tc_uQvzFQ9yQUa2Ro0cHb3ixw_9_0"/>
      <w:bookmarkStart w:id="1615" w:name="Tc_nqmlHZHXWky0ZCeDXwU0RQ_7_15"/>
      <w:bookmarkStart w:id="1616" w:name="Tc_BXP_OEiGsUGb5jljuUZVkw_7_0"/>
      <w:bookmarkStart w:id="1617" w:name="Tc_OIuw8lAMOkOvg47Rd5aBOQ_6_15"/>
      <w:bookmarkStart w:id="1618" w:name="Tc_MXbRu0Qy3kimhZVWV_iZzw_6_0"/>
      <w:bookmarkStart w:id="1619" w:name="Tc_3ns5gdkKykmO8KH7suL5-w_4_17"/>
      <w:bookmarkStart w:id="1620" w:name="Tc_2Amh7H4pCEqYNd2g_ZNkpg_4_15"/>
      <w:bookmarkStart w:id="1621" w:name="Tc_s-PFDtzQdEKTZkgLNkX-PQ_4_14"/>
      <w:bookmarkStart w:id="1622" w:name="Tc_H_q6NdkbVkGqUsuOkG1wSA_4_11"/>
      <w:bookmarkStart w:id="1623" w:name="Tc_WTJqegvbJEG8ReyBhvlw7A_4_8"/>
      <w:bookmarkStart w:id="1624" w:name="Tc_-NzP4z2LBEiypAcdvlrb2A_4_5"/>
      <w:bookmarkStart w:id="1625" w:name="Tc_RDKQHLv_DUijDWD_q5seyg_4_2"/>
      <w:bookmarkStart w:id="1626" w:name="Tc_rtzvc7twsk67GxVWqB2_bg_4_0"/>
      <w:bookmarkStart w:id="1627" w:name="Tc_iINmvZ5NI0eY113odLydNg_3_17"/>
      <w:bookmarkStart w:id="1628" w:name="Tc_ldutpxpmN0iCg2zU0iIcgA_3_14"/>
      <w:bookmarkStart w:id="1629" w:name="Tc_R_9HpL7bS0uVzy-tzlBXHw_3_11"/>
      <w:bookmarkStart w:id="1630" w:name="Tc_mOqpIvpR_0K8UqJlJa_Zwg_3_8"/>
      <w:bookmarkStart w:id="1631" w:name="Tc_cGc6xH49sESZhXRYMZ6oXA_3_5"/>
      <w:bookmarkStart w:id="1632" w:name="Tc_umaZbJFU4Uelm0pdu844Pg_3_2"/>
      <w:bookmarkStart w:id="1633" w:name="Tc_2HnkwCbsdkmrc9VLkQ5D0A_2_14"/>
      <w:bookmarkStart w:id="1634" w:name="Tc_BwRuwK8fKkuHDojluOXOFQ_2_8"/>
      <w:bookmarkStart w:id="1635" w:name="Tc_mnQhB3esPkaQSyC-jNDGqA_2_5"/>
      <w:bookmarkStart w:id="1636" w:name="Tc_nVSMCe86l0im1WkgZaTt8A_2_2"/>
      <w:bookmarkStart w:id="1637" w:name="Tc_gD-MfRIHrUK4GeRP84a6Kw_1_2"/>
      <w:bookmarkStart w:id="1638" w:name="_63a009d7_5d16_41fc_8e0a_a1fc4a305334"/>
      <w:bookmarkStart w:id="1639" w:name="Tc_AduqWrjOOUmuZ5KkQDBf0w_19_17"/>
      <w:bookmarkStart w:id="1640" w:name="Tc_TNoowhGRRESz58hrX8S6tg_19_14"/>
      <w:bookmarkStart w:id="1641" w:name="Tc_MWdvFff5i0y5gubvLQSpng_19_11"/>
      <w:bookmarkStart w:id="1642" w:name="Tc_945Uo-ibQECRrNIhNqSiJQ_19_8"/>
      <w:bookmarkStart w:id="1643" w:name="Tc_0JsNUSDhZ0-92aiMO6aWvw_19_5"/>
      <w:bookmarkStart w:id="1644" w:name="Tc_-INGuFCC50SLQAIC4BfpRg_19_2"/>
      <w:bookmarkStart w:id="1645" w:name="Tc_rb1_g8YE0ESIu7i_kJIQGA_19_0"/>
      <w:bookmarkStart w:id="1646" w:name="Tc_qkxRXRxH0EOGO8j7vlbZlg_17_17"/>
      <w:bookmarkStart w:id="1647" w:name="Tc_uB1-iPBAF0aMZv_FEJ51yA_17_0"/>
      <w:bookmarkStart w:id="1648" w:name="Tc_OgvkHi2WoUOhgf-T4L2Jww_15_0"/>
      <w:bookmarkStart w:id="1649" w:name="Tc_DBuJqIhb902zOanQjmWDCQ_13_0"/>
      <w:bookmarkStart w:id="1650" w:name="Tc_9PFuPz1T9EiefXzRwZC-IQ_12_0"/>
      <w:bookmarkStart w:id="1651" w:name="Tc_zgO5Z1szHECxDK4Cm6MBhQ_11_0"/>
      <w:bookmarkStart w:id="1652" w:name="Tc_AFWjqsn6yEGANrB1QOTL7w_10_15"/>
      <w:bookmarkStart w:id="1653" w:name="Tc_WdDWmWH3T0ank6s3WjFWEQ_10_0"/>
      <w:bookmarkStart w:id="1654" w:name="Tc_DQU1FG9xxUK5iBlb_MVMyw_9_15"/>
      <w:bookmarkStart w:id="1655" w:name="Tc_dK5s0b7VvEWTsvzYvjbUCw_9_0"/>
      <w:bookmarkStart w:id="1656" w:name="Tc_vICCnmImdkq2K4K9velk-A_7_15"/>
      <w:bookmarkStart w:id="1657" w:name="Tc_geQcCxnd9kOWRpA2NobaLg_7_0"/>
      <w:bookmarkStart w:id="1658" w:name="Tc_TCbkQcIjO0yNJylbUzl0RQ_6_15"/>
      <w:bookmarkStart w:id="1659" w:name="Tc_TrPC2v6LAECKCwPTXhgQQg_6_0"/>
      <w:bookmarkStart w:id="1660" w:name="Tc_Vz6KhZN9GEaBrGq9jAcssQ_4_17"/>
      <w:bookmarkStart w:id="1661" w:name="Tc_2l3EMHSyCkO8vO9F7L8BHw_4_15"/>
      <w:bookmarkStart w:id="1662" w:name="Tc_ZaFaMnxH60-i8u14aeWjgg_4_14"/>
      <w:bookmarkStart w:id="1663" w:name="Tc__u5afe_09kGznjUeOM0jdA_4_11"/>
      <w:bookmarkStart w:id="1664" w:name="Tc_VAMvKPPZlEaJJCMx-NjS-g_4_8"/>
      <w:bookmarkStart w:id="1665" w:name="Tc_f-RY0tPnwUyI6oirHzoJPw_4_5"/>
      <w:bookmarkStart w:id="1666" w:name="Tc_tvZmwLAZJ0CgaT2C5tIedQ_4_2"/>
      <w:bookmarkStart w:id="1667" w:name="Tc_4bmsHwrnlUCKRm-Gs_MhaA_4_0"/>
      <w:bookmarkStart w:id="1668" w:name="Tc_hCUGIODLwUauX26fDLahEg_3_17"/>
      <w:bookmarkStart w:id="1669" w:name="Tc_R0gE_oXlnk6OmtAJNbiZoQ_3_14"/>
      <w:bookmarkStart w:id="1670" w:name="Tc_oIaZX1SQXEiY92oLBaz9xw_3_11"/>
      <w:bookmarkStart w:id="1671" w:name="Tc_AALOMx3tiUOF_fPvRTPsZg_3_8"/>
      <w:bookmarkStart w:id="1672" w:name="Tc_EmftKOFZFEqabXvZNGGMQw_3_5"/>
      <w:bookmarkStart w:id="1673" w:name="Tc_N6VPXyM8eUWzoOXL-S2rog_3_2"/>
      <w:bookmarkStart w:id="1674" w:name="Tc_Ec21rnjcQ0ehPXATlcaigA_2_14"/>
      <w:bookmarkStart w:id="1675" w:name="Tc_82jxkf35Fkq6epae_Mp2Sg_2_8"/>
      <w:bookmarkStart w:id="1676" w:name="Tc_K3OUT2MeaEGfrR-z5mM3aA_2_5"/>
      <w:bookmarkStart w:id="1677" w:name="Tc_3SMVnJf-IEuPOlrbDH9_Mg_2_2"/>
      <w:bookmarkStart w:id="1678" w:name="Tc_SbP5IL3nt0uaMT5rWYd8-w_1_2"/>
      <w:bookmarkStart w:id="1679" w:name="_9d172c6c_b8f5_43a0_8c87_cd4315f3b884"/>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r>
        <w:rPr>
          <w:rFonts w:ascii="Times New Roman;Times;serif" w:hAnsi="Times New Roman;Times;serif"/>
          <w:sz w:val="20"/>
        </w:rPr>
        <w:t>Three-Months Ended June 30, 2024</w:t>
      </w:r>
    </w:p>
    <w:tbl>
      <w:tblPr>
        <w:tblW w:w="10205" w:type="dxa"/>
        <w:jc w:val="left"/>
        <w:tblInd w:w="0" w:type="dxa"/>
        <w:tblLayout w:type="fixed"/>
        <w:tblCellMar>
          <w:top w:w="0" w:type="dxa"/>
          <w:left w:w="0" w:type="dxa"/>
          <w:bottom w:w="0" w:type="dxa"/>
          <w:right w:w="0" w:type="dxa"/>
        </w:tblCellMar>
      </w:tblPr>
      <w:tblGrid>
        <w:gridCol w:w="2001"/>
        <w:gridCol w:w="326"/>
        <w:gridCol w:w="211"/>
        <w:gridCol w:w="931"/>
        <w:gridCol w:w="326"/>
        <w:gridCol w:w="211"/>
        <w:gridCol w:w="781"/>
        <w:gridCol w:w="326"/>
        <w:gridCol w:w="211"/>
        <w:gridCol w:w="747"/>
        <w:gridCol w:w="326"/>
        <w:gridCol w:w="211"/>
        <w:gridCol w:w="571"/>
        <w:gridCol w:w="326"/>
        <w:gridCol w:w="239"/>
        <w:gridCol w:w="888"/>
        <w:gridCol w:w="326"/>
        <w:gridCol w:w="221"/>
        <w:gridCol w:w="1026"/>
      </w:tblGrid>
      <w:tr>
        <w:trPr/>
        <w:tc>
          <w:tcPr>
            <w:tcW w:w="2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70635" cy="175260"/>
                      <wp:effectExtent l="0" t="0" r="0" b="0"/>
                      <wp:wrapNone/>
                      <wp:docPr id="348" name="Frame348"/>
                      <a:graphic xmlns:a="http://schemas.openxmlformats.org/drawingml/2006/main">
                        <a:graphicData uri="http://schemas.microsoft.com/office/word/2010/wordprocessingShape">
                          <wps:wsp>
                            <wps:cNvSpPr txBox="1"/>
                            <wps:spPr>
                              <a:xfrm>
                                <a:off x="0" y="0"/>
                                <a:ext cx="127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91185" cy="175260"/>
                      <wp:effectExtent l="0" t="0" r="0" b="0"/>
                      <wp:wrapNone/>
                      <wp:docPr id="351" name="Frame3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935" cy="175260"/>
                      <wp:effectExtent l="0" t="0" r="0" b="0"/>
                      <wp:wrapNone/>
                      <wp:docPr id="354"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74345" cy="175260"/>
                      <wp:effectExtent l="0" t="0" r="0" b="0"/>
                      <wp:wrapNone/>
                      <wp:docPr id="357" name="Frame357"/>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62585" cy="175260"/>
                      <wp:effectExtent l="0" t="0" r="0" b="0"/>
                      <wp:wrapNone/>
                      <wp:docPr id="360" name="Frame3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1765" cy="175260"/>
                      <wp:effectExtent l="0" t="0" r="0" b="0"/>
                      <wp:wrapNone/>
                      <wp:docPr id="362" name="Frame36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63880" cy="175260"/>
                      <wp:effectExtent l="0" t="0" r="0" b="0"/>
                      <wp:wrapNone/>
                      <wp:docPr id="363" name="Frame363"/>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0335" cy="175260"/>
                      <wp:effectExtent l="0" t="0" r="0" b="0"/>
                      <wp:wrapNone/>
                      <wp:docPr id="365" name="Frame36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51510" cy="175260"/>
                      <wp:effectExtent l="0" t="0" r="0" b="0"/>
                      <wp:wrapNone/>
                      <wp:docPr id="366" name="Frame366"/>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Monster </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5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200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1,742,808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109,222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r>
      <w:tr>
        <w:trPr/>
        <w:tc>
          <w:tcPr>
            <w:tcW w:w="2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2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815,570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927,238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79,637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1,019,506</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2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right"/>
              <w:rPr/>
            </w:pPr>
            <w:r>
              <w:rPr/>
              <w:t>​</w:t>
            </w:r>
          </w:p>
        </w:tc>
        <w:tc>
          <w:tcPr>
            <w:tcW w:w="1026" w:type="dxa"/>
            <w:tcBorders/>
            <w:shd w:fill="CCEEFF" w:val="clear"/>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87,523</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200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38,085</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612,255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61,659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(125,608)</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527,163</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24,376</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551,539</w:t>
            </w:r>
          </w:p>
        </w:tc>
      </w:tr>
      <w:tr>
        <w:trPr/>
        <w:tc>
          <w:tcPr>
            <w:tcW w:w="2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2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19,438</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$10.0</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Monster Energy® Drinks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bidi w:val="0"/>
        <w:spacing w:before="0" w:after="0"/>
        <w:ind w:left="0" w:right="0" w:firstLine="216"/>
        <w:jc w:val="both"/>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and certain overhead expenses</w:t>
      </w:r>
    </w:p>
    <w:p>
      <w:pPr>
        <w:pStyle w:val="TextBody"/>
        <w:bidi w:val="0"/>
        <w:spacing w:before="0" w:after="200"/>
        <w:ind w:left="0" w:right="0" w:firstLine="216"/>
        <w:jc w:val="both"/>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Six-Months Ended June 30, 2025</w:t>
      </w:r>
    </w:p>
    <w:tbl>
      <w:tblPr>
        <w:tblW w:w="10205" w:type="dxa"/>
        <w:jc w:val="left"/>
        <w:tblInd w:w="0" w:type="dxa"/>
        <w:tblLayout w:type="fixed"/>
        <w:tblCellMar>
          <w:top w:w="0" w:type="dxa"/>
          <w:left w:w="0" w:type="dxa"/>
          <w:bottom w:w="0" w:type="dxa"/>
          <w:right w:w="0" w:type="dxa"/>
        </w:tblCellMar>
      </w:tblPr>
      <w:tblGrid>
        <w:gridCol w:w="1907"/>
        <w:gridCol w:w="326"/>
        <w:gridCol w:w="211"/>
        <w:gridCol w:w="931"/>
        <w:gridCol w:w="326"/>
        <w:gridCol w:w="211"/>
        <w:gridCol w:w="781"/>
        <w:gridCol w:w="326"/>
        <w:gridCol w:w="211"/>
        <w:gridCol w:w="744"/>
        <w:gridCol w:w="326"/>
        <w:gridCol w:w="211"/>
        <w:gridCol w:w="676"/>
        <w:gridCol w:w="326"/>
        <w:gridCol w:w="239"/>
        <w:gridCol w:w="879"/>
        <w:gridCol w:w="326"/>
        <w:gridCol w:w="221"/>
        <w:gridCol w:w="1027"/>
      </w:tblGrid>
      <w:tr>
        <w:trPr/>
        <w:tc>
          <w:tcPr>
            <w:tcW w:w="1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10945" cy="175260"/>
                      <wp:effectExtent l="0" t="0" r="0" b="0"/>
                      <wp:wrapNone/>
                      <wp:docPr id="367" name="Frame367"/>
                      <a:graphic xmlns:a="http://schemas.openxmlformats.org/drawingml/2006/main">
                        <a:graphicData uri="http://schemas.microsoft.com/office/word/2010/wordprocessingShape">
                          <wps:wsp>
                            <wps:cNvSpPr txBox="1"/>
                            <wps:spPr>
                              <a:xfrm>
                                <a:off x="0" y="0"/>
                                <a:ext cx="1210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91185" cy="175260"/>
                      <wp:effectExtent l="0" t="0" r="0" b="0"/>
                      <wp:wrapNone/>
                      <wp:docPr id="370" name="Frame3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72440" cy="175260"/>
                      <wp:effectExtent l="0" t="0" r="0" b="0"/>
                      <wp:wrapNone/>
                      <wp:docPr id="376" name="Frame376"/>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29260" cy="175260"/>
                      <wp:effectExtent l="0" t="0" r="0" b="0"/>
                      <wp:wrapNone/>
                      <wp:docPr id="379" name="Frame3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1765" cy="175260"/>
                      <wp:effectExtent l="0" t="0" r="0" b="0"/>
                      <wp:wrapNone/>
                      <wp:docPr id="381" name="Frame38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58165" cy="175260"/>
                      <wp:effectExtent l="0" t="0" r="0" b="0"/>
                      <wp:wrapNone/>
                      <wp:docPr id="382" name="Frame382"/>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0335" cy="175260"/>
                      <wp:effectExtent l="0" t="0" r="0" b="0"/>
                      <wp:wrapNone/>
                      <wp:docPr id="384" name="Frame38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52145" cy="175260"/>
                      <wp:effectExtent l="0" t="0" r="0" b="0"/>
                      <wp:wrapNone/>
                      <wp:docPr id="385" name="Frame385"/>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5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1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48" w:type="dxa"/>
            <w:gridSpan w:val="2"/>
            <w:tcBorders/>
            <w:vAlign w:val="center"/>
          </w:tcPr>
          <w:p>
            <w:pPr>
              <w:pStyle w:val="TableContents"/>
              <w:bidi w:val="0"/>
              <w:spacing w:before="0" w:after="0"/>
              <w:ind w:left="0" w:right="0" w:hanging="0"/>
              <w:jc w:val="center"/>
              <w:rPr/>
            </w:pPr>
            <w:r>
              <w:rPr/>
              <w:t>​</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center"/>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90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3,652,869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228,225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3,966,150</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w:t>
            </w:r>
          </w:p>
        </w:tc>
      </w:tr>
      <w:tr>
        <w:trPr/>
        <w:tc>
          <w:tcPr>
            <w:tcW w:w="190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1,607,215</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72,618</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52,670</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9,272</w:t>
            </w:r>
          </w:p>
        </w:tc>
        <w:tc>
          <w:tcPr>
            <w:tcW w:w="326" w:type="dxa"/>
            <w:tcBorders/>
            <w:shd w:fill="CCEEFF" w:val="clear"/>
            <w:vAlign w:val="center"/>
          </w:tcPr>
          <w:p>
            <w:pPr>
              <w:pStyle w:val="TableContents"/>
              <w:bidi w:val="0"/>
              <w:spacing w:before="0" w:after="0"/>
              <w:ind w:left="0" w:right="0" w:hanging="0"/>
              <w:jc w:val="righ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2,045,654</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155,607</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w:t>
            </w:r>
          </w:p>
        </w:tc>
        <w:tc>
          <w:tcPr>
            <w:tcW w:w="32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2,224,375</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151,257</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90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329,303</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26,903</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12,801</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righ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2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86,880</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18,312</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212,333</w:t>
            </w:r>
          </w:p>
        </w:tc>
        <w:tc>
          <w:tcPr>
            <w:tcW w:w="32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90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40,362</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19,386</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righ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109,288</w:t>
            </w:r>
          </w:p>
        </w:tc>
        <w:tc>
          <w:tcPr>
            <w:tcW w:w="326" w:type="dxa"/>
            <w:tcBorders/>
            <w:shd w:fill="CCEEFF" w:val="clear"/>
            <w:vAlign w:val="center"/>
          </w:tcPr>
          <w:p>
            <w:pPr>
              <w:pStyle w:val="TableContents"/>
              <w:bidi w:val="0"/>
              <w:spacing w:before="0" w:after="0"/>
              <w:ind w:left="0" w:right="0" w:hanging="0"/>
              <w:jc w:val="righ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1,437,852</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119,763</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(36,122)</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(321,621)</w:t>
            </w:r>
          </w:p>
        </w:tc>
        <w:tc>
          <w:tcPr>
            <w:tcW w:w="32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1,201,367</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23,337</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1,224,704</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52,405</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$19.9</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bookmarkStart w:id="1680" w:name="Tc_r2SVN0v72kCE6zlsIJ2W8w_19_17"/>
      <w:bookmarkStart w:id="1681" w:name="Tc_3ViNH_1D2kOZtgOPv-atfQ_19_14"/>
      <w:bookmarkStart w:id="1682" w:name="Tc_C6BRO6H9P0ynYgMHZ2wWxA_19_11"/>
      <w:bookmarkStart w:id="1683" w:name="Tc_tC65XD7n7E2hXoN9GCL_Nw_19_8"/>
      <w:bookmarkStart w:id="1684" w:name="Tc_KsN4FTvjR0yWjGSMSb8shQ_19_5"/>
      <w:bookmarkStart w:id="1685" w:name="Tc_flM63KFy1UuzQrMY7SzfrQ_19_2"/>
      <w:bookmarkStart w:id="1686" w:name="Tc_8tt-zl2hAk6IByMJ6wwNDA_19_0"/>
      <w:bookmarkStart w:id="1687" w:name="Tc_o5_wRKvsKEKMQPl8jniMJQ_17_17"/>
      <w:bookmarkStart w:id="1688" w:name="Tc_9Qvr1-YeaUSkOIJDOOkQUw_17_0"/>
      <w:bookmarkStart w:id="1689" w:name="Tc_jotv_RKQC02nUqQvdNu8Ew_15_0"/>
      <w:bookmarkStart w:id="1690" w:name="Tc_FMOWMd1AFU64YRl36ikk7g_13_0"/>
      <w:bookmarkStart w:id="1691" w:name="Tc_fZk9fkF8v0mkqq9nzRrtaQ_12_0"/>
      <w:bookmarkStart w:id="1692" w:name="Tc__4-kDF1Y-EqE_p-5ateQdg_11_0"/>
      <w:bookmarkStart w:id="1693" w:name="Tc_Djy8iuI6_UehGYez0DDZJQ_10_15"/>
      <w:bookmarkStart w:id="1694" w:name="Tc_H9mANF91QEGnptBASiSHJw_10_0"/>
      <w:bookmarkStart w:id="1695" w:name="Tc_h0LeIATWJ0KEuhX7B5s-tQ_9_15"/>
      <w:bookmarkStart w:id="1696" w:name="Tc_jMeqlEPzAEKcjYJrq2tWhw_9_0"/>
      <w:bookmarkStart w:id="1697" w:name="Tc_DVVPWtWyMEOXJSITElc4_g_7_15"/>
      <w:bookmarkStart w:id="1698" w:name="Tc_ow01ZX5EOku0uGyDx2PZAg_7_0"/>
      <w:bookmarkStart w:id="1699" w:name="Tc_G-WXj6cs3ke2jmMmmCuHCw_6_15"/>
      <w:bookmarkStart w:id="1700" w:name="Tc_pd9ZOWG17kq-lPUUwGmumA_6_0"/>
      <w:bookmarkStart w:id="1701" w:name="Tc_KYBXN5_QQUa10WJAYPrIww_4_17"/>
      <w:bookmarkStart w:id="1702" w:name="Tc_YmwAp0OyHE2QUEQoM-K02w_4_15"/>
      <w:bookmarkStart w:id="1703" w:name="Tc_KEmr4RTxVkOPmgtabwO-lw_4_14"/>
      <w:bookmarkStart w:id="1704" w:name="Tc_yLAIIiilSk2QFpqFYt7QXg_4_11"/>
      <w:bookmarkStart w:id="1705" w:name="Tc_28KDGeK4YE6kKL3KndMFCA_4_8"/>
      <w:bookmarkStart w:id="1706" w:name="Tc_w3ydK33HW0Spxrwzu1ppoA_4_5"/>
      <w:bookmarkStart w:id="1707" w:name="Tc_Xe3K5Y8jWESdTbJ78TF1Mw_4_2"/>
      <w:bookmarkStart w:id="1708" w:name="Tc_KK73vxHS6EWGQkbER7urvw_4_0"/>
      <w:bookmarkStart w:id="1709" w:name="Tc_zrXU2qhqAESItSMwHkAswQ_3_17"/>
      <w:bookmarkStart w:id="1710" w:name="Tc_W1E7jmYdUkK6MIsa3fMY7w_3_14"/>
      <w:bookmarkStart w:id="1711" w:name="Tc_0jfslAqJxk6uKGHq-x0kIg_3_11"/>
      <w:bookmarkStart w:id="1712" w:name="Tc_uCSLGiZF9EygF-jUi9rQQg_3_8"/>
      <w:bookmarkStart w:id="1713" w:name="Tc_Uk2cQL5OgEaYQjoQFk5MyA_3_5"/>
      <w:bookmarkStart w:id="1714" w:name="Tc_W1LmMIf6Z0Oy2CY46cSxLQ_3_2"/>
      <w:bookmarkStart w:id="1715" w:name="Tc_FFA6sp9yM0OhP92CU7xZRQ_2_14"/>
      <w:bookmarkStart w:id="1716" w:name="Tc_cjGRP1t0Gkuyyy8qMICDtA_2_8"/>
      <w:bookmarkStart w:id="1717" w:name="Tc_G6hxI80kp0quVUPCIIdPsg_2_5"/>
      <w:bookmarkStart w:id="1718" w:name="Tc_oIS8x9pGf0aJ8u3nzvajFQ_2_2"/>
      <w:bookmarkStart w:id="1719" w:name="Tc_h-OimAIga0u39B-juP-jPA_1_2"/>
      <w:bookmarkStart w:id="1720" w:name="_ae7faf4a_ea15_4e21_8339_113aa8a48c41"/>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left"/>
        <w:rPr>
          <w:rFonts w:ascii="Times New Roman;Times;serif" w:hAnsi="Times New Roman;Times;serif"/>
          <w:i/>
          <w:sz w:val="18"/>
        </w:rPr>
      </w:pPr>
      <w:r>
        <w:rPr>
          <w:rFonts w:ascii="Times New Roman;Times;serif" w:hAnsi="Times New Roman;Times;serif"/>
          <w:i/>
          <w:sz w:val="18"/>
        </w:rPr>
        <w:t>Monster Energy® Drinks - travel and entertainment expense, professional services expense, and certain overhead expenses</w:t>
      </w:r>
    </w:p>
    <w:p>
      <w:pPr>
        <w:pStyle w:val="TextBody"/>
        <w:bidi w:val="0"/>
        <w:spacing w:before="0" w:after="0"/>
        <w:ind w:left="0" w:right="0" w:firstLine="216"/>
        <w:jc w:val="left"/>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pBdr/>
        <w:bidi w:val="0"/>
        <w:spacing w:before="0" w:after="0"/>
        <w:ind w:left="216" w:right="0" w:hanging="144"/>
        <w:jc w:val="left"/>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property and equipment impairment, and certain overhead expenses</w:t>
      </w:r>
    </w:p>
    <w:p>
      <w:pPr>
        <w:pStyle w:val="TextBody"/>
        <w:bidi w:val="0"/>
        <w:spacing w:before="0" w:after="240"/>
        <w:ind w:left="0" w:right="0" w:firstLine="216"/>
        <w:jc w:val="left"/>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Six-Months Ended June 30, 2024</w:t>
      </w:r>
    </w:p>
    <w:tbl>
      <w:tblPr>
        <w:tblW w:w="10205" w:type="dxa"/>
        <w:jc w:val="left"/>
        <w:tblInd w:w="0" w:type="dxa"/>
        <w:tblLayout w:type="fixed"/>
        <w:tblCellMar>
          <w:top w:w="0" w:type="dxa"/>
          <w:left w:w="0" w:type="dxa"/>
          <w:bottom w:w="0" w:type="dxa"/>
          <w:right w:w="0" w:type="dxa"/>
        </w:tblCellMar>
      </w:tblPr>
      <w:tblGrid>
        <w:gridCol w:w="1907"/>
        <w:gridCol w:w="326"/>
        <w:gridCol w:w="211"/>
        <w:gridCol w:w="931"/>
        <w:gridCol w:w="326"/>
        <w:gridCol w:w="211"/>
        <w:gridCol w:w="781"/>
        <w:gridCol w:w="326"/>
        <w:gridCol w:w="211"/>
        <w:gridCol w:w="744"/>
        <w:gridCol w:w="326"/>
        <w:gridCol w:w="211"/>
        <w:gridCol w:w="676"/>
        <w:gridCol w:w="326"/>
        <w:gridCol w:w="239"/>
        <w:gridCol w:w="879"/>
        <w:gridCol w:w="326"/>
        <w:gridCol w:w="221"/>
        <w:gridCol w:w="1027"/>
      </w:tblGrid>
      <w:tr>
        <w:trPr/>
        <w:tc>
          <w:tcPr>
            <w:tcW w:w="1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10945" cy="175260"/>
                      <wp:effectExtent l="0" t="0" r="0" b="0"/>
                      <wp:wrapNone/>
                      <wp:docPr id="386" name="Frame386"/>
                      <a:graphic xmlns:a="http://schemas.openxmlformats.org/drawingml/2006/main">
                        <a:graphicData uri="http://schemas.microsoft.com/office/word/2010/wordprocessingShape">
                          <wps:wsp>
                            <wps:cNvSpPr txBox="1"/>
                            <wps:spPr>
                              <a:xfrm>
                                <a:off x="0" y="0"/>
                                <a:ext cx="1210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91185" cy="175260"/>
                      <wp:effectExtent l="0" t="0" r="0" b="0"/>
                      <wp:wrapNone/>
                      <wp:docPr id="389" name="Frame3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95935" cy="175260"/>
                      <wp:effectExtent l="0" t="0" r="0" b="0"/>
                      <wp:wrapNone/>
                      <wp:docPr id="392" name="Frame3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72440" cy="175260"/>
                      <wp:effectExtent l="0" t="0" r="0" b="0"/>
                      <wp:wrapNone/>
                      <wp:docPr id="395" name="Frame395"/>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29260" cy="175260"/>
                      <wp:effectExtent l="0" t="0" r="0" b="0"/>
                      <wp:wrapNone/>
                      <wp:docPr id="398" name="Frame3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51765" cy="175260"/>
                      <wp:effectExtent l="0" t="0" r="0" b="0"/>
                      <wp:wrapNone/>
                      <wp:docPr id="400" name="Frame4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58165" cy="175260"/>
                      <wp:effectExtent l="0" t="0" r="0" b="0"/>
                      <wp:wrapNone/>
                      <wp:docPr id="401" name="Frame40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0335" cy="175260"/>
                      <wp:effectExtent l="0" t="0" r="0" b="0"/>
                      <wp:wrapNone/>
                      <wp:docPr id="403" name="Frame40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52145" cy="175260"/>
                      <wp:effectExtent l="0" t="0" r="0" b="0"/>
                      <wp:wrapNone/>
                      <wp:docPr id="404" name="Frame404"/>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5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5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center"/>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90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3,471,859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r>
      <w:tr>
        <w:trPr/>
        <w:tc>
          <w:tcPr>
            <w:tcW w:w="19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w:t>
            </w:r>
          </w:p>
        </w:tc>
      </w:tr>
      <w:tr>
        <w:trPr/>
        <w:tc>
          <w:tcPr>
            <w:tcW w:w="190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1,613,262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1,858,597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155,976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2,046,634</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90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186,107</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90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82,635</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0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1,240,377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123,677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(268,742)</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1,069,154</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60,131</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1,129,285</w:t>
            </w:r>
          </w:p>
        </w:tc>
      </w:tr>
      <w:tr>
        <w:trPr/>
        <w:tc>
          <w:tcPr>
            <w:tcW w:w="19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90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39,913</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For the Monster Energy® Drinks segment, includes $19.9</w:t>
      </w:r>
      <w:r>
        <w:rPr>
          <w:rFonts w:ascii="Times New Roman;Times;serif" w:hAnsi="Times New Roman;Times;serif"/>
          <w:sz w:val="18"/>
        </w:rPr>
        <w:t xml:space="preserve"> </w:t>
      </w:r>
      <w:r>
        <w:rPr>
          <w:rFonts w:ascii="Times New Roman;Times;serif" w:hAnsi="Times New Roman;Times;serif"/>
          <w:i/>
          <w:sz w:val="18"/>
        </w:rPr>
        <w:t>million related to the recognition of deferred revenue.</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Other segment items for each reportable segment include:</w:t>
      </w:r>
    </w:p>
    <w:p>
      <w:pPr>
        <w:pStyle w:val="TextBody"/>
        <w:bidi w:val="0"/>
        <w:spacing w:before="0" w:after="0"/>
        <w:ind w:left="0" w:right="0" w:firstLine="216"/>
        <w:jc w:val="left"/>
        <w:rPr>
          <w:rFonts w:ascii="Times New Roman;Times;serif" w:hAnsi="Times New Roman;Times;serif"/>
          <w:i/>
          <w:sz w:val="18"/>
        </w:rPr>
      </w:pPr>
      <w:r>
        <w:rPr>
          <w:rFonts w:ascii="Times New Roman;Times;serif" w:hAnsi="Times New Roman;Times;serif"/>
          <w:i/>
          <w:sz w:val="18"/>
        </w:rPr>
        <w:t>Monster Energy® Drinks - travel and entertainment expense, and certain overhead expenses</w:t>
      </w:r>
    </w:p>
    <w:p>
      <w:pPr>
        <w:pStyle w:val="TextBody"/>
        <w:bidi w:val="0"/>
        <w:spacing w:before="0" w:after="0"/>
        <w:ind w:left="0" w:right="0" w:firstLine="216"/>
        <w:jc w:val="left"/>
        <w:rPr>
          <w:rFonts w:ascii="Times New Roman;Times;serif" w:hAnsi="Times New Roman;Times;serif"/>
          <w:i/>
          <w:sz w:val="18"/>
        </w:rPr>
      </w:pPr>
      <w:r>
        <w:rPr>
          <w:rFonts w:ascii="Times New Roman;Times;serif" w:hAnsi="Times New Roman;Times;serif"/>
          <w:i/>
          <w:sz w:val="18"/>
        </w:rPr>
        <w:t>Strategic Brands - travel and entertainment expense, and certain overhead expenses</w:t>
      </w:r>
    </w:p>
    <w:p>
      <w:pPr>
        <w:pStyle w:val="TextBody"/>
        <w:pBdr/>
        <w:bidi w:val="0"/>
        <w:spacing w:before="0" w:after="0"/>
        <w:ind w:left="216" w:right="0" w:hanging="144"/>
        <w:jc w:val="left"/>
        <w:rPr>
          <w:rFonts w:ascii="Times New Roman;Times;serif" w:hAnsi="Times New Roman;Times;serif"/>
          <w:i/>
          <w:sz w:val="18"/>
        </w:rPr>
      </w:pPr>
      <w:r>
        <w:rPr>
          <w:rFonts w:ascii="Times New Roman;Times;serif" w:hAnsi="Times New Roman;Times;serif"/>
          <w:i/>
          <w:sz w:val="18"/>
        </w:rPr>
        <w:t>Alcohol Brands - depreciation and amortization expense, travel and entertainment expense, professional services expense, and certain overhead expenses</w:t>
      </w:r>
    </w:p>
    <w:p>
      <w:pPr>
        <w:pStyle w:val="TextBody"/>
        <w:bidi w:val="0"/>
        <w:spacing w:before="0" w:after="240"/>
        <w:ind w:left="0" w:right="0" w:firstLine="216"/>
        <w:jc w:val="left"/>
        <w:rPr>
          <w:rFonts w:ascii="Times New Roman;Times;serif" w:hAnsi="Times New Roman;Times;serif"/>
          <w:i/>
          <w:sz w:val="18"/>
        </w:rPr>
      </w:pPr>
      <w:r>
        <w:rPr>
          <w:rFonts w:ascii="Times New Roman;Times;serif" w:hAnsi="Times New Roman;Times;serif"/>
          <w:i/>
          <w:sz w:val="18"/>
        </w:rPr>
        <w:t>Other - certain overhead expenses</w:t>
      </w:r>
    </w:p>
    <w:p>
      <w:pPr>
        <w:pStyle w:val="TextBody"/>
        <w:bidi w:val="0"/>
        <w:spacing w:before="0" w:after="240"/>
        <w:ind w:left="0" w:right="0" w:firstLine="72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Corporate and unallocated expenses for the three-months ended June 30, 2025 include $115.2 million of payroll costs, of which $32.6 million was attributable to stock-based compensation expenses (see Note 13 “Stock-Based Compensation”), as well as $25.3 million attributable to professional service expenses, including accounting and legal costs, and $39.8 million of other operating expenses.</w:t>
      </w:r>
    </w:p>
    <w:p>
      <w:pPr>
        <w:pStyle w:val="TextBody"/>
        <w:bidi w:val="0"/>
        <w:spacing w:before="0" w:after="240"/>
        <w:ind w:left="0" w:right="0" w:firstLine="72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Corporate and unallocated expenses for the three-months ended June 30, 2024 include $87.5 million of payroll costs, of which $17.8 million was attributable to stock-based compensation expenses (see Note 13 “Stock-Based Compensation”), as well as $14.5 million attributable to professional service expenses, including accounting and legal costs, and $23.6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six-months ended June 30, 2025 include $212.3 million of payroll costs, of which $52.4 million was attributable to stock-based compensation expenses (see Note 13 “Stock-Based Compensation”), as well as $44.5 million attributable to professional service expenses, including accounting and legal costs, and $64.8 million of other operating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721" w:name="Tc_H8JGGfp7XUWMoNydP0S3cg_8_5"/>
      <w:bookmarkStart w:id="1722" w:name="Tc_gkejAachT06U3mds4rG7XA_8_2"/>
      <w:bookmarkStart w:id="1723" w:name="Tc_GV5znzBR00GeBYE8mWmWYA_7_6"/>
      <w:bookmarkStart w:id="1724" w:name="Tc_YtBNr8xVbUqdYtzFSlmSHA_7_3"/>
      <w:bookmarkStart w:id="1725" w:name="Tc_dGg7_7blvUq1oKvrvLXnmw_7_0"/>
      <w:bookmarkStart w:id="1726" w:name="Tc_FYYlebyso0u_Do5aEmKEOw_6_0"/>
      <w:bookmarkStart w:id="1727" w:name="Tc_4UhNL9MZj0W4F2sytL2iLg_5_0"/>
      <w:bookmarkStart w:id="1728" w:name="Tc_9lFru4yBdkiMc7ejskMXjw_4_5"/>
      <w:bookmarkStart w:id="1729" w:name="Tc_P6diNg_BwkuNrIm-7MYHAQ_4_2"/>
      <w:bookmarkStart w:id="1730" w:name="Tc_ocfJPwfR6kS3WOBU7a38bw_4_0"/>
      <w:bookmarkStart w:id="1731" w:name="Tc_g7qfRYc6u0iO1nLb5SbZuA_3_0"/>
      <w:bookmarkStart w:id="1732" w:name="Tc_mvk_KfjzCk-rg47Kvx_nkA_2_5"/>
      <w:bookmarkStart w:id="1733" w:name="Tc_Bd7c-OO_UkOIqG8fNl4Ndg_2_2"/>
      <w:bookmarkStart w:id="1734" w:name="Tc_rnG-tSkUq0qCzJSsnKkBsQ_1_5"/>
      <w:bookmarkStart w:id="1735" w:name="Tc_OxsGO_ZSe0iERZ0kJfJcRw_1_2"/>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r>
        <w:rPr>
          <w:rFonts w:ascii="Times New Roman;Times;serif" w:hAnsi="Times New Roman;Times;serif"/>
          <w:sz w:val="20"/>
        </w:rPr>
        <w:t xml:space="preserve">Corporate and unallocated expenses for the six-months ended June 30, 2024 include $186.1 million of payroll costs, of which $39.7 million was attributable to stock-based compensation expenses (see Note 13 “Stock-Based Compensation”), as well as $34.5 million attributable to professional service expenses, including accounting and legal costs, and $48.1 million of other 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Coca-Cola Europacific Partners accounted for approximately 15% and </w:t>
      </w:r>
      <w:r>
        <w:rPr>
          <w:rFonts w:ascii="Times New Roman;Times;serif" w:hAnsi="Times New Roman;Times;serif"/>
          <w:color w:val="212529"/>
          <w:sz w:val="20"/>
          <w:shd w:fill="FFFFFF" w:val="clear"/>
        </w:rPr>
        <w:t xml:space="preserve">14% </w:t>
      </w:r>
      <w:r>
        <w:rPr>
          <w:rFonts w:ascii="Times New Roman;Times;serif" w:hAnsi="Times New Roman;Times;serif"/>
          <w:sz w:val="20"/>
        </w:rPr>
        <w:t xml:space="preserve">of the Company’s net sales for the three-months ended June 30, 2025 and 2024, respectively. </w:t>
      </w:r>
      <w:r>
        <w:rPr>
          <w:rFonts w:ascii="Times New Roman;Times;serif" w:hAnsi="Times New Roman;Times;serif"/>
          <w:color w:val="212529"/>
          <w:sz w:val="20"/>
          <w:shd w:fill="FFFFFF" w:val="clear"/>
        </w:rPr>
        <w:t>Coca-Cola Europacific Partners accounted for approximately 14% of the Company’s net sales for both the six-months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11% of the Company’s net sales for both the three-months ended June 30, 2025 and 2024.</w:t>
      </w:r>
      <w:r>
        <w:rPr>
          <w:rFonts w:ascii="Times New Roman;Times;serif" w:hAnsi="Times New Roman;Times;serif"/>
          <w:color w:val="212529"/>
          <w:sz w:val="20"/>
          <w:shd w:fill="FFFFFF" w:val="clear"/>
        </w:rPr>
        <w:t xml:space="preserve"> Coca-Cola Consolidated, Inc. accounted for approximately </w:t>
      </w:r>
      <w:r>
        <w:rPr>
          <w:rFonts w:ascii="revert-layer" w:hAnsi="revert-layer"/>
          <w:color w:val="212529"/>
          <w:sz w:val="20"/>
          <w:shd w:fill="FFFFFF" w:val="clear"/>
        </w:rPr>
        <w:t>10%</w:t>
      </w:r>
      <w:r>
        <w:rPr>
          <w:rFonts w:ascii="Times New Roman;Times;serif" w:hAnsi="Times New Roman;Times;serif"/>
          <w:color w:val="212529"/>
          <w:sz w:val="20"/>
          <w:shd w:fill="FFFFFF" w:val="clear"/>
        </w:rPr>
        <w:t xml:space="preserve"> of the Company’s net sales for both the six-months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Reyes Holdings, LLC accounted for approximately </w:t>
      </w:r>
      <w:r>
        <w:rPr>
          <w:rFonts w:ascii="Times New Roman;Times;serif" w:hAnsi="Times New Roman;Times;serif"/>
          <w:color w:val="212529"/>
          <w:sz w:val="20"/>
        </w:rPr>
        <w:t xml:space="preserve">9% </w:t>
      </w:r>
      <w:r>
        <w:rPr>
          <w:rFonts w:ascii="Times New Roman;Times;serif" w:hAnsi="Times New Roman;Times;serif"/>
          <w:sz w:val="20"/>
        </w:rPr>
        <w:t>and 10% of the Company’s net sales for the three-months ended June 30, 2025 and 2024, respectively.</w:t>
      </w:r>
      <w:r>
        <w:rPr>
          <w:rFonts w:ascii="Times New Roman;Times;serif" w:hAnsi="Times New Roman;Times;serif"/>
          <w:color w:val="212529"/>
          <w:sz w:val="20"/>
        </w:rPr>
        <w:t xml:space="preserve"> Reyes Holdings, LLC accounted for approximately 9% of the Company’s net sales for both the six-months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$864.2 million and $746.0 million for the three-months ended June 30, 2025 and 2024, respectively. Such sales were approximately 41% and 39% of net sales for the three-months ended June 30, 2025 and 2024, respectively. Net sales to customers outside the United States amounted to $1.60 billion and $1.49 billion for the six-months ended June 30, 2025 and 2024, respectively. Such sales were approximately 40% and 39% of net sales for the six-months ended June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were as follows at:</w:t>
      </w:r>
    </w:p>
    <w:p>
      <w:pPr>
        <w:pStyle w:val="TextBody"/>
        <w:bidi w:val="0"/>
        <w:spacing w:before="0" w:after="0"/>
        <w:ind w:left="0" w:right="0" w:hanging="0"/>
        <w:jc w:val="left"/>
        <w:rPr/>
      </w:pPr>
      <w:r>
        <w:rPr/>
        <w:t>​</w:t>
      </w:r>
    </w:p>
    <w:tbl>
      <w:tblPr>
        <w:tblW w:w="6250" w:type="dxa"/>
        <w:jc w:val="left"/>
        <w:tblInd w:w="0" w:type="dxa"/>
        <w:tblLayout w:type="fixed"/>
        <w:tblCellMar>
          <w:top w:w="0" w:type="dxa"/>
          <w:left w:w="0" w:type="dxa"/>
          <w:bottom w:w="0" w:type="dxa"/>
          <w:right w:w="0" w:type="dxa"/>
        </w:tblCellMar>
      </w:tblPr>
      <w:tblGrid>
        <w:gridCol w:w="3151"/>
        <w:gridCol w:w="326"/>
        <w:gridCol w:w="211"/>
        <w:gridCol w:w="931"/>
        <w:gridCol w:w="326"/>
        <w:gridCol w:w="220"/>
        <w:gridCol w:w="108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00885" cy="175260"/>
                      <wp:effectExtent l="0" t="0" r="0" b="0"/>
                      <wp:wrapNone/>
                      <wp:docPr id="405" name="Frame40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91185" cy="175260"/>
                      <wp:effectExtent l="0" t="0" r="0" b="0"/>
                      <wp:wrapNone/>
                      <wp:docPr id="408" name="Frame4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9700" cy="175260"/>
                      <wp:effectExtent l="0" t="0" r="0" b="0"/>
                      <wp:wrapNone/>
                      <wp:docPr id="410" name="Frame41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88975" cy="175260"/>
                      <wp:effectExtent l="0" t="0" r="0" b="0"/>
                      <wp:wrapNone/>
                      <wp:docPr id="411" name="Frame41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1,712,928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982,389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982,035</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60,604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2,750,470</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2,745,895</w:t>
            </w:r>
          </w:p>
        </w:tc>
      </w:tr>
    </w:tbl>
    <w:p>
      <w:pPr>
        <w:pStyle w:val="TextBody"/>
        <w:pBdr/>
        <w:bidi w:val="0"/>
        <w:spacing w:before="0" w:after="0"/>
        <w:ind w:left="0" w:right="0" w:hanging="720"/>
        <w:jc w:val="left"/>
        <w:rPr/>
      </w:pPr>
      <w:r>
        <w:rPr/>
        <w:t>​</w:t>
      </w:r>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$29.6 million and $19.8 million for the three-months ended June 30, 2025 and 2024, respectively, and are included as a reduction to net sales.</w:t>
      </w:r>
      <w:r>
        <w:rPr>
          <w:rFonts w:ascii="Times New Roman;Times;serif" w:hAnsi="Times New Roman;Times;serif"/>
          <w:color w:val="212529"/>
          <w:sz w:val="20"/>
        </w:rPr>
        <w:t xml:space="preserve"> TCCC commissions, based on sales to the TCCC Subsidiaries and the TCCC Related Parties, were $55.4 million and $42.3 million for the six-months ended June 30, 2025 and 2024,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 were $12.0 million and $8.7 million for the three-months ended June 30, 2025 and 2024, respectively, and are included in operating expenses.</w:t>
      </w:r>
      <w:r>
        <w:rPr>
          <w:rFonts w:ascii="Times New Roman;Times;serif" w:hAnsi="Times New Roman;Times;serif"/>
          <w:color w:val="212529"/>
          <w:sz w:val="20"/>
          <w:shd w:fill="FFFFFF" w:val="clear"/>
        </w:rPr>
        <w:t xml:space="preserve"> </w:t>
      </w:r>
      <w:r>
        <w:rPr>
          <w:rFonts w:ascii="Times New Roman;Times;serif" w:hAnsi="Times New Roman;Times;serif"/>
          <w:color w:val="212529"/>
          <w:sz w:val="20"/>
        </w:rPr>
        <w:t>TCCC commissions, based on sales to TCCC independent bottlers, were $21.4 million and $18.4 million for the six-months ended June 30, 2025 and 2024,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June 30, 2025 and 2024 were $61.1 million and $55.5 million, respectively.</w:t>
      </w:r>
      <w:r>
        <w:rPr>
          <w:rFonts w:ascii="Times New Roman;Times;serif" w:hAnsi="Times New Roman;Times;serif"/>
          <w:color w:val="212529"/>
          <w:sz w:val="20"/>
          <w:shd w:fill="FFFFFF" w:val="clear"/>
        </w:rPr>
        <w:t xml:space="preserve"> Net sales to the TCCC Subsidiaries for the six-months ended June 30, 2025 and 2024 were $119.2 million and $97.2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736" w:name="Tc_4tpuL3NCskG1Ti8wRp6Cbg_6_5"/>
      <w:bookmarkStart w:id="1737" w:name="Tc_2RWrMTcCPkKOSLoEsdx-Dg_6_2"/>
      <w:bookmarkStart w:id="1738" w:name="Tc_8I1itA-1j0ula6KatcDqxw_6_0"/>
      <w:bookmarkStart w:id="1739" w:name="Tc_WXtK7wagGk-wJ8zlsVmBWA_5_5"/>
      <w:bookmarkStart w:id="1740" w:name="Tc_aZYQKTQPgUm0A_PmxlJ1lg_5_2"/>
      <w:bookmarkStart w:id="1741" w:name="Tc_wjWTo6jVxU-AjgvszZT72A_5_0"/>
      <w:bookmarkStart w:id="1742" w:name="Tc_VUN7CKC1fU67D1qGk7ek5Q_4_5"/>
      <w:bookmarkStart w:id="1743" w:name="Tc_URTWqSOapkeFp3r4JtQ6bg_4_2"/>
      <w:bookmarkStart w:id="1744" w:name="Tc_LVD9gx0qtEmreNWlt_UgTw_4_0"/>
      <w:bookmarkStart w:id="1745" w:name="Tc_krjq68JwUU2IKbiCeJm3mw_3_5"/>
      <w:bookmarkStart w:id="1746" w:name="Tc_lznPSCdck0y_t4U4Mh3CXA_3_2"/>
      <w:bookmarkStart w:id="1747" w:name="Tc_jHD7ptJGGEetwcdlHY_evA_3_0"/>
      <w:bookmarkStart w:id="1748" w:name="Tc_xfA8je4UrE6FjKI0EEpftA_2_5"/>
      <w:bookmarkStart w:id="1749" w:name="Tc_FG-GftGPcUmSardq84q2uQ_2_2"/>
      <w:bookmarkStart w:id="1750" w:name="Tc_uXLitvtWWU-XHejn-4XF5g_1_5"/>
      <w:bookmarkStart w:id="1751" w:name="Tc_fSTVotu5J06wENHGOAFpzQ_1_2"/>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r>
        <w:rPr>
          <w:rFonts w:ascii="Times New Roman;Times;serif" w:hAnsi="Times New Roman;Times;serif"/>
          <w:sz w:val="20"/>
        </w:rPr>
        <w:t xml:space="preserve">The Company also purchases concentrates from TCCC which are then sold to certain of the Company’s bottlers/distributors. Concentrate purchases from TCCC were $6.8 million and $6.9 million for the three-months ended June 30, 2025 and 2024, respectively. </w:t>
      </w:r>
      <w:r>
        <w:rPr>
          <w:rFonts w:ascii="Times New Roman;Times;serif" w:hAnsi="Times New Roman;Times;serif"/>
          <w:color w:val="212529"/>
          <w:sz w:val="20"/>
        </w:rPr>
        <w:t>Concentrate purchases from TCCC were $13.2 million and $14.9 million for the six-months ended June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$12.9 million and $9.6 million for the three-months ended June 30, 2025 and 2024, respectively.</w:t>
      </w:r>
      <w:r>
        <w:rPr>
          <w:rFonts w:ascii="Times New Roman;Times;serif" w:hAnsi="Times New Roman;Times;serif"/>
          <w:color w:val="212529"/>
          <w:sz w:val="20"/>
        </w:rPr>
        <w:t xml:space="preserve"> Such contract manufacturing expenses were $24.6 million and $18.6 million for the six-months ended June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hanging="0"/>
        <w:jc w:val="left"/>
        <w:rPr/>
      </w:pPr>
      <w:r>
        <w:rPr/>
        <w:t>​</w:t>
      </w:r>
    </w:p>
    <w:tbl>
      <w:tblPr>
        <w:tblW w:w="5755" w:type="dxa"/>
        <w:jc w:val="left"/>
        <w:tblInd w:w="0" w:type="dxa"/>
        <w:tblLayout w:type="fixed"/>
        <w:tblCellMar>
          <w:top w:w="0" w:type="dxa"/>
          <w:left w:w="0" w:type="dxa"/>
          <w:bottom w:w="0" w:type="dxa"/>
          <w:right w:w="0" w:type="dxa"/>
        </w:tblCellMar>
      </w:tblPr>
      <w:tblGrid>
        <w:gridCol w:w="2791"/>
        <w:gridCol w:w="326"/>
        <w:gridCol w:w="211"/>
        <w:gridCol w:w="796"/>
        <w:gridCol w:w="326"/>
        <w:gridCol w:w="265"/>
        <w:gridCol w:w="1040"/>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772285" cy="175260"/>
                      <wp:effectExtent l="0" t="0" r="0" b="0"/>
                      <wp:wrapNone/>
                      <wp:docPr id="412" name="Frame412"/>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05460" cy="175260"/>
                      <wp:effectExtent l="0" t="0" r="0" b="0"/>
                      <wp:wrapNone/>
                      <wp:docPr id="415" name="Frame4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8275" cy="175260"/>
                      <wp:effectExtent l="0" t="0" r="0" b="0"/>
                      <wp:wrapNone/>
                      <wp:docPr id="417" name="Frame41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60400" cy="175260"/>
                      <wp:effectExtent l="0" t="0" r="0" b="0"/>
                      <wp:wrapNone/>
                      <wp:docPr id="418" name="Frame418"/>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144,801</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(35,642)</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(32,713)</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r>
    </w:tbl>
    <w:p>
      <w:pPr>
        <w:pStyle w:val="TextBody"/>
        <w:pBdr/>
        <w:bidi w:val="0"/>
        <w:spacing w:before="0" w:after="0"/>
        <w:ind w:left="0" w:right="0" w:hanging="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June 30, 2025 and 2024 were $1.9 million and $1.7 million, respectively.</w:t>
      </w:r>
      <w:r>
        <w:rPr>
          <w:rFonts w:ascii="Times New Roman;Times;serif" w:hAnsi="Times New Roman;Times;serif"/>
          <w:color w:val="212529"/>
          <w:sz w:val="20"/>
        </w:rPr>
        <w:t xml:space="preserve"> Expenses incurred with such company in connection with promotional materials purchased during the six-months ended June 30, 2025 and 2024 were $3.5 million and $3.6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Chairman of the Board of Directors. On certain occasions, Mr. Sacks is accompanied by guests and other Company personnel when using such aircraft for business travel. During the three-months ended June 30, 2025 and 2024, the Company incurred expenses of $0.01 million and $0.03 million, respectively, in relation to the aircraft. During the six-months ended June 30, 2025 and 2024, the Company incurred expenses of $0.06 million and $0.03 million, respectively, in relation to the aircraft.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52" w:name="ITEM2MANAGEMENTSDISCUSSIONANDANALYSIS_40"/>
      <w:bookmarkStart w:id="1753" w:name="_a1dda0c6_db10_4d82_9d58_0704c8f1933a"/>
      <w:bookmarkEnd w:id="1752"/>
      <w:bookmarkEnd w:id="1753"/>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flavored malt beverages (“FMBs”) and hard seltzers.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in the fourth quarter of 2024 (for core brands and packages) in the United States and at various times in certain international markets during 2024 and 2025 (collectively, the “Pricing Actions”). The Pricing Actions positively impacted gross profit margins in 2025 as compared to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Rehab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Storm®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Bang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NOS®</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Full Throttle®</w:t>
            </w:r>
          </w:p>
        </w:tc>
        <w:tc>
          <w:tcPr>
            <w:tcW w:w="3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Nasty Beast® Hard Tea, Blind Lemon®, Blinder Lemon</w:t>
      </w:r>
      <w:r>
        <w:rPr>
          <w:rFonts w:ascii="Times New Roman;Times;serif" w:hAnsi="Times New Roman;Times;serif"/>
          <w:sz w:val="15"/>
        </w:rPr>
        <w:t>TM</w:t>
      </w:r>
      <w:r>
        <w:rPr>
          <w:rFonts w:ascii="Times New Roman;Times;serif" w:hAnsi="Times New Roman;Times;serif"/>
          <w:sz w:val="20"/>
        </w:rPr>
        <w:t>, Michi and a host of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2025, we continued to expand our existing drink portfolio by adding additional products to our portfolio in a number of countries and further developed our distribution markets. During the three-months ended June 30, 2025, we sold the following new products to our customers:</w:t>
      </w:r>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Lando Norris Zero Sugar</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Valentino Rossi Zero Sugar</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Cherry Lemonade</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Original Lemonade</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Peach Lemonade</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Blind Lemon® Strawberry Lemonade</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Blinder Lemon</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Original Lemonade</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Blinder Lemon</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Strawberry Lemonade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June 30, 2025,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were $2.11 billion for the three-months ended June 30, 2025. Net changes in foreign currency exchange rates had an unfavorable impact on net sales of approximately $5.0 million for the three-months ended June 30, 2025. Net sales on a foreign currency adjusted basis increased 11.4%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vast majority of our net sales are derived from our Monster Energy® Drinks segment. Net sales of our Monster Energy® Drinks segment were $1.94 billion for the three-months ended June 30, 2025. Net sales of our Strategic Brands segment were $129.9 million for the three-months ended June 30, 2025. Net sales of our Alcohol Brands segment were $38.0 million for the three-months ended June 30, 2025. Net sales of our Other segment were $6.4 million for the three-months ended June 30,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91.7% of our net sales for both the three-months ended June 30, 2025 and 2024. Our Strategic Brands segment represented 6.2% and 5.7% of our net sales for the three-months ended June 30, 2025 and 2024, respectively. Our Alcohol Brands segment represented 1.8% and 2.2% of our net sales for the three-months ended June 30, 2025 and 2024, respectively. Our Other segment represented 0.3% and 0.4% of our net sales for the three-months ended June 30,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and expanding our international business. Net sales to customers outside the United States were $864.2 million for the three-months ended June 30, 2025, an increase of approximately $118.2 million, or 15.8% higher than net sales to customers outside of the United States of $746.0 million for the three-months ended June 30, 2024. Such sales were approximately 41% and 39% of net sales for the three-months ended June 30, 2025 and 2024, respectively. Net changes in foreign currency exchange rates had an unfavorable impact on net sales to customers outside of the United States of approximately $5.0 million for the three-months ended June 30, 2025. Net sales to customers outside the United States, on a foreign currency adjusted basis, increased 16.5% for the three-months ended June 30,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w:t>
      </w:r>
      <w:r>
        <w:rPr>
          <w:rFonts w:ascii="Times New Roman;Times;serif" w:hAnsi="Times New Roman;Times;serif"/>
          <w:color w:val="212529"/>
          <w:sz w:val="20"/>
          <w:shd w:fill="FFFFFF" w:val="clear"/>
        </w:rPr>
        <w:t>three- and six-months ended June 30, 2025 and 2024</w:t>
      </w:r>
      <w:r>
        <w:rPr>
          <w:rFonts w:ascii="Times New Roman;Times;serif" w:hAnsi="Times New Roman;Times;serif"/>
          <w:sz w:val="20"/>
        </w:rPr>
        <w:t xml:space="preserve"> are reflected below. Such information includes sales made by us directly to the customer types concerned, which include our full service beverage bottlers/distributors in the United States. Such full service beverage bottlers/distributors in turn sell certain of our products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 the same customer types listed below. We limit our description of our customer types to include only our sales to our full service bottlers/distributors without reference to such bottlers/distributors’ sales to their own customers.</w:t>
      </w:r>
    </w:p>
    <w:tbl>
      <w:tblPr>
        <w:tblW w:w="10205" w:type="dxa"/>
        <w:jc w:val="left"/>
        <w:tblInd w:w="0" w:type="dxa"/>
        <w:tblLayout w:type="fixed"/>
        <w:tblCellMar>
          <w:top w:w="0" w:type="dxa"/>
          <w:left w:w="0" w:type="dxa"/>
          <w:bottom w:w="0" w:type="dxa"/>
          <w:right w:w="0" w:type="dxa"/>
        </w:tblCellMar>
      </w:tblPr>
      <w:tblGrid>
        <w:gridCol w:w="5569"/>
        <w:gridCol w:w="326"/>
        <w:gridCol w:w="695"/>
        <w:gridCol w:w="477"/>
        <w:gridCol w:w="695"/>
        <w:gridCol w:w="361"/>
        <w:gridCol w:w="623"/>
        <w:gridCol w:w="427"/>
        <w:gridCol w:w="623"/>
        <w:gridCol w:w="409"/>
      </w:tblGrid>
      <w:tr>
        <w:trPr/>
        <w:tc>
          <w:tcPr>
            <w:tcW w:w="5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536315" cy="175260"/>
                      <wp:effectExtent l="0" t="0" r="0" b="0"/>
                      <wp:wrapNone/>
                      <wp:docPr id="419" name="Frame419"/>
                      <a:graphic xmlns:a="http://schemas.openxmlformats.org/drawingml/2006/main">
                        <a:graphicData uri="http://schemas.microsoft.com/office/word/2010/wordprocessingShape">
                          <wps:wsp>
                            <wps:cNvSpPr txBox="1"/>
                            <wps:spPr>
                              <a:xfrm>
                                <a:off x="0" y="0"/>
                                <a:ext cx="3536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41325" cy="175260"/>
                      <wp:effectExtent l="0" t="0" r="0" b="0"/>
                      <wp:wrapNone/>
                      <wp:docPr id="421" name="Frame42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02895" cy="175260"/>
                      <wp:effectExtent l="0" t="0" r="0" b="0"/>
                      <wp:wrapNone/>
                      <wp:docPr id="422" name="Frame422"/>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41325" cy="175260"/>
                      <wp:effectExtent l="0" t="0" r="0" b="0"/>
                      <wp:wrapNone/>
                      <wp:docPr id="423" name="Frame423"/>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29235" cy="175260"/>
                      <wp:effectExtent l="0" t="0" r="0" b="0"/>
                      <wp:wrapNone/>
                      <wp:docPr id="424" name="Frame4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95605" cy="175260"/>
                      <wp:effectExtent l="0" t="0" r="0" b="0"/>
                      <wp:wrapNone/>
                      <wp:docPr id="425" name="Frame425"/>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71145" cy="175260"/>
                      <wp:effectExtent l="0" t="0" r="0" b="0"/>
                      <wp:wrapNone/>
                      <wp:docPr id="426" name="Frame42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95605" cy="175260"/>
                      <wp:effectExtent l="0" t="0" r="0" b="0"/>
                      <wp:wrapNone/>
                      <wp:docPr id="427" name="Frame42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59715" cy="175260"/>
                      <wp:effectExtent l="0" t="0" r="0" b="0"/>
                      <wp:wrapNone/>
                      <wp:docPr id="428" name="Frame42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61" w:type="dxa"/>
            <w:tcBorders/>
            <w:vAlign w:val="center"/>
          </w:tcPr>
          <w:p>
            <w:pPr>
              <w:pStyle w:val="TableContents"/>
              <w:bidi w:val="0"/>
              <w:spacing w:before="0" w:after="0"/>
              <w:ind w:left="0" w:right="0" w:hanging="0"/>
              <w:jc w:val="left"/>
              <w:rPr/>
            </w:pPr>
            <w:r>
              <w:rPr/>
              <w:t>​</w:t>
            </w:r>
          </w:p>
        </w:tc>
        <w:tc>
          <w:tcPr>
            <w:tcW w:w="167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c>
          <w:tcPr>
            <w:tcW w:w="409" w:type="dxa"/>
            <w:tcBorders/>
            <w:vAlign w:val="center"/>
          </w:tcPr>
          <w:p>
            <w:pPr>
              <w:pStyle w:val="TableContents"/>
              <w:bidi w:val="0"/>
              <w:spacing w:before="0" w:after="0"/>
              <w:ind w:left="0" w:right="0" w:hanging="0"/>
              <w:jc w:val="left"/>
              <w:rPr/>
            </w:pPr>
            <w:r>
              <w:rPr/>
              <w:t>​</w:t>
            </w:r>
          </w:p>
        </w:tc>
      </w:tr>
      <w:tr>
        <w:trPr/>
        <w:tc>
          <w:tcPr>
            <w:tcW w:w="55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61" w:type="dxa"/>
            <w:tcBorders/>
            <w:vAlign w:val="center"/>
          </w:tcPr>
          <w:p>
            <w:pPr>
              <w:pStyle w:val="TableContents"/>
              <w:bidi w:val="0"/>
              <w:spacing w:before="0" w:after="0"/>
              <w:ind w:left="0" w:right="0" w:hanging="0"/>
              <w:jc w:val="left"/>
              <w:rPr/>
            </w:pPr>
            <w:r>
              <w:rPr/>
              <w:t>​</w:t>
            </w:r>
          </w:p>
        </w:tc>
        <w:tc>
          <w:tcPr>
            <w:tcW w:w="16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409" w:type="dxa"/>
            <w:tcBorders/>
            <w:vAlign w:val="center"/>
          </w:tcPr>
          <w:p>
            <w:pPr>
              <w:pStyle w:val="TableContents"/>
              <w:bidi w:val="0"/>
              <w:spacing w:before="0" w:after="0"/>
              <w:ind w:left="0" w:right="0" w:hanging="0"/>
              <w:jc w:val="left"/>
              <w:rPr/>
            </w:pPr>
            <w:r>
              <w:rPr/>
              <w:t>​</w:t>
            </w:r>
          </w:p>
        </w:tc>
      </w:tr>
      <w:tr>
        <w:trPr/>
        <w:tc>
          <w:tcPr>
            <w:tcW w:w="55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77" w:type="dxa"/>
            <w:tcBorders/>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27"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409" w:type="dxa"/>
            <w:tcBorders/>
            <w:vAlign w:val="center"/>
          </w:tcPr>
          <w:p>
            <w:pPr>
              <w:pStyle w:val="TableContents"/>
              <w:bidi w:val="0"/>
              <w:spacing w:before="0" w:after="0"/>
              <w:ind w:left="0" w:right="0" w:hanging="0"/>
              <w:jc w:val="left"/>
              <w:rPr/>
            </w:pPr>
            <w:r>
              <w:rPr/>
              <w:t>​</w:t>
            </w:r>
          </w:p>
        </w:tc>
      </w:tr>
      <w:tr>
        <w:trPr/>
        <w:tc>
          <w:tcPr>
            <w:tcW w:w="55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Admiral Beverage Corporation.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15% and 14% of the Company’s net sales for the three-months ended June 30, 2025 and 2024, respectively. Coca-Cola Europacific Partners accounted for approximately 14% of the Company’s net sales for both the six-months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11% of the Company’s net sales for both the three-months ended June 30, 2025 and 2024. Coca-Cola Consolidated, Inc. accounted for approximately 10% of the Company’s net sales for both the six-months ended June 30,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and 10% of the Company’s net sales for the three-months ended June 30, 2025 and 2024, respectively. Reyes Holdings, LLC accounted for approximately 9% of the Company’s net sales for both the six-months ended June 30,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 and six-months ended June 30, 2025 and 2024.</w:t>
      </w:r>
    </w:p>
    <w:tbl>
      <w:tblPr>
        <w:tblW w:w="10205" w:type="dxa"/>
        <w:jc w:val="left"/>
        <w:tblInd w:w="0" w:type="dxa"/>
        <w:tblLayout w:type="fixed"/>
        <w:tblCellMar>
          <w:top w:w="0" w:type="dxa"/>
          <w:left w:w="0" w:type="dxa"/>
          <w:bottom w:w="0" w:type="dxa"/>
          <w:right w:w="0" w:type="dxa"/>
        </w:tblCellMar>
      </w:tblPr>
      <w:tblGrid>
        <w:gridCol w:w="2048"/>
        <w:gridCol w:w="326"/>
        <w:gridCol w:w="196"/>
        <w:gridCol w:w="826"/>
        <w:gridCol w:w="331"/>
        <w:gridCol w:w="196"/>
        <w:gridCol w:w="826"/>
        <w:gridCol w:w="331"/>
        <w:gridCol w:w="856"/>
        <w:gridCol w:w="331"/>
        <w:gridCol w:w="196"/>
        <w:gridCol w:w="826"/>
        <w:gridCol w:w="331"/>
        <w:gridCol w:w="196"/>
        <w:gridCol w:w="826"/>
        <w:gridCol w:w="331"/>
        <w:gridCol w:w="856"/>
        <w:gridCol w:w="376"/>
      </w:tblGrid>
      <w:tr>
        <w:trPr/>
        <w:tc>
          <w:tcPr>
            <w:tcW w:w="2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00480" cy="175260"/>
                      <wp:effectExtent l="0" t="0" r="0" b="0"/>
                      <wp:wrapNone/>
                      <wp:docPr id="429" name="Frame429"/>
                      <a:graphic xmlns:a="http://schemas.openxmlformats.org/drawingml/2006/main">
                        <a:graphicData uri="http://schemas.microsoft.com/office/word/2010/wordprocessingShape">
                          <wps:wsp>
                            <wps:cNvSpPr txBox="1"/>
                            <wps:spPr>
                              <a:xfrm>
                                <a:off x="0" y="0"/>
                                <a:ext cx="1300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24460" cy="175260"/>
                      <wp:effectExtent l="0" t="0" r="0" b="0"/>
                      <wp:wrapNone/>
                      <wp:docPr id="431" name="Frame4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24510" cy="175260"/>
                      <wp:effectExtent l="0" t="0" r="0" b="0"/>
                      <wp:wrapNone/>
                      <wp:docPr id="432" name="Frame4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0185" cy="175260"/>
                      <wp:effectExtent l="0" t="0" r="0" b="0"/>
                      <wp:wrapNone/>
                      <wp:docPr id="433" name="Frame43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24460" cy="175260"/>
                      <wp:effectExtent l="0" t="0" r="0" b="0"/>
                      <wp:wrapNone/>
                      <wp:docPr id="434" name="Frame4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24510" cy="175260"/>
                      <wp:effectExtent l="0" t="0" r="0" b="0"/>
                      <wp:wrapNone/>
                      <wp:docPr id="435" name="Frame4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0185" cy="175260"/>
                      <wp:effectExtent l="0" t="0" r="0" b="0"/>
                      <wp:wrapNone/>
                      <wp:docPr id="436" name="Frame43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43560" cy="175260"/>
                      <wp:effectExtent l="0" t="0" r="0" b="0"/>
                      <wp:wrapNone/>
                      <wp:docPr id="437" name="Frame43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0185" cy="175260"/>
                      <wp:effectExtent l="0" t="0" r="0" b="0"/>
                      <wp:wrapNone/>
                      <wp:docPr id="438" name="Frame43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24460" cy="175260"/>
                      <wp:effectExtent l="0" t="0" r="0" b="0"/>
                      <wp:wrapNone/>
                      <wp:docPr id="439" name="Frame4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24510" cy="175260"/>
                      <wp:effectExtent l="0" t="0" r="0" b="0"/>
                      <wp:wrapNone/>
                      <wp:docPr id="440" name="Frame4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0185" cy="175260"/>
                      <wp:effectExtent l="0" t="0" r="0" b="0"/>
                      <wp:wrapNone/>
                      <wp:docPr id="441" name="Frame44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24460" cy="175260"/>
                      <wp:effectExtent l="0" t="0" r="0" b="0"/>
                      <wp:wrapNone/>
                      <wp:docPr id="442" name="Frame4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24510" cy="175260"/>
                      <wp:effectExtent l="0" t="0" r="0" b="0"/>
                      <wp:wrapNone/>
                      <wp:docPr id="443" name="Frame4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0185" cy="175260"/>
                      <wp:effectExtent l="0" t="0" r="0" b="0"/>
                      <wp:wrapNone/>
                      <wp:docPr id="444" name="Frame44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43560" cy="175260"/>
                      <wp:effectExtent l="0" t="0" r="0" b="0"/>
                      <wp:wrapNone/>
                      <wp:docPr id="445" name="Frame44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38760" cy="175260"/>
                      <wp:effectExtent l="0" t="0" r="0" b="0"/>
                      <wp:wrapNone/>
                      <wp:docPr id="446" name="Frame44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31"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Six-Months Ended</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31"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 vs. 24</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 vs. 24</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sales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2,111,593</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1,900,597</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3,966,150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3,799,695</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935,180</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881,091</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1,741,775</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1,753,061</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Gross profit*</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1,176,413</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1,019,506</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2,224,375</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2,046,634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544,791</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492,343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1,023,008</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977,480</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631,622</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527,163</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1,201,367</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1,069,154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15,065</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24,376</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23,337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60,131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646,687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551,539</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1,224,704</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1,129,285</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157,893</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126,170</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292,917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261,867</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488,794</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425,369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931,787</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867,418</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0.50</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0.96</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0.95</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0.83</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0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 drink case sales (in thousands) (in 192</w:t>
              <w:noBreakHyphen/>
              <w:t>ounce case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249,336</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212,194</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462,436</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423,624</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 xml:space="preserve">Includes $10.0 million for both the three-months ended June 30, 2025 and 2024, related to the recognition of deferred revenue. </w:t>
      </w:r>
      <w:r>
        <w:rPr>
          <w:rFonts w:ascii="Times New Roman;Times;serif" w:hAnsi="Times New Roman;Times;serif"/>
          <w:i/>
          <w:color w:val="212529"/>
          <w:sz w:val="18"/>
          <w:shd w:fill="FFFFFF" w:val="clear"/>
        </w:rPr>
        <w:t>Includes $19.9 million for both the six-months ended June 30, 2025 and 2024, related to the recognition of deferred revenue.</w:t>
      </w:r>
    </w:p>
    <w:p>
      <w:pPr>
        <w:pStyle w:val="TextBody"/>
        <w:bidi w:val="0"/>
        <w:spacing w:before="0" w:after="200"/>
        <w:ind w:left="0" w:right="0" w:hanging="0"/>
        <w:jc w:val="both"/>
        <w:rPr>
          <w:rFonts w:ascii="Times New Roman;Times;serif" w:hAnsi="Times New Roman;Times;serif"/>
          <w:i/>
          <w:sz w:val="18"/>
        </w:rPr>
      </w:pPr>
      <w:r>
        <w:rPr>
          <w:rFonts w:ascii="Times New Roman;Times;serif" w:hAnsi="Times New Roman;Times;serif"/>
          <w:i/>
          <w:sz w:val="18"/>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Three-Months Ended June 30, 2025 Compared to the Three-Months Ended June 30, 2024</w:t>
      </w:r>
      <w:r>
        <w:rPr>
          <w:rFonts w:ascii="Times New Roman;Times;serif" w:hAnsi="Times New Roman;Times;serif"/>
          <w:b/>
          <w:sz w:val="20"/>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sales were $2.11 billion for the three-months ended June 30, 2025, an increase of approximately $211.0 million, or 11.1% higher than net sales of $1.90 billion for the three-months ended June 30, 2024. Net sales increased primarily due to increased worldwide sales by volume of our Monster Energy® brand energy drinks as a result of increased consumer demand. Net changes in foreign currency exchange rates had an unfavorable impact on net sales of approximately $5.0 million for the three-months ended June 30, 2025. Net sales on a foreign currency adjusted basis increased 11.4% for the three-months ended June 30, 2025.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sales were $810.2 million for the three-months ended June 30, 2025, an increase of $107.8 million, or 15.3% higher than net sales of $702.4 million for the three-months ended June 30, 2024, in EMEA, Asia Pacific (including Oceania), Latin America and the Caribbean. Net changes in foreign currency exchange rates had an unfavorable impact on net sales to customers in EMEA, Asia Pacific (including Oceania), Latin America and the Caribbean of approximately $3.1 million for the three-months ended June 30, 2025. Net sales on a foreign currency adjusted basis in EMEA, Asia Pacific (including Oceania), Latin America and the Caribbean increased 15.8% for the three-months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$1.94 billion for the three-months ended June 30, 2025, an increase of approximately $194.5 million, or 11.2% higher than net sales of $1.74 billion for the three-months ended June 30, 2024. Net sales increased primarily due to increased worldwide sales by volume of our Monster Energy® brand energy drinks as a result of increased consumer demand. Net changes in foreign currency exchange rates had an unfavorable impact on net sales for the Monster Energy® Drinks segment of approximately $4.8 million for the three-months ended June 30, 2025. Net sales for the Monster Energy® Drinks segment on a foreign currency adjusted basis increased 11.4%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$129.9 million for the three-months ended June 30, 2025, an increase of approximately $20.7 million, or 18.9% higher than net sales of $109.2 million for the three-months ended June 30, 2024. Net sales for the Strategic Brands segment increased primarily due to increased sales by volume of our Burn®, NOS®, and Fury® brand energy drinks. Net changes in foreign currency exchange rates had an unfavorable impact on net sales of approximately $0.2 million for the Strategic Brands segment for the three-months ended June 30, 2025. Net sales for the Strategic Brands segment on a foreign currency adjusted basis increased 19.1% for the three-months ended June 30,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$38.0 million for the three-months ended June 30, 2025, a decrease of approximately $3.6 million, or 8.6% lower than net sales of $41.6 million for the three-months ended June 30, 2024. The decrease in net sales for the three-months ended June 30, 2025 was primarily due to decreased sales by volume of certain craft beers and the Nasty Beast® Hard Tea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$6.4 million for the three-months ended June 30, 2025, a decrease of approximately $0.6 million, or 8.5% lower than net sales of $7.0 million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249.3 million cases for the three-months ended June 30, 2025, an increase of approximately 37.1 million cases or 17.5% higher than case sales of 212.2 million cases for the three-months ended June 30, 2024. The overall average net sales per case for our energy drink products (excluding net sales of Alcohol Brands and Other segments) decreased to $8.29 for the three-months ended June 30, 2025, which was 5.0% lower than the average net sales per case of $8.73 for the three-months ended June 30, 2024. The decrease in overall average net sales per case for our energy drink products for the three-months ended June 30, 2025 compared to the three-months ended June 30, 2024 was primarily due to geographical/product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2.8 million cases for the three-months ended June 30, 2025, a decrease of approximately 0.2 million cases or 7.6% lower than case sales of 3.0 million cases for the three-months ended June 30, 2024. Barrel sales for our craft beers, FMBs and hard seltzers, in 31 U.S. gallon equivalents, were 0.14 million barrels for the three-months ended June 30, 2025, a decrease of approximately 0.01 million barrels or 7.6% lower than barrel sales of 0.15 million barrels for the three-months ended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$1.18 billion for the three-months ended June 30, 2025, an increase of approximately $156.9 million, or 15.4% higher than the gross profit of $1.02 billion for the three-months ended June 30, 2024. The increase in gross profit dollars was primarily the result of the $211.0 million increase in net sales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55.7% for the three-months ended June 30, 2025 from 53.6% for the three-months ended June 30, 2024. The increase in gross profit as a percentage of net sales for the three-months ended June 30, 2025 was primarily the result of the Pricing Actions, supply chain optimization and lower input costs, partially offset by geographical sales mix and higher promotional allowances.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$544.8 million for the three-months ended June 30, 2025, an increase of approximately $52.4 million, or 10.7% higher than total operating expenses of $492.3 million for the three-months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payroll expense of $29.6 million (of which $14.4 million was attributable to stock-based compensation expense) and general administrative expense of $23.5 million. Operating expenses as a percentage of net sales for the three-months ended June 30, 2025 were 25.8% as compared to 25.9% for the three-months ended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$631.6 million for the three-months ended June 30, 2025, an increase of approximately $104.5 million, or 19.8% higher than operating income of $527.2 million for the three-months ended June 30, 2024. Operating income as a percentage of net sales increased to 29.9% for the three-months ended June 30, 2025 from 27.7%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$164.1 million and $145.8 million for the three-months ended June 30, 2025 and 2024, respectively, for our operations in EMEA, Asia Pacific (including Oceania), Latin America and the Caribbean.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$757.5 million for the three-months ended June 30, 2025, an increase of approximately $145.2 million, or 23.7% higher than operating income of $612.3 million for the three-months ended June 30, 2024. The increase in operating income for the Monster Energy® Drinks segment was primarily the result of an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$67.9 million for the three-months ended June 30, 2025, an increase of approximately $6.2 million, or 10.1% higher than operating income of $61.7 million for the three-months ended June 30, 2024. The increase in operating income for the Strategic Brands segment was primarily the result of an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$14.6 million for the three-months ended June 30, 2025, a decrease of approximately $7.9 million, or 35.1% lower than the operating loss of $22.6 million for the three-months ended June 30, 2024. The decrease in operating loss for the three-months ended June 30, 2025 was primarily due to a decrease in general administrative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$1.3 million for the three-months ended June 30, 2025, as compared to operating income of $1.4 million for the three-months ended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net, was $15.1 million for the three-months ended June 30, 2025, as compared to interest and other income, net, of $24.4 million for the three-months ended June 30, 2024. Interest income was $18.1 million and $38.2 million for the three-months ended June 30, 2025 and 2024, respectively. The decrease in interest income for the three-months ended June 30, 2025 was primarily related to lower average short- and long-term investment balances as a result of treasury stock repurchases made in the second and third quarters of 2024. Interest expense was $1.8 million and $4.9 million for the three-months ended June 30, 2025 and 2024, respectively. Foreign currency transaction losses were $2.1 million and $8.0 million for the three-months ended June 30,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$157.9 million for the three-months ended June 30, 2025, an increase of $31.7 million, or 25.1% higher than the provision for income taxes of $126.2 million for the three-months ended June 30, 2024. The effective combined federal, state and foreign tax rate increased to 24.4% from 22.9% for the three-months ended June 30, 2025 and 2024, respectively. The increase in the effective tax rate was primarily attributable to higher income taxes in foreign tax jurisdictions.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$488.8 million for the three-months ended June 30, 2025, an increase of $63.4 million, or 14.9% higher than net income of $425.4 million for the three-months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Six-Months Ended June 30, 2025 Compared to the Six-Months Ended June 30, 2024</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$3.97 billion for the six-months ended June 30, 2025, an increase of approximately $166.5 million, or 4.4% higher than net sales of $3.80 billion for the six-months ended June 30, 2024. Net sales increased primarily due to increased worldwide sales by volume of our Monster Energy® brand energy drinks as a result of increased consumer demand. Net changes in foreign currency exchange rates had an unfavorable impact on net sales of approximately $62.4 million for the six-months ended June 30, 2025. Net sales on a foreign currency adjusted basis increased 6.0%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$1.50 billion for the six-months ended June 30, 2025, an increase of $104.7 million, or 7.5% higher than net sales of $1.40 billion for the six-months ended June 30, 2024, in EMEA, Asia Pacific (including Oceania), Latin America and the Caribbean. Net changes in foreign currency exchange rates had an unfavorable impact on net sales to customers in EMEA, Asia Pacific (including Oceania), Latin America and the Caribbean of approximately $57.7 million for the six-months ended June 30, 2025. Net sales on a foreign currency adjusted basis in EMEA, Asia Pacific (including Oceania), Latin America and the Caribbean increased 11.6%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$3.65 billion for the six-months ended June 30, 2025, an increase of approximately $181.0 million, or 5.2% higher than net sales of $3.47 billion for the six-months ended June 30, 2024. Net sales increased primarily due to increased worldwide sales by volume of our Monster Energy® brand energy drinks as a result of increased consumer demand. Net changes in foreign currency exchange rates had an unfavorable impact on net sales for the Monster Energy® Drinks segment of approximately $55.6 million for the six-months ended June 30, 2025. Net sales for the Monster Energy® Drinks segment on a foreign currency adjusted basis increased 6.8%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$228.2 million for the six-months ended June 30, 2025, an increase of approximately $10.6 million, or 4.9% higher than net sales of $217.7 million for the six-months ended June 30, 2024. Net sales for the Strategic Brands segment increased primarily due to increased sales by volume of our Burn®, Predator® and NOS® brand energy drinks. Net changes in foreign currency exchange rates had an unfavorable impact on net sales of approximately $6.7 million for the Strategic Brands segment for the six-months ended June 30, 2025. Net sales for the Strategic Brands segment on a foreign currency adjusted basis increased 7.9% for the six-months ended June 30,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$72.7 million for the six-months ended June 30, 2025, a decrease of approximately $25.0 million, or 25.6% lower than net sales of $97.6 million for the six-months ended June 30, 2024. The decrease in net sales for the six-months ended June 30, 2025 was primarily due to decreased sales by volume of the Nasty Beast® Hard Tea product line, which was launched during the six-months ended June 30, 2024, as well as decreased sales by volume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$12.4 million for the six-months ended June 30, 2025, a decrease of approximately $0.1 million, or 1.2% lower than net sales of $12.5 million for the six-months ended June 30,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energy drink products, in 192-ounce case equivalents, were 462.4 million cases for the six-months ended June 30, 2025, an increase of approximately 38.8 million cases or 9.2% higher than case sales of 423.6 million cases for the six-months ended June 30, 2024. The overall average net sales per case for our energy drink products (excluding net sales of Alcohol Brands and Other segments) decreased to $8.39 for the six-months ended June 30, 2025, which was 3.6% lower than the average net sales per case of $8.71 for the six-months ended June 30, 2024. The decrease in overall average net sales per case for our energy drink products for the six-months ended June 30, 2025 compared to the six-months ended June 30, 2024 was primarily due to adverse changes in foreign currency exchange rates as well as geographical/product sales mix.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5.2 million cases for the six-months ended June 30, 2025, a decrease of approximately 1.9 million cases or 26.9% lower than case sales of 7.1 million cases for the six-months ended June 30, 2024. Barrel sales for our craft beers, FMBs and hard seltzers, in 31 U.S. gallon equivalents, were 0.25 million barrels for the six-months ended June 30, 2025, a decrease of approximately 0.09 million barrels or 26.9% lower than barrel sales of 0.34 million barrels for the six-months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$2.22 billion for the six-months ended June 30, 2025, an increase of approximately $177.7 million, or 8.7% higher than the gross profit of $2.05 billion for the six-months ended June 30, 2024. The increase in gross profit dollars was primarily the result of the $166.5 million increase in net sales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56.1% for the six-months ended June 30, 2025 from 53.9% for the six-months ended June 30, 2024. The increase in gross profit as a percentage of net sales for the six-months ended June 30, 2025 was primarily the result of the Pricing Actions, supply chain optimization, lower input costs and favorable product mix, partially offset by higher promotional allowances and geographical sales mix.</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$1.02 billion for the six-months ended June 30, 2025, an increase of approximately $45.5 million, or 4.7% higher than total operating expenses of $977.5 million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payroll expense of $33.3 million and general administrative expense of $32.0 million, partially offset by decreased distribution expense of $22.3 million. Operating expenses as a percentage of net sales for the six-months ended June 30, 2025 were 25.8% as compared to 25.7% for the six-months ended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$1.20 billion for the six-months ended June 30, 2025, an increase of approximately $132.2 million, or 12.4% higher than operating income of $1.07 billion for the six-months ended June 30, 2024. Operating income as a percentage of net sales increased to 30.3% for the six-months ended June 30, 2025 from 28.1%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$306.7 million and $283.7 million for the six-months ended June 30, 2025 and 2024, respectively, for our operations in EMEA, Asia Pacific (including Oceania), Latin America and the Caribbean.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$1.44 billion for the six-months ended June 30, 2025, an increase of approximately $197.5 million, or 15.9% higher than operating income of $1.24 billion for the six-months ended June 30, 2024. The increase in operating income for the Monster Energy® Drinks segment was primarily the result of an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$119.8 million for the six-months ended June 30, 2025, a decrease of approximately $3.9 million, or 3.2% lower than operating income of $123.7 million for the six-months ended June 30, 2024. The decrease in operating income for the Strategic Brands segment was primarily the result of a decrease in gross profit as a percentage of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$36.1 million for the six-months ended June 30, 2025, an increase of approximately $7.5 million, or 26.4% higher than the operating loss of $28.6 million for the six-months ended June 30, 2024. The increase in operating loss for the six-months ended June 30, 2025 was primarily due to a decrease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$1.5 million for the six-months ended June 30, 2025, as compared to operating income of $2.4 million for the six-months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net, was $23.3 million for the six-months ended June 30, 2025, as compared to interest and other income, net, of $60.1 million for the six-months ended June 30, 2024. Interest income was $35.0 million and $79.4 million for the six-months ended June 30, 2025 and 2024, respectively. The decrease in interest income for the six-months ended June 30, 2025 was primarily related to lower average short- and long-term investment balances as a result of treasury stock repurchases made in the second and third quarters of 2024. Interest expense was $5.8 million and $5.0 million for the six-months ended June 30, 2025 and 2024, respectively. Foreign currency transaction losses were $5.8 million and $14.0 million for the six-months ended June 30,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$292.9 million for the six-months ended June 30, 2025, an increase of $31.1 million, or 11.9% higher than the provision for income taxes of $261.9 million for the six-months ended June 30, 2024. The effective combined federal, state and foreign tax rate increased to 23.9% from 23.2% for the six-months ended June 30, 2025 and 2024, respectively. The increase in the effective tax rate was primarily attributable to higher income taxes in foreign tax jurisdictions.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$931.8 million for the six-months ended June 30, 2025, an increase of $64.4 million, or 7.4% higher than net income of $867.4 million for the six-months ended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Three-Months Ended June 30, 2025 Compared to the Three-Months Ended June 30, 2024</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$2.50 billion for the three-months ended June 30, 2025, an increase of approximately $282.5 million, or 12.7% higher than gross billings of $2.22 billion for the three-months ended June 30, 2024. Gross billings increased primarily due to increased worldwide sales by volume of our Monster Energy® brand energy drinks as a result of increased consumer demand. Net changes in foreign currency exchange rates had an unfavorable impact on gross billings of approximately $3.0 million for the three-months ended June 30, 2025. Gross billings on a foreign currency adjusted basis increased 12.9%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$2.30 billion for the three-months ended June 30, 2025, an increase of approximately $257.3 million, or 12.6% higher than gross billings of $2.05 billion for the three-months ended June 30, 2024. Gross billings increased primarily due to increased worldwide sales by volume of our Monster Energy® brand energy drinks as a result of increased consumer demand. Net changes in foreign currency exchange rates had an unfavorable impact on gross billings for the Monster Energy® Drinks segment of approximately $2.6 million for the three-months ended June 30, 2025. Gross billings for the Monster Energy® Drinks segment on a foreign currency adjusted basis increased 12.7% for the three-months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$152.0 million for the three-months ended June 30, 2025, an increase of $29.0 million, or 23.5% higher than gross billings of $123.1 million for the three-months ended June 30, 2024. Gross billings for the Strategic Brands segment increased primarily due to increased sales by volume of our Burn®, Predator®, NOS® and Fury® brand energy drinks. Net changes in foreign currency exchange rates had an unfavorable impact on gross billings in the Strategic Brands segment of approximately $0.4 million for the three-months ended June 30, 2025. Gross billings for the Strategic Brands segment on a foreign currency adjusted basis increased 23.8% for the three-months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$39.8 million for the three-months ended June 30, 2025, a decrease of approximately $3.1 million, or 7.3% lower than gross billings of $42.9 million for the three-months ended June 30, 2024. The decrease in gross billings for the three-months ended June 30, 2025 was primarily due to decreased sales by volume of certain craft beers and the Nasty Beast® Hard Tea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$6.4 million for the three-months ended June 30, 2025, a decrease of $0.6 million, or 9.2% lower than gross billings of $7.0 million for the three-months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$399.1 million for the three-months ended June 30, 2025, an increase of $71.5 million, or 21.8% higher than promotional allowances, commissions and other expenses of $327.5 million for the three-months ended June 30, 2024. Promotional allowances, commissions and other expenses as a percentage of gross billings increased to 16.0% from 14.8% for the three-months ended June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Six-Months Ended June 30, 2025 Compared to the Six-Months Ended June 30, 2024</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$4.66 billion for the six-months ended June 30, 2025, an increase of approximately $255.8 million, or 5.8% higher than gross billings of $4.41 billion for the six-months ended June 30, 2024. Gross billings increased primarily due to increased worldwide sales by volume of our Monster Energy® brand energy drinks as a result of increased consumer demand. Net changes in foreign currency exchange rates had an unfavorable impact on gross billings of approximately $66.3 million for the six-months ended June 30, 2025. Gross billings on a foreign currency adjusted basis increased 7.3%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$4.31 billion for the six-months ended June 30, 2025, an increase of approximately $259.7 million, or 6.4% higher than gross billings of $4.05 billion for the six-months ended June 30, 2024. Gross billings increased primarily due to increased worldwide sales by volume of our Monster Energy® brand energy drinks as a result of increased consumer demand. Net changes in foreign currency exchange rates had an unfavorable impact on gross billings for the Monster Energy® Drinks segment of approximately $59.4 million for the six-months ended June 30, 2025. Gross billings for the Monster Energy® Drinks segment on a foreign currency adjusted basis increased 7.9% for the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$265.8 million for the six-months ended June 30, 2025, an increase of approximately $20.2 million, or 8.2% higher than gross billings of $245.6 million for the six-months ended June 30, 2024. Gross billings for the Strategic Brands segment increased primarily due to increased sales by volume of our Burn®, Predator® and NOS® brand energy drinks. Net changes in foreign currency exchange rates had an unfavorable impact on gross billings in the Strategic Brands segment of approximately $6.9 million for the six-months ended June 30, 2025. Gross billings for the Strategic Brands segment on a foreign currency adjusted basis increased 11.0% for the six-months ended June 30,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$76.0 million for the six-months ended June 30, 2025, a decrease of approximately $24.0 million, or 24.0% lower than gross billings of $100.0 million for the six-months ended June 30, 2024. The decrease in gross billings for the six-months ended June 30, 2025 was primarily due to decreased sales by volume of the Nasty Beast® Hard Tea product line, which was launched during the six-months ended June 30, 2024, as well as decreased sales by volume of The Beast</w:t>
      </w:r>
      <w:r>
        <w:rPr>
          <w:rFonts w:ascii="Times New Roman;Times;serif" w:hAnsi="Times New Roman;Times;serif"/>
          <w:sz w:val="15"/>
        </w:rPr>
        <w:t>TM</w:t>
      </w:r>
      <w:r>
        <w:rPr>
          <w:rFonts w:ascii="Times New Roman;Times;serif" w:hAnsi="Times New Roman;Times;serif"/>
          <w:sz w:val="20"/>
        </w:rPr>
        <w:t xml:space="preserve">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$12.5 million for the six-months ended June 30, 2025, a decrease of approximately $0.1 million, or 1.0% lower than gross billings of $12.7 million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$716.6 million for the six-months ended June 30, 2025, an increase of $89.4 million, or 14.2% higher than promotional allowances, commissions and other expenses of $627.2 million for the six-months ended June 30, 2024. Promotional allowances, commissions and other expenses as a percentage of gross billings increased to 15.4% from 14.2% for the six-months ended June 30, 2025 and 2024, respectively.</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xml:space="preserve"> </w:t>
      </w:r>
      <w:r>
        <w:rPr>
          <w:rFonts w:ascii="Times New Roman;Times;serif" w:hAnsi="Times New Roman;Times;serif"/>
          <w:i/>
          <w:sz w:val="18"/>
        </w:rPr>
        <w:t xml:space="preserve">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1348"/>
        <w:gridCol w:w="326"/>
        <w:gridCol w:w="211"/>
        <w:gridCol w:w="931"/>
        <w:gridCol w:w="326"/>
        <w:gridCol w:w="211"/>
        <w:gridCol w:w="931"/>
        <w:gridCol w:w="326"/>
        <w:gridCol w:w="991"/>
        <w:gridCol w:w="361"/>
        <w:gridCol w:w="211"/>
        <w:gridCol w:w="931"/>
        <w:gridCol w:w="326"/>
        <w:gridCol w:w="211"/>
        <w:gridCol w:w="931"/>
        <w:gridCol w:w="326"/>
        <w:gridCol w:w="991"/>
        <w:gridCol w:w="316"/>
      </w:tblGrid>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91185" cy="175260"/>
                      <wp:effectExtent l="0" t="0" r="0" b="0"/>
                      <wp:wrapNone/>
                      <wp:docPr id="449" name="Frame4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1185" cy="175260"/>
                      <wp:effectExtent l="0" t="0" r="0" b="0"/>
                      <wp:wrapNone/>
                      <wp:docPr id="452" name="Frame4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29285" cy="175260"/>
                      <wp:effectExtent l="0" t="0" r="0" b="0"/>
                      <wp:wrapNone/>
                      <wp:docPr id="454" name="Frame45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29235" cy="175260"/>
                      <wp:effectExtent l="0" t="0" r="0" b="0"/>
                      <wp:wrapNone/>
                      <wp:docPr id="455" name="Frame4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91185" cy="175260"/>
                      <wp:effectExtent l="0" t="0" r="0" b="0"/>
                      <wp:wrapNone/>
                      <wp:docPr id="457" name="Frame4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91185" cy="175260"/>
                      <wp:effectExtent l="0" t="0" r="0" b="0"/>
                      <wp:wrapNone/>
                      <wp:docPr id="460" name="Frame4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29285" cy="175260"/>
                      <wp:effectExtent l="0" t="0" r="0" b="0"/>
                      <wp:wrapNone/>
                      <wp:docPr id="462" name="Frame4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0660" cy="175260"/>
                      <wp:effectExtent l="0" t="0" r="0" b="0"/>
                      <wp:wrapNone/>
                      <wp:docPr id="463" name="Frame4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61"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61"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316" w:type="dxa"/>
            <w:tcBorders/>
            <w:vAlign w:val="center"/>
          </w:tcPr>
          <w:p>
            <w:pPr>
              <w:pStyle w:val="TableContents"/>
              <w:bidi w:val="0"/>
              <w:spacing w:before="0" w:after="0"/>
              <w:ind w:left="0" w:right="0" w:hanging="0"/>
              <w:jc w:val="left"/>
              <w:rPr/>
            </w:pPr>
            <w:r>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2,500,676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2,218,152</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4,407,085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9,978</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327,533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627,243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and/or free products or cash rebates;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 and six-months ended June 30, 2025 and 2024, respectively. Data from any one or more quarters or periods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pronounced, the addition of new bottlers/distributors, changes in the sales mix of our products and changes in advertising and promotional expenses.</w:t>
      </w:r>
    </w:p>
    <w:tbl>
      <w:tblPr>
        <w:tblW w:w="9923"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91185" cy="175260"/>
                      <wp:effectExtent l="0" t="0" r="0" b="0"/>
                      <wp:wrapNone/>
                      <wp:docPr id="466" name="Frame4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91185" cy="175260"/>
                      <wp:effectExtent l="0" t="0" r="0" b="0"/>
                      <wp:wrapNone/>
                      <wp:docPr id="469" name="Frame4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91185" cy="175260"/>
                      <wp:effectExtent l="0" t="0" r="0" b="0"/>
                      <wp:wrapNone/>
                      <wp:docPr id="472" name="Frame4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19760" cy="175260"/>
                      <wp:effectExtent l="0" t="0" r="0" b="0"/>
                      <wp:wrapNone/>
                      <wp:docPr id="475" name="Frame47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2,111,593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3,799,695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2,067,214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1,852,030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3,881,094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3,689,525</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88,240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423,624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8.71</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 and six-months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w:t>
      </w:r>
    </w:p>
    <w:tbl>
      <w:tblPr>
        <w:tblW w:w="8903"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676"/>
        <w:gridCol w:w="326"/>
        <w:gridCol w:w="211"/>
        <w:gridCol w:w="72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543810" cy="175260"/>
                      <wp:effectExtent l="0" t="0" r="0" b="0"/>
                      <wp:wrapNone/>
                      <wp:docPr id="476" name="Frame476"/>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29260" cy="175260"/>
                      <wp:effectExtent l="0" t="0" r="0" b="0"/>
                      <wp:wrapNone/>
                      <wp:docPr id="479" name="Frame4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9260" cy="175260"/>
                      <wp:effectExtent l="0" t="0" r="0" b="0"/>
                      <wp:wrapNone/>
                      <wp:docPr id="482" name="Frame4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85" name="Frame4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57835" cy="175260"/>
                      <wp:effectExtent l="0" t="0" r="0" b="0"/>
                      <wp:wrapNone/>
                      <wp:docPr id="488" name="Frame48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center"/>
              <w:rPr/>
            </w:pPr>
            <w:r>
              <w:rPr/>
              <w:t>​</w:t>
            </w:r>
          </w:p>
        </w:tc>
        <w:tc>
          <w:tcPr>
            <w:tcW w:w="214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Six-Months Ended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97,634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At June 30, 2025, we had $1.93 billion in cash and cash equivalents. Of our $1.93 billion of cash and cash equivalents held at June 30, 2025, $1.10 billion was held by our foreign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Long-term debt.</w:t>
      </w:r>
      <w:r>
        <w:rPr>
          <w:rFonts w:ascii="Times New Roman;Times;serif" w:hAnsi="Times New Roman;Times;serif"/>
          <w:sz w:val="20"/>
        </w:rPr>
        <w:t xml:space="preserve"> 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was repaid in April 2025 with no additional borrowings permitted. The Revolving Credit Facility matures in May 2029. Borrowings under the Revolving Credit Facility bear interest at a variable rate per annum equal to the applicable rate plus margin (as defined in the Credit Facilities). Borrowings may be repaid at any time during the term of the Revolving Credit Facility and may be reborrowed prior to the maturity date. As of June 30, 2025, no borrowings were outstanding under the Credit Facilities, and the Revolving Credit Facility had remaining availability of $750.0 million.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we estimate that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expenditures (exclusive of common stock repurchases) are likely to be less than $250.0 million through June 30, 2026. However, future business opportunities may cause a change in this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six-months ended June 30, 2025 and 2024 (in thousands):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(used in):</w:t>
      </w:r>
    </w:p>
    <w:tbl>
      <w:tblPr>
        <w:tblW w:w="4812" w:type="dxa"/>
        <w:jc w:val="left"/>
        <w:tblInd w:w="0" w:type="dxa"/>
        <w:tblLayout w:type="fixed"/>
        <w:tblCellMar>
          <w:top w:w="0" w:type="dxa"/>
          <w:left w:w="0" w:type="dxa"/>
          <w:bottom w:w="0" w:type="dxa"/>
          <w:right w:w="0" w:type="dxa"/>
        </w:tblCellMar>
      </w:tblPr>
      <w:tblGrid>
        <w:gridCol w:w="1741"/>
        <w:gridCol w:w="326"/>
        <w:gridCol w:w="211"/>
        <w:gridCol w:w="901"/>
        <w:gridCol w:w="326"/>
        <w:gridCol w:w="211"/>
        <w:gridCol w:w="1096"/>
      </w:tblGrid>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2135" cy="175260"/>
                      <wp:effectExtent l="0" t="0" r="0" b="0"/>
                      <wp:wrapNone/>
                      <wp:docPr id="491" name="Frame49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5960" cy="175260"/>
                      <wp:effectExtent l="0" t="0" r="0" b="0"/>
                      <wp:wrapNone/>
                      <wp:docPr id="494" name="Frame49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848,433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903,304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(2,440,475)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$973.6 million for the six-months ended June 30, 2025, as compared with cash provided by operating activities of $848.4 million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2025, cash provided by operating activities was primarily attributable to net income earned of $931.8 million and adjustments for certain non-cash expenses, consisting primarily of $59.4 million of depreciation and amortization and non-cash lease expense and $53.9 million of stock-based compensation. For the six-months ended June 30, 2025, cash provided by operating activities also increased due to a $104.6 million decrease in inventories, a $71.5 million increase in accrued promotional allowances, a $28.5 million increase in accrued liabilities, a $21.1 million increase in income taxes payable, and a $14.5 million decrease in prepaid income taxes. For the six-months ended June 30, 2025, cash used in operating activities was primarily attributable to a $222.2 million increase in accounts receivable, a $63.7 million increase in prepaid expenses and other assets, a $22.1 million decrease in accrued compensation, and an $8.6 million decrease in deferred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six-months ended June 30, 2024, cash provided by operating activities was primarily attributable to net income earned of $867.4 million and adjustments for certain non-cash expenses, consisting primarily of $46.5 million of depreciation and amortization and non-cash lease expense and $41.3 million of stock-based compensation. For the six-months ended June 30, 2024, cash provided by operating activities also increased due to a $123.5 million decrease in inventories, a $54.2 million increase in accrued promotional allowances, an $11.3 million increase in income taxes payable and a $2.7 million increase in accrued liabilities. For the six-months ended June 30, 2024, cash used in operating activities was primarily attributable to a $197.2 million increase in accounts receivable, a $33.5 million decrease in accounts payable, a $27.0 million decrease in accrued compensation, a $14.0 million increase in prepaid expenses and other assets, a $12.3 million increase in prepaid income taxes and a $7.7 million decrease in deferred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provided by investing activities.</w:t>
      </w:r>
      <w:r>
        <w:rPr>
          <w:rFonts w:ascii="Times New Roman;Times;serif" w:hAnsi="Times New Roman;Times;serif"/>
          <w:sz w:val="20"/>
        </w:rPr>
        <w:t xml:space="preserve"> Cash used in investing activities was $357.7 million for the six-months ended June 30, 2025, as compared to cash provided by investing activities of $903.3 million for the six-months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six-months ended June 30, 2025 and 2024, cash used in investing activities was primarily attributable to purchases of available-for-sale investments. To a lesser extent, for both the six-months ended June 30, 2025 and 2024,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construction of and/or improvements to real property. For the six-months ended June 30, 2024, cash provided by investing activities was primarily attributable to sales of available-for-sale investments. We expect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financing activities.</w:t>
      </w:r>
      <w:r>
        <w:rPr>
          <w:rFonts w:ascii="Times New Roman;Times;serif" w:hAnsi="Times New Roman;Times;serif"/>
          <w:sz w:val="20"/>
        </w:rPr>
        <w:t xml:space="preserve"> Cash used in financing activities was $309.0 million for the six-months ended June 30, 2025, as compared to cash used in financing activities of $2.44 billion for the six-months ended June 30, 2024. The cash used in financing activities for the six-months ended June 30, 2025 was primarily due to repayments on the Credit Facilities and, to a lesser extent, repurchases of our common stock. The cash used in financing activities for the six-months ended June 30, 2024 was primarily the result of repurchases of our common stock. The cash provided by financing activities for the six-months ended June 30, 2025 was primarily attributable to the issuance of our common stock under our stock-based compensation plans. The cash provided by financing activities for the six-months ended June 30, 2024 was primarily attributable to borrowings under the Credit Facilities and, to a lesser extent,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June 30, 2025:</w:t>
      </w:r>
    </w:p>
    <w:tbl>
      <w:tblPr>
        <w:tblW w:w="8646" w:type="dxa"/>
        <w:jc w:val="left"/>
        <w:tblInd w:w="0" w:type="dxa"/>
        <w:tblLayout w:type="fixed"/>
        <w:tblCellMar>
          <w:top w:w="0" w:type="dxa"/>
          <w:left w:w="0" w:type="dxa"/>
          <w:bottom w:w="0" w:type="dxa"/>
          <w:right w:w="0" w:type="dxa"/>
        </w:tblCellMar>
      </w:tblPr>
      <w:tblGrid>
        <w:gridCol w:w="2161"/>
        <w:gridCol w:w="326"/>
        <w:gridCol w:w="211"/>
        <w:gridCol w:w="781"/>
        <w:gridCol w:w="326"/>
        <w:gridCol w:w="211"/>
        <w:gridCol w:w="781"/>
        <w:gridCol w:w="326"/>
        <w:gridCol w:w="211"/>
        <w:gridCol w:w="781"/>
        <w:gridCol w:w="326"/>
        <w:gridCol w:w="211"/>
        <w:gridCol w:w="676"/>
        <w:gridCol w:w="32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72235" cy="175260"/>
                      <wp:effectExtent l="0" t="0" r="0" b="0"/>
                      <wp:wrapNone/>
                      <wp:docPr id="495" name="Frame49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95935" cy="175260"/>
                      <wp:effectExtent l="0" t="0" r="0" b="0"/>
                      <wp:wrapNone/>
                      <wp:docPr id="498"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95935" cy="175260"/>
                      <wp:effectExtent l="0" t="0" r="0" b="0"/>
                      <wp:wrapNone/>
                      <wp:docPr id="501" name="Frame5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95935" cy="175260"/>
                      <wp:effectExtent l="0" t="0" r="0" b="0"/>
                      <wp:wrapNone/>
                      <wp:docPr id="504" name="Frame5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9260" cy="175260"/>
                      <wp:effectExtent l="0" t="0" r="0" b="0"/>
                      <wp:wrapNone/>
                      <wp:docPr id="507" name="Frame5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95935" cy="175260"/>
                      <wp:effectExtent l="0" t="0" r="0" b="0"/>
                      <wp:wrapNone/>
                      <wp:docPr id="510" name="Frame5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9,488</w:t>
            </w:r>
          </w:p>
        </w:tc>
      </w:tr>
      <w:tr>
        <w:trPr/>
        <w:tc>
          <w:tcPr>
            <w:tcW w:w="21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832,167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11,835</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pBdr/>
        <w:bidi w:val="0"/>
        <w:spacing w:lineRule="auto" w:line="240" w:before="0" w:after="240"/>
        <w:ind w:left="0" w:right="0" w:hanging="72"/>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$4.1 million of unrecognized tax benefits have been recorded as liabilities as of June 30, 2025. It is expected that the amount of unrecognized tax benefits will not significantly change within the next 12 months. As of June 30, 2025, we had $0.9 million of accrued interest and penalties related to unrecognized tax benefits.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2024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 Recent Accounting Pronouncements, in Part I, Item 1,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 - and six-months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the Credit Facilities,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of and/or achieve growth for our Monster Energy®, Reign Total Body Fuel®, Reign Storm®, Bang Energy® and NOS® brand energy drinks and/or our other products, including our Strategic Brands and Alcohol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rationalize brands and/or achieve profitability within our Alcohol Brands segment;</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customers and/or consumers;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the imposition of tariffs (including, but not limited to, U.S. tariffs threatened against or imposed on several countries and any resulting retaliatory tariffs) on, among other things, our supply chain, input costs (including aluminum cans), inflation or consumer demand for our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policies of the current U.S. presidential administration on our energy drinks relating to concerns about sugar-sweetened beverages, and particular ingredients, such as food dyes, as well as the “generally recognized as safe” (GRAS) process for food ingredients;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legislation that has been proposed and/or adopted at the U.S. federal, state and/or municipal level and proposed and/or adopted in certain foreign jurisdictions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military conflicts, including supply chain disruptions, volatility in commodity and energy prices, increased economic uncertainty and escalating geopolitical tensions;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 including a slowdown in consumer spending generally or reduced demand for consumer goods;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 of TCCC’s bottlers/distributors distributing Coca-Cola brand energy drinks,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distribution channels and/or declines in sales due to the termination and/or insolvency of existing and/or new domestic and/or international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that may be brought against us by the SEC, the FDA, the FTC, the ATF or other governmental or quasi-governmental agencies or bodies;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sufficiency of our existing capital resources and credit facilities;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anticipated use of our existing cash resources and our ability to obtain additional financing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meet or comply with sustainability-related expectations, standards, and regulations, including laws implemented by the California legislature and directives adopted by the European Commission;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cost and availability of certain key ingredients including aluminum cans, as well as disruptions to the supply chain, as a result of climate change and poor or extreme weather conditions;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(such as wildfires or hurricanes),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inability to transition distribution agreements in our Alcohol Brands segment and/or the impact of higher costs to change distributors for our alcohol beverages;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secure and purify sufficient supplies of quality water;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in procuring sufficient quantities of aluminum cans;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our products, temporarily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packaging and/or non-compliant formulas or production in one or more jurisdictions;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1754" w:name="ITEM3QUANTITATIVEANDQUALITATIVEDISCLOSUR"/>
      <w:bookmarkStart w:id="1755" w:name="_1ee5691d_75f6_47a8_a2fd_7c459ac12b20"/>
      <w:bookmarkEnd w:id="1754"/>
      <w:bookmarkEnd w:id="1755"/>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June 30, 2025 compared with the disclosures in Part II, Item 7A of our Form 10-K.</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756" w:name="ITEM4CONTROLSANDPROCEDURES_270637"/>
      <w:bookmarkStart w:id="1757" w:name="_ec9cd26b_0cf2_40ad_92ab_c68d181c6624"/>
      <w:bookmarkEnd w:id="1756"/>
      <w:bookmarkEnd w:id="1757"/>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June 30,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758" w:name="PARTIIOTHERINFORMATION_669833"/>
      <w:bookmarkStart w:id="1759" w:name="_f828f7f7_742b_42eb_a20d_baa4eb9bb7e3"/>
      <w:bookmarkEnd w:id="1758"/>
      <w:bookmarkEnd w:id="1759"/>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760" w:name="ITEM1LEGALPROCEEDINGS_448899"/>
      <w:bookmarkEnd w:id="1760"/>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10.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761" w:name="ITEM1ARISKFACTORS_609704"/>
      <w:bookmarkStart w:id="1762" w:name="_c1712762_9c41_416c_b6af_3ec89a3d41f4"/>
      <w:bookmarkEnd w:id="1761"/>
      <w:bookmarkEnd w:id="1762"/>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TextBody"/>
        <w:pBdr/>
        <w:bidi w:val="0"/>
        <w:spacing w:before="0" w:after="200"/>
        <w:ind w:left="0" w:right="0" w:hanging="1440"/>
        <w:jc w:val="both"/>
        <w:rPr>
          <w:rFonts w:ascii="Times New Roman;Times;serif" w:hAnsi="Times New Roman;Times;serif"/>
          <w:sz w:val="20"/>
        </w:rPr>
      </w:pPr>
      <w:bookmarkStart w:id="1763" w:name="ITEM2UNREGISTEREDSALESOFEQUITY_417570"/>
      <w:bookmarkStart w:id="1764" w:name="_5b06eff9_1df7_4948_afa0_4aea60ab1856"/>
      <w:bookmarkEnd w:id="1763"/>
      <w:bookmarkEnd w:id="1764"/>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June 30, 2025, no shares were repurchased under the August 2024 Repurchase Plan. As of August 6,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August 6,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June 30, 2025, no shares of common stock were purchased from employees in lieu of cash payments for options exercised or withholding taxes 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June 30, 2025.</w:t>
      </w:r>
    </w:p>
    <w:tbl>
      <w:tblPr>
        <w:tblW w:w="9317" w:type="dxa"/>
        <w:jc w:val="left"/>
        <w:tblInd w:w="0" w:type="dxa"/>
        <w:tblLayout w:type="fixed"/>
        <w:tblCellMar>
          <w:top w:w="0" w:type="dxa"/>
          <w:left w:w="0" w:type="dxa"/>
          <w:bottom w:w="0" w:type="dxa"/>
          <w:right w:w="0" w:type="dxa"/>
        </w:tblCellMar>
      </w:tblPr>
      <w:tblGrid>
        <w:gridCol w:w="1981"/>
        <w:gridCol w:w="326"/>
        <w:gridCol w:w="1231"/>
        <w:gridCol w:w="326"/>
        <w:gridCol w:w="464"/>
        <w:gridCol w:w="766"/>
        <w:gridCol w:w="326"/>
        <w:gridCol w:w="1576"/>
        <w:gridCol w:w="326"/>
        <w:gridCol w:w="383"/>
        <w:gridCol w:w="1612"/>
      </w:tblGrid>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81685" cy="175260"/>
                      <wp:effectExtent l="0" t="0" r="0" b="0"/>
                      <wp:wrapNone/>
                      <wp:docPr id="512" name="Frame51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94640" cy="175260"/>
                      <wp:effectExtent l="0" t="0" r="0" b="0"/>
                      <wp:wrapNone/>
                      <wp:docPr id="514" name="Frame51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86410" cy="175260"/>
                      <wp:effectExtent l="0" t="0" r="0" b="0"/>
                      <wp:wrapNone/>
                      <wp:docPr id="515" name="Frame51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000760" cy="175260"/>
                      <wp:effectExtent l="0" t="0" r="0" b="0"/>
                      <wp:wrapNone/>
                      <wp:docPr id="517" name="Frame51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43205" cy="175260"/>
                      <wp:effectExtent l="0" t="0" r="0" b="0"/>
                      <wp:wrapNone/>
                      <wp:docPr id="519" name="Frame51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023620" cy="175260"/>
                      <wp:effectExtent l="0" t="0" r="0" b="0"/>
                      <wp:wrapNone/>
                      <wp:docPr id="520" name="Frame520"/>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w: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Purchased</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 1 – Apr 30, 2025</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2025</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 1 – Jun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 xml:space="preserve">1 </w:t>
      </w:r>
      <w:r>
        <w:rPr>
          <w:rFonts w:ascii="Times New Roman;Times;serif" w:hAnsi="Times New Roman;Times;serif"/>
          <w:i/>
          <w:sz w:val="18"/>
        </w:rPr>
        <w:t>On August 19, 2024, the Company publicly announced that its Board of Directors authorized the August 2024 Repurchase Plan. Board authorization of the repurchase plan remains in effect until shares in the amount authorized thereunder have been repurchased. See Item 2, “Unregistered Sales of Equity Securities and Use of Proceeds” above for more information.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765" w:name="ITEM3DEFAULTSUPONSENIORSECURITIES_753663"/>
      <w:bookmarkStart w:id="1766" w:name="_53735d7f_6cf3_434a_89d2_f5d9980382eb"/>
      <w:bookmarkEnd w:id="1765"/>
      <w:bookmarkEnd w:id="1766"/>
      <w:r>
        <w:rPr>
          <w:rFonts w:ascii="Times New Roman;Times;serif" w:hAnsi="Times New Roman;Times;serif"/>
          <w:b/>
          <w:sz w:val="20"/>
        </w:rPr>
        <w:t>ITEM 3.    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767" w:name="ITEM4MINESAFETYDISCLOSURES_417702"/>
      <w:bookmarkStart w:id="1768" w:name="_48ce9f87_ce4f_4e0d_bbb4_c63bc51df2ba"/>
      <w:bookmarkEnd w:id="1767"/>
      <w:bookmarkEnd w:id="1768"/>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69" w:name="ITEM5OTHERINFORMATION_353440"/>
      <w:bookmarkStart w:id="1770" w:name="_4f2f325a_0f6a_4918_a47b_929b15cbc4c6"/>
      <w:bookmarkEnd w:id="1769"/>
      <w:bookmarkEnd w:id="1770"/>
      <w:r>
        <w:rPr>
          <w:rFonts w:ascii="Times New Roman;Times;serif" w:hAnsi="Times New Roman;Times;serif"/>
          <w:b/>
          <w:sz w:val="20"/>
        </w:rPr>
        <w:t>ITEM 5.    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June 30, 2025,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771" w:name="ITEM6EXHIBITS_20622"/>
      <w:bookmarkStart w:id="1772" w:name="_a125581a_4394_4db5_b486_ff03a5cb20d7"/>
      <w:bookmarkEnd w:id="1771"/>
      <w:bookmarkEnd w:id="1772"/>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493"/>
        <w:gridCol w:w="326"/>
        <w:gridCol w:w="9386"/>
      </w:tblGrid>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86" w:type="dxa"/>
            <w:tcBorders/>
            <w:vAlign w:val="center"/>
          </w:tcPr>
          <w:p>
            <w:pPr>
              <w:pStyle w:val="TableContents"/>
              <w:bidi w:val="0"/>
              <w:spacing w:before="0" w:after="0"/>
              <w:ind w:left="0" w:right="0" w:hanging="0"/>
              <w:jc w:val="left"/>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both"/>
              <w:rPr/>
            </w:pPr>
            <w:r>
              <w:rPr/>
              <w:t>    </w:t>
            </w:r>
          </w:p>
        </w:tc>
        <w:tc>
          <w:tcPr>
            <w:tcW w:w="938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493"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p>
        </w:tc>
      </w:tr>
      <w:tr>
        <w:trPr/>
        <w:tc>
          <w:tcPr>
            <w:tcW w:w="493"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   </w:t>
            </w:r>
          </w:p>
        </w:tc>
        <w:tc>
          <w:tcPr>
            <w:tcW w:w="9386" w:type="dxa"/>
            <w:tcBorders/>
            <w:vAlign w:val="center"/>
          </w:tcPr>
          <w:p>
            <w:pPr>
              <w:pStyle w:val="TableContents"/>
              <w:bidi w:val="0"/>
              <w:spacing w:before="0" w:after="0"/>
              <w:ind w:left="0" w:right="0" w:hanging="0"/>
              <w:jc w:val="both"/>
              <w:rPr/>
            </w:pPr>
            <w:hyperlink w:anchor="mnst-2025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 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386" w:type="dxa"/>
            <w:tcBorders/>
            <w:vAlign w:val="center"/>
          </w:tcPr>
          <w:p>
            <w:pPr>
              <w:pStyle w:val="TableContents"/>
              <w:bidi w:val="0"/>
              <w:spacing w:before="0" w:after="0"/>
              <w:ind w:left="0" w:right="0" w:hanging="0"/>
              <w:jc w:val="left"/>
              <w:rPr/>
            </w:pPr>
            <w:hyperlink w:anchor="mnst-2025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 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hyperlink w:anchor="mnst-2025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hyperlink w:anchor="mnst-20250630xex32d2.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June 30, 2025, formatted in iXBRL (Inline eXtensible Business Reporting Language): (i) Condensed Consolidated Balance Sheets as of June 30, 2025 and December 31, 2024, (ii) Condensed Consolidated Statements of Income for the three- and six-months ended June 30, 2025 and 2024, (iii) Condensed Consolidated Statements of Comprehensive Income for the three- and six-months ended June 30, 2025 and 2024, (iv) Condensed Consolidated Statements of Stockholders’ Equity for the three- and six-months ended June 30, 2025 and 2024, (v) Condensed Consolidated Statements of Cash Flows for the six-months ended June 30, 2025 and 2024, and (vi) the Notes to Condensed Consolidated Financial Statements.</w:t>
            </w:r>
          </w:p>
        </w:tc>
      </w:tr>
      <w:tr>
        <w:trPr/>
        <w:tc>
          <w:tcPr>
            <w:tcW w:w="4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pPr>
            <w:r>
              <w:rPr/>
              <w:t>​</w:t>
            </w:r>
          </w:p>
        </w:tc>
      </w:tr>
      <w:tr>
        <w:trPr/>
        <w:tc>
          <w:tcPr>
            <w:tcW w:w="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93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June 30, 2025, formatted in iXBRL (Inline eXtensible Business Reporting Language) and contained in Exhibit 101.</w:t>
            </w:r>
          </w:p>
        </w:tc>
      </w:tr>
    </w:tbl>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w:t>
      </w:r>
      <w:r>
        <w:rPr>
          <w:rFonts w:ascii="Times New Roman;Times;serif" w:hAnsi="Times New Roman;Times;serif"/>
          <w:sz w:val="20"/>
        </w:rPr>
        <w:t>Filed herewith.</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73" w:name="SIGNATURES_652864"/>
      <w:bookmarkStart w:id="1774" w:name="_ac7b115c_1236_44b8_8d01_3cd5d1274495"/>
      <w:bookmarkEnd w:id="1773"/>
      <w:bookmarkEnd w:id="1774"/>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17" w:type="dxa"/>
        <w:jc w:val="left"/>
        <w:tblInd w:w="0" w:type="dxa"/>
        <w:tblLayout w:type="fixed"/>
        <w:tblCellMar>
          <w:top w:w="0" w:type="dxa"/>
          <w:left w:w="0" w:type="dxa"/>
          <w:bottom w:w="0" w:type="dxa"/>
          <w:right w:w="0" w:type="dxa"/>
        </w:tblCellMar>
      </w:tblPr>
      <w:tblGrid>
        <w:gridCol w:w="1846"/>
        <w:gridCol w:w="3571"/>
      </w:tblGrid>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184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right"/>
        <w:rPr>
          <w:rFonts w:ascii="Times New Roman;Times;serif" w:hAnsi="Times New Roman;Times;serif"/>
          <w:b/>
          <w:sz w:val="20"/>
        </w:rPr>
      </w:pPr>
      <w:bookmarkStart w:id="1775" w:name="mnst-20250630xex31d1.htm"/>
      <w:bookmarkStart w:id="1776" w:name="ksmnst20250630xex31d1"/>
      <w:bookmarkEnd w:id="1775"/>
      <w:bookmarkEnd w:id="177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Hilton Schlosberg,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7623" w:type="dxa"/>
        <w:jc w:val="center"/>
        <w:tblInd w:w="0" w:type="dxa"/>
        <w:tblLayout w:type="fixed"/>
        <w:tblCellMar>
          <w:top w:w="0" w:type="dxa"/>
          <w:left w:w="0" w:type="dxa"/>
          <w:bottom w:w="0" w:type="dxa"/>
          <w:right w:w="0" w:type="dxa"/>
        </w:tblCellMar>
      </w:tblPr>
      <w:tblGrid>
        <w:gridCol w:w="556"/>
        <w:gridCol w:w="1351"/>
        <w:gridCol w:w="57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2025</w:t>
            </w:r>
          </w:p>
        </w:tc>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br/>
              <w:t>Vice Chairman of the Board of Directors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77" w:name="mnst-20250630xex31d2.htm"/>
      <w:bookmarkStart w:id="1778" w:name="ksmnst20250630xex31d2"/>
      <w:bookmarkEnd w:id="1777"/>
      <w:bookmarkEnd w:id="1778"/>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Thomas Kelly,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918" w:type="dxa"/>
        <w:jc w:val="center"/>
        <w:tblInd w:w="0" w:type="dxa"/>
        <w:tblLayout w:type="fixed"/>
        <w:tblCellMar>
          <w:top w:w="0" w:type="dxa"/>
          <w:left w:w="0" w:type="dxa"/>
          <w:bottom w:w="0" w:type="dxa"/>
          <w:right w:w="0" w:type="dxa"/>
        </w:tblCellMar>
      </w:tblPr>
      <w:tblGrid>
        <w:gridCol w:w="556"/>
        <w:gridCol w:w="135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b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79" w:name="mnst-20250630xex32d1.htm"/>
      <w:bookmarkStart w:id="1780" w:name="ksmnst20250630xex32d1"/>
      <w:bookmarkEnd w:id="1779"/>
      <w:bookmarkEnd w:id="178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2025 as filed with the Securities and Exchange Commission (the “Report”), the undersigned, Hilton H. Schlosberg, Vice Chairman of the Board of Directors and Chief Executive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7623" w:type="dxa"/>
        <w:jc w:val="center"/>
        <w:tblInd w:w="0" w:type="dxa"/>
        <w:tblLayout w:type="fixed"/>
        <w:tblCellMar>
          <w:top w:w="0" w:type="dxa"/>
          <w:left w:w="0" w:type="dxa"/>
          <w:bottom w:w="0" w:type="dxa"/>
          <w:right w:w="0" w:type="dxa"/>
        </w:tblCellMar>
      </w:tblPr>
      <w:tblGrid>
        <w:gridCol w:w="556"/>
        <w:gridCol w:w="1351"/>
        <w:gridCol w:w="57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2025</w:t>
            </w:r>
          </w:p>
        </w:tc>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br/>
              <w:t>Vice Chairman of the Board of Directors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1" w:name="mnst-20250630xex32d2.htm"/>
      <w:bookmarkStart w:id="1782" w:name="ksmnst20250630xex32d2"/>
      <w:bookmarkEnd w:id="1781"/>
      <w:bookmarkEnd w:id="178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June 30, 2025 as filed with the Securities and Exchange Commission (the “Report”), the undersigned, Thomas J. Kelly, Chief Financial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918" w:type="dxa"/>
        <w:jc w:val="center"/>
        <w:tblInd w:w="0" w:type="dxa"/>
        <w:tblLayout w:type="fixed"/>
        <w:tblCellMar>
          <w:top w:w="0" w:type="dxa"/>
          <w:left w:w="0" w:type="dxa"/>
          <w:bottom w:w="0" w:type="dxa"/>
          <w:right w:w="0" w:type="dxa"/>
        </w:tblCellMar>
      </w:tblPr>
      <w:tblGrid>
        <w:gridCol w:w="556"/>
        <w:gridCol w:w="135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b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4115332/tm242778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25070</Words>
  <Characters>141977</Characters>
  <CharactersWithSpaces>170080</CharactersWithSpaces>
  <Paragraphs>8722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