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7930" cy="336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6297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7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13" w:lineRule="exact"/>
        <w:rPr>
          <w:sz w:val="24"/>
          <w:szCs w:val="24"/>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8"/>
          <w:szCs w:val="18"/>
          <w:color w:val="auto"/>
        </w:rPr>
        <w:t>For the quarterly period ended March 31, 2026</w:t>
      </w:r>
      <w:r>
        <w:rPr>
          <w:sz w:val="20"/>
          <w:szCs w:val="20"/>
          <w:color w:val="auto"/>
        </w:rPr>
        <w:tab/>
      </w:r>
      <w:r>
        <w:rPr>
          <w:rFonts w:ascii="Times New Roman" w:cs="Times New Roman" w:eastAsia="Times New Roman" w:hAnsi="Times New Roman"/>
          <w:sz w:val="16"/>
          <w:szCs w:val="16"/>
          <w:color w:val="auto"/>
        </w:rPr>
        <w:t>Commission File Number 001-18761</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MONSTER BEVERAGE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7"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060" w:type="dxa"/>
            <w:vAlign w:val="bottom"/>
            <w:gridSpan w:val="2"/>
          </w:tcPr>
          <w:p>
            <w:pPr>
              <w:jc w:val="center"/>
              <w:ind w:left="1681"/>
              <w:spacing w:after="0"/>
              <w:rPr>
                <w:sz w:val="20"/>
                <w:szCs w:val="20"/>
                <w:color w:val="auto"/>
              </w:rPr>
            </w:pPr>
            <w:r>
              <w:rPr>
                <w:rFonts w:ascii="Times New Roman" w:cs="Times New Roman" w:eastAsia="Times New Roman" w:hAnsi="Times New Roman"/>
                <w:sz w:val="18"/>
                <w:szCs w:val="18"/>
                <w:color w:val="auto"/>
                <w:w w:val="95"/>
              </w:rPr>
              <w:t>Delaware</w:t>
            </w:r>
          </w:p>
        </w:tc>
        <w:tc>
          <w:tcPr>
            <w:tcW w:w="2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tcPr>
          <w:p>
            <w:pPr>
              <w:jc w:val="center"/>
              <w:ind w:right="2338"/>
              <w:spacing w:after="0"/>
              <w:rPr>
                <w:sz w:val="20"/>
                <w:szCs w:val="20"/>
                <w:color w:val="auto"/>
              </w:rPr>
            </w:pPr>
            <w:r>
              <w:rPr>
                <w:rFonts w:ascii="Times New Roman" w:cs="Times New Roman" w:eastAsia="Times New Roman" w:hAnsi="Times New Roman"/>
                <w:sz w:val="18"/>
                <w:szCs w:val="18"/>
                <w:color w:val="auto"/>
                <w:w w:val="96"/>
              </w:rPr>
              <w:t>47-1809393</w:t>
            </w:r>
          </w:p>
        </w:tc>
        <w:tc>
          <w:tcPr>
            <w:tcW w:w="0" w:type="dxa"/>
            <w:vAlign w:val="bottom"/>
          </w:tcPr>
          <w:p>
            <w:pPr>
              <w:spacing w:after="0"/>
              <w:rPr>
                <w:sz w:val="1"/>
                <w:szCs w:val="1"/>
                <w:color w:val="auto"/>
              </w:rPr>
            </w:pPr>
          </w:p>
        </w:tc>
      </w:tr>
      <w:tr>
        <w:trPr>
          <w:trHeight w:val="229"/>
        </w:trPr>
        <w:tc>
          <w:tcPr>
            <w:tcW w:w="4060" w:type="dxa"/>
            <w:vAlign w:val="bottom"/>
            <w:gridSpan w:val="2"/>
            <w:vMerge w:val="restart"/>
          </w:tcPr>
          <w:p>
            <w:pPr>
              <w:jc w:val="center"/>
              <w:ind w:left="1681"/>
              <w:spacing w:after="0"/>
              <w:rPr>
                <w:sz w:val="20"/>
                <w:szCs w:val="20"/>
                <w:color w:val="auto"/>
              </w:rPr>
            </w:pPr>
            <w:r>
              <w:rPr>
                <w:rFonts w:ascii="Times New Roman" w:cs="Times New Roman" w:eastAsia="Times New Roman" w:hAnsi="Times New Roman"/>
                <w:sz w:val="14"/>
                <w:szCs w:val="14"/>
                <w:color w:val="auto"/>
                <w:w w:val="99"/>
              </w:rPr>
              <w:t>(State or other jurisdiction of</w:t>
            </w:r>
          </w:p>
        </w:tc>
        <w:tc>
          <w:tcPr>
            <w:tcW w:w="23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500" w:type="dxa"/>
            <w:vAlign w:val="bottom"/>
            <w:vMerge w:val="restart"/>
          </w:tcPr>
          <w:p>
            <w:pPr>
              <w:jc w:val="center"/>
              <w:ind w:right="2338"/>
              <w:spacing w:after="0"/>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23"/>
        </w:trPr>
        <w:tc>
          <w:tcPr>
            <w:tcW w:w="4060" w:type="dxa"/>
            <w:vAlign w:val="bottom"/>
            <w:gridSpan w:val="2"/>
            <w:vMerge w:val="continue"/>
          </w:tcPr>
          <w:p>
            <w:pPr>
              <w:spacing w:after="0"/>
              <w:rPr>
                <w:sz w:val="10"/>
                <w:szCs w:val="10"/>
                <w:color w:val="auto"/>
              </w:rPr>
            </w:pPr>
          </w:p>
        </w:tc>
        <w:tc>
          <w:tcPr>
            <w:tcW w:w="2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060" w:type="dxa"/>
            <w:vAlign w:val="bottom"/>
            <w:gridSpan w:val="2"/>
          </w:tcPr>
          <w:p>
            <w:pPr>
              <w:jc w:val="center"/>
              <w:ind w:left="1681"/>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00" w:type="dxa"/>
            <w:vAlign w:val="bottom"/>
          </w:tcPr>
          <w:p>
            <w:pPr>
              <w:jc w:val="center"/>
              <w:ind w:right="2338"/>
              <w:spacing w:after="0"/>
              <w:rPr>
                <w:sz w:val="20"/>
                <w:szCs w:val="20"/>
                <w:color w:val="auto"/>
              </w:rPr>
            </w:pPr>
            <w:r>
              <w:rPr>
                <w:rFonts w:ascii="Times New Roman" w:cs="Times New Roman" w:eastAsia="Times New Roman" w:hAnsi="Times New Roman"/>
                <w:sz w:val="14"/>
                <w:szCs w:val="14"/>
                <w:color w:val="auto"/>
                <w:w w:val="99"/>
              </w:rPr>
              <w:t>Identification No.)</w:t>
            </w:r>
          </w:p>
        </w:tc>
        <w:tc>
          <w:tcPr>
            <w:tcW w:w="0" w:type="dxa"/>
            <w:vAlign w:val="bottom"/>
          </w:tcPr>
          <w:p>
            <w:pPr>
              <w:spacing w:after="0"/>
              <w:rPr>
                <w:sz w:val="1"/>
                <w:szCs w:val="1"/>
                <w:color w:val="auto"/>
              </w:rPr>
            </w:pPr>
          </w:p>
        </w:tc>
      </w:tr>
      <w:tr>
        <w:trPr>
          <w:trHeight w:val="309"/>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6"/>
              </w:rPr>
              <w:t>1 Monster Way</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7"/>
              </w:rPr>
              <w:t>Corona, California 92879</w:t>
            </w: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20" w:type="dxa"/>
            <w:vAlign w:val="bottom"/>
            <w:gridSpan w:val="4"/>
          </w:tcPr>
          <w:p>
            <w:pPr>
              <w:jc w:val="center"/>
              <w:ind w:left="3441"/>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(951) 739 - 6200</w:t>
            </w: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9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327"/>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Securities registered pursuant to Section 12(b) of the Act:</w:t>
            </w:r>
          </w:p>
        </w:tc>
        <w:tc>
          <w:tcPr>
            <w:tcW w:w="2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8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6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6"/>
              </w:rPr>
              <w:t>Title of each class</w:t>
            </w:r>
          </w:p>
        </w:tc>
        <w:tc>
          <w:tcPr>
            <w:tcW w:w="200" w:type="dxa"/>
            <w:vAlign w:val="bottom"/>
          </w:tcPr>
          <w:p>
            <w:pPr>
              <w:spacing w:after="0"/>
              <w:rPr>
                <w:sz w:val="16"/>
                <w:szCs w:val="16"/>
                <w:color w:val="auto"/>
              </w:rPr>
            </w:pPr>
          </w:p>
        </w:tc>
        <w:tc>
          <w:tcPr>
            <w:tcW w:w="2000" w:type="dxa"/>
            <w:vAlign w:val="bottom"/>
            <w:tcBorders>
              <w:right w:val="single" w:sz="8" w:color="auto"/>
            </w:tcBorders>
          </w:tcPr>
          <w:p>
            <w:pPr>
              <w:jc w:val="center"/>
              <w:ind w:right="132"/>
              <w:spacing w:after="0" w:line="186" w:lineRule="exact"/>
              <w:rPr>
                <w:sz w:val="20"/>
                <w:szCs w:val="20"/>
                <w:color w:val="auto"/>
              </w:rPr>
            </w:pPr>
            <w:r>
              <w:rPr>
                <w:rFonts w:ascii="Times New Roman" w:cs="Times New Roman" w:eastAsia="Times New Roman" w:hAnsi="Times New Roman"/>
                <w:sz w:val="18"/>
                <w:szCs w:val="18"/>
                <w:color w:val="auto"/>
                <w:w w:val="98"/>
              </w:rPr>
              <w:t>Trading Symbol(s)</w:t>
            </w:r>
          </w:p>
        </w:tc>
        <w:tc>
          <w:tcPr>
            <w:tcW w:w="360" w:type="dxa"/>
            <w:vAlign w:val="bottom"/>
          </w:tcPr>
          <w:p>
            <w:pPr>
              <w:spacing w:after="0"/>
              <w:rPr>
                <w:sz w:val="16"/>
                <w:szCs w:val="16"/>
                <w:color w:val="auto"/>
              </w:rPr>
            </w:pPr>
          </w:p>
        </w:tc>
        <w:tc>
          <w:tcPr>
            <w:tcW w:w="3500" w:type="dxa"/>
            <w:vAlign w:val="bottom"/>
            <w:tcBorders>
              <w:right w:val="single" w:sz="8" w:color="auto"/>
            </w:tcBorders>
          </w:tcPr>
          <w:p>
            <w:pPr>
              <w:jc w:val="center"/>
              <w:ind w:right="298"/>
              <w:spacing w:after="0" w:line="186" w:lineRule="exact"/>
              <w:rPr>
                <w:sz w:val="20"/>
                <w:szCs w:val="20"/>
                <w:color w:val="auto"/>
              </w:rPr>
            </w:pPr>
            <w:r>
              <w:rPr>
                <w:rFonts w:ascii="Times New Roman" w:cs="Times New Roman" w:eastAsia="Times New Roman" w:hAnsi="Times New Roman"/>
                <w:sz w:val="18"/>
                <w:szCs w:val="18"/>
                <w:color w:val="auto"/>
                <w:w w:val="98"/>
              </w:rPr>
              <w:t>Name of each exchange on</w:t>
            </w:r>
          </w:p>
        </w:tc>
        <w:tc>
          <w:tcPr>
            <w:tcW w:w="0" w:type="dxa"/>
            <w:vAlign w:val="bottom"/>
          </w:tcPr>
          <w:p>
            <w:pPr>
              <w:spacing w:after="0"/>
              <w:rPr>
                <w:sz w:val="1"/>
                <w:szCs w:val="1"/>
                <w:color w:val="auto"/>
              </w:rPr>
            </w:pPr>
          </w:p>
        </w:tc>
      </w:tr>
      <w:tr>
        <w:trPr>
          <w:trHeight w:val="229"/>
        </w:trPr>
        <w:tc>
          <w:tcPr>
            <w:tcW w:w="3860" w:type="dxa"/>
            <w:vAlign w:val="bottom"/>
            <w:tcBorders>
              <w:left w:val="single" w:sz="8" w:color="auto"/>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jc w:val="center"/>
              <w:ind w:right="298"/>
              <w:spacing w:after="0"/>
              <w:rPr>
                <w:sz w:val="20"/>
                <w:szCs w:val="20"/>
                <w:color w:val="auto"/>
              </w:rPr>
            </w:pPr>
            <w:r>
              <w:rPr>
                <w:rFonts w:ascii="Times New Roman" w:cs="Times New Roman" w:eastAsia="Times New Roman" w:hAnsi="Times New Roman"/>
                <w:sz w:val="18"/>
                <w:szCs w:val="18"/>
                <w:color w:val="auto"/>
                <w:w w:val="97"/>
              </w:rPr>
              <w:t>which registered</w:t>
            </w:r>
          </w:p>
        </w:tc>
        <w:tc>
          <w:tcPr>
            <w:tcW w:w="0" w:type="dxa"/>
            <w:vAlign w:val="bottom"/>
          </w:tcPr>
          <w:p>
            <w:pPr>
              <w:spacing w:after="0"/>
              <w:rPr>
                <w:sz w:val="1"/>
                <w:szCs w:val="1"/>
                <w:color w:val="auto"/>
              </w:rPr>
            </w:pPr>
          </w:p>
        </w:tc>
      </w:tr>
      <w:tr>
        <w:trPr>
          <w:trHeight w:val="205"/>
        </w:trPr>
        <w:tc>
          <w:tcPr>
            <w:tcW w:w="3860" w:type="dxa"/>
            <w:vAlign w:val="bottom"/>
            <w:tcBorders>
              <w:left w:val="single" w:sz="8" w:color="auto"/>
              <w:bottom w:val="single" w:sz="8" w:color="auto"/>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Common Stock</w:t>
            </w: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center"/>
              <w:ind w:right="132"/>
              <w:spacing w:after="0" w:line="205" w:lineRule="exact"/>
              <w:rPr>
                <w:sz w:val="20"/>
                <w:szCs w:val="20"/>
                <w:color w:val="auto"/>
              </w:rPr>
            </w:pPr>
            <w:r>
              <w:rPr>
                <w:rFonts w:ascii="Times New Roman" w:cs="Times New Roman" w:eastAsia="Times New Roman" w:hAnsi="Times New Roman"/>
                <w:sz w:val="18"/>
                <w:szCs w:val="18"/>
                <w:color w:val="auto"/>
                <w:w w:val="99"/>
              </w:rPr>
              <w:t>MNST</w:t>
            </w:r>
          </w:p>
        </w:tc>
        <w:tc>
          <w:tcPr>
            <w:tcW w:w="360" w:type="dxa"/>
            <w:vAlign w:val="bottom"/>
            <w:tcBorders>
              <w:bottom w:val="single" w:sz="8" w:color="auto"/>
            </w:tcBorders>
          </w:tcPr>
          <w:p>
            <w:pPr>
              <w:spacing w:after="0"/>
              <w:rPr>
                <w:sz w:val="17"/>
                <w:szCs w:val="17"/>
                <w:color w:val="auto"/>
              </w:rPr>
            </w:pPr>
          </w:p>
        </w:tc>
        <w:tc>
          <w:tcPr>
            <w:tcW w:w="3500" w:type="dxa"/>
            <w:vAlign w:val="bottom"/>
            <w:tcBorders>
              <w:bottom w:val="single" w:sz="8" w:color="auto"/>
              <w:right w:val="single" w:sz="8" w:color="auto"/>
            </w:tcBorders>
          </w:tcPr>
          <w:p>
            <w:pPr>
              <w:jc w:val="center"/>
              <w:ind w:right="298"/>
              <w:spacing w:after="0" w:line="205" w:lineRule="exact"/>
              <w:rPr>
                <w:sz w:val="20"/>
                <w:szCs w:val="20"/>
                <w:color w:val="auto"/>
              </w:rPr>
            </w:pPr>
            <w:r>
              <w:rPr>
                <w:rFonts w:ascii="Times New Roman" w:cs="Times New Roman" w:eastAsia="Times New Roman" w:hAnsi="Times New Roman"/>
                <w:sz w:val="18"/>
                <w:szCs w:val="18"/>
                <w:color w:val="auto"/>
                <w:w w:val="97"/>
              </w:rPr>
              <w:t>Nasdaq Global Select Market</w:t>
            </w:r>
          </w:p>
        </w:tc>
        <w:tc>
          <w:tcPr>
            <w:tcW w:w="0" w:type="dxa"/>
            <w:vAlign w:val="bottom"/>
          </w:tcPr>
          <w:p>
            <w:pPr>
              <w:spacing w:after="0"/>
              <w:rPr>
                <w:sz w:val="1"/>
                <w:szCs w:val="1"/>
                <w:color w:val="auto"/>
              </w:rPr>
            </w:pPr>
          </w:p>
        </w:tc>
      </w:tr>
    </w:tbl>
    <w:p>
      <w:pPr>
        <w:spacing w:after="0" w:line="114" w:lineRule="exact"/>
        <w:rPr>
          <w:sz w:val="24"/>
          <w:szCs w:val="24"/>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0" w:lineRule="exact"/>
        <w:rPr>
          <w:sz w:val="24"/>
          <w:szCs w:val="24"/>
          <w:color w:val="auto"/>
        </w:rPr>
      </w:pPr>
    </w:p>
    <w:p>
      <w:pPr>
        <w:ind w:left="4420"/>
        <w:spacing w:after="0"/>
        <w:tabs>
          <w:tab w:leader="none" w:pos="506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sz w:val="20"/>
          <w:szCs w:val="20"/>
          <w:color w:val="auto"/>
        </w:rPr>
        <w:tab/>
      </w:r>
      <w:r>
        <w:rPr>
          <w:rFonts w:ascii="Times New Roman" w:cs="Times New Roman" w:eastAsia="Times New Roman" w:hAnsi="Times New Roman"/>
          <w:sz w:val="16"/>
          <w:szCs w:val="16"/>
          <w:color w:val="auto"/>
        </w:rPr>
        <w:t>No __</w:t>
      </w:r>
    </w:p>
    <w:p>
      <w:pPr>
        <w:spacing w:after="0" w:line="136" w:lineRule="exact"/>
        <w:rPr>
          <w:sz w:val="24"/>
          <w:szCs w:val="24"/>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0"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sz w:val="20"/>
          <w:szCs w:val="20"/>
          <w:color w:val="auto"/>
        </w:rPr>
        <w:tab/>
      </w:r>
      <w:r>
        <w:rPr>
          <w:rFonts w:ascii="Times New Roman" w:cs="Times New Roman" w:eastAsia="Times New Roman" w:hAnsi="Times New Roman"/>
          <w:sz w:val="16"/>
          <w:szCs w:val="16"/>
          <w:color w:val="auto"/>
        </w:rPr>
        <w:t>No __</w:t>
      </w:r>
    </w:p>
    <w:p>
      <w:pPr>
        <w:spacing w:after="0" w:line="136" w:lineRule="exact"/>
        <w:rPr>
          <w:sz w:val="24"/>
          <w:szCs w:val="24"/>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49" w:right="999" w:bottom="1440" w:gutter="0" w:footer="0" w:header="0"/>
        </w:sectPr>
      </w:pPr>
    </w:p>
    <w:p>
      <w:pPr>
        <w:spacing w:after="0" w:line="7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8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2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sectPr>
          <w:pgSz w:w="11900" w:h="16838" w:orient="portrait"/>
          <w:cols w:equalWidth="0" w:num="2">
            <w:col w:w="4320" w:space="720"/>
            <w:col w:w="4880"/>
          </w:cols>
          <w:pgMar w:left="980" w:top="649" w:right="999" w:bottom="1440" w:gutter="0" w:footer="0" w:header="0"/>
          <w:type w:val="continuous"/>
        </w:sectPr>
      </w:pPr>
    </w:p>
    <w:p>
      <w:pPr>
        <w:ind w:firstLine="633"/>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6"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36"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Yes __</w:t>
      </w:r>
      <w:r>
        <w:rPr>
          <w:sz w:val="20"/>
          <w:szCs w:val="20"/>
          <w:color w:val="auto"/>
        </w:rPr>
        <w:tab/>
      </w:r>
      <w:r>
        <w:rPr>
          <w:rFonts w:ascii="Times New Roman" w:cs="Times New Roman" w:eastAsia="Times New Roman" w:hAnsi="Times New Roman"/>
          <w:sz w:val="16"/>
          <w:szCs w:val="16"/>
          <w:color w:val="auto"/>
        </w:rPr>
        <w:t xml:space="preserve">No </w:t>
      </w:r>
      <w:r>
        <w:rPr>
          <w:rFonts w:ascii="Times New Roman" w:cs="Times New Roman" w:eastAsia="Times New Roman" w:hAnsi="Times New Roman"/>
          <w:sz w:val="16"/>
          <w:szCs w:val="16"/>
          <w:u w:val="single" w:color="auto"/>
          <w:color w:val="auto"/>
        </w:rPr>
        <w:t>X</w:t>
      </w:r>
    </w:p>
    <w:p>
      <w:pPr>
        <w:spacing w:after="0" w:line="13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The registrant had 978,008,110 shares of common stock, par value $0.005 per share, outstanding as of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629793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793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73025</wp:posOffset>
            </wp:positionV>
            <wp:extent cx="62979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79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wp:posOffset>
            </wp:positionV>
            <wp:extent cx="6297930"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7930" cy="33655"/>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9"/>
        </w:trPr>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60" w:type="dxa"/>
            <w:vAlign w:val="bottom"/>
            <w:gridSpan w:val="16"/>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7"/>
              </w:rPr>
              <w:t>MONSTER BEVERAGE CORPORATION AND SUBSIDIARIES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5"/>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7"/>
              </w:rPr>
              <w:t>MARCH 31, 2026</w:t>
            </w:r>
          </w:p>
        </w:tc>
        <w:tc>
          <w:tcPr>
            <w:tcW w:w="1820" w:type="dxa"/>
            <w:vAlign w:val="bottom"/>
            <w:tcBorders>
              <w:top w:val="single" w:sz="8" w:color="auto"/>
            </w:tcBorders>
            <w:gridSpan w:val="3"/>
          </w:tcPr>
          <w:p>
            <w:pPr>
              <w:spacing w:after="0"/>
              <w:rPr>
                <w:sz w:val="16"/>
                <w:szCs w:val="16"/>
                <w:color w:val="auto"/>
              </w:rPr>
            </w:pPr>
          </w:p>
        </w:tc>
        <w:tc>
          <w:tcPr>
            <w:tcW w:w="1560" w:type="dxa"/>
            <w:vAlign w:val="bottom"/>
            <w:gridSpan w:val="3"/>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20" w:type="dxa"/>
            <w:vAlign w:val="bottom"/>
            <w:gridSpan w:val="11"/>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0" w:type="dxa"/>
            <w:vAlign w:val="bottom"/>
            <w:tcBorders>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b w:val="1"/>
                <w:bCs w:val="1"/>
                <w:color w:val="0000EE"/>
                <w:w w:val="91"/>
              </w:rPr>
              <w:t>Part I.</w:t>
            </w:r>
          </w:p>
        </w:tc>
        <w:tc>
          <w:tcPr>
            <w:tcW w:w="500" w:type="dxa"/>
            <w:vAlign w:val="bottom"/>
            <w:gridSpan w:val="3"/>
          </w:tcPr>
          <w:p>
            <w:pPr>
              <w:spacing w:after="0"/>
              <w:rPr>
                <w:sz w:val="16"/>
                <w:szCs w:val="16"/>
                <w:color w:val="auto"/>
              </w:rPr>
            </w:pPr>
          </w:p>
        </w:tc>
        <w:tc>
          <w:tcPr>
            <w:tcW w:w="2340" w:type="dxa"/>
            <w:vAlign w:val="bottom"/>
            <w:tcBorders>
              <w:bottom w:val="single" w:sz="8" w:color="0000EE"/>
            </w:tcBorders>
            <w:gridSpan w:val="11"/>
          </w:tcPr>
          <w:p>
            <w:pPr>
              <w:spacing w:after="0" w:line="192" w:lineRule="exact"/>
              <w:rPr>
                <w:sz w:val="20"/>
                <w:szCs w:val="20"/>
                <w:color w:val="auto"/>
              </w:rPr>
            </w:pPr>
            <w:r>
              <w:rPr>
                <w:rFonts w:ascii="Times New Roman" w:cs="Times New Roman" w:eastAsia="Times New Roman" w:hAnsi="Times New Roman"/>
                <w:sz w:val="18"/>
                <w:szCs w:val="18"/>
                <w:b w:val="1"/>
                <w:bCs w:val="1"/>
                <w:color w:val="0000EE"/>
                <w:w w:val="96"/>
              </w:rPr>
              <w:t>FINANCIAL INFORMATION</w:t>
            </w:r>
          </w:p>
        </w:tc>
        <w:tc>
          <w:tcPr>
            <w:tcW w:w="5680" w:type="dxa"/>
            <w:vAlign w:val="bottom"/>
            <w:gridSpan w:val="12"/>
          </w:tcPr>
          <w:p>
            <w:pPr>
              <w:spacing w:after="0"/>
              <w:rPr>
                <w:sz w:val="16"/>
                <w:szCs w:val="16"/>
                <w:color w:val="auto"/>
              </w:rPr>
            </w:pPr>
          </w:p>
        </w:tc>
        <w:tc>
          <w:tcPr>
            <w:tcW w:w="900" w:type="dxa"/>
            <w:vAlign w:val="bottom"/>
            <w:gridSpan w:val="2"/>
          </w:tcPr>
          <w:p>
            <w:pPr>
              <w:ind w:left="100"/>
              <w:spacing w:after="0" w:line="192" w:lineRule="exact"/>
              <w:rPr>
                <w:sz w:val="20"/>
                <w:szCs w:val="20"/>
                <w:color w:val="auto"/>
              </w:rPr>
            </w:pPr>
            <w:r>
              <w:rPr>
                <w:rFonts w:ascii="Times New Roman" w:cs="Times New Roman" w:eastAsia="Times New Roman" w:hAnsi="Times New Roman"/>
                <w:sz w:val="18"/>
                <w:szCs w:val="18"/>
                <w:b w:val="1"/>
                <w:bCs w:val="1"/>
                <w:color w:val="auto"/>
              </w:rPr>
              <w:t>​ Page No.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rPr>
              <w:t>Item 1.</w:t>
            </w:r>
          </w:p>
        </w:tc>
        <w:tc>
          <w:tcPr>
            <w:tcW w:w="80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980" w:type="dxa"/>
            <w:vAlign w:val="bottom"/>
            <w:gridSpan w:val="4"/>
            <w:vMerge w:val="continue"/>
          </w:tcPr>
          <w:p>
            <w:pPr>
              <w:spacing w:after="0"/>
              <w:rPr>
                <w:sz w:val="24"/>
                <w:szCs w:val="24"/>
                <w:color w:val="auto"/>
              </w:rPr>
            </w:pPr>
          </w:p>
        </w:tc>
        <w:tc>
          <w:tcPr>
            <w:tcW w:w="8020" w:type="dxa"/>
            <w:vAlign w:val="bottom"/>
            <w:gridSpan w:val="23"/>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7"/>
              </w:rPr>
              <w:t>Condensed Consolidated Balance Sheets as of March 31, 2026 and December 31, 2025</w:t>
            </w:r>
          </w:p>
        </w:tc>
        <w:tc>
          <w:tcPr>
            <w:tcW w:w="1880" w:type="dxa"/>
            <w:vAlign w:val="bottom"/>
            <w:gridSpan w:val="5"/>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7"/>
              </w:rPr>
              <w:t>Condensed Consolidated Statements of Income for the Three-Months Ended March 31, 2026 and 2025</w:t>
            </w:r>
          </w:p>
        </w:tc>
        <w:tc>
          <w:tcPr>
            <w:tcW w:w="780" w:type="dxa"/>
            <w:vAlign w:val="bottom"/>
            <w:gridSpan w:val="2"/>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7"/>
              </w:rPr>
              <w:t>Condensed Consolidated Statements of Comprehensive Income for the Three-Months Ended March 31, 2026 and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1" w:lineRule="exact"/>
              <w:rPr>
                <w:sz w:val="20"/>
                <w:szCs w:val="20"/>
                <w:color w:val="auto"/>
              </w:rPr>
            </w:pPr>
            <w:r>
              <w:rPr>
                <w:rFonts w:ascii="Times New Roman" w:cs="Times New Roman" w:eastAsia="Times New Roman" w:hAnsi="Times New Roman"/>
                <w:sz w:val="18"/>
                <w:szCs w:val="18"/>
                <w:color w:val="0000EE"/>
                <w:w w:val="94"/>
              </w:rPr>
              <w:t>2025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Three-Months Ended March 31, 2026 and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bottom w:val="single" w:sz="8" w:color="0000EE"/>
            </w:tcBorders>
            <w:gridSpan w:val="2"/>
          </w:tcPr>
          <w:p>
            <w:pPr>
              <w:spacing w:after="0" w:line="191" w:lineRule="exact"/>
              <w:rPr>
                <w:sz w:val="20"/>
                <w:szCs w:val="20"/>
                <w:color w:val="auto"/>
              </w:rPr>
            </w:pPr>
            <w:r>
              <w:rPr>
                <w:rFonts w:ascii="Times New Roman" w:cs="Times New Roman" w:eastAsia="Times New Roman" w:hAnsi="Times New Roman"/>
                <w:sz w:val="18"/>
                <w:szCs w:val="18"/>
                <w:color w:val="0000EE"/>
                <w:w w:val="94"/>
              </w:rPr>
              <w:t>2025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7"/>
              </w:rPr>
              <w:t>Condensed Consolidated Statements of Cash Flows for the Three-Months Ended March 31, 2026 and 2025</w:t>
            </w:r>
          </w:p>
        </w:tc>
        <w:tc>
          <w:tcPr>
            <w:tcW w:w="4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2060" w:type="dxa"/>
            <w:vAlign w:val="bottom"/>
            <w:tcBorders>
              <w:left w:val="single" w:sz="8" w:color="0000EE"/>
            </w:tcBorders>
            <w:gridSpan w:val="3"/>
            <w:shd w:val="clear" w:color="auto" w:fill="0000EE"/>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3780" w:type="dxa"/>
            <w:vAlign w:val="bottom"/>
            <w:tcBorders>
              <w:left w:val="single" w:sz="8" w:color="0000EE"/>
            </w:tcBorders>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5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440" w:type="dxa"/>
            <w:vAlign w:val="bottom"/>
            <w:gridSpan w:val="2"/>
          </w:tcPr>
          <w:p>
            <w:pPr>
              <w:spacing w:after="0"/>
              <w:rPr>
                <w:sz w:val="24"/>
                <w:szCs w:val="24"/>
                <w:color w:val="auto"/>
              </w:rPr>
            </w:pPr>
          </w:p>
        </w:tc>
        <w:tc>
          <w:tcPr>
            <w:tcW w:w="19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040" w:type="dxa"/>
            <w:vAlign w:val="bottom"/>
            <w:gridSpan w:val="14"/>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3"/>
              </w:rPr>
              <w:t>Item 1A.</w:t>
            </w:r>
          </w:p>
        </w:tc>
        <w:tc>
          <w:tcPr>
            <w:tcW w:w="360" w:type="dxa"/>
            <w:vAlign w:val="bottom"/>
          </w:tcPr>
          <w:p>
            <w:pPr>
              <w:spacing w:after="0"/>
              <w:rPr>
                <w:sz w:val="24"/>
                <w:szCs w:val="24"/>
                <w:color w:val="auto"/>
              </w:rPr>
            </w:pP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360" w:type="dxa"/>
            <w:vAlign w:val="bottom"/>
          </w:tcPr>
          <w:p>
            <w:pPr>
              <w:spacing w:after="0"/>
              <w:rPr>
                <w:sz w:val="24"/>
                <w:szCs w:val="24"/>
                <w:color w:val="auto"/>
              </w:rPr>
            </w:pP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378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740" w:type="dxa"/>
            <w:vAlign w:val="bottom"/>
            <w:gridSpan w:val="1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300" w:type="dxa"/>
            <w:vAlign w:val="bottom"/>
            <w:gridSpan w:val="1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740" w:type="dxa"/>
            <w:vAlign w:val="bottom"/>
            <w:gridSpan w:val="1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80" w:type="dxa"/>
            <w:vAlign w:val="bottom"/>
            <w:gridSpan w:val="19"/>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32"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15" w:lineRule="exact"/>
        <w:rPr>
          <w:sz w:val="20"/>
          <w:szCs w:val="20"/>
          <w:color w:val="auto"/>
        </w:rPr>
      </w:pPr>
    </w:p>
    <w:p>
      <w:pPr>
        <w:ind w:right="4920"/>
        <w:spacing w:after="0" w:line="252"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BALANCE SHEETS AS OF MARCH 31, 2026 AND DECEMBER 31,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629793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40" w:type="dxa"/>
            <w:vAlign w:val="bottom"/>
          </w:tcPr>
          <w:p>
            <w:pPr>
              <w:ind w:left="192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2026</w:t>
            </w:r>
          </w:p>
        </w:tc>
        <w:tc>
          <w:tcPr>
            <w:tcW w:w="300" w:type="dxa"/>
            <w:vAlign w:val="bottom"/>
            <w:gridSpan w:val="2"/>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20" w:type="dxa"/>
            <w:vAlign w:val="bottom"/>
            <w:tcBorders>
              <w:top w:val="single" w:sz="8" w:color="CCEEFF"/>
            </w:tcBorders>
            <w:shd w:val="clear" w:color="auto" w:fill="CCEEFF"/>
          </w:tcPr>
          <w:p>
            <w:pPr>
              <w:spacing w:after="0"/>
              <w:rPr>
                <w:sz w:val="15"/>
                <w:szCs w:val="15"/>
                <w:color w:val="auto"/>
              </w:rPr>
            </w:pPr>
          </w:p>
        </w:tc>
        <w:tc>
          <w:tcPr>
            <w:tcW w:w="5480" w:type="dxa"/>
            <w:vAlign w:val="bottom"/>
            <w:tcBorders>
              <w:top w:val="single" w:sz="8" w:color="CCEEFF"/>
            </w:tcBorders>
            <w:gridSpan w:val="4"/>
            <w:shd w:val="clear" w:color="auto" w:fill="CCEEFF"/>
          </w:tcPr>
          <w:p>
            <w:pPr>
              <w:jc w:val="center"/>
              <w:ind w:right="1981"/>
              <w:spacing w:after="0" w:line="154" w:lineRule="exact"/>
              <w:rPr>
                <w:sz w:val="20"/>
                <w:szCs w:val="20"/>
                <w:color w:val="auto"/>
              </w:rPr>
            </w:pPr>
            <w:r>
              <w:rPr>
                <w:rFonts w:ascii="Times New Roman" w:cs="Times New Roman" w:eastAsia="Times New Roman" w:hAnsi="Times New Roman"/>
                <w:sz w:val="16"/>
                <w:szCs w:val="16"/>
                <w:b w:val="1"/>
                <w:bCs w:val="1"/>
                <w:color w:val="auto"/>
                <w:w w:val="97"/>
              </w:rPr>
              <w:t>ASSETS</w:t>
            </w: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580" w:type="dxa"/>
            <w:vAlign w:val="bottom"/>
            <w:tcBorders>
              <w:top w:val="single" w:sz="8" w:color="auto"/>
            </w:tcBorders>
          </w:tcPr>
          <w:p>
            <w:pPr>
              <w:spacing w:after="0"/>
              <w:rPr>
                <w:sz w:val="17"/>
                <w:szCs w:val="17"/>
                <w:color w:val="auto"/>
              </w:rPr>
            </w:pPr>
          </w:p>
        </w:tc>
        <w:tc>
          <w:tcPr>
            <w:tcW w:w="3480" w:type="dxa"/>
            <w:vAlign w:val="bottom"/>
            <w:tcBorders>
              <w:top w:val="single" w:sz="8" w:color="CCEEFF"/>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2,039,700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2,088,117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945,293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677,084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1,882,808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1,618,072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Inventories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828,260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799,623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166,477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Prepaid income taxes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49,073</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74,637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5,911,611</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5,361,084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770,400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487,329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1,074,598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1,081,544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189,055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1,331,643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1,331,643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1,380,311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1,379,268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185,915</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5480" w:type="dxa"/>
            <w:vAlign w:val="bottom"/>
            <w:tcBorders>
              <w:bottom w:val="single" w:sz="8" w:color="CCEEFF"/>
            </w:tcBorders>
            <w:gridSpan w:val="4"/>
            <w:shd w:val="clear" w:color="auto" w:fill="CCEEFF"/>
          </w:tcPr>
          <w:p>
            <w:pPr>
              <w:jc w:val="center"/>
              <w:ind w:right="1981"/>
              <w:spacing w:after="0"/>
              <w:rPr>
                <w:sz w:val="20"/>
                <w:szCs w:val="20"/>
                <w:color w:val="auto"/>
              </w:rPr>
            </w:pPr>
            <w:r>
              <w:rPr>
                <w:rFonts w:ascii="Times New Roman" w:cs="Times New Roman" w:eastAsia="Times New Roman" w:hAnsi="Times New Roman"/>
                <w:sz w:val="16"/>
                <w:szCs w:val="16"/>
                <w:b w:val="1"/>
                <w:bCs w:val="1"/>
                <w:color w:val="auto"/>
                <w:w w:val="98"/>
              </w:rPr>
              <w:t>Total Assets</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10,843,533</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9,988,945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00" w:type="dxa"/>
            <w:vAlign w:val="bottom"/>
            <w:gridSpan w:val="5"/>
            <w:shd w:val="clear" w:color="auto" w:fill="CCEEFF"/>
          </w:tcPr>
          <w:p>
            <w:pPr>
              <w:jc w:val="center"/>
              <w:ind w:right="141"/>
              <w:spacing w:after="0" w:line="158" w:lineRule="exact"/>
              <w:rPr>
                <w:sz w:val="20"/>
                <w:szCs w:val="20"/>
                <w:color w:val="auto"/>
              </w:rPr>
            </w:pPr>
            <w:r>
              <w:rPr>
                <w:rFonts w:ascii="Times New Roman" w:cs="Times New Roman" w:eastAsia="Times New Roman" w:hAnsi="Times New Roman"/>
                <w:sz w:val="16"/>
                <w:szCs w:val="16"/>
                <w:b w:val="1"/>
                <w:bCs w:val="1"/>
                <w:color w:val="auto"/>
                <w:w w:val="98"/>
              </w:rPr>
              <w:t>LIABILITIES AND STOCKHOLDERS’ EQUITY</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440" w:type="dxa"/>
            <w:vAlign w:val="bottom"/>
            <w:tcBorders>
              <w:top w:val="single" w:sz="8" w:color="auto"/>
            </w:tcBorders>
            <w:gridSpan w:val="3"/>
          </w:tcPr>
          <w:p>
            <w:pPr>
              <w:spacing w:after="0"/>
              <w:rPr>
                <w:sz w:val="17"/>
                <w:szCs w:val="17"/>
                <w:color w:val="auto"/>
              </w:rPr>
            </w:pPr>
          </w:p>
        </w:tc>
        <w:tc>
          <w:tcPr>
            <w:tcW w:w="20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783,859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565,974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396,864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402,440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46,448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69,740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115,713</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32,305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1,815,064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1,447,780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155,281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146,153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127,066</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 $0.005 par value; 5,000,000 shares authorized; 1,134,502 shares issued and 977,916 shares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outstanding as of March 31, 2026; 1,132,906 shares issued and 978,113 shares outstanding as of</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December 31, 2025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5,476,746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5,430,847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9,923,701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9,354,216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(69,336)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(60,841)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in treasury, at cost; 156,586 shares and 154,793 shares as of March 31, 2026 and</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(6,609,749)</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(6,475,779)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Borders>
              <w:bottom w:val="single" w:sz="8" w:color="CCEEFF"/>
            </w:tcBorders>
            <w:gridSpan w:val="5"/>
          </w:tcPr>
          <w:p>
            <w:pPr>
              <w:ind w:left="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8,727,035</w:t>
            </w: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8,254,108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5480" w:type="dxa"/>
            <w:vAlign w:val="bottom"/>
            <w:tcBorders>
              <w:bottom w:val="single" w:sz="8" w:color="CCEEFF"/>
            </w:tcBorders>
            <w:gridSpan w:val="4"/>
            <w:shd w:val="clear" w:color="auto" w:fill="CCEEFF"/>
          </w:tcPr>
          <w:p>
            <w:pPr>
              <w:jc w:val="center"/>
              <w:ind w:right="1981"/>
              <w:spacing w:after="0"/>
              <w:rPr>
                <w:sz w:val="20"/>
                <w:szCs w:val="20"/>
                <w:color w:val="auto"/>
              </w:rPr>
            </w:pPr>
            <w:r>
              <w:rPr>
                <w:rFonts w:ascii="Times New Roman" w:cs="Times New Roman" w:eastAsia="Times New Roman" w:hAnsi="Times New Roman"/>
                <w:sz w:val="16"/>
                <w:szCs w:val="16"/>
                <w:b w:val="1"/>
                <w:bCs w:val="1"/>
                <w:color w:val="auto"/>
                <w:w w:val="98"/>
              </w:rPr>
              <w:t>Total Liabilities and Stockholders’ Equity</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10,843,533</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9,988,945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920"/>
          </w:cols>
          <w:pgMar w:left="980" w:top="649" w:right="99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629793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47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MONSTER BEVERAGE CORPORATION AND SUBSIDIARIES CONDENSED CONSOLIDATED STATEMENTS OF INCOME FOR THE </w:t>
      </w:r>
      <w:r>
        <w:rPr>
          <w:rFonts w:ascii="Times New Roman" w:cs="Times New Roman" w:eastAsia="Times New Roman" w:hAnsi="Times New Roman"/>
          <w:sz w:val="18"/>
          <w:szCs w:val="18"/>
          <w:b w:val="1"/>
          <w:bCs w:val="1"/>
          <w:color w:val="212529"/>
        </w:rPr>
        <w:t>THREE-MONTHS ENDED MARCH 31</w:t>
      </w:r>
      <w:r>
        <w:rPr>
          <w:rFonts w:ascii="Times New Roman" w:cs="Times New Roman" w:eastAsia="Times New Roman" w:hAnsi="Times New Roman"/>
          <w:sz w:val="18"/>
          <w:szCs w:val="18"/>
          <w:b w:val="1"/>
          <w:bCs w:val="1"/>
          <w:color w:val="auto"/>
        </w:rPr>
        <w:t>, 2026 AND 2025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629793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4"/>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00" w:type="dxa"/>
            <w:vAlign w:val="bottom"/>
          </w:tcPr>
          <w:p>
            <w:pPr>
              <w:ind w:left="718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gridSpan w:val="2"/>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2,353,291</w:t>
            </w:r>
          </w:p>
        </w:tc>
        <w:tc>
          <w:tcPr>
            <w:tcW w:w="2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1,854,558</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1,059,942</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806,596</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1,293,349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1,047,962</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563,391</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478,217</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729,958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569,745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 INCOME, net</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20,170</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750,128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578,017</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180,643</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135,024</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7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569,485</w:t>
            </w:r>
          </w:p>
        </w:tc>
        <w:tc>
          <w:tcPr>
            <w:tcW w:w="5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540" w:type="dxa"/>
            <w:vAlign w:val="bottom"/>
            <w:gridSpan w:val="2"/>
          </w:tcPr>
          <w:p>
            <w:pPr>
              <w:jc w:val="right"/>
              <w:ind w:right="203"/>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300" w:type="dxa"/>
            <w:vAlign w:val="bottom"/>
            <w:tcBorders>
              <w:top w:val="single" w:sz="8" w:color="CCEEFF"/>
              <w:bottom w:val="single" w:sz="8" w:color="CCEEFF"/>
            </w:tcBorders>
            <w:shd w:val="clear" w:color="auto" w:fill="CCEEFF"/>
          </w:tcPr>
          <w:p>
            <w:pPr>
              <w:ind w:left="180"/>
              <w:spacing w:after="0" w:line="178" w:lineRule="exact"/>
              <w:rPr>
                <w:sz w:val="20"/>
                <w:szCs w:val="20"/>
                <w:color w:val="auto"/>
              </w:rPr>
            </w:pPr>
            <w:r>
              <w:rPr>
                <w:rFonts w:ascii="Times New Roman" w:cs="Times New Roman" w:eastAsia="Times New Roman" w:hAnsi="Times New Roman"/>
                <w:sz w:val="16"/>
                <w:szCs w:val="16"/>
                <w:color w:val="auto"/>
              </w:rPr>
              <w:t>Diluted</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0.58</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9920"/>
          </w:cols>
          <w:pgMar w:left="980" w:top="649" w:right="999" w:bottom="1440" w:gutter="0" w:footer="0" w:header="0"/>
        </w:sectPr>
      </w:pPr>
    </w:p>
    <w:p>
      <w:pPr>
        <w:ind w:left="140" w:right="740" w:hanging="125"/>
        <w:spacing w:after="0" w:line="266" w:lineRule="auto"/>
        <w:rPr>
          <w:sz w:val="20"/>
          <w:szCs w:val="20"/>
          <w:color w:val="auto"/>
        </w:rPr>
      </w:pPr>
      <w:r>
        <w:rPr>
          <w:rFonts w:ascii="Times New Roman" w:cs="Times New Roman" w:eastAsia="Times New Roman" w:hAnsi="Times New Roman"/>
          <w:sz w:val="16"/>
          <w:szCs w:val="16"/>
          <w:color w:val="auto"/>
        </w:rPr>
        <w:t>WEIGHTED AVERAGE NUMBER OF SHARES OF COMMON STOCK AND 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-249555</wp:posOffset>
            </wp:positionV>
            <wp:extent cx="6289675" cy="251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89675" cy="2514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17780</wp:posOffset>
            </wp:positionV>
            <wp:extent cx="6289675" cy="150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89675" cy="150495"/>
                    </a:xfrm>
                    <a:prstGeom prst="rect">
                      <a:avLst/>
                    </a:prstGeom>
                    <a:noFill/>
                  </pic:spPr>
                </pic:pic>
              </a:graphicData>
            </a:graphic>
          </wp:anchor>
        </w:drawing>
      </w:r>
    </w:p>
    <w:p>
      <w:pPr>
        <w:spacing w:after="0" w:line="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Diluted</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6"/>
          <w:szCs w:val="16"/>
          <w:color w:val="auto"/>
        </w:rPr>
        <w:t>978,309</w:t>
      </w:r>
      <w:r>
        <w:rPr>
          <w:sz w:val="20"/>
          <w:szCs w:val="20"/>
          <w:color w:val="auto"/>
        </w:rPr>
        <w:tab/>
      </w:r>
      <w:r>
        <w:rPr>
          <w:rFonts w:ascii="Times New Roman" w:cs="Times New Roman" w:eastAsia="Times New Roman" w:hAnsi="Times New Roman"/>
          <w:sz w:val="16"/>
          <w:szCs w:val="16"/>
          <w:color w:val="auto"/>
        </w:rPr>
        <w:t>973,622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17780</wp:posOffset>
            </wp:positionV>
            <wp:extent cx="16332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3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6"/>
          <w:szCs w:val="16"/>
          <w:color w:val="auto"/>
        </w:rPr>
        <w:t>988,258</w:t>
      </w:r>
      <w:r>
        <w:rPr>
          <w:sz w:val="20"/>
          <w:szCs w:val="20"/>
          <w:color w:val="auto"/>
        </w:rPr>
        <w:tab/>
      </w:r>
      <w:r>
        <w:rPr>
          <w:rFonts w:ascii="Times New Roman" w:cs="Times New Roman" w:eastAsia="Times New Roman" w:hAnsi="Times New Roman"/>
          <w:sz w:val="16"/>
          <w:szCs w:val="16"/>
          <w:color w:val="auto"/>
        </w:rPr>
        <w:t>981,282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34290</wp:posOffset>
            </wp:positionV>
            <wp:extent cx="16332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240" w:space="720"/>
            <w:col w:w="1960"/>
          </w:cols>
          <w:pgMar w:left="980" w:top="649" w:right="999" w:bottom="1440" w:gutter="0" w:footer="0" w:header="0"/>
          <w:type w:val="continuous"/>
        </w:sectPr>
      </w:pP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24" w:lineRule="exact"/>
        <w:rPr>
          <w:sz w:val="20"/>
          <w:szCs w:val="20"/>
          <w:color w:val="auto"/>
        </w:rPr>
      </w:pPr>
    </w:p>
    <w:p>
      <w:pPr>
        <w:ind w:right="3440"/>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COMPREHENSIVE INCOME FOR THE </w:t>
      </w:r>
      <w:r>
        <w:rPr>
          <w:rFonts w:ascii="Times New Roman" w:cs="Times New Roman" w:eastAsia="Times New Roman" w:hAnsi="Times New Roman"/>
          <w:sz w:val="18"/>
          <w:szCs w:val="18"/>
          <w:b w:val="1"/>
          <w:bCs w:val="1"/>
          <w:color w:val="212529"/>
        </w:rPr>
        <w:t>THREE-MONTHS ENDED MARCH 31</w:t>
      </w:r>
      <w:r>
        <w:rPr>
          <w:rFonts w:ascii="Times New Roman" w:cs="Times New Roman" w:eastAsia="Times New Roman" w:hAnsi="Times New Roman"/>
          <w:sz w:val="18"/>
          <w:szCs w:val="18"/>
          <w:b w:val="1"/>
          <w:bCs w:val="1"/>
          <w:color w:val="auto"/>
        </w:rPr>
        <w:t>, 2026 AND 2025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7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Three-Months Ended</w:t>
            </w:r>
          </w:p>
        </w:tc>
      </w:tr>
      <w:tr>
        <w:trPr>
          <w:trHeight w:val="209"/>
        </w:trPr>
        <w:tc>
          <w:tcPr>
            <w:tcW w:w="7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60" w:type="dxa"/>
            <w:vAlign w:val="bottom"/>
            <w:tcBorders>
              <w:bottom w:val="single" w:sz="8" w:color="auto"/>
            </w:tcBorders>
          </w:tcPr>
          <w:p>
            <w:pPr>
              <w:spacing w:after="0"/>
              <w:rPr>
                <w:sz w:val="18"/>
                <w:szCs w:val="18"/>
                <w:color w:val="auto"/>
              </w:rPr>
            </w:pPr>
          </w:p>
        </w:tc>
      </w:tr>
      <w:tr>
        <w:trPr>
          <w:trHeight w:val="196"/>
        </w:trPr>
        <w:tc>
          <w:tcPr>
            <w:tcW w:w="7300" w:type="dxa"/>
            <w:vAlign w:val="bottom"/>
          </w:tcPr>
          <w:p>
            <w:pPr>
              <w:ind w:left="7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1"/>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as reported</w:t>
            </w: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569,485</w:t>
            </w: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442,993</w:t>
            </w:r>
          </w:p>
        </w:tc>
      </w:tr>
      <w:tr>
        <w:trPr>
          <w:trHeight w:val="198"/>
        </w:trPr>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 in foreign currency translation adjustment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63,971</w:t>
            </w:r>
          </w:p>
        </w:tc>
      </w:tr>
      <w:tr>
        <w:trPr>
          <w:trHeight w:val="198"/>
        </w:trPr>
        <w:tc>
          <w:tcPr>
            <w:tcW w:w="7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 in net unrealized gain (loss) on available-for-sale investments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Change in net gain (loss) on commodity derivatives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20,493</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r>
      <w:tr>
        <w:trPr>
          <w:trHeight w:val="191"/>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66,541</w:t>
            </w:r>
          </w:p>
        </w:tc>
      </w:tr>
      <w:tr>
        <w:trPr>
          <w:trHeight w:val="191"/>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560,990</w:t>
            </w: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509,534</w:t>
            </w:r>
          </w:p>
        </w:tc>
      </w:tr>
      <w:tr>
        <w:trPr>
          <w:trHeight w:val="20"/>
        </w:trPr>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13" w:lineRule="exact"/>
        <w:rPr>
          <w:sz w:val="20"/>
          <w:szCs w:val="20"/>
          <w:color w:val="auto"/>
        </w:rPr>
      </w:pPr>
    </w:p>
    <w:p>
      <w:pPr>
        <w:ind w:right="3540"/>
        <w:spacing w:after="0" w:line="221"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STOCKHOLDERS’ EQUITY FOR THE </w:t>
      </w:r>
      <w:r>
        <w:rPr>
          <w:rFonts w:ascii="Times New Roman" w:cs="Times New Roman" w:eastAsia="Times New Roman" w:hAnsi="Times New Roman"/>
          <w:sz w:val="18"/>
          <w:szCs w:val="18"/>
          <w:b w:val="1"/>
          <w:bCs w:val="1"/>
          <w:color w:val="212529"/>
        </w:rPr>
        <w:t>THREE-MONTHS ENDED MARCH 31</w:t>
      </w:r>
      <w:r>
        <w:rPr>
          <w:rFonts w:ascii="Times New Roman" w:cs="Times New Roman" w:eastAsia="Times New Roman" w:hAnsi="Times New Roman"/>
          <w:sz w:val="18"/>
          <w:szCs w:val="18"/>
          <w:b w:val="1"/>
          <w:bCs w:val="1"/>
          <w:color w:val="auto"/>
        </w:rPr>
        <w:t>, 2026 AND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629793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18"/>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8"/>
              <w:spacing w:after="0" w:line="132"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78"/>
              <w:spacing w:after="0" w:line="132"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600" w:type="dxa"/>
            <w:vAlign w:val="bottom"/>
            <w:tcBorders>
              <w:bottom w:val="single" w:sz="8" w:color="auto"/>
            </w:tcBorders>
            <w:gridSpan w:val="4"/>
          </w:tcPr>
          <w:p>
            <w:pPr>
              <w:jc w:val="right"/>
              <w:ind w:right="358"/>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6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13"/>
                <w:szCs w:val="13"/>
                <w:color w:val="auto"/>
              </w:rPr>
            </w:pPr>
          </w:p>
        </w:tc>
        <w:tc>
          <w:tcPr>
            <w:tcW w:w="1620" w:type="dxa"/>
            <w:vAlign w:val="bottom"/>
            <w:tcBorders>
              <w:bottom w:val="single" w:sz="8" w:color="auto"/>
            </w:tcBorders>
            <w:gridSpan w:val="4"/>
          </w:tcPr>
          <w:p>
            <w:pPr>
              <w:jc w:val="right"/>
              <w:ind w:right="358"/>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6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20" w:type="dxa"/>
            <w:vAlign w:val="bottom"/>
          </w:tcPr>
          <w:p>
            <w:pPr>
              <w:ind w:left="2620"/>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ind w:right="118"/>
              <w:spacing w:after="0" w:line="125" w:lineRule="exact"/>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gridSpan w:val="2"/>
          </w:tcPr>
          <w:p>
            <w:pPr>
              <w:jc w:val="right"/>
              <w:ind w:right="94"/>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ind w:right="118"/>
              <w:spacing w:after="0" w:line="125" w:lineRule="exact"/>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gridSpan w:val="2"/>
          </w:tcPr>
          <w:p>
            <w:pPr>
              <w:jc w:val="right"/>
              <w:ind w:right="44"/>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center"/>
              <w:ind w:right="38"/>
              <w:spacing w:after="0" w:line="125" w:lineRule="exact"/>
              <w:rPr>
                <w:sz w:val="20"/>
                <w:szCs w:val="20"/>
                <w:color w:val="auto"/>
              </w:rPr>
            </w:pPr>
            <w:r>
              <w:rPr>
                <w:rFonts w:ascii="Times New Roman" w:cs="Times New Roman" w:eastAsia="Times New Roman" w:hAnsi="Times New Roman"/>
                <w:sz w:val="12"/>
                <w:szCs w:val="12"/>
                <w:b w:val="1"/>
                <w:bCs w:val="1"/>
                <w:color w:val="auto"/>
                <w:w w:val="99"/>
              </w:rPr>
              <w:t>Capital</w:t>
            </w:r>
          </w:p>
        </w:tc>
        <w:tc>
          <w:tcPr>
            <w:tcW w:w="260" w:type="dxa"/>
            <w:vAlign w:val="bottom"/>
            <w:gridSpan w:val="2"/>
          </w:tcPr>
          <w:p>
            <w:pPr>
              <w:jc w:val="right"/>
              <w:ind w:right="64"/>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ind w:right="78"/>
              <w:spacing w:after="0" w:line="125"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0" w:type="dxa"/>
            <w:vAlign w:val="bottom"/>
            <w:gridSpan w:val="3"/>
          </w:tcPr>
          <w:p>
            <w:pPr>
              <w:jc w:val="right"/>
              <w:spacing w:after="0" w:line="125" w:lineRule="exact"/>
              <w:rPr>
                <w:sz w:val="20"/>
                <w:szCs w:val="20"/>
                <w:color w:val="auto"/>
              </w:rPr>
            </w:pPr>
            <w:r>
              <w:rPr>
                <w:rFonts w:ascii="Times New Roman" w:cs="Times New Roman" w:eastAsia="Times New Roman" w:hAnsi="Times New Roman"/>
                <w:sz w:val="12"/>
                <w:szCs w:val="12"/>
                <w:b w:val="1"/>
                <w:bCs w:val="1"/>
                <w:color w:val="auto"/>
              </w:rPr>
              <w:t>​​​ (Loss) Income</w:t>
            </w:r>
          </w:p>
        </w:tc>
        <w:tc>
          <w:tcPr>
            <w:tcW w:w="1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ind w:right="98"/>
              <w:spacing w:after="0" w:line="125" w:lineRule="exact"/>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gridSpan w:val="2"/>
          </w:tcPr>
          <w:p>
            <w:pPr>
              <w:jc w:val="right"/>
              <w:ind w:right="64"/>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ind w:right="118"/>
              <w:spacing w:after="0" w:line="125" w:lineRule="exact"/>
              <w:rPr>
                <w:sz w:val="20"/>
                <w:szCs w:val="20"/>
                <w:color w:val="auto"/>
              </w:rPr>
            </w:pPr>
            <w:r>
              <w:rPr>
                <w:rFonts w:ascii="Times New Roman" w:cs="Times New Roman" w:eastAsia="Times New Roman" w:hAnsi="Times New Roman"/>
                <w:sz w:val="12"/>
                <w:szCs w:val="12"/>
                <w:b w:val="1"/>
                <w:bCs w:val="1"/>
                <w:color w:val="auto"/>
              </w:rPr>
              <w:t>Amount</w:t>
            </w:r>
          </w:p>
        </w:tc>
        <w:tc>
          <w:tcPr>
            <w:tcW w:w="280" w:type="dxa"/>
            <w:vAlign w:val="bottom"/>
            <w:gridSpan w:val="2"/>
          </w:tcPr>
          <w:p>
            <w:pPr>
              <w:jc w:val="right"/>
              <w:ind w:right="102"/>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center"/>
              <w:ind w:right="78"/>
              <w:spacing w:after="0" w:line="125"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2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Balance, December 31, 2025</w:t>
            </w: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1,132,906</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5,665</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5,430,847</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9,354,216</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(60,841)</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(154,793)</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(6,475,779)</w:t>
            </w: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8,254,108</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Stock-based compensation</w:t>
            </w: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27,944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27,944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Stock options/awards</w:t>
            </w: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1,596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17,955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17,963</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2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2"/>
                <w:szCs w:val="12"/>
                <w:color w:val="auto"/>
              </w:rPr>
              <w:t>Unrealized gain (loss), net on available-for-sale</w:t>
            </w: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securities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(4,324)</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Repurchase of common stock</w:t>
            </w: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(1,793)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(133,970)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(133,970)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(24,664)</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(24,664)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Net gain (loss) on commodity derivatives</w:t>
            </w: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20,493</w:t>
            </w:r>
          </w:p>
        </w:tc>
        <w:tc>
          <w:tcPr>
            <w:tcW w:w="16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20,493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Net income</w:t>
            </w:r>
          </w:p>
        </w:tc>
        <w:tc>
          <w:tcPr>
            <w:tcW w:w="68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569,485</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569,485</w:t>
            </w:r>
          </w:p>
        </w:tc>
        <w:tc>
          <w:tcPr>
            <w:tcW w:w="0" w:type="dxa"/>
            <w:vAlign w:val="bottom"/>
          </w:tcPr>
          <w:p>
            <w:pPr>
              <w:spacing w:after="0"/>
              <w:rPr>
                <w:sz w:val="1"/>
                <w:szCs w:val="1"/>
                <w:color w:val="auto"/>
              </w:rPr>
            </w:pPr>
          </w:p>
        </w:tc>
      </w:tr>
      <w:tr>
        <w:trPr>
          <w:trHeight w:val="125"/>
        </w:trPr>
        <w:tc>
          <w:tcPr>
            <w:tcW w:w="2740" w:type="dxa"/>
            <w:vAlign w:val="bottom"/>
            <w:gridSpan w:val="2"/>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Balance, March 31, 2026</w:t>
            </w: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2"/>
                <w:szCs w:val="12"/>
                <w:color w:val="auto"/>
              </w:rPr>
              <w:t>1,134,502</w:t>
            </w:r>
          </w:p>
        </w:tc>
        <w:tc>
          <w:tcPr>
            <w:tcW w:w="160" w:type="dxa"/>
            <w:vAlign w:val="bottom"/>
          </w:tcPr>
          <w:p>
            <w:pPr>
              <w:spacing w:after="0"/>
              <w:rPr>
                <w:sz w:val="10"/>
                <w:szCs w:val="10"/>
                <w:color w:val="auto"/>
              </w:rPr>
            </w:pPr>
          </w:p>
        </w:tc>
        <w:tc>
          <w:tcPr>
            <w:tcW w:w="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2"/>
                <w:szCs w:val="12"/>
                <w:color w:val="auto"/>
              </w:rPr>
              <w:t>5,673</w:t>
            </w:r>
          </w:p>
        </w:tc>
        <w:tc>
          <w:tcPr>
            <w:tcW w:w="160" w:type="dxa"/>
            <w:vAlign w:val="bottom"/>
          </w:tcPr>
          <w:p>
            <w:pPr>
              <w:spacing w:after="0"/>
              <w:rPr>
                <w:sz w:val="10"/>
                <w:szCs w:val="10"/>
                <w:color w:val="auto"/>
              </w:rPr>
            </w:pPr>
          </w:p>
        </w:tc>
        <w:tc>
          <w:tcPr>
            <w:tcW w:w="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2"/>
                <w:szCs w:val="12"/>
                <w:color w:val="auto"/>
              </w:rPr>
              <w:t>5,476,746</w:t>
            </w:r>
          </w:p>
        </w:tc>
        <w:tc>
          <w:tcPr>
            <w:tcW w:w="16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2"/>
                <w:szCs w:val="12"/>
                <w:color w:val="auto"/>
              </w:rPr>
              <w:t>9,923,701</w:t>
            </w:r>
          </w:p>
        </w:tc>
        <w:tc>
          <w:tcPr>
            <w:tcW w:w="160" w:type="dxa"/>
            <w:vAlign w:val="bottom"/>
          </w:tcPr>
          <w:p>
            <w:pPr>
              <w:spacing w:after="0"/>
              <w:rPr>
                <w:sz w:val="10"/>
                <w:szCs w:val="10"/>
                <w:color w:val="auto"/>
              </w:rPr>
            </w:pPr>
          </w:p>
        </w:tc>
        <w:tc>
          <w:tcPr>
            <w:tcW w:w="60" w:type="dxa"/>
            <w:vAlign w:val="bottom"/>
            <w:tcBorders>
              <w:bottom w:val="single" w:sz="8" w:color="auto"/>
            </w:tcBorders>
          </w:tcPr>
          <w:p>
            <w:pPr>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2"/>
                <w:szCs w:val="12"/>
                <w:color w:val="auto"/>
              </w:rPr>
              <w:t>(69,336)</w:t>
            </w:r>
          </w:p>
        </w:tc>
        <w:tc>
          <w:tcPr>
            <w:tcW w:w="16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2"/>
                <w:szCs w:val="12"/>
                <w:color w:val="auto"/>
              </w:rPr>
              <w:t>(156,586)</w:t>
            </w:r>
          </w:p>
        </w:tc>
        <w:tc>
          <w:tcPr>
            <w:tcW w:w="16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2"/>
                <w:szCs w:val="12"/>
                <w:color w:val="auto"/>
              </w:rPr>
              <w:t>(6,609,749)</w:t>
            </w:r>
          </w:p>
        </w:tc>
        <w:tc>
          <w:tcPr>
            <w:tcW w:w="160" w:type="dxa"/>
            <w:vAlign w:val="bottom"/>
          </w:tcPr>
          <w:p>
            <w:pPr>
              <w:spacing w:after="0"/>
              <w:rPr>
                <w:sz w:val="10"/>
                <w:szCs w:val="10"/>
                <w:color w:val="auto"/>
              </w:rPr>
            </w:pPr>
          </w:p>
        </w:tc>
        <w:tc>
          <w:tcPr>
            <w:tcW w:w="1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spacing w:after="0" w:line="125" w:lineRule="exact"/>
              <w:rPr>
                <w:sz w:val="20"/>
                <w:szCs w:val="20"/>
                <w:color w:val="auto"/>
              </w:rPr>
            </w:pPr>
            <w:r>
              <w:rPr>
                <w:rFonts w:ascii="Times New Roman" w:cs="Times New Roman" w:eastAsia="Times New Roman" w:hAnsi="Times New Roman"/>
                <w:sz w:val="12"/>
                <w:szCs w:val="12"/>
                <w:color w:val="auto"/>
              </w:rPr>
              <w:t>8,727,035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center"/>
              <w:ind w:right="18"/>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8"/>
              <w:spacing w:after="0" w:line="132"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78"/>
              <w:spacing w:after="0" w:line="132"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600" w:type="dxa"/>
            <w:vAlign w:val="bottom"/>
            <w:tcBorders>
              <w:bottom w:val="single" w:sz="8" w:color="auto"/>
            </w:tcBorders>
            <w:gridSpan w:val="4"/>
          </w:tcPr>
          <w:p>
            <w:pPr>
              <w:jc w:val="right"/>
              <w:ind w:right="358"/>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60" w:type="dxa"/>
            <w:vAlign w:val="bottom"/>
          </w:tcPr>
          <w:p>
            <w:pPr>
              <w:spacing w:after="0"/>
              <w:rPr>
                <w:sz w:val="13"/>
                <w:szCs w:val="13"/>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13"/>
                <w:szCs w:val="13"/>
                <w:color w:val="auto"/>
              </w:rPr>
            </w:pPr>
          </w:p>
        </w:tc>
        <w:tc>
          <w:tcPr>
            <w:tcW w:w="1620" w:type="dxa"/>
            <w:vAlign w:val="bottom"/>
            <w:tcBorders>
              <w:bottom w:val="single" w:sz="8" w:color="auto"/>
            </w:tcBorders>
            <w:gridSpan w:val="4"/>
          </w:tcPr>
          <w:p>
            <w:pPr>
              <w:jc w:val="right"/>
              <w:ind w:right="358"/>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6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20" w:type="dxa"/>
            <w:vAlign w:val="bottom"/>
          </w:tcPr>
          <w:p>
            <w:pPr>
              <w:ind w:left="2620"/>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ind w:right="118"/>
              <w:spacing w:after="0" w:line="125" w:lineRule="exact"/>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gridSpan w:val="2"/>
          </w:tcPr>
          <w:p>
            <w:pPr>
              <w:jc w:val="right"/>
              <w:ind w:right="94"/>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ind w:right="118"/>
              <w:spacing w:after="0" w:line="125" w:lineRule="exact"/>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gridSpan w:val="2"/>
          </w:tcPr>
          <w:p>
            <w:pPr>
              <w:jc w:val="right"/>
              <w:ind w:right="44"/>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center"/>
              <w:ind w:right="38"/>
              <w:spacing w:after="0" w:line="125" w:lineRule="exact"/>
              <w:rPr>
                <w:sz w:val="20"/>
                <w:szCs w:val="20"/>
                <w:color w:val="auto"/>
              </w:rPr>
            </w:pPr>
            <w:r>
              <w:rPr>
                <w:rFonts w:ascii="Times New Roman" w:cs="Times New Roman" w:eastAsia="Times New Roman" w:hAnsi="Times New Roman"/>
                <w:sz w:val="12"/>
                <w:szCs w:val="12"/>
                <w:b w:val="1"/>
                <w:bCs w:val="1"/>
                <w:color w:val="auto"/>
                <w:w w:val="99"/>
              </w:rPr>
              <w:t>Capital</w:t>
            </w:r>
          </w:p>
        </w:tc>
        <w:tc>
          <w:tcPr>
            <w:tcW w:w="260" w:type="dxa"/>
            <w:vAlign w:val="bottom"/>
            <w:gridSpan w:val="2"/>
          </w:tcPr>
          <w:p>
            <w:pPr>
              <w:jc w:val="right"/>
              <w:ind w:right="64"/>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ind w:right="78"/>
              <w:spacing w:after="0" w:line="125"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000" w:type="dxa"/>
            <w:vAlign w:val="bottom"/>
            <w:gridSpan w:val="3"/>
          </w:tcPr>
          <w:p>
            <w:pPr>
              <w:jc w:val="right"/>
              <w:spacing w:after="0" w:line="125" w:lineRule="exact"/>
              <w:rPr>
                <w:sz w:val="20"/>
                <w:szCs w:val="20"/>
                <w:color w:val="auto"/>
              </w:rPr>
            </w:pPr>
            <w:r>
              <w:rPr>
                <w:rFonts w:ascii="Times New Roman" w:cs="Times New Roman" w:eastAsia="Times New Roman" w:hAnsi="Times New Roman"/>
                <w:sz w:val="12"/>
                <w:szCs w:val="12"/>
                <w:b w:val="1"/>
                <w:bCs w:val="1"/>
                <w:color w:val="auto"/>
              </w:rPr>
              <w:t>​​​ (Loss) Income</w:t>
            </w:r>
          </w:p>
        </w:tc>
        <w:tc>
          <w:tcPr>
            <w:tcW w:w="1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ind w:right="98"/>
              <w:spacing w:after="0" w:line="125" w:lineRule="exact"/>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gridSpan w:val="2"/>
          </w:tcPr>
          <w:p>
            <w:pPr>
              <w:jc w:val="right"/>
              <w:ind w:right="64"/>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ind w:right="118"/>
              <w:spacing w:after="0" w:line="125" w:lineRule="exact"/>
              <w:rPr>
                <w:sz w:val="20"/>
                <w:szCs w:val="20"/>
                <w:color w:val="auto"/>
              </w:rPr>
            </w:pPr>
            <w:r>
              <w:rPr>
                <w:rFonts w:ascii="Times New Roman" w:cs="Times New Roman" w:eastAsia="Times New Roman" w:hAnsi="Times New Roman"/>
                <w:sz w:val="12"/>
                <w:szCs w:val="12"/>
                <w:b w:val="1"/>
                <w:bCs w:val="1"/>
                <w:color w:val="auto"/>
              </w:rPr>
              <w:t>Amount</w:t>
            </w:r>
          </w:p>
        </w:tc>
        <w:tc>
          <w:tcPr>
            <w:tcW w:w="280" w:type="dxa"/>
            <w:vAlign w:val="bottom"/>
            <w:gridSpan w:val="2"/>
          </w:tcPr>
          <w:p>
            <w:pPr>
              <w:jc w:val="right"/>
              <w:ind w:right="102"/>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center"/>
              <w:ind w:right="78"/>
              <w:spacing w:after="0" w:line="125"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2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Balance, December 31, 2024</w:t>
            </w: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1,126,329</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5,632</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5,144,922</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7,448,784</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(269,487)</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(153,250)</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(6,372,133)</w:t>
            </w: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5,957,718</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7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Stock-based compensation</w:t>
            </w: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20,727</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20,727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Stock options/awards</w:t>
            </w: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2,366</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48,082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48,093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Repurchase of common stock</w:t>
            </w: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(302)</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(16,633)</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(16,633)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63,971</w:t>
            </w:r>
          </w:p>
        </w:tc>
        <w:tc>
          <w:tcPr>
            <w:tcW w:w="16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63,971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Net gain (loss) on commodity derivatives</w:t>
            </w: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2,570</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2,570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20" w:type="dxa"/>
            <w:vAlign w:val="bottom"/>
            <w:tcBorders>
              <w:bottom w:val="single" w:sz="8" w:color="CCEEFF"/>
            </w:tcBorders>
          </w:tcPr>
          <w:p>
            <w:pPr>
              <w:spacing w:after="0" w:line="132" w:lineRule="exact"/>
              <w:rPr>
                <w:sz w:val="20"/>
                <w:szCs w:val="20"/>
                <w:color w:val="auto"/>
              </w:rPr>
            </w:pPr>
            <w:r>
              <w:rPr>
                <w:rFonts w:ascii="Times New Roman" w:cs="Times New Roman" w:eastAsia="Times New Roman" w:hAnsi="Times New Roman"/>
                <w:sz w:val="12"/>
                <w:szCs w:val="12"/>
                <w:color w:val="auto"/>
              </w:rPr>
              <w:t>Net income</w:t>
            </w:r>
          </w:p>
        </w:tc>
        <w:tc>
          <w:tcPr>
            <w:tcW w:w="6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442,993</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2"/>
                <w:szCs w:val="12"/>
                <w:color w:val="auto"/>
              </w:rPr>
              <w:t>442,993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20" w:type="dxa"/>
            <w:vAlign w:val="bottom"/>
            <w:tcBorders>
              <w:bottom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2"/>
                <w:szCs w:val="12"/>
                <w:b w:val="1"/>
                <w:bCs w:val="1"/>
                <w:color w:val="auto"/>
              </w:rPr>
              <w:t>Balance, March 31, 2025</w:t>
            </w: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1,128,695</w:t>
            </w:r>
          </w:p>
        </w:tc>
        <w:tc>
          <w:tcPr>
            <w:tcW w:w="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5,643</w:t>
            </w: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5,213,731</w:t>
            </w:r>
          </w:p>
        </w:tc>
        <w:tc>
          <w:tcPr>
            <w:tcW w:w="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7,891,777</w:t>
            </w:r>
          </w:p>
        </w:tc>
        <w:tc>
          <w:tcPr>
            <w:tcW w:w="1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(202,946)</w:t>
            </w:r>
          </w:p>
        </w:tc>
        <w:tc>
          <w:tcPr>
            <w:tcW w:w="1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(153,552)</w:t>
            </w:r>
          </w:p>
        </w:tc>
        <w:tc>
          <w:tcPr>
            <w:tcW w:w="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(6,388,766)</w:t>
            </w:r>
          </w:p>
        </w:tc>
        <w:tc>
          <w:tcPr>
            <w:tcW w:w="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2"/>
                <w:szCs w:val="12"/>
                <w:color w:val="auto"/>
              </w:rPr>
              <w:t>6,519,439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4640"/>
        <w:spacing w:after="0" w:line="235"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THREE</w:t>
      </w:r>
      <w:r>
        <w:rPr>
          <w:rFonts w:ascii="Times New Roman" w:cs="Times New Roman" w:eastAsia="Times New Roman" w:hAnsi="Times New Roman"/>
          <w:sz w:val="18"/>
          <w:szCs w:val="18"/>
          <w:b w:val="1"/>
          <w:bCs w:val="1"/>
          <w:color w:val="212529"/>
        </w:rPr>
        <w:t>-MONTHS ENDED MARCH 31</w:t>
      </w:r>
      <w:r>
        <w:rPr>
          <w:rFonts w:ascii="Times New Roman" w:cs="Times New Roman" w:eastAsia="Times New Roman" w:hAnsi="Times New Roman"/>
          <w:sz w:val="18"/>
          <w:szCs w:val="18"/>
          <w:b w:val="1"/>
          <w:bCs w:val="1"/>
          <w:color w:val="auto"/>
        </w:rPr>
        <w:t>, 2026 AND 2025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629793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Three-Months Ended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820" w:type="dxa"/>
            <w:vAlign w:val="bottom"/>
            <w:vMerge w:val="restart"/>
          </w:tcPr>
          <w:p>
            <w:pPr>
              <w:ind w:left="65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490"/>
              <w:spacing w:after="0" w:line="139"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gridSpan w:val="2"/>
          </w:tcPr>
          <w:p>
            <w:pPr>
              <w:jc w:val="right"/>
              <w:ind w:right="425"/>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410"/>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20" w:type="dxa"/>
            <w:vAlign w:val="bottom"/>
            <w:tcBorders>
              <w:top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gridSpan w:val="2"/>
          </w:tcPr>
          <w:p>
            <w:pPr>
              <w:jc w:val="right"/>
              <w:ind w:right="185"/>
              <w:spacing w:after="0" w:line="145"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569,485</w:t>
            </w:r>
          </w:p>
        </w:tc>
        <w:tc>
          <w:tcPr>
            <w:tcW w:w="700" w:type="dxa"/>
            <w:vAlign w:val="bottom"/>
            <w:gridSpan w:val="2"/>
          </w:tcPr>
          <w:p>
            <w:pPr>
              <w:jc w:val="right"/>
              <w:ind w:right="345"/>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442,993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28,400</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24,848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Non-cash lease expense</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3,636</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4,014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(Gain) loss on disposal of property and equipment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(684)</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Loss on impairment of property and equipment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2,279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28,294</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20,727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(413)</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ind w:left="80"/>
              <w:spacing w:after="0" w:line="145"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(249,066)</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(109,557)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(33,498)</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19,594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(70,639)</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(3,995)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Prepaid income taxes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23,368</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11,912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164,698</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11,768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Accrued liabilities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86,996</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33,661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Accrued promotional allowances</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23,713</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30,785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Accrued compensation</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(45,500)</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(37,338)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Income taxes payable</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83,355</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61,674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(3,670)</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(1,885)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(3,489)</w:t>
            </w:r>
          </w:p>
        </w:tc>
        <w:tc>
          <w:tcPr>
            <w:tcW w:w="2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(4,339)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2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604,986</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507,600</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Sales of available-for-sale investments</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197,709</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Purchases of available-for-sale investments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(696,089)</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(20,604)</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(29,056)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819</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1,147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Additions to intangibles</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(3,531)</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(5,343)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Borders>
              <w:bottom w:val="single" w:sz="8" w:color="CCEEFF"/>
            </w:tcBorders>
          </w:tcPr>
          <w:p>
            <w:pPr>
              <w:spacing w:after="0" w:line="145" w:lineRule="exact"/>
              <w:rPr>
                <w:sz w:val="20"/>
                <w:szCs w:val="20"/>
                <w:color w:val="auto"/>
              </w:rPr>
            </w:pPr>
            <w:r>
              <w:rPr>
                <w:rFonts w:ascii="Times New Roman" w:cs="Times New Roman" w:eastAsia="Times New Roman" w:hAnsi="Times New Roman"/>
                <w:sz w:val="14"/>
                <w:szCs w:val="14"/>
                <w:color w:val="auto"/>
              </w:rPr>
              <w:t>Decrease in other assets</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1,011</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2,397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20" w:type="dxa"/>
            <w:vAlign w:val="bottom"/>
            <w:shd w:val="clear" w:color="auto" w:fill="CCEEFF"/>
          </w:tcPr>
          <w:p>
            <w:pPr>
              <w:ind w:left="280"/>
              <w:spacing w:after="0" w:line="13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(520,685)</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(30,855)</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6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Payments on short-term debt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(2,113)</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Payments on credit facilities</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(175,000)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Issuance of common stock</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17,963</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48,093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Purchases of common stock held in treasury</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(133,970)</w:t>
            </w:r>
          </w:p>
        </w:tc>
        <w:tc>
          <w:tcPr>
            <w:tcW w:w="2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(16,633)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20" w:type="dxa"/>
            <w:vAlign w:val="bottom"/>
            <w:tcBorders>
              <w:bottom w:val="single" w:sz="8" w:color="CCEEFF"/>
            </w:tcBorders>
          </w:tcPr>
          <w:p>
            <w:pPr>
              <w:ind w:left="280"/>
              <w:spacing w:after="0" w:line="139"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(118,120)</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(145,585)</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(14,598)</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38,972</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(48,417)</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370,132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2,088,117</w:t>
            </w:r>
          </w:p>
        </w:tc>
        <w:tc>
          <w:tcPr>
            <w:tcW w:w="2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1,533,287</w:t>
            </w:r>
          </w:p>
        </w:tc>
        <w:tc>
          <w:tcPr>
            <w:tcW w:w="0" w:type="dxa"/>
            <w:vAlign w:val="bottom"/>
          </w:tcPr>
          <w:p>
            <w:pPr>
              <w:spacing w:after="0"/>
              <w:rPr>
                <w:sz w:val="1"/>
                <w:szCs w:val="1"/>
                <w:color w:val="auto"/>
              </w:rPr>
            </w:pPr>
          </w:p>
        </w:tc>
      </w:tr>
      <w:tr>
        <w:trPr>
          <w:trHeight w:val="178"/>
        </w:trPr>
        <w:tc>
          <w:tcPr>
            <w:tcW w:w="68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180" w:type="dxa"/>
            <w:vAlign w:val="bottom"/>
          </w:tcPr>
          <w:p>
            <w:pPr>
              <w:spacing w:after="0"/>
              <w:rPr>
                <w:sz w:val="15"/>
                <w:szCs w:val="15"/>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2,039,700</w:t>
            </w:r>
          </w:p>
        </w:tc>
        <w:tc>
          <w:tcPr>
            <w:tcW w:w="240" w:type="dxa"/>
            <w:vAlign w:val="bottom"/>
          </w:tcPr>
          <w:p>
            <w:pPr>
              <w:spacing w:after="0"/>
              <w:rPr>
                <w:sz w:val="15"/>
                <w:szCs w:val="15"/>
                <w:color w:val="auto"/>
              </w:rPr>
            </w:pPr>
          </w:p>
        </w:tc>
        <w:tc>
          <w:tcPr>
            <w:tcW w:w="4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color w:val="auto"/>
              </w:rPr>
              <w:t>1,903,419</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68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SUPPLEMENTAL INFORMATION:</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2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Cash paid during the period for:</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2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Interest</w:t>
            </w:r>
          </w:p>
        </w:tc>
        <w:tc>
          <w:tcPr>
            <w:tcW w:w="480" w:type="dxa"/>
            <w:vAlign w:val="bottom"/>
            <w:gridSpan w:val="2"/>
          </w:tcPr>
          <w:p>
            <w:pPr>
              <w:jc w:val="right"/>
              <w:ind w:right="185"/>
              <w:spacing w:after="0" w:line="145"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41</w:t>
            </w:r>
          </w:p>
        </w:tc>
        <w:tc>
          <w:tcPr>
            <w:tcW w:w="700" w:type="dxa"/>
            <w:vAlign w:val="bottom"/>
            <w:gridSpan w:val="2"/>
          </w:tcPr>
          <w:p>
            <w:pPr>
              <w:jc w:val="right"/>
              <w:ind w:right="345"/>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4,174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20" w:type="dxa"/>
            <w:vAlign w:val="bottom"/>
            <w:tcBorders>
              <w:top w:val="single" w:sz="8" w:color="CCEEFF"/>
              <w:bottom w:val="single" w:sz="8" w:color="CCEEFF"/>
            </w:tcBorders>
            <w:shd w:val="clear" w:color="auto" w:fill="CCEEFF"/>
          </w:tcPr>
          <w:p>
            <w:pPr>
              <w:ind w:left="180"/>
              <w:spacing w:after="0" w:line="125" w:lineRule="exact"/>
              <w:rPr>
                <w:sz w:val="20"/>
                <w:szCs w:val="20"/>
                <w:color w:val="auto"/>
              </w:rPr>
            </w:pPr>
            <w:r>
              <w:rPr>
                <w:rFonts w:ascii="Times New Roman" w:cs="Times New Roman" w:eastAsia="Times New Roman" w:hAnsi="Times New Roman"/>
                <w:sz w:val="14"/>
                <w:szCs w:val="14"/>
                <w:color w:val="auto"/>
              </w:rPr>
              <w:t>Income taxes</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ind w:right="185"/>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rPr>
              <w:t>71,424</w:t>
            </w: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ind w:right="345"/>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rPr>
              <w:t>61,646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right="4640"/>
        <w:spacing w:after="0" w:line="253"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THREE-MONTHS ENDED MARCH 31, 2026 AND 2025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629793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NON-CASH ITEMS</w:t>
      </w:r>
    </w:p>
    <w:p>
      <w:pPr>
        <w:spacing w:after="0" w:line="215"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Included in accrued liabilities as of March 31, 2026 and 2025 were additions to other intangible assets of $1.8 million and $5.1 million, respectively.</w:t>
      </w:r>
    </w:p>
    <w:p>
      <w:pPr>
        <w:spacing w:after="0" w:line="169"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Included in accounts payable as of March 31, 2026 and 2025 were property and equipment purchases of $0.7 million and $4.0 million, respectively.</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Included in accounts payable as of March 31, 2026 were available-for-sale short-term investment purchases of $28.4 million.</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Included in accounts payable as of March 31, 2026 were available-for-sale long-term investment purchases of $28.8 million.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ind w:left="640" w:hanging="634"/>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1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Reference is made to the Notes to Consolidated Financial Statements, in Monster Beverage Corporation and Subsidiaries (the “Company”) Annual Report on Form 10-K for the year ended December 31, 2025 for a summary of significant accounting policies utilized by the Company and its consolidated subsidiaries and other disclosures, which should be read in conjunction with this Quarterly Report on Form 10-Q (“Form 10-Q”).</w:t>
      </w:r>
    </w:p>
    <w:p>
      <w:pPr>
        <w:spacing w:after="0" w:line="182"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 xml:space="preserve">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w:t>
      </w:r>
      <w:r>
        <w:rPr>
          <w:rFonts w:ascii="Times New Roman" w:cs="Times New Roman" w:eastAsia="Times New Roman" w:hAnsi="Times New Roman"/>
          <w:sz w:val="18"/>
          <w:szCs w:val="18"/>
          <w:color w:val="212529"/>
        </w:rPr>
        <w:t>three-months ended March 31, 2026 and 2025</w:t>
      </w:r>
      <w:r>
        <w:rPr>
          <w:rFonts w:ascii="Times New Roman" w:cs="Times New Roman" w:eastAsia="Times New Roman" w:hAnsi="Times New Roman"/>
          <w:sz w:val="18"/>
          <w:szCs w:val="18"/>
          <w:color w:val="auto"/>
        </w:rPr>
        <w:t>,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88"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7"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The amendments in this update require the Company to disaggregate key expense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purchases of inventory, employee compensation, depreciation and intangible asset amortization, within its financial statements. The amendments in ASU 2024-03 are effective for fiscal years beginning after December 15, 2026. Early adoption is permitted. The Company is evaluating the impact ASU 2024-03 will have on its consolidated financial statements.</w:t>
      </w:r>
    </w:p>
    <w:p>
      <w:pPr>
        <w:spacing w:after="0" w:line="18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The amendments in this update require internal-use software development cost capitalization to begin when both of the following occur: management has authorized and committed to funding the software project, and it is probable that the project will be completed and that the software will be used to perform its intended function. The amendments also eliminate the accounting considerations of software development stages. The amendments in ASU 2025-06 are effective for fiscal years beginning after December 15, 2027. Early adoption is permitted. The Company is evaluating the impact ASU 2025-06 will have on its consolidated financial statements.</w:t>
      </w:r>
    </w:p>
    <w:p>
      <w:pPr>
        <w:spacing w:after="0" w:line="186" w:lineRule="exact"/>
        <w:rPr>
          <w:sz w:val="20"/>
          <w:szCs w:val="20"/>
          <w:color w:val="auto"/>
        </w:rPr>
      </w:pPr>
    </w:p>
    <w:p>
      <w:pPr>
        <w:ind w:left="640" w:hanging="63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15" w:lineRule="exact"/>
        <w:rPr>
          <w:sz w:val="20"/>
          <w:szCs w:val="20"/>
          <w:color w:val="auto"/>
        </w:rPr>
      </w:pPr>
    </w:p>
    <w:p>
      <w:pPr>
        <w:jc w:val="both"/>
        <w:ind w:firstLine="633"/>
        <w:spacing w:after="0" w:line="235" w:lineRule="auto"/>
        <w:rPr>
          <w:sz w:val="20"/>
          <w:szCs w:val="20"/>
          <w:color w:val="auto"/>
        </w:rPr>
      </w:pPr>
      <w:r>
        <w:rPr>
          <w:rFonts w:ascii="Times New Roman" w:cs="Times New Roman" w:eastAsia="Times New Roman" w:hAnsi="Times New Roman"/>
          <w:sz w:val="18"/>
          <w:szCs w:val="18"/>
          <w:color w:val="auto"/>
        </w:rPr>
        <w:t>Revenues are accounted for in accordance with FASB Accounting Standards Codification (“ASC”) 606, “Revenue from Contracts with Customers”. The Company has four operating and reportable segments: (i) Monster Energy® Drinks segment (“Monster Energy® Drinks”), which is primarily comprised of the Company’s Monster Energy® drinks, Reign Total Body Fuel® high performance energy drinks, Reign Storm® total wellness energy drinks, Bang Energy® drinks and FLRT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total wellness energy drinks, (ii) Strategic Brands segment (“Strategic Brands”), which is primarily comprised of the various energy drink brands acquired from The Coca-Cola Company (“TCCC”) in 2015 as well as the Company’s affordable energy brands, Predator® and Fury®, (iii) Alcohol Brands segment (“Alcohol Brands”), which is comprised of various craft beers, flavored malt beverages (“FMBs”) and hard seltzers and (iv) Other segment (“Other”), which is comprised of certain products sold by American Fruits and Flavors, LLC, a wholly-owned subsidiary of the Company, to independent third-party customers (the “AFF Third-Party Products”).</w:t>
      </w:r>
    </w:p>
    <w:p>
      <w:pPr>
        <w:spacing w:after="0" w:line="19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Company’s Monster Energy® Drinks segment primarily generates net operating revenues by selling ready-to-drink packaged drinks primarily to bottlers and full service beverage distributors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sectPr>
          <w:pgSz w:w="11900" w:h="16838" w:orient="portrait"/>
          <w:cols w:equalWidth="0" w:num="1">
            <w:col w:w="9920"/>
          </w:cols>
          <w:pgMar w:left="980" w:top="649" w:right="99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629793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9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Company’s Alcohol Brands segment primarily generates operating revenues by selling kegged and ready-to-drink canned beers, FMBs and hard seltzers primarily to beer distributors in the United States.</w:t>
      </w:r>
    </w:p>
    <w:p>
      <w:pPr>
        <w:spacing w:after="0" w:line="169" w:lineRule="exact"/>
        <w:rPr>
          <w:sz w:val="20"/>
          <w:szCs w:val="20"/>
          <w:color w:val="auto"/>
        </w:rPr>
      </w:pPr>
    </w:p>
    <w:p>
      <w:pPr>
        <w:jc w:val="both"/>
        <w:ind w:firstLine="633"/>
        <w:spacing w:after="0" w:line="284" w:lineRule="auto"/>
        <w:rPr>
          <w:sz w:val="20"/>
          <w:szCs w:val="20"/>
          <w:color w:val="auto"/>
        </w:rPr>
      </w:pPr>
      <w:r>
        <w:rPr>
          <w:rFonts w:ascii="Times New Roman" w:cs="Times New Roman" w:eastAsia="Times New Roman" w:hAnsi="Times New Roman"/>
          <w:sz w:val="16"/>
          <w:szCs w:val="16"/>
          <w:color w:val="auto"/>
        </w:rPr>
        <w:t xml:space="preserve">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w:t>
      </w:r>
      <w:r>
        <w:rPr>
          <w:rFonts w:ascii="Times New Roman" w:cs="Times New Roman" w:eastAsia="Times New Roman" w:hAnsi="Times New Roman"/>
          <w:sz w:val="16"/>
          <w:szCs w:val="16"/>
          <w:color w:val="212529"/>
        </w:rPr>
        <w:t>March 31, 2026 and December 31, 2025.</w:t>
      </w:r>
    </w:p>
    <w:p>
      <w:pPr>
        <w:spacing w:after="0" w:line="164"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16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Distribution expenses to transport the Company’s products, where applicable, and warehousing expenses after manufacture are accounted for within operating expenses.</w:t>
      </w:r>
    </w:p>
    <w:p>
      <w:pPr>
        <w:spacing w:after="0" w:line="16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Promotional and other allowances (variable consideration) recorded as a reduction to net sales for the Company’s energy drink products primarily include consideration given to the Company’s non-alcohol bottlers/distributors or customers, including, but not limited to, the following:</w:t>
      </w:r>
    </w:p>
    <w:p>
      <w:pPr>
        <w:spacing w:after="0" w:line="179" w:lineRule="exact"/>
        <w:rPr>
          <w:sz w:val="20"/>
          <w:szCs w:val="20"/>
          <w:color w:val="auto"/>
        </w:rPr>
      </w:pPr>
    </w:p>
    <w:p>
      <w:pPr>
        <w:ind w:left="1300" w:hanging="318"/>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granted off list prices to support price promotions to end-consumers by retailers;</w:t>
      </w:r>
    </w:p>
    <w:p>
      <w:pPr>
        <w:spacing w:after="0" w:line="21" w:lineRule="exact"/>
        <w:rPr>
          <w:rFonts w:ascii="Times New Roman" w:cs="Times New Roman" w:eastAsia="Times New Roman" w:hAnsi="Times New Roman"/>
          <w:sz w:val="18"/>
          <w:szCs w:val="18"/>
          <w:color w:val="auto"/>
        </w:rPr>
      </w:pPr>
    </w:p>
    <w:p>
      <w:pPr>
        <w:ind w:left="1300" w:right="20" w:hanging="318"/>
        <w:spacing w:after="0" w:line="244"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reimbursements given to the Company’s bottlers/distributors for agreed portions of their promotional spend with retailers, including slotting, shelf space allowances and other fees for both new and existing products;</w:t>
      </w:r>
    </w:p>
    <w:p>
      <w:pPr>
        <w:spacing w:after="0" w:line="1" w:lineRule="exact"/>
        <w:rPr>
          <w:rFonts w:ascii="Times New Roman" w:cs="Times New Roman" w:eastAsia="Times New Roman" w:hAnsi="Times New Roman"/>
          <w:sz w:val="18"/>
          <w:szCs w:val="18"/>
          <w:color w:val="auto"/>
        </w:rPr>
      </w:pPr>
    </w:p>
    <w:p>
      <w:pPr>
        <w:ind w:left="1300" w:right="20" w:hanging="318"/>
        <w:spacing w:after="0" w:line="244"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fees given to bottlers/distributors and/or directly to retailers for advertising, in-store marketing and promotional activities;</w:t>
      </w:r>
    </w:p>
    <w:p>
      <w:pPr>
        <w:spacing w:after="0" w:line="1" w:lineRule="exact"/>
        <w:rPr>
          <w:rFonts w:ascii="Times New Roman" w:cs="Times New Roman" w:eastAsia="Times New Roman" w:hAnsi="Times New Roman"/>
          <w:sz w:val="18"/>
          <w:szCs w:val="18"/>
          <w:color w:val="auto"/>
        </w:rPr>
      </w:pPr>
    </w:p>
    <w:p>
      <w:pPr>
        <w:ind w:left="1300" w:right="20" w:hanging="318"/>
        <w:spacing w:after="0" w:line="244"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slotting, shelf space allowances and other fees given directly to retailers, club stores and/or wholesalers;</w:t>
      </w:r>
    </w:p>
    <w:p>
      <w:pPr>
        <w:spacing w:after="0" w:line="1" w:lineRule="exact"/>
        <w:rPr>
          <w:rFonts w:ascii="Times New Roman" w:cs="Times New Roman" w:eastAsia="Times New Roman" w:hAnsi="Times New Roman"/>
          <w:sz w:val="18"/>
          <w:szCs w:val="18"/>
          <w:color w:val="auto"/>
        </w:rPr>
      </w:pPr>
    </w:p>
    <w:p>
      <w:pPr>
        <w:ind w:left="1300" w:right="20" w:hanging="318"/>
        <w:spacing w:after="0" w:line="244"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incentives given to the Company’s bottlers/distributors and/or retailers for achieving or exceeding certain predetermined sales goals;</w:t>
      </w:r>
    </w:p>
    <w:p>
      <w:pPr>
        <w:spacing w:after="0" w:line="1" w:lineRule="exact"/>
        <w:rPr>
          <w:rFonts w:ascii="Times New Roman" w:cs="Times New Roman" w:eastAsia="Times New Roman" w:hAnsi="Times New Roman"/>
          <w:sz w:val="18"/>
          <w:szCs w:val="18"/>
          <w:color w:val="auto"/>
        </w:rPr>
      </w:pPr>
    </w:p>
    <w:p>
      <w:pPr>
        <w:ind w:left="1300" w:hanging="318"/>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and/or free products or cash rebates;</w:t>
      </w:r>
    </w:p>
    <w:p>
      <w:pPr>
        <w:spacing w:after="0" w:line="4" w:lineRule="exact"/>
        <w:rPr>
          <w:rFonts w:ascii="Times New Roman" w:cs="Times New Roman" w:eastAsia="Times New Roman" w:hAnsi="Times New Roman"/>
          <w:sz w:val="18"/>
          <w:szCs w:val="18"/>
          <w:color w:val="auto"/>
        </w:rPr>
      </w:pPr>
    </w:p>
    <w:p>
      <w:pPr>
        <w:ind w:left="1300" w:right="20" w:hanging="318"/>
        <w:spacing w:after="0" w:line="244"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fees given to the Company’s bottlers/distributors related to sales made directly by the Company to certain customers that fall within the bottlers’/distributors’ sales territories; and</w:t>
      </w:r>
    </w:p>
    <w:p>
      <w:pPr>
        <w:spacing w:after="0" w:line="1" w:lineRule="exact"/>
        <w:rPr>
          <w:rFonts w:ascii="Times New Roman" w:cs="Times New Roman" w:eastAsia="Times New Roman" w:hAnsi="Times New Roman"/>
          <w:sz w:val="18"/>
          <w:szCs w:val="18"/>
          <w:color w:val="auto"/>
        </w:rPr>
      </w:pPr>
    </w:p>
    <w:p>
      <w:pPr>
        <w:ind w:left="1300" w:right="20" w:hanging="318"/>
        <w:spacing w:after="0" w:line="310" w:lineRule="auto"/>
        <w:tabs>
          <w:tab w:leader="none" w:pos="13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commissions to TCCC based on the Company’s sales to wholly-owned subsidiaries of TCCC (the “TCCC Subsidiaries”) and/or to TCCC bottlers/distributors accounted for under the equity method by TCCC (the “TCCC Related Parties”).</w:t>
      </w:r>
    </w:p>
    <w:p>
      <w:pPr>
        <w:spacing w:after="0" w:line="140"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The Company’s promotional allowance programs for its energy drink products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spacing w:after="0" w:line="182"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spacing w:after="0" w:line="17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6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Management believes that adequate provision has been made for cash discounts, returns and spoilage based on the Company’s historical experience.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by geographical markets and reportable segments: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7"/>
          </w:tcPr>
          <w:p>
            <w:pPr>
              <w:jc w:val="center"/>
              <w:ind w:right="52"/>
              <w:spacing w:after="0"/>
              <w:rPr>
                <w:sz w:val="20"/>
                <w:szCs w:val="20"/>
                <w:color w:val="auto"/>
              </w:rPr>
            </w:pPr>
            <w:r>
              <w:rPr>
                <w:rFonts w:ascii="Times New Roman" w:cs="Times New Roman" w:eastAsia="Times New Roman" w:hAnsi="Times New Roman"/>
                <w:sz w:val="18"/>
                <w:szCs w:val="18"/>
                <w:color w:val="auto"/>
                <w:w w:val="97"/>
              </w:rPr>
              <w:t>Three-Months Ended March 31, 2026</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2"/>
              <w:spacing w:after="0" w:line="186" w:lineRule="exact"/>
              <w:rPr>
                <w:sz w:val="20"/>
                <w:szCs w:val="20"/>
                <w:color w:val="auto"/>
              </w:rPr>
            </w:pPr>
            <w:r>
              <w:rPr>
                <w:rFonts w:ascii="Times New Roman" w:cs="Times New Roman" w:eastAsia="Times New Roman" w:hAnsi="Times New Roman"/>
                <w:sz w:val="18"/>
                <w:szCs w:val="18"/>
                <w:color w:val="auto"/>
                <w:w w:val="98"/>
              </w:rPr>
              <w:t>Asia Pacific</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12"/>
              <w:spacing w:after="0" w:line="186" w:lineRule="exact"/>
              <w:rPr>
                <w:sz w:val="20"/>
                <w:szCs w:val="20"/>
                <w:color w:val="auto"/>
              </w:rPr>
            </w:pPr>
            <w:r>
              <w:rPr>
                <w:rFonts w:ascii="Times New Roman" w:cs="Times New Roman" w:eastAsia="Times New Roman" w:hAnsi="Times New Roman"/>
                <w:sz w:val="18"/>
                <w:szCs w:val="18"/>
                <w:color w:val="auto"/>
                <w:w w:val="99"/>
              </w:rPr>
              <w:t>Latin</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U.S. and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(including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America and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Canada</w:t>
            </w:r>
          </w:p>
        </w:tc>
        <w:tc>
          <w:tcPr>
            <w:tcW w:w="3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continue"/>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5"/>
              </w:rPr>
              <w:t>Oceania)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Caribbean</w:t>
            </w:r>
          </w:p>
        </w:tc>
        <w:tc>
          <w:tcPr>
            <w:tcW w:w="4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tcBorders>
              <w:top w:val="single" w:sz="8" w:color="auto"/>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Monster Energy® Drinks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1,258,277</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525,529</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189,693</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215,155</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2,188,654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Brands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tcBorders>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1,346,656</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586,223</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201,891</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218,521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2,353,291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center"/>
              <w:ind w:right="52"/>
              <w:spacing w:after="0"/>
              <w:rPr>
                <w:sz w:val="20"/>
                <w:szCs w:val="20"/>
                <w:color w:val="auto"/>
              </w:rPr>
            </w:pPr>
            <w:r>
              <w:rPr>
                <w:rFonts w:ascii="Times New Roman" w:cs="Times New Roman" w:eastAsia="Times New Roman" w:hAnsi="Times New Roman"/>
                <w:sz w:val="18"/>
                <w:szCs w:val="18"/>
                <w:color w:val="auto"/>
                <w:w w:val="97"/>
              </w:rPr>
              <w:t>Three-Months Ended March 31, 2025</w:t>
            </w: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2"/>
              <w:spacing w:after="0" w:line="186" w:lineRule="exact"/>
              <w:rPr>
                <w:sz w:val="20"/>
                <w:szCs w:val="20"/>
                <w:color w:val="auto"/>
              </w:rPr>
            </w:pPr>
            <w:r>
              <w:rPr>
                <w:rFonts w:ascii="Times New Roman" w:cs="Times New Roman" w:eastAsia="Times New Roman" w:hAnsi="Times New Roman"/>
                <w:sz w:val="18"/>
                <w:szCs w:val="18"/>
                <w:color w:val="auto"/>
                <w:w w:val="98"/>
              </w:rPr>
              <w:t>Asia Pacific</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12"/>
              <w:spacing w:after="0" w:line="186" w:lineRule="exact"/>
              <w:rPr>
                <w:sz w:val="20"/>
                <w:szCs w:val="20"/>
                <w:color w:val="auto"/>
              </w:rPr>
            </w:pPr>
            <w:r>
              <w:rPr>
                <w:rFonts w:ascii="Times New Roman" w:cs="Times New Roman" w:eastAsia="Times New Roman" w:hAnsi="Times New Roman"/>
                <w:sz w:val="18"/>
                <w:szCs w:val="18"/>
                <w:color w:val="auto"/>
                <w:w w:val="99"/>
              </w:rPr>
              <w:t>Latin</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U.S. and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(including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America and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Canada</w:t>
            </w:r>
          </w:p>
        </w:tc>
        <w:tc>
          <w:tcPr>
            <w:tcW w:w="3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continue"/>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5"/>
              </w:rPr>
              <w:t>Oceania)</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Caribbean</w:t>
            </w:r>
          </w:p>
        </w:tc>
        <w:tc>
          <w:tcPr>
            <w:tcW w:w="40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tcBorders>
              <w:top w:val="single" w:sz="8" w:color="auto"/>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Monster Energy® Drinks</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1,080,337</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346,071</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132,019</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157,121</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1,715,548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Brands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80" w:type="dxa"/>
            <w:vAlign w:val="bottom"/>
            <w:tcBorders>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1,164,645</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384,575</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144,523</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160,815</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1,854,558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20" w:type="dxa"/>
            <w:vAlign w:val="bottom"/>
            <w:tcBorders>
              <w:bottom w:val="single" w:sz="8" w:color="auto"/>
            </w:tcBorders>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6"/>
          <w:szCs w:val="16"/>
          <w:i w:val="1"/>
          <w:iCs w:val="1"/>
          <w:color w:val="auto"/>
        </w:rPr>
        <w:t>Europe, Middle East and Africa (“EMEA”)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217"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Amounts received from certain bottlers/distributors at the inception of their distribution contracts or at the inception of certain sales/marketing programs are accounted for as deferred revenue. As of </w:t>
      </w:r>
      <w:r>
        <w:rPr>
          <w:rFonts w:ascii="Times New Roman" w:cs="Times New Roman" w:eastAsia="Times New Roman" w:hAnsi="Times New Roman"/>
          <w:sz w:val="18"/>
          <w:szCs w:val="18"/>
          <w:color w:val="212529"/>
        </w:rPr>
        <w:t>March 31, 2026 and December 31, 2025</w:t>
      </w:r>
      <w:r>
        <w:rPr>
          <w:rFonts w:ascii="Times New Roman" w:cs="Times New Roman" w:eastAsia="Times New Roman" w:hAnsi="Times New Roman"/>
          <w:sz w:val="18"/>
          <w:szCs w:val="18"/>
          <w:color w:val="auto"/>
        </w:rPr>
        <w:t xml:space="preserve">, the Company had $201.7 million and $205.3 million, respectively, of deferred revenue, which is included in current and long-term deferred revenue in the Company’s condensed consolidated balance sheets. During both the </w:t>
      </w:r>
      <w:r>
        <w:rPr>
          <w:rFonts w:ascii="Times New Roman" w:cs="Times New Roman" w:eastAsia="Times New Roman" w:hAnsi="Times New Roman"/>
          <w:sz w:val="18"/>
          <w:szCs w:val="18"/>
          <w:color w:val="212529"/>
        </w:rPr>
        <w:t>three-months ended March 31, 2026 and 2025,</w:t>
      </w:r>
      <w:r>
        <w:rPr>
          <w:rFonts w:ascii="Times New Roman" w:cs="Times New Roman" w:eastAsia="Times New Roman" w:hAnsi="Times New Roman"/>
          <w:sz w:val="18"/>
          <w:szCs w:val="18"/>
          <w:color w:val="auto"/>
        </w:rPr>
        <w:t xml:space="preserve"> $9.9 million of deferred revenue was recognized in net sales. See Note 8.</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62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ind w:left="640" w:hanging="63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21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Company’s investments at: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 Continuous</w:t>
            </w:r>
          </w:p>
        </w:tc>
        <w:tc>
          <w:tcPr>
            <w:tcW w:w="122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Continuous</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5"/>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52"/>
              <w:spacing w:after="0"/>
              <w:rPr>
                <w:sz w:val="20"/>
                <w:szCs w:val="20"/>
                <w:color w:val="auto"/>
              </w:rPr>
            </w:pPr>
            <w:r>
              <w:rPr>
                <w:rFonts w:ascii="Times New Roman" w:cs="Times New Roman" w:eastAsia="Times New Roman" w:hAnsi="Times New Roman"/>
                <w:sz w:val="18"/>
                <w:szCs w:val="18"/>
                <w:color w:val="auto"/>
                <w:w w:val="96"/>
              </w:rPr>
              <w:t>Unrealized</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6"/>
              </w:rPr>
              <w:t>Unrealized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6"/>
              </w:rPr>
              <w:t>Loss Position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Loss Position</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Amortized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Holding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4"/>
              </w:rPr>
              <w:t>Holding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less than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52"/>
              <w:spacing w:after="0"/>
              <w:rPr>
                <w:sz w:val="20"/>
                <w:szCs w:val="20"/>
                <w:color w:val="auto"/>
              </w:rPr>
            </w:pPr>
            <w:r>
              <w:rPr>
                <w:rFonts w:ascii="Times New Roman" w:cs="Times New Roman" w:eastAsia="Times New Roman" w:hAnsi="Times New Roman"/>
                <w:sz w:val="18"/>
                <w:szCs w:val="18"/>
                <w:color w:val="auto"/>
                <w:w w:val="98"/>
              </w:rPr>
              <w:t>greater than</w:t>
            </w: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20" w:type="dxa"/>
            <w:vAlign w:val="bottom"/>
          </w:tcPr>
          <w:p>
            <w:pPr>
              <w:spacing w:after="0"/>
              <w:rPr>
                <w:sz w:val="19"/>
                <w:szCs w:val="19"/>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Cost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Gains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7"/>
              </w:rPr>
              <w:t>Losses</w:t>
            </w:r>
          </w:p>
        </w:tc>
        <w:tc>
          <w:tcPr>
            <w:tcW w:w="30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Value</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12 Months</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right="52"/>
              <w:spacing w:after="0"/>
              <w:rPr>
                <w:sz w:val="20"/>
                <w:szCs w:val="20"/>
                <w:color w:val="auto"/>
              </w:rPr>
            </w:pPr>
            <w:r>
              <w:rPr>
                <w:rFonts w:ascii="Times New Roman" w:cs="Times New Roman" w:eastAsia="Times New Roman" w:hAnsi="Times New Roman"/>
                <w:sz w:val="18"/>
                <w:szCs w:val="18"/>
                <w:color w:val="auto"/>
                <w:w w:val="97"/>
              </w:rPr>
              <w:t>12 Months</w:t>
            </w:r>
          </w:p>
        </w:tc>
        <w:tc>
          <w:tcPr>
            <w:tcW w:w="0" w:type="dxa"/>
            <w:vAlign w:val="bottom"/>
          </w:tcPr>
          <w:p>
            <w:pPr>
              <w:spacing w:after="0"/>
              <w:rPr>
                <w:sz w:val="1"/>
                <w:szCs w:val="1"/>
                <w:color w:val="auto"/>
              </w:rPr>
            </w:pPr>
          </w:p>
        </w:tc>
      </w:tr>
      <w:tr>
        <w:trPr>
          <w:trHeight w:val="205"/>
        </w:trPr>
        <w:tc>
          <w:tcPr>
            <w:tcW w:w="326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Available-for-sale</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150,976</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555,743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401,007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22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1,718,752</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ind w:left="4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3,059</w:t>
            </w: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1,715,693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3,059</w:t>
            </w: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700"/>
              <w:spacing w:after="0" w:line="20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4"/>
                <w:szCs w:val="24"/>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Continuous</w:t>
            </w:r>
          </w:p>
        </w:tc>
        <w:tc>
          <w:tcPr>
            <w:tcW w:w="12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Continuous</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5"/>
              </w:rPr>
              <w:t>Gross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86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color w:val="auto"/>
                <w:w w:val="96"/>
              </w:rPr>
              <w:t>Unrealized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6"/>
              </w:rPr>
              <w:t>Loss Position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Position</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Amortized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Holding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4"/>
              </w:rPr>
              <w:t>Holding</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Fair</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less than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greater than</w:t>
            </w:r>
          </w:p>
        </w:tc>
        <w:tc>
          <w:tcPr>
            <w:tcW w:w="0" w:type="dxa"/>
            <w:vAlign w:val="bottom"/>
          </w:tcPr>
          <w:p>
            <w:pPr>
              <w:spacing w:after="0"/>
              <w:rPr>
                <w:sz w:val="1"/>
                <w:szCs w:val="1"/>
                <w:color w:val="auto"/>
              </w:rPr>
            </w:pPr>
          </w:p>
        </w:tc>
      </w:tr>
      <w:tr>
        <w:trPr>
          <w:trHeight w:val="22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tcPr>
          <w:p>
            <w:pPr>
              <w:spacing w:after="0"/>
              <w:rPr>
                <w:sz w:val="19"/>
                <w:szCs w:val="19"/>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Cost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Gains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7"/>
              </w:rPr>
              <w:t>Losses</w:t>
            </w:r>
          </w:p>
        </w:tc>
        <w:tc>
          <w:tcPr>
            <w:tcW w:w="30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Value</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 Months</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right="92"/>
              <w:spacing w:after="0"/>
              <w:rPr>
                <w:sz w:val="20"/>
                <w:szCs w:val="20"/>
                <w:color w:val="auto"/>
              </w:rPr>
            </w:pPr>
            <w:r>
              <w:rPr>
                <w:rFonts w:ascii="Times New Roman" w:cs="Times New Roman" w:eastAsia="Times New Roman" w:hAnsi="Times New Roman"/>
                <w:sz w:val="18"/>
                <w:szCs w:val="18"/>
                <w:color w:val="auto"/>
                <w:w w:val="97"/>
              </w:rPr>
              <w:t>12 Months</w:t>
            </w:r>
          </w:p>
        </w:tc>
        <w:tc>
          <w:tcPr>
            <w:tcW w:w="0" w:type="dxa"/>
            <w:vAlign w:val="bottom"/>
          </w:tcPr>
          <w:p>
            <w:pPr>
              <w:spacing w:after="0"/>
              <w:rPr>
                <w:sz w:val="1"/>
                <w:szCs w:val="1"/>
                <w:color w:val="auto"/>
              </w:rPr>
            </w:pPr>
          </w:p>
        </w:tc>
      </w:tr>
      <w:tr>
        <w:trPr>
          <w:trHeight w:val="205"/>
        </w:trPr>
        <w:tc>
          <w:tcPr>
            <w:tcW w:w="326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Available-for-sale</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92"/>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ind w:right="572"/>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ind w:right="812"/>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ind w:lef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90,418</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226,156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22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92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$ 1,163,152</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1,261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ind w:left="460"/>
              <w:spacing w:after="0" w:line="20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bottom w:val="single" w:sz="8" w:color="auto"/>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$ 1,164,413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660"/>
              <w:spacing w:after="0" w:line="20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ind w:left="700"/>
              <w:spacing w:after="0" w:line="204"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During the three-months ended March 31, 2026, realized gains or losses recognized on the sale of investments were not significant.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three-months ended March 31, 2025, no investments were sold.</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Company’s investments at March 31, 2026 carried investment grade credit ratings.</w:t>
      </w: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60"/>
          </w:cols>
          <w:pgMar w:left="980" w:top="649" w:right="9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underlying contractual maturities of the Company’s investments at:</w:t>
      </w:r>
    </w:p>
    <w:p>
      <w:pPr>
        <w:spacing w:after="0" w:line="228" w:lineRule="exact"/>
        <w:rPr>
          <w:sz w:val="20"/>
          <w:szCs w:val="20"/>
          <w:color w:val="auto"/>
        </w:rPr>
      </w:pPr>
    </w:p>
    <w:tbl>
      <w:tblPr>
        <w:tblLayout w:type="fixed"/>
        <w:tblInd w:w="100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180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6"/>
          </w:tcPr>
          <w:p>
            <w:pPr>
              <w:jc w:val="center"/>
              <w:ind w:right="232"/>
              <w:spacing w:after="0"/>
              <w:rPr>
                <w:sz w:val="20"/>
                <w:szCs w:val="20"/>
                <w:color w:val="auto"/>
              </w:rPr>
            </w:pPr>
            <w:r>
              <w:rPr>
                <w:rFonts w:ascii="Times New Roman" w:cs="Times New Roman" w:eastAsia="Times New Roman" w:hAnsi="Times New Roman"/>
                <w:sz w:val="18"/>
                <w:szCs w:val="18"/>
                <w:color w:val="auto"/>
                <w:w w:val="97"/>
              </w:rPr>
              <w:t>March 31, 2026</w:t>
            </w:r>
          </w:p>
        </w:tc>
        <w:tc>
          <w:tcPr>
            <w:tcW w:w="0" w:type="dxa"/>
            <w:vAlign w:val="bottom"/>
          </w:tcPr>
          <w:p>
            <w:pPr>
              <w:spacing w:after="0"/>
              <w:rPr>
                <w:sz w:val="1"/>
                <w:szCs w:val="1"/>
                <w:color w:val="auto"/>
              </w:rPr>
            </w:pPr>
          </w:p>
        </w:tc>
      </w:tr>
      <w:tr>
        <w:trPr>
          <w:trHeight w:val="205"/>
        </w:trPr>
        <w:tc>
          <w:tcPr>
            <w:tcW w:w="4100" w:type="dxa"/>
            <w:vAlign w:val="bottom"/>
          </w:tcPr>
          <w:p>
            <w:pPr>
              <w:spacing w:after="0"/>
              <w:rPr>
                <w:sz w:val="17"/>
                <w:szCs w:val="17"/>
                <w:color w:val="auto"/>
              </w:rPr>
            </w:pPr>
          </w:p>
        </w:tc>
        <w:tc>
          <w:tcPr>
            <w:tcW w:w="1540" w:type="dxa"/>
            <w:vAlign w:val="bottom"/>
          </w:tcPr>
          <w:p>
            <w:pPr>
              <w:ind w:left="14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4"/>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w w:val="97"/>
              </w:rPr>
              <w:t>​Amortized Cost</w:t>
            </w:r>
          </w:p>
        </w:tc>
        <w:tc>
          <w:tcPr>
            <w:tcW w:w="1060" w:type="dxa"/>
            <w:vAlign w:val="bottom"/>
            <w:tcBorders>
              <w:top w:val="single" w:sz="8" w:color="auto"/>
            </w:tcBorders>
            <w:gridSpan w:val="3"/>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 Fair Value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410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Less than 1 year:</w:t>
            </w:r>
          </w:p>
        </w:tc>
        <w:tc>
          <w:tcPr>
            <w:tcW w:w="1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800" w:type="dxa"/>
            <w:vAlign w:val="bottom"/>
            <w:gridSpan w:val="3"/>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150,976</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201,655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Due 1 - 10 years: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5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332,551</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00" w:type="dxa"/>
            <w:vAlign w:val="bottom"/>
            <w:tcBorders>
              <w:bottom w:val="single" w:sz="8" w:color="CCEEFF"/>
            </w:tcBorders>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1,718,752</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1,715,693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100" w:type="dxa"/>
            <w:vAlign w:val="bottom"/>
          </w:tcPr>
          <w:p>
            <w:pPr>
              <w:spacing w:after="0"/>
              <w:rPr>
                <w:sz w:val="24"/>
                <w:szCs w:val="24"/>
                <w:color w:val="auto"/>
              </w:rPr>
            </w:pPr>
          </w:p>
        </w:tc>
        <w:tc>
          <w:tcPr>
            <w:tcW w:w="1800" w:type="dxa"/>
            <w:vAlign w:val="bottom"/>
            <w:gridSpan w:val="3"/>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6"/>
          </w:tcPr>
          <w:p>
            <w:pPr>
              <w:jc w:val="center"/>
              <w:ind w:right="212"/>
              <w:spacing w:after="0"/>
              <w:rPr>
                <w:sz w:val="20"/>
                <w:szCs w:val="20"/>
                <w:color w:val="auto"/>
              </w:rPr>
            </w:pPr>
            <w:r>
              <w:rPr>
                <w:rFonts w:ascii="Times New Roman" w:cs="Times New Roman" w:eastAsia="Times New Roman" w:hAnsi="Times New Roman"/>
                <w:sz w:val="18"/>
                <w:szCs w:val="18"/>
                <w:color w:val="auto"/>
                <w:w w:val="97"/>
              </w:rPr>
              <w:t>December 31, 2025</w:t>
            </w:r>
          </w:p>
        </w:tc>
        <w:tc>
          <w:tcPr>
            <w:tcW w:w="0" w:type="dxa"/>
            <w:vAlign w:val="bottom"/>
          </w:tcPr>
          <w:p>
            <w:pPr>
              <w:spacing w:after="0"/>
              <w:rPr>
                <w:sz w:val="1"/>
                <w:szCs w:val="1"/>
                <w:color w:val="auto"/>
              </w:rPr>
            </w:pPr>
          </w:p>
        </w:tc>
      </w:tr>
      <w:tr>
        <w:trPr>
          <w:trHeight w:val="205"/>
        </w:trPr>
        <w:tc>
          <w:tcPr>
            <w:tcW w:w="4100" w:type="dxa"/>
            <w:vAlign w:val="bottom"/>
          </w:tcPr>
          <w:p>
            <w:pPr>
              <w:spacing w:after="0"/>
              <w:rPr>
                <w:sz w:val="17"/>
                <w:szCs w:val="17"/>
                <w:color w:val="auto"/>
              </w:rPr>
            </w:pPr>
          </w:p>
        </w:tc>
        <w:tc>
          <w:tcPr>
            <w:tcW w:w="1540" w:type="dxa"/>
            <w:vAlign w:val="bottom"/>
          </w:tcPr>
          <w:p>
            <w:pPr>
              <w:ind w:left="14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4"/>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w w:val="97"/>
              </w:rPr>
              <w:t>​Amortized Cost</w:t>
            </w:r>
          </w:p>
        </w:tc>
        <w:tc>
          <w:tcPr>
            <w:tcW w:w="1060" w:type="dxa"/>
            <w:vAlign w:val="bottom"/>
            <w:tcBorders>
              <w:top w:val="single" w:sz="8" w:color="auto"/>
            </w:tcBorders>
            <w:gridSpan w:val="3"/>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rPr>
              <w:t>​​​ Fair Value</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410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Less than 1 year:</w:t>
            </w:r>
          </w:p>
        </w:tc>
        <w:tc>
          <w:tcPr>
            <w:tcW w:w="1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800" w:type="dxa"/>
            <w:vAlign w:val="bottom"/>
            <w:gridSpan w:val="3"/>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90,418</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1 - 10 years:</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5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225,867</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00" w:type="dxa"/>
            <w:vAlign w:val="bottom"/>
            <w:tcBorders>
              <w:bottom w:val="single" w:sz="8" w:color="CCEEFF"/>
            </w:tcBorders>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1,163,152</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1,164,413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40" w:hanging="63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CERTAIN FINANCIAL ASSETS AND LIABILITIES</w:t>
      </w:r>
    </w:p>
    <w:p>
      <w:pPr>
        <w:spacing w:after="0" w:line="21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86" w:lineRule="exact"/>
        <w:rPr>
          <w:sz w:val="20"/>
          <w:szCs w:val="20"/>
          <w:color w:val="auto"/>
        </w:rPr>
      </w:pPr>
    </w:p>
    <w:p>
      <w:pPr>
        <w:ind w:left="660" w:hanging="31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215" w:lineRule="exact"/>
        <w:rPr>
          <w:rFonts w:ascii="Times New Roman" w:cs="Times New Roman" w:eastAsia="Times New Roman" w:hAnsi="Times New Roman"/>
          <w:sz w:val="18"/>
          <w:szCs w:val="18"/>
          <w:color w:val="auto"/>
        </w:rPr>
      </w:pPr>
    </w:p>
    <w:p>
      <w:pPr>
        <w:jc w:val="both"/>
        <w:ind w:left="660" w:right="20" w:hanging="311"/>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not active, or other inputs that are observable or can be corroborated by observable market data for substantially the full term of the related assets or liabilities.</w:t>
      </w:r>
    </w:p>
    <w:p>
      <w:pPr>
        <w:spacing w:after="0" w:line="176" w:lineRule="exact"/>
        <w:rPr>
          <w:rFonts w:ascii="Times New Roman" w:cs="Times New Roman" w:eastAsia="Times New Roman" w:hAnsi="Times New Roman"/>
          <w:sz w:val="18"/>
          <w:szCs w:val="18"/>
          <w:color w:val="auto"/>
        </w:rPr>
      </w:pPr>
    </w:p>
    <w:p>
      <w:pPr>
        <w:ind w:left="660" w:right="20" w:hanging="311"/>
        <w:spacing w:after="0" w:line="27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liabilities.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ASC 820 requires the use of observable market inputs (quoted market prices) when measuring fair value and requires a Level 1 quoted price to be used to measure fair value whenever possible.</w:t>
      </w:r>
    </w:p>
    <w:p>
      <w:pPr>
        <w:spacing w:after="0" w:line="169"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4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Level 1</w:t>
            </w:r>
          </w:p>
        </w:tc>
        <w:tc>
          <w:tcPr>
            <w:tcW w:w="4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Level 2</w:t>
            </w:r>
          </w:p>
        </w:tc>
        <w:tc>
          <w:tcPr>
            <w:tcW w:w="4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19"/>
                <w:szCs w:val="19"/>
                <w:color w:val="auto"/>
              </w:rPr>
            </w:pPr>
          </w:p>
        </w:tc>
        <w:tc>
          <w:tcPr>
            <w:tcW w:w="52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1,095,693</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1,095,693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899,583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899,583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956,750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00" w:type="dxa"/>
            <w:vAlign w:val="bottom"/>
            <w:tcBorders>
              <w:bottom w:val="single" w:sz="8" w:color="CCEEFF"/>
            </w:tcBorders>
            <w:shd w:val="clear" w:color="auto" w:fill="CCEEFF"/>
          </w:tcPr>
          <w:p>
            <w:pPr>
              <w:ind w:left="8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1,995,276</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1,813,240</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3,808,516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restart"/>
          </w:tcPr>
          <w:p>
            <w:pPr>
              <w:spacing w:after="0"/>
              <w:rPr>
                <w:sz w:val="16"/>
                <w:szCs w:val="16"/>
                <w:color w:val="auto"/>
              </w:rPr>
            </w:pPr>
          </w:p>
        </w:tc>
        <w:tc>
          <w:tcPr>
            <w:tcW w:w="3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1,995,276</w:t>
            </w:r>
          </w:p>
        </w:tc>
        <w:tc>
          <w:tcPr>
            <w:tcW w:w="4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44,424</w:t>
            </w:r>
          </w:p>
        </w:tc>
        <w:tc>
          <w:tcPr>
            <w:tcW w:w="48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2,039,700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945,293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00" w:type="dxa"/>
            <w:vAlign w:val="bottom"/>
          </w:tcPr>
          <w:p>
            <w:pPr>
              <w:ind w:left="8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1,995,276</w:t>
            </w: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1,813,240</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3,808,516</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4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Level 1</w:t>
            </w:r>
          </w:p>
        </w:tc>
        <w:tc>
          <w:tcPr>
            <w:tcW w:w="46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Level 2</w:t>
            </w:r>
          </w:p>
        </w:tc>
        <w:tc>
          <w:tcPr>
            <w:tcW w:w="48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4"/>
                <w:szCs w:val="24"/>
                <w:color w:val="auto"/>
              </w:rPr>
            </w:pPr>
          </w:p>
        </w:tc>
        <w:tc>
          <w:tcPr>
            <w:tcW w:w="5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1,244,954</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8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1,244,954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787,293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787,293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309,919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derivatives</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35,188</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00" w:type="dxa"/>
            <w:vAlign w:val="bottom"/>
            <w:tcBorders>
              <w:bottom w:val="single" w:sz="8" w:color="CCEEFF"/>
            </w:tcBorders>
          </w:tcPr>
          <w:p>
            <w:pPr>
              <w:ind w:left="8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2,032,247</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1,253,996</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ind w:left="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3,286,243</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2,032,247</w:t>
            </w:r>
          </w:p>
        </w:tc>
        <w:tc>
          <w:tcPr>
            <w:tcW w:w="4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55,870</w:t>
            </w:r>
          </w:p>
        </w:tc>
        <w:tc>
          <w:tcPr>
            <w:tcW w:w="48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2,088,117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677,084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700" w:type="dxa"/>
            <w:vAlign w:val="bottom"/>
            <w:tcBorders>
              <w:bottom w:val="single" w:sz="8" w:color="CCEEFF"/>
            </w:tcBorders>
            <w:shd w:val="clear" w:color="auto" w:fill="CCEEFF"/>
          </w:tcPr>
          <w:p>
            <w:pPr>
              <w:ind w:left="8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2,032,247</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1,253,996</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3,286,243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49" w:right="99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 xml:space="preserve">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w:t>
      </w:r>
      <w:r>
        <w:rPr>
          <w:rFonts w:ascii="Times New Roman" w:cs="Times New Roman" w:eastAsia="Times New Roman" w:hAnsi="Times New Roman"/>
          <w:sz w:val="18"/>
          <w:szCs w:val="18"/>
          <w:color w:val="212529"/>
        </w:rPr>
        <w:t>three-months ended March 31, 2026</w:t>
      </w:r>
      <w:r>
        <w:rPr>
          <w:rFonts w:ascii="Times New Roman" w:cs="Times New Roman" w:eastAsia="Times New Roman" w:hAnsi="Times New Roman"/>
          <w:sz w:val="18"/>
          <w:szCs w:val="18"/>
          <w:color w:val="auto"/>
        </w:rPr>
        <w:t>, or during the year-ended December 31, 2025, and there were no changes in the Company’s valuation techniques.</w:t>
      </w:r>
    </w:p>
    <w:p>
      <w:pPr>
        <w:spacing w:after="0" w:line="189" w:lineRule="exact"/>
        <w:rPr>
          <w:sz w:val="20"/>
          <w:szCs w:val="20"/>
          <w:color w:val="auto"/>
        </w:rPr>
      </w:pPr>
    </w:p>
    <w:p>
      <w:pPr>
        <w:ind w:left="640" w:hanging="634"/>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1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consist of the following at: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March 31,</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4"/>
              </w:rPr>
              <w:t>2026</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Raw materials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318,520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322,604</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508,664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475,905</w:t>
            </w: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828,260</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799,623</w:t>
            </w:r>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color w:val="auto"/>
                <w:w w:val="88"/>
              </w:rPr>
              <w:t>6.</w:t>
            </w:r>
          </w:p>
        </w:tc>
        <w:tc>
          <w:tcPr>
            <w:tcW w:w="5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80" w:type="dxa"/>
            <w:vAlign w:val="bottom"/>
            <w:vMerge w:val="continue"/>
          </w:tcPr>
          <w:p>
            <w:pPr>
              <w:spacing w:after="0"/>
              <w:rPr>
                <w:sz w:val="24"/>
                <w:szCs w:val="24"/>
                <w:color w:val="auto"/>
              </w:rPr>
            </w:pPr>
          </w:p>
        </w:tc>
        <w:tc>
          <w:tcPr>
            <w:tcW w:w="51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80" w:type="dxa"/>
            <w:vAlign w:val="bottom"/>
          </w:tcPr>
          <w:p>
            <w:pPr>
              <w:spacing w:after="0"/>
              <w:rPr>
                <w:sz w:val="24"/>
                <w:szCs w:val="24"/>
                <w:color w:val="auto"/>
              </w:rPr>
            </w:pPr>
          </w:p>
        </w:tc>
        <w:tc>
          <w:tcPr>
            <w:tcW w:w="5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consist of the following at:</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March 31,</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4"/>
              </w:rPr>
              <w:t>2026</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Land</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189,225</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188,889</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33,456</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25,191</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611,269</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410,189</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83,066</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54,897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55,252</w:t>
            </w: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1,436,163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1,420,575</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(361,565)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(339,031)</w:t>
            </w:r>
          </w:p>
        </w:tc>
        <w:tc>
          <w:tcPr>
            <w:tcW w:w="0" w:type="dxa"/>
            <w:vAlign w:val="bottom"/>
          </w:tcPr>
          <w:p>
            <w:pPr>
              <w:spacing w:after="0"/>
              <w:rPr>
                <w:sz w:val="1"/>
                <w:szCs w:val="1"/>
                <w:color w:val="auto"/>
              </w:rPr>
            </w:pPr>
          </w:p>
        </w:tc>
      </w:tr>
      <w:tr>
        <w:trPr>
          <w:trHeight w:val="204"/>
        </w:trPr>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1,074,598</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1,081,544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0" w:firstLine="633"/>
        <w:spacing w:after="0" w:line="269" w:lineRule="auto"/>
        <w:rPr>
          <w:sz w:val="20"/>
          <w:szCs w:val="20"/>
          <w:color w:val="auto"/>
        </w:rPr>
      </w:pPr>
      <w:r>
        <w:rPr>
          <w:rFonts w:ascii="Times New Roman" w:cs="Times New Roman" w:eastAsia="Times New Roman" w:hAnsi="Times New Roman"/>
          <w:sz w:val="18"/>
          <w:szCs w:val="18"/>
          <w:color w:val="auto"/>
        </w:rPr>
        <w:t xml:space="preserve">Total depreciation and amortization expense was $25.7 million and $20.5 million for the </w:t>
      </w:r>
      <w:r>
        <w:rPr>
          <w:rFonts w:ascii="Times New Roman" w:cs="Times New Roman" w:eastAsia="Times New Roman" w:hAnsi="Times New Roman"/>
          <w:sz w:val="18"/>
          <w:szCs w:val="18"/>
          <w:color w:val="212529"/>
        </w:rPr>
        <w:t>three-months ended March 31, 2026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2025</w:t>
      </w:r>
      <w:r>
        <w:rPr>
          <w:rFonts w:ascii="Times New Roman" w:cs="Times New Roman" w:eastAsia="Times New Roman" w:hAnsi="Times New Roman"/>
          <w:sz w:val="18"/>
          <w:szCs w:val="18"/>
          <w:color w:val="000000"/>
        </w:rPr>
        <w:t>, respectively.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ind w:left="640" w:hanging="63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w:t>
      </w:r>
    </w:p>
    <w:p>
      <w:pPr>
        <w:spacing w:after="0" w:line="21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roll-forward of goodwill for the three</w:t>
      </w:r>
      <w:r>
        <w:rPr>
          <w:rFonts w:ascii="Times New Roman" w:cs="Times New Roman" w:eastAsia="Times New Roman" w:hAnsi="Times New Roman"/>
          <w:sz w:val="18"/>
          <w:szCs w:val="18"/>
          <w:color w:val="212529"/>
        </w:rPr>
        <w:t>-months ended March 31, 2026 and 2025</w:t>
      </w:r>
      <w:r>
        <w:rPr>
          <w:rFonts w:ascii="Times New Roman" w:cs="Times New Roman" w:eastAsia="Times New Roman" w:hAnsi="Times New Roman"/>
          <w:sz w:val="18"/>
          <w:szCs w:val="18"/>
          <w:color w:val="auto"/>
        </w:rPr>
        <w:t xml:space="preserve"> by reportable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Monster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4"/>
              </w:rPr>
              <w:t>Energy®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Strategic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Alcohol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3"/>
              </w:rPr>
              <w:t>Drinks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Brands</w:t>
            </w:r>
          </w:p>
        </w:tc>
        <w:tc>
          <w:tcPr>
            <w:tcW w:w="3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Brands*</w:t>
            </w:r>
          </w:p>
        </w:tc>
        <w:tc>
          <w:tcPr>
            <w:tcW w:w="3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r>
      <w:tr>
        <w:trPr>
          <w:trHeight w:val="205"/>
        </w:trPr>
        <w:tc>
          <w:tcPr>
            <w:tcW w:w="20" w:type="dxa"/>
            <w:vAlign w:val="bottom"/>
          </w:tcPr>
          <w:p>
            <w:pPr>
              <w:spacing w:after="0"/>
              <w:rPr>
                <w:sz w:val="17"/>
                <w:szCs w:val="17"/>
                <w:color w:val="auto"/>
              </w:rPr>
            </w:pPr>
          </w:p>
        </w:tc>
        <w:tc>
          <w:tcPr>
            <w:tcW w:w="24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at December 31, 2025</w:t>
            </w:r>
          </w:p>
        </w:tc>
        <w:tc>
          <w:tcPr>
            <w:tcW w:w="2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693,644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637,999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ind w:left="5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ind w:left="5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1,331,643</w:t>
            </w:r>
          </w:p>
        </w:tc>
      </w:tr>
      <w:tr>
        <w:trPr>
          <w:trHeight w:val="211"/>
        </w:trPr>
        <w:tc>
          <w:tcPr>
            <w:tcW w:w="20" w:type="dxa"/>
            <w:vAlign w:val="bottom"/>
          </w:tcPr>
          <w:p>
            <w:pPr>
              <w:spacing w:after="0"/>
              <w:rPr>
                <w:sz w:val="18"/>
                <w:szCs w:val="18"/>
                <w:color w:val="auto"/>
              </w:rPr>
            </w:pPr>
          </w:p>
        </w:tc>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20" w:type="dxa"/>
            <w:vAlign w:val="bottom"/>
          </w:tcPr>
          <w:p>
            <w:pPr>
              <w:spacing w:after="0"/>
              <w:rPr>
                <w:sz w:val="17"/>
                <w:szCs w:val="17"/>
                <w:color w:val="auto"/>
              </w:rPr>
            </w:pPr>
          </w:p>
        </w:tc>
        <w:tc>
          <w:tcPr>
            <w:tcW w:w="2460" w:type="dxa"/>
            <w:vAlign w:val="bottom"/>
            <w:tcBorders>
              <w:bottom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Balance at March 31, 2026</w:t>
            </w:r>
          </w:p>
        </w:tc>
        <w:tc>
          <w:tcPr>
            <w:tcW w:w="2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693,644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637,999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ind w:left="56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ind w:left="5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1,331,643</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6"/>
              </w:rPr>
              <w:t>Monster</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4"/>
              </w:rPr>
              <w:t>Energy®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Strategic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Alcohol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3"/>
              </w:rPr>
              <w:t>Drinks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Brands</w:t>
            </w:r>
          </w:p>
        </w:tc>
        <w:tc>
          <w:tcPr>
            <w:tcW w:w="3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Brands*</w:t>
            </w:r>
          </w:p>
        </w:tc>
        <w:tc>
          <w:tcPr>
            <w:tcW w:w="3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r>
      <w:tr>
        <w:trPr>
          <w:trHeight w:val="205"/>
        </w:trPr>
        <w:tc>
          <w:tcPr>
            <w:tcW w:w="20" w:type="dxa"/>
            <w:vAlign w:val="bottom"/>
          </w:tcPr>
          <w:p>
            <w:pPr>
              <w:spacing w:after="0"/>
              <w:rPr>
                <w:sz w:val="17"/>
                <w:szCs w:val="17"/>
                <w:color w:val="auto"/>
              </w:rPr>
            </w:pPr>
          </w:p>
        </w:tc>
        <w:tc>
          <w:tcPr>
            <w:tcW w:w="24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at December 31, 2024</w:t>
            </w:r>
          </w:p>
        </w:tc>
        <w:tc>
          <w:tcPr>
            <w:tcW w:w="2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693,644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637,999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ind w:left="5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ind w:left="5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1,331,643</w:t>
            </w:r>
          </w:p>
        </w:tc>
      </w:tr>
      <w:tr>
        <w:trPr>
          <w:trHeight w:val="211"/>
        </w:trPr>
        <w:tc>
          <w:tcPr>
            <w:tcW w:w="20" w:type="dxa"/>
            <w:vAlign w:val="bottom"/>
          </w:tcPr>
          <w:p>
            <w:pPr>
              <w:spacing w:after="0"/>
              <w:rPr>
                <w:sz w:val="18"/>
                <w:szCs w:val="18"/>
                <w:color w:val="auto"/>
              </w:rPr>
            </w:pPr>
          </w:p>
        </w:tc>
        <w:tc>
          <w:tcPr>
            <w:tcW w:w="2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2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20" w:type="dxa"/>
            <w:vAlign w:val="bottom"/>
          </w:tcPr>
          <w:p>
            <w:pPr>
              <w:spacing w:after="0"/>
              <w:rPr>
                <w:sz w:val="17"/>
                <w:szCs w:val="17"/>
                <w:color w:val="auto"/>
              </w:rPr>
            </w:pPr>
          </w:p>
        </w:tc>
        <w:tc>
          <w:tcPr>
            <w:tcW w:w="2460" w:type="dxa"/>
            <w:vAlign w:val="bottom"/>
            <w:tcBorders>
              <w:bottom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Balance at March 31, 2025</w:t>
            </w:r>
          </w:p>
        </w:tc>
        <w:tc>
          <w:tcPr>
            <w:tcW w:w="2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693,644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637,999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ind w:left="56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ind w:left="5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1,331,643</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72"/>
        </w:trPr>
        <w:tc>
          <w:tcPr>
            <w:tcW w:w="20" w:type="dxa"/>
            <w:vAlign w:val="bottom"/>
            <w:tcBorders>
              <w:bottom w:val="single" w:sz="8" w:color="auto"/>
            </w:tcBorders>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2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r>
    </w:tbl>
    <w:p>
      <w:pPr>
        <w:spacing w:after="0" w:line="50"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6"/>
          <w:szCs w:val="16"/>
          <w:i w:val="1"/>
          <w:iCs w:val="1"/>
          <w:color w:val="auto"/>
        </w:rPr>
        <w:t>*Accumulated goodwill impairment balance was $86.3 million related entirely to Alcohol Brands. There were no impairments prior to the year ended December 31, 2024.</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consist of the following at: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6"/>
        </w:trPr>
        <w:tc>
          <w:tcPr>
            <w:tcW w:w="3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9"/>
              </w:rPr>
              <w:t>March 31,</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1"/>
        </w:trPr>
        <w:tc>
          <w:tcPr>
            <w:tcW w:w="3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2025</w:t>
            </w:r>
          </w:p>
        </w:tc>
      </w:tr>
      <w:tr>
        <w:trPr>
          <w:trHeight w:val="205"/>
        </w:trPr>
        <w:tc>
          <w:tcPr>
            <w:tcW w:w="36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Amortizing intangibles</w:t>
            </w:r>
          </w:p>
        </w:tc>
        <w:tc>
          <w:tcPr>
            <w:tcW w:w="1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138,103</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137,664</w:t>
            </w:r>
          </w:p>
        </w:tc>
      </w:tr>
      <w:tr>
        <w:trPr>
          <w:trHeight w:val="211"/>
        </w:trPr>
        <w:tc>
          <w:tcPr>
            <w:tcW w:w="36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(88,641)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(86,999)</w:t>
            </w:r>
          </w:p>
        </w:tc>
      </w:tr>
      <w:tr>
        <w:trPr>
          <w:trHeight w:val="204"/>
        </w:trPr>
        <w:tc>
          <w:tcPr>
            <w:tcW w:w="360" w:type="dxa"/>
            <w:vAlign w:val="bottom"/>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49,462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50,665</w:t>
            </w:r>
          </w:p>
        </w:tc>
      </w:tr>
      <w:tr>
        <w:trPr>
          <w:trHeight w:val="211"/>
        </w:trPr>
        <w:tc>
          <w:tcPr>
            <w:tcW w:w="36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Non-amortizing intangibles</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1,330,849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1,328,603</w:t>
            </w:r>
          </w:p>
        </w:tc>
      </w:tr>
      <w:tr>
        <w:trPr>
          <w:trHeight w:val="204"/>
        </w:trPr>
        <w:tc>
          <w:tcPr>
            <w:tcW w:w="360" w:type="dxa"/>
            <w:vAlign w:val="bottom"/>
          </w:tcPr>
          <w:p>
            <w:pPr>
              <w:spacing w:after="0"/>
              <w:rPr>
                <w:sz w:val="17"/>
                <w:szCs w:val="17"/>
                <w:color w:val="auto"/>
              </w:rPr>
            </w:pPr>
          </w:p>
        </w:tc>
        <w:tc>
          <w:tcPr>
            <w:tcW w:w="41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1,380,311</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1,379,268</w:t>
            </w:r>
          </w:p>
        </w:tc>
      </w:tr>
      <w:tr>
        <w:trPr>
          <w:trHeight w:val="20"/>
        </w:trPr>
        <w:tc>
          <w:tcPr>
            <w:tcW w:w="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 xml:space="preserve">Amortizing intangibles primarily consist of computer software, tradenames and customer relationships. All amortizing intangibles have been assigned an estimated finite useful life, and such intangibles are amortized on a straight-line basis over the number of years that approximate their respective useful lives, generally three to ten years. Total amortization expense was $2.7 million and $4.3 million for the three-months ended March 31, 2026 and 2025, respectively. </w:t>
      </w:r>
      <w:r>
        <w:rPr>
          <w:rFonts w:ascii="Times New Roman" w:cs="Times New Roman" w:eastAsia="Times New Roman" w:hAnsi="Times New Roman"/>
          <w:sz w:val="18"/>
          <w:szCs w:val="18"/>
          <w:color w:val="212529"/>
        </w:rPr>
        <w:t>For the three-months ended March 31,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12529"/>
        </w:rPr>
        <w:t>2025</w:t>
      </w:r>
      <w:r>
        <w:rPr>
          <w:rFonts w:ascii="Times New Roman" w:cs="Times New Roman" w:eastAsia="Times New Roman" w:hAnsi="Times New Roman"/>
          <w:sz w:val="18"/>
          <w:szCs w:val="18"/>
          <w:color w:val="auto"/>
        </w:rPr>
        <w:t>, no impairment charges were recorded to intangible assets.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the future estimated amortization expense related to amortizing intangibles as of March 31, 2026: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(from April 1, 2026 to December 31, 2026)</w:t>
            </w:r>
          </w:p>
        </w:tc>
        <w:tc>
          <w:tcPr>
            <w:tcW w:w="34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3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366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49,462</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160" w:type="dxa"/>
            <w:vAlign w:val="bottom"/>
            <w:vMerge w:val="restart"/>
          </w:tcPr>
          <w:p>
            <w:pPr>
              <w:jc w:val="right"/>
              <w:ind w:right="2672"/>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1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10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9"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ind w:left="640" w:hanging="634"/>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AGREEMENTS</w:t>
      </w:r>
    </w:p>
    <w:p>
      <w:pPr>
        <w:spacing w:after="0" w:line="21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$9.9 million for both the three-months ended March 31, 2026 and 2025.</w:t>
      </w:r>
    </w:p>
    <w:p>
      <w:pPr>
        <w:spacing w:after="0" w:line="188" w:lineRule="exact"/>
        <w:rPr>
          <w:sz w:val="20"/>
          <w:szCs w:val="20"/>
          <w:color w:val="auto"/>
        </w:rPr>
      </w:pPr>
    </w:p>
    <w:p>
      <w:pPr>
        <w:ind w:left="640" w:hanging="63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w:t>
      </w:r>
    </w:p>
    <w:p>
      <w:pPr>
        <w:spacing w:after="0" w:line="215" w:lineRule="exact"/>
        <w:rPr>
          <w:sz w:val="20"/>
          <w:szCs w:val="20"/>
          <w:color w:val="auto"/>
        </w:rPr>
      </w:pPr>
    </w:p>
    <w:p>
      <w:pPr>
        <w:jc w:val="both"/>
        <w:ind w:firstLine="633"/>
        <w:spacing w:after="0" w:line="281" w:lineRule="auto"/>
        <w:rPr>
          <w:sz w:val="20"/>
          <w:szCs w:val="20"/>
          <w:color w:val="auto"/>
        </w:rPr>
      </w:pPr>
      <w:r>
        <w:rPr>
          <w:rFonts w:ascii="Times New Roman" w:cs="Times New Roman" w:eastAsia="Times New Roman" w:hAnsi="Times New Roman"/>
          <w:sz w:val="16"/>
          <w:szCs w:val="16"/>
          <w:color w:val="auto"/>
        </w:rPr>
        <w:t>In May 2024, the Company entered into a credit agreement with JPMorgan Chase Bank, N.A., as administrative agent, and certain other lenders (the “Original Credit Agreement”), which provided for senior unsecured credit facilities in an aggregate principal amount of $1.50 billion (collectively, the “Credit Facilities”). The Credit Facilities previously consisted of a $750.0 million term loan (the “Term Loan”) and up to $750.0 million in multicurrency revolving loan commitments (the “Revolving Credit Facility”). The Term Loan was repaid in April 2025 with no additional borrowings permitted. In addition, pursuant to Amendment No. 1 to the Original Credit Agreement, dated as of October 17, 2025, among the Company, JPMorgan Chase Bank, N.A., as administrative agent, and certain other lenders (the “Amended Credit Agreement”), the Company’s aggregate borrowing capacity under the Revolving Credit Facility has been reduced to $500.0 million. Borrowings under the Revolving Credit Facility bear interest at a variable rate per annum equal to the applicable rate plus margin (as defined in the Amended Credit Agreement). Borrowings may be repaid at any time during the term of the Revolving Credit Facility and may be reborrowed prior to the maturity date, which is set to occur in May 2029. As of March 31, 2026, no borrowings were outstanding under the Credit Facilities, and the Company was in compliance with all covenants under the Amended Credit Agreement.</w:t>
      </w:r>
    </w:p>
    <w:p>
      <w:pPr>
        <w:spacing w:after="0" w:line="378"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Additionally, the Company has a line of credit of up to $15.0 million with HSBC Bank (China) Company Limited, Shanghai Branch. As of March 31, 2026, no amount was outstanding on this line of credit.</w:t>
      </w:r>
    </w:p>
    <w:p>
      <w:pPr>
        <w:spacing w:after="0" w:line="169" w:lineRule="exact"/>
        <w:rPr>
          <w:sz w:val="20"/>
          <w:szCs w:val="20"/>
          <w:color w:val="auto"/>
        </w:rPr>
      </w:pPr>
    </w:p>
    <w:p>
      <w:pPr>
        <w:ind w:left="640" w:hanging="63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CONTINGENCIES</w:t>
      </w:r>
    </w:p>
    <w:p>
      <w:pPr>
        <w:spacing w:after="0" w:line="21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Company had purchase commitments aggregating approximately $207.9 million at March 31, 2026, which represented commitments made by the Company and its subsidiaries to various suppliers of raw materials for the production of its products. These obligations vary in terms but are generally satisfied within one year.</w:t>
      </w:r>
    </w:p>
    <w:p>
      <w:pPr>
        <w:spacing w:after="0" w:line="17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had contractual obligations aggregating approximately $684.9 million at March 31, 2026, which related primarily to sponsorships and other marketing activities.</w:t>
      </w:r>
    </w:p>
    <w:p>
      <w:pPr>
        <w:spacing w:after="0" w:line="167" w:lineRule="exact"/>
        <w:rPr>
          <w:sz w:val="20"/>
          <w:szCs w:val="20"/>
          <w:color w:val="auto"/>
        </w:rPr>
      </w:pPr>
    </w:p>
    <w:p>
      <w:pPr>
        <w:jc w:val="both"/>
        <w:ind w:firstLine="633"/>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From time to time in the normal course of business, the Company is named in litigation, including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6"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 xml:space="preserve">The Company evaluates, on a quarterly basis, developments in legal proceedings and other matters that could cause an increase or decrease in the amount of the liability that is accrued, if any, and any related insurance reimbursements. </w:t>
      </w:r>
      <w:r>
        <w:rPr>
          <w:rFonts w:ascii="Times New Roman" w:cs="Times New Roman" w:eastAsia="Times New Roman" w:hAnsi="Times New Roman"/>
          <w:sz w:val="18"/>
          <w:szCs w:val="18"/>
          <w:color w:val="212529"/>
        </w:rPr>
        <w:t>As of March 31, 2026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December 31, 2025</w:t>
      </w:r>
      <w:r>
        <w:rPr>
          <w:rFonts w:ascii="Times New Roman" w:cs="Times New Roman" w:eastAsia="Times New Roman" w:hAnsi="Times New Roman"/>
          <w:sz w:val="18"/>
          <w:szCs w:val="18"/>
          <w:color w:val="000000"/>
        </w:rPr>
        <w:t>, $30.1 million and $36.2 million, respectively, of loss contingencies were included in the Company’s accompanying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ind w:left="640" w:hanging="63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w:t>
      </w:r>
    </w:p>
    <w:p>
      <w:pPr>
        <w:spacing w:after="0" w:line="21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 xml:space="preserve">Changes in accumulated other comprehensive loss by component, after tax, </w:t>
      </w:r>
      <w:r>
        <w:rPr>
          <w:rFonts w:ascii="Times New Roman" w:cs="Times New Roman" w:eastAsia="Times New Roman" w:hAnsi="Times New Roman"/>
          <w:sz w:val="18"/>
          <w:szCs w:val="18"/>
          <w:color w:val="212529"/>
        </w:rPr>
        <w:t>for the three-months ended March 31, 2026 and 2025</w:t>
      </w:r>
      <w:r>
        <w:rPr>
          <w:rFonts w:ascii="Times New Roman" w:cs="Times New Roman" w:eastAsia="Times New Roman" w:hAnsi="Times New Roman"/>
          <w:sz w:val="18"/>
          <w:szCs w:val="18"/>
          <w:color w:val="auto"/>
        </w:rPr>
        <w:t xml:space="preserv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Accumulated Net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Currency</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​​​Unrealized Gains</w:t>
            </w:r>
          </w:p>
        </w:tc>
        <w:tc>
          <w:tcPr>
            <w:tcW w:w="4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Gains (Losses)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5"/>
              </w:rPr>
              <w:t>Translation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(Losses) 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on Commodity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Gains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5"/>
              </w:rPr>
              <w:t>Available-for-</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Derivatives</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(Losses)</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Sale Securities</w:t>
            </w:r>
          </w:p>
        </w:tc>
        <w:tc>
          <w:tcPr>
            <w:tcW w:w="4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40" w:type="dxa"/>
            <w:vAlign w:val="bottom"/>
            <w:tcBorders>
              <w:top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at December 31, 2025</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45,955</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(108,059)</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1,263</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(60,841)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4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40" w:type="dxa"/>
            <w:vAlign w:val="bottom"/>
            <w:gridSpan w:val="2"/>
            <w:shd w:val="clear" w:color="auto" w:fill="CCEEFF"/>
          </w:tcPr>
          <w:p>
            <w:pPr>
              <w:ind w:left="100"/>
              <w:spacing w:after="0" w:line="193"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40" w:type="dxa"/>
            <w:vAlign w:val="bottom"/>
            <w:tcBorders>
              <w:bottom w:val="single" w:sz="8" w:color="CCEEFF"/>
            </w:tcBorders>
            <w:gridSpan w:val="2"/>
          </w:tcPr>
          <w:p>
            <w:pPr>
              <w:ind w:left="100"/>
              <w:spacing w:after="0" w:line="204" w:lineRule="exact"/>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20,493</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(24,664)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(4,324)</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(8,495)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40" w:type="dxa"/>
            <w:vAlign w:val="bottom"/>
            <w:tcBorders>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Balance at March 31, 2026</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66,448</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(132,723)</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(3,061)</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(69,336)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Accumulated Net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Currency</w:t>
            </w:r>
          </w:p>
        </w:tc>
        <w:tc>
          <w:tcPr>
            <w:tcW w:w="22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Unrealized Gains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Gains (Losses)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5"/>
              </w:rPr>
              <w:t>Translation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(Losses) 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on Commodity</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Gains</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5"/>
              </w:rPr>
              <w:t>Available-for-</w:t>
            </w:r>
          </w:p>
        </w:tc>
        <w:tc>
          <w:tcPr>
            <w:tcW w:w="4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Derivatives</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(Losses)</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Sale Securities</w:t>
            </w:r>
          </w:p>
        </w:tc>
        <w:tc>
          <w:tcPr>
            <w:tcW w:w="4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40" w:type="dxa"/>
            <w:vAlign w:val="bottom"/>
            <w:tcBorders>
              <w:top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443</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(269,930)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(269,487)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040" w:type="dxa"/>
            <w:vAlign w:val="bottom"/>
            <w:gridSpan w:val="2"/>
          </w:tcPr>
          <w:p>
            <w:pPr>
              <w:ind w:left="100"/>
              <w:spacing w:after="0" w:line="193"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63,971</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40" w:type="dxa"/>
            <w:vAlign w:val="bottom"/>
            <w:gridSpan w:val="2"/>
            <w:shd w:val="clear" w:color="auto" w:fill="CCEEFF"/>
          </w:tcPr>
          <w:p>
            <w:pPr>
              <w:ind w:left="100"/>
              <w:spacing w:after="0" w:line="205" w:lineRule="exact"/>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2,570</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63,971</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66,541</w:t>
            </w:r>
          </w:p>
        </w:tc>
        <w:tc>
          <w:tcPr>
            <w:tcW w:w="0" w:type="dxa"/>
            <w:vAlign w:val="bottom"/>
          </w:tcPr>
          <w:p>
            <w:pPr>
              <w:spacing w:after="0"/>
              <w:rPr>
                <w:sz w:val="1"/>
                <w:szCs w:val="1"/>
                <w:color w:val="auto"/>
              </w:rPr>
            </w:pPr>
          </w:p>
        </w:tc>
      </w:tr>
      <w:tr>
        <w:trPr>
          <w:trHeight w:val="204"/>
        </w:trPr>
        <w:tc>
          <w:tcPr>
            <w:tcW w:w="4060" w:type="dxa"/>
            <w:vAlign w:val="bottom"/>
            <w:gridSpan w:val="3"/>
          </w:tcPr>
          <w:p>
            <w:pPr>
              <w:ind w:left="20"/>
              <w:spacing w:after="0" w:line="204" w:lineRule="exact"/>
              <w:rPr>
                <w:sz w:val="20"/>
                <w:szCs w:val="20"/>
                <w:color w:val="auto"/>
              </w:rPr>
            </w:pPr>
            <w:r>
              <w:rPr>
                <w:rFonts w:ascii="Times New Roman" w:cs="Times New Roman" w:eastAsia="Times New Roman" w:hAnsi="Times New Roman"/>
                <w:sz w:val="18"/>
                <w:szCs w:val="18"/>
                <w:color w:val="auto"/>
              </w:rPr>
              <w:t>Balance at March 31, 2025</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3,013</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(205,959)</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(202,946)</w:t>
            </w:r>
          </w:p>
        </w:tc>
        <w:tc>
          <w:tcPr>
            <w:tcW w:w="0" w:type="dxa"/>
            <w:vAlign w:val="bottom"/>
          </w:tcPr>
          <w:p>
            <w:pPr>
              <w:spacing w:after="0"/>
              <w:rPr>
                <w:sz w:val="1"/>
                <w:szCs w:val="1"/>
                <w:color w:val="auto"/>
              </w:rPr>
            </w:pPr>
          </w:p>
        </w:tc>
      </w:tr>
      <w:tr>
        <w:trPr>
          <w:trHeight w:val="20"/>
        </w:trPr>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7"/>
              </w:rPr>
              <w:t>12.</w:t>
            </w:r>
          </w:p>
        </w:tc>
        <w:tc>
          <w:tcPr>
            <w:tcW w:w="38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TREASURY STOCK</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40" w:type="dxa"/>
            <w:vAlign w:val="bottom"/>
            <w:gridSpan w:val="2"/>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On August 19, 2024, the Company’s Board of Directors authorized a share repurchase program for the purchase of up to an additional $500.0 million of the Company’s outstanding common stock (the “August 2024 Repurchase Plan”). During the three-months ended March 31, 2026, the Company purchased approximately 1.4 million shares of its common stock at an average purchase price of $73.86 per share, for a total amount of approximately $100.0 million under the August 2024 Repurchase Plan. As of May 6, 2026, approximately $400.0 million remained available for repurchase under the August 2024 Repurchase Plan.</w:t>
      </w:r>
    </w:p>
    <w:p>
      <w:pPr>
        <w:spacing w:after="0" w:line="188"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aggregate amount of the Company’s outstanding common stock that remains available for repurchase under all previously authorized repurchase plans is approximately $400.0 million as of May 6, 2026.</w:t>
      </w:r>
    </w:p>
    <w:p>
      <w:pPr>
        <w:spacing w:after="0" w:line="16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During the three-months ended March 31, 2026, 0.4 million shares of common stock were purchased from employees in lieu of cash payments for options exercised or withholding taxes due for a total amount of $33.9 million. While such purchases are considered common stock repurchases, they are not counted as purchases against the Company’s authorized share repurchase programs. Such shares are included in common stock in treasury in the accompanying condensed consolidated balance sheet at March 31, 2026.</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ind w:left="640" w:hanging="63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15"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Company has two stock-based compensation plans under which shares were available for grant at March 31, 2026: (i) the Monster Beverage Corporation 2020 Omnibus Incentive Plan, including the Monster Beverage Corporation Deferred Compensation Plan as a sub-plan thereunder, and (ii) the Monster Beverage Corporation 2017 Compensation Plan for Non-Employee Directors as Amended and Restated on February 23, 2022, including the Monster Beverage Corporation Deferred Compensation Plan for Non-Employee Directors as a sub-plan thereunder.</w:t>
      </w:r>
    </w:p>
    <w:p>
      <w:pPr>
        <w:spacing w:after="0" w:line="188"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 recorded $28.3 million and $20.7 million of compensation expense relating to outstanding options, restricted stock units, performance share units and other share-based awards during the three-months ended March 31, 2026 and 2025, respectively.</w:t>
      </w:r>
    </w:p>
    <w:p>
      <w:pPr>
        <w:spacing w:after="0" w:line="16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tax benefit for tax deductions from non-qualified stock option exercises, disqualifying dispositions of incentive stock options and vesting of restricted stock units and performance share units for the three-months ended March 31, 2026 and 2025 was $5.5 million and $7.2 million,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17" w:lineRule="exact"/>
        <w:rPr>
          <w:sz w:val="20"/>
          <w:szCs w:val="20"/>
          <w:color w:val="auto"/>
        </w:rPr>
      </w:pPr>
    </w:p>
    <w:p>
      <w:pPr>
        <w:jc w:val="both"/>
        <w:ind w:firstLine="633"/>
        <w:spacing w:after="0" w:line="294" w:lineRule="auto"/>
        <w:rPr>
          <w:sz w:val="20"/>
          <w:szCs w:val="20"/>
          <w:color w:val="auto"/>
        </w:rPr>
      </w:pPr>
      <w:r>
        <w:rPr>
          <w:rFonts w:ascii="Times New Roman" w:cs="Times New Roman" w:eastAsia="Times New Roman" w:hAnsi="Times New Roman"/>
          <w:sz w:val="16"/>
          <w:szCs w:val="16"/>
          <w:color w:val="auto"/>
        </w:rPr>
        <w:t>Under the Company’s stock-based compensation plans, all stock options granted as of March 31, 2026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options granted during:</w:t>
      </w:r>
    </w:p>
    <w:p>
      <w:pPr>
        <w:spacing w:after="0" w:line="22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Three-Months Ended March 31,</w:t>
      </w:r>
    </w:p>
    <w:p>
      <w:pPr>
        <w:spacing w:after="0" w:line="4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5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85"/>
        </w:trPr>
        <w:tc>
          <w:tcPr>
            <w:tcW w:w="5180" w:type="dxa"/>
            <w:vAlign w:val="bottom"/>
            <w:gridSpan w:val="2"/>
          </w:tcPr>
          <w:p>
            <w:pPr>
              <w:ind w:left="4880"/>
              <w:spacing w:after="0" w:line="185"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2026</w:t>
            </w:r>
          </w:p>
        </w:tc>
        <w:tc>
          <w:tcPr>
            <w:tcW w:w="380" w:type="dxa"/>
            <w:vAlign w:val="bottom"/>
          </w:tcPr>
          <w:p>
            <w:pPr>
              <w:spacing w:after="0"/>
              <w:rPr>
                <w:sz w:val="16"/>
                <w:szCs w:val="16"/>
                <w:color w:val="auto"/>
              </w:rPr>
            </w:pPr>
          </w:p>
        </w:tc>
        <w:tc>
          <w:tcPr>
            <w:tcW w:w="380" w:type="dxa"/>
            <w:vAlign w:val="bottom"/>
          </w:tcPr>
          <w:p>
            <w:pPr>
              <w:jc w:val="right"/>
              <w:ind w:right="92"/>
              <w:spacing w:after="0" w:line="185"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6"/>
                <w:szCs w:val="16"/>
                <w:color w:val="auto"/>
              </w:rPr>
            </w:pPr>
          </w:p>
        </w:tc>
        <w:tc>
          <w:tcPr>
            <w:tcW w:w="400" w:type="dxa"/>
            <w:vAlign w:val="bottom"/>
          </w:tcPr>
          <w:p>
            <w:pPr>
              <w:jc w:val="right"/>
              <w:ind w:right="92"/>
              <w:spacing w:after="0" w:line="185" w:lineRule="exact"/>
              <w:rPr>
                <w:sz w:val="20"/>
                <w:szCs w:val="20"/>
                <w:color w:val="auto"/>
              </w:rPr>
            </w:pPr>
            <w:r>
              <w:rPr>
                <w:rFonts w:ascii="Times New Roman" w:cs="Times New Roman" w:eastAsia="Times New Roman" w:hAnsi="Times New Roman"/>
                <w:sz w:val="18"/>
                <w:szCs w:val="18"/>
                <w:color w:val="auto"/>
              </w:rPr>
              <w:t>​​​</w:t>
            </w:r>
          </w:p>
        </w:tc>
      </w:tr>
      <w:tr>
        <w:trPr>
          <w:trHeight w:val="204"/>
        </w:trPr>
        <w:tc>
          <w:tcPr>
            <w:tcW w:w="500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Dividend yield</w:t>
            </w: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0.0</w:t>
            </w:r>
          </w:p>
        </w:tc>
        <w:tc>
          <w:tcPr>
            <w:tcW w:w="380" w:type="dxa"/>
            <w:vAlign w:val="bottom"/>
            <w:tcBorders>
              <w:top w:val="single" w:sz="8" w:color="CCEEFF"/>
            </w:tcBorders>
            <w:shd w:val="clear" w:color="auto" w:fill="CCEEFF"/>
          </w:tcPr>
          <w:p>
            <w:pPr>
              <w:jc w:val="right"/>
              <w:ind w:right="152"/>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0.0</w:t>
            </w:r>
          </w:p>
        </w:tc>
        <w:tc>
          <w:tcPr>
            <w:tcW w:w="400" w:type="dxa"/>
            <w:vAlign w:val="bottom"/>
            <w:tcBorders>
              <w:top w:val="single" w:sz="8" w:color="CCEEFF"/>
            </w:tcBorders>
            <w:shd w:val="clear" w:color="auto" w:fill="CCEEFF"/>
          </w:tcPr>
          <w:p>
            <w:pPr>
              <w:jc w:val="right"/>
              <w:ind w:right="172"/>
              <w:spacing w:after="0" w:line="204" w:lineRule="exact"/>
              <w:rPr>
                <w:sz w:val="20"/>
                <w:szCs w:val="20"/>
                <w:color w:val="auto"/>
              </w:rPr>
            </w:pPr>
            <w:r>
              <w:rPr>
                <w:rFonts w:ascii="Times New Roman" w:cs="Times New Roman" w:eastAsia="Times New Roman" w:hAnsi="Times New Roman"/>
                <w:sz w:val="18"/>
                <w:szCs w:val="18"/>
                <w:color w:val="auto"/>
                <w:w w:val="79"/>
              </w:rPr>
              <w:t>%</w:t>
            </w:r>
          </w:p>
        </w:tc>
      </w:tr>
      <w:tr>
        <w:trPr>
          <w:trHeight w:val="211"/>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20" w:type="dxa"/>
            <w:vAlign w:val="bottom"/>
          </w:tcPr>
          <w:p>
            <w:pPr>
              <w:spacing w:after="0"/>
              <w:rPr>
                <w:sz w:val="18"/>
                <w:szCs w:val="18"/>
                <w:color w:val="auto"/>
              </w:rPr>
            </w:pPr>
          </w:p>
        </w:tc>
        <w:tc>
          <w:tcPr>
            <w:tcW w:w="7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w w:val="97"/>
              </w:rPr>
              <w:t>25.5 %</w:t>
            </w:r>
          </w:p>
        </w:tc>
        <w:tc>
          <w:tcPr>
            <w:tcW w:w="700" w:type="dxa"/>
            <w:vAlign w:val="bottom"/>
          </w:tcPr>
          <w:p>
            <w:pPr>
              <w:spacing w:after="0"/>
              <w:rPr>
                <w:sz w:val="18"/>
                <w:szCs w:val="18"/>
                <w:color w:val="auto"/>
              </w:rPr>
            </w:pPr>
          </w:p>
        </w:tc>
        <w:tc>
          <w:tcPr>
            <w:tcW w:w="7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color w:val="auto"/>
                <w:w w:val="97"/>
              </w:rPr>
              <w:t>26.7 %</w:t>
            </w:r>
          </w:p>
        </w:tc>
      </w:tr>
      <w:tr>
        <w:trPr>
          <w:trHeight w:val="211"/>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4.1 %</w:t>
            </w:r>
          </w:p>
        </w:tc>
        <w:tc>
          <w:tcPr>
            <w:tcW w:w="7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5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 years</w:t>
            </w:r>
          </w:p>
        </w:tc>
        <w:tc>
          <w:tcPr>
            <w:tcW w:w="7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years</w:t>
            </w:r>
          </w:p>
        </w:tc>
      </w:tr>
    </w:tbl>
    <w:p>
      <w:pPr>
        <w:spacing w:after="0" w:line="173" w:lineRule="exact"/>
        <w:rPr>
          <w:sz w:val="20"/>
          <w:szCs w:val="20"/>
          <w:color w:val="auto"/>
        </w:rPr>
      </w:pPr>
    </w:p>
    <w:p>
      <w:pPr>
        <w:jc w:val="both"/>
        <w:ind w:firstLine="633"/>
        <w:spacing w:after="0" w:line="336" w:lineRule="auto"/>
        <w:rPr>
          <w:sz w:val="20"/>
          <w:szCs w:val="20"/>
          <w:color w:val="auto"/>
        </w:rPr>
      </w:pPr>
      <w:r>
        <w:rPr>
          <w:rFonts w:ascii="Times New Roman" w:cs="Times New Roman" w:eastAsia="Times New Roman" w:hAnsi="Times New Roman"/>
          <w:sz w:val="16"/>
          <w:szCs w:val="16"/>
          <w:i w:val="1"/>
          <w:iCs w:val="1"/>
          <w:color w:val="auto"/>
        </w:rPr>
        <w:t>Expected Volatility</w:t>
      </w:r>
      <w:r>
        <w:rPr>
          <w:rFonts w:ascii="Times New Roman" w:cs="Times New Roman" w:eastAsia="Times New Roman" w:hAnsi="Times New Roman"/>
          <w:sz w:val="16"/>
          <w:szCs w:val="16"/>
          <w:color w:val="auto"/>
        </w:rPr>
        <w:t>: The Company uses historical volatility as it provides a reasonable estimate of the expected volatility. Historical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volatility is based on the most recent volatility of the stock price over a period of time equivalent to the expected term of the option.</w:t>
      </w:r>
    </w:p>
    <w:p>
      <w:pPr>
        <w:spacing w:after="0" w:line="118" w:lineRule="exact"/>
        <w:rPr>
          <w:sz w:val="20"/>
          <w:szCs w:val="20"/>
          <w:color w:val="auto"/>
        </w:rPr>
      </w:pPr>
    </w:p>
    <w:p>
      <w:pPr>
        <w:jc w:val="both"/>
        <w:ind w:right="20" w:firstLine="633"/>
        <w:spacing w:after="0" w:line="272"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zero-coupon yield curve in effect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for the expected term of the option.</w:t>
      </w:r>
    </w:p>
    <w:p>
      <w:pPr>
        <w:spacing w:after="0" w:line="164"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Company’s expected term represents the weighted-average period that the Company’s stock options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Company’s activities with respect to its stock option plans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1"/>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1"/>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4"/>
              </w:rPr>
              <w:t>Weighted-</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Remaining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1"/>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5"/>
              </w:rPr>
              <w:t>Average</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Contractual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11"/>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Exercise Price</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Term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6"/>
              </w:rPr>
              <w:t>Intrinsic</w:t>
            </w:r>
          </w:p>
        </w:tc>
      </w:tr>
      <w:tr>
        <w:trPr>
          <w:trHeight w:val="229"/>
        </w:trPr>
        <w:tc>
          <w:tcPr>
            <w:tcW w:w="49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Options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Per Share</w:t>
            </w:r>
          </w:p>
        </w:tc>
        <w:tc>
          <w:tcPr>
            <w:tcW w:w="11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  (in years)</w:t>
            </w:r>
          </w:p>
        </w:tc>
        <w:tc>
          <w:tcPr>
            <w:tcW w:w="3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5"/>
        </w:trPr>
        <w:tc>
          <w:tcPr>
            <w:tcW w:w="498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Outstanding at January 1, 2026</w:t>
            </w: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22,161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42.80</w:t>
            </w: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5.8</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750,594</w:t>
            </w:r>
          </w:p>
        </w:tc>
      </w:tr>
      <w:tr>
        <w:trPr>
          <w:trHeight w:val="211"/>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 01/01/26 - 03/31/26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1"/>
        </w:trPr>
        <w:tc>
          <w:tcPr>
            <w:tcW w:w="4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 or forfeited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4"/>
        </w:trPr>
        <w:tc>
          <w:tcPr>
            <w:tcW w:w="498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Outstanding at March 31, 2026</w:t>
            </w: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22,404</w:t>
            </w:r>
          </w:p>
        </w:tc>
        <w:tc>
          <w:tcPr>
            <w:tcW w:w="320" w:type="dxa"/>
            <w:vAlign w:val="bottom"/>
            <w:tcBorders>
              <w:top w:val="single" w:sz="8" w:color="CCEEFF"/>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44.54</w:t>
            </w:r>
          </w:p>
        </w:tc>
        <w:tc>
          <w:tcPr>
            <w:tcW w:w="1140" w:type="dxa"/>
            <w:vAlign w:val="bottom"/>
            <w:tcBorders>
              <w:top w:val="single" w:sz="8" w:color="CCEEFF"/>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top w:val="single" w:sz="8" w:color="CCEEFF"/>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629,728</w:t>
            </w:r>
          </w:p>
        </w:tc>
      </w:tr>
      <w:tr>
        <w:trPr>
          <w:trHeight w:val="211"/>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 in the future at March 31, 2026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21,688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618,077</w:t>
            </w:r>
          </w:p>
        </w:tc>
      </w:tr>
      <w:tr>
        <w:trPr>
          <w:trHeight w:val="211"/>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474,335</w:t>
            </w:r>
          </w:p>
        </w:tc>
      </w:tr>
    </w:tbl>
    <w:p>
      <w:pPr>
        <w:spacing w:after="0" w:line="193"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three-months ended March 31, 2026 and 2025 was $26.54 per share and $19.83 per share, respectively.</w:t>
      </w:r>
    </w:p>
    <w:p>
      <w:pPr>
        <w:spacing w:after="0" w:line="16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three-months ended March 31, 2026 and 2025 was $30.4 million and $48.1 million, respectively.</w:t>
      </w:r>
    </w:p>
    <w:p>
      <w:pPr>
        <w:spacing w:after="0" w:line="16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Cash received from option exercises under all plans for the three-months ended March 31, 2026 and 2025 was $18.0 million and $48.1 million, respectively.</w:t>
      </w:r>
    </w:p>
    <w:p>
      <w:pPr>
        <w:spacing w:after="0" w:line="16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At March 31, 2026, there was $121.4 million of total unrecognized compensation expense related to non-vested options granted to employees under the Company’s stock-based compensation plans. That cost is expected to be recognized over a weighted-average period of 2.5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 and Performance Share Units</w:t>
      </w:r>
    </w:p>
    <w:p>
      <w:pPr>
        <w:spacing w:after="0" w:line="217"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17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summarizes the Company’s activities with respect to non-vested restricted stock units and performance share units as follows:</w:t>
      </w:r>
    </w:p>
    <w:p>
      <w:pPr>
        <w:spacing w:after="0" w:line="182" w:lineRule="exact"/>
        <w:rPr>
          <w:sz w:val="20"/>
          <w:szCs w:val="20"/>
          <w:color w:val="auto"/>
        </w:rPr>
      </w:pPr>
    </w:p>
    <w:tbl>
      <w:tblPr>
        <w:tblLayout w:type="fixed"/>
        <w:tblInd w:w="960" w:type="dxa"/>
        <w:tblCellMar>
          <w:top w:w="0" w:type="dxa"/>
          <w:left w:w="0" w:type="dxa"/>
          <w:bottom w:w="0" w:type="dxa"/>
          <w:right w:w="0" w:type="dxa"/>
        </w:tblCellMar>
      </w:tblPr>
      <w:tr>
        <w:trPr>
          <w:trHeight w:val="211"/>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Number of Shares</w:t>
            </w:r>
          </w:p>
        </w:tc>
        <w:tc>
          <w:tcPr>
            <w:tcW w:w="20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Weighted-Average Grant-Date</w:t>
            </w:r>
          </w:p>
        </w:tc>
      </w:tr>
      <w:tr>
        <w:trPr>
          <w:trHeight w:val="229"/>
        </w:trPr>
        <w:tc>
          <w:tcPr>
            <w:tcW w:w="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(in thousands)</w:t>
            </w:r>
          </w:p>
        </w:tc>
        <w:tc>
          <w:tcPr>
            <w:tcW w:w="62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Fair Value</w:t>
            </w:r>
          </w:p>
        </w:tc>
      </w:tr>
      <w:tr>
        <w:trPr>
          <w:trHeight w:val="205"/>
        </w:trPr>
        <w:tc>
          <w:tcPr>
            <w:tcW w:w="40" w:type="dxa"/>
            <w:vAlign w:val="bottom"/>
          </w:tcPr>
          <w:p>
            <w:pPr>
              <w:spacing w:after="0"/>
              <w:rPr>
                <w:sz w:val="17"/>
                <w:szCs w:val="17"/>
                <w:color w:val="auto"/>
              </w:rPr>
            </w:pPr>
          </w:p>
        </w:tc>
        <w:tc>
          <w:tcPr>
            <w:tcW w:w="4140" w:type="dxa"/>
            <w:vAlign w:val="bottom"/>
            <w:tcBorders>
              <w:top w:val="single" w:sz="8" w:color="CCEEFF"/>
            </w:tcBorders>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Non-vested at January 1, 2026</w:t>
            </w: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2,040</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53.15</w:t>
            </w:r>
          </w:p>
        </w:tc>
      </w:tr>
      <w:tr>
        <w:trPr>
          <w:trHeight w:val="211"/>
        </w:trPr>
        <w:tc>
          <w:tcPr>
            <w:tcW w:w="40" w:type="dxa"/>
            <w:vAlign w:val="bottom"/>
          </w:tcPr>
          <w:p>
            <w:pPr>
              <w:spacing w:after="0"/>
              <w:rPr>
                <w:sz w:val="18"/>
                <w:szCs w:val="18"/>
                <w:color w:val="auto"/>
              </w:rPr>
            </w:pPr>
          </w:p>
        </w:tc>
        <w:tc>
          <w:tcPr>
            <w:tcW w:w="4220" w:type="dxa"/>
            <w:vAlign w:val="bottom"/>
            <w:gridSpan w:val="3"/>
          </w:tcPr>
          <w:p>
            <w:pPr>
              <w:ind w:left="100"/>
              <w:spacing w:after="0" w:line="211" w:lineRule="exact"/>
              <w:rPr>
                <w:sz w:val="20"/>
                <w:szCs w:val="20"/>
                <w:color w:val="auto"/>
              </w:rPr>
            </w:pPr>
            <w:r>
              <w:rPr>
                <w:rFonts w:ascii="Times New Roman" w:cs="Times New Roman" w:eastAsia="Times New Roman" w:hAnsi="Times New Roman"/>
                <w:sz w:val="16"/>
                <w:szCs w:val="16"/>
                <w:color w:val="auto"/>
              </w:rPr>
              <w:t>Granted 01/01/26 - 03/31/26</w:t>
            </w:r>
            <w:r>
              <w:rPr>
                <w:rFonts w:ascii="Times New Roman" w:cs="Times New Roman" w:eastAsia="Times New Roman" w:hAnsi="Times New Roman"/>
                <w:sz w:val="24"/>
                <w:szCs w:val="24"/>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6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r>
      <w:tr>
        <w:trPr>
          <w:trHeight w:val="211"/>
        </w:trPr>
        <w:tc>
          <w:tcPr>
            <w:tcW w:w="40" w:type="dxa"/>
            <w:vAlign w:val="bottom"/>
          </w:tcPr>
          <w:p>
            <w:pPr>
              <w:spacing w:after="0"/>
              <w:rPr>
                <w:sz w:val="18"/>
                <w:szCs w:val="18"/>
                <w:color w:val="auto"/>
              </w:rPr>
            </w:pPr>
          </w:p>
        </w:tc>
        <w:tc>
          <w:tcPr>
            <w:tcW w:w="4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62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w:t>
            </w:r>
          </w:p>
        </w:tc>
      </w:tr>
      <w:tr>
        <w:trPr>
          <w:trHeight w:val="211"/>
        </w:trPr>
        <w:tc>
          <w:tcPr>
            <w:tcW w:w="40" w:type="dxa"/>
            <w:vAlign w:val="bottom"/>
          </w:tcPr>
          <w:p>
            <w:pPr>
              <w:spacing w:after="0"/>
              <w:rPr>
                <w:sz w:val="18"/>
                <w:szCs w:val="18"/>
                <w:color w:val="auto"/>
              </w:rPr>
            </w:pPr>
          </w:p>
        </w:tc>
        <w:tc>
          <w:tcPr>
            <w:tcW w:w="4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Forfeited/cancelled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r>
      <w:tr>
        <w:trPr>
          <w:trHeight w:val="204"/>
        </w:trPr>
        <w:tc>
          <w:tcPr>
            <w:tcW w:w="40" w:type="dxa"/>
            <w:vAlign w:val="bottom"/>
          </w:tcPr>
          <w:p>
            <w:pPr>
              <w:spacing w:after="0"/>
              <w:rPr>
                <w:sz w:val="17"/>
                <w:szCs w:val="17"/>
                <w:color w:val="auto"/>
              </w:rPr>
            </w:pPr>
          </w:p>
        </w:tc>
        <w:tc>
          <w:tcPr>
            <w:tcW w:w="414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Non-vested at March 31, 2026</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2,048</w:t>
            </w:r>
          </w:p>
        </w:tc>
        <w:tc>
          <w:tcPr>
            <w:tcW w:w="620" w:type="dxa"/>
            <w:vAlign w:val="bottom"/>
            <w:tcBorders>
              <w:top w:val="single" w:sz="8" w:color="CCEEFF"/>
              <w:bottom w:val="single" w:sz="8" w:color="CCEEFF"/>
            </w:tcBorders>
            <w:gridSpan w:val="2"/>
            <w:shd w:val="clear" w:color="auto" w:fill="CCEEFF"/>
          </w:tcPr>
          <w:p>
            <w:pPr>
              <w:jc w:val="right"/>
              <w:ind w:right="255"/>
              <w:spacing w:after="0" w:line="204"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CCEEFF"/>
              <w:bottom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61.81</w:t>
            </w:r>
          </w:p>
        </w:tc>
      </w:tr>
      <w:tr>
        <w:trPr>
          <w:trHeight w:val="20"/>
        </w:trPr>
        <w:tc>
          <w:tcPr>
            <w:tcW w:w="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72"/>
        </w:trPr>
        <w:tc>
          <w:tcPr>
            <w:tcW w:w="4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60" w:type="dxa"/>
            <w:vAlign w:val="bottom"/>
          </w:tcPr>
          <w:p>
            <w:pPr>
              <w:spacing w:after="0"/>
              <w:rPr>
                <w:sz w:val="6"/>
                <w:szCs w:val="6"/>
                <w:color w:val="auto"/>
              </w:rPr>
            </w:pPr>
          </w:p>
        </w:tc>
      </w:tr>
    </w:tbl>
    <w:p>
      <w:pPr>
        <w:spacing w:after="0" w:line="39" w:lineRule="exact"/>
        <w:rPr>
          <w:sz w:val="20"/>
          <w:szCs w:val="20"/>
          <w:color w:val="auto"/>
        </w:rPr>
      </w:pPr>
    </w:p>
    <w:p>
      <w:pPr>
        <w:jc w:val="both"/>
        <w:ind w:left="960" w:right="940"/>
        <w:spacing w:after="0" w:line="233" w:lineRule="auto"/>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6"/>
          <w:szCs w:val="16"/>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depending on the achievement of pre-established performance goals.</w:t>
      </w:r>
    </w:p>
    <w:p>
      <w:pPr>
        <w:spacing w:after="0" w:line="200"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 units and/or performance share units granted during the three-months ended March 31, 2026 and 2025 was $77.11 and $55.08 per share, respectively.</w:t>
      </w:r>
    </w:p>
    <w:p>
      <w:pPr>
        <w:sectPr>
          <w:pgSz w:w="11900" w:h="16838" w:orient="portrait"/>
          <w:cols w:equalWidth="0" w:num="1">
            <w:col w:w="9920"/>
          </w:cols>
          <w:pgMar w:left="980" w:top="649"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March 31, 2026, 1.9 million restricted stock units and performance share units are expected to vest over their respective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w:t>
      </w:r>
    </w:p>
    <w:p>
      <w:pPr>
        <w:spacing w:after="0" w:line="197"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At March 31, 2026, total unrecognized compensation expense relating to non-vested restricted stock units and performance share units was $91.2 million, which is expected to be recognized over a weighted-average period of 2.4 years.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Share-Based Awards</w:t>
      </w:r>
    </w:p>
    <w:p>
      <w:pPr>
        <w:spacing w:after="0" w:line="217"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the date of settlement. At March 31, 2026, other share-based awards outstanding included grants that vest over three years payable in the first quarters of 2027, 2028 and 2029.</w:t>
      </w:r>
    </w:p>
    <w:p>
      <w:pPr>
        <w:spacing w:after="0" w:line="188"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At March 31, 2026, there was $2.4 million of unrecognized compensation expense related to non-vested other share-based awards granted to employees under the Company’s stock-based compensation plans. That cost is expected to be recognized over a weighted-average period of 1.5 years.</w:t>
      </w:r>
    </w:p>
    <w:p>
      <w:pPr>
        <w:spacing w:after="0" w:line="179" w:lineRule="exact"/>
        <w:rPr>
          <w:sz w:val="20"/>
          <w:szCs w:val="20"/>
          <w:color w:val="auto"/>
        </w:rPr>
      </w:pPr>
    </w:p>
    <w:p>
      <w:pPr>
        <w:ind w:left="640" w:hanging="634"/>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1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is a roll-forward of the Company’s total gross unrecognized tax benefits, not including interest and penalties, for the three-months ended March 31, 2026:</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211"/>
        </w:trPr>
        <w:tc>
          <w:tcPr>
            <w:tcW w:w="4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Gross Unrecognized Tax</w:t>
            </w:r>
          </w:p>
        </w:tc>
      </w:tr>
      <w:tr>
        <w:trPr>
          <w:trHeight w:val="229"/>
        </w:trPr>
        <w:tc>
          <w:tcPr>
            <w:tcW w:w="4860" w:type="dxa"/>
            <w:vAlign w:val="bottom"/>
          </w:tcPr>
          <w:p>
            <w:pPr>
              <w:spacing w:after="0"/>
              <w:rPr>
                <w:sz w:val="19"/>
                <w:szCs w:val="19"/>
                <w:color w:val="auto"/>
              </w:rPr>
            </w:pPr>
          </w:p>
        </w:tc>
        <w:tc>
          <w:tcPr>
            <w:tcW w:w="158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Benefits</w:t>
            </w:r>
          </w:p>
        </w:tc>
      </w:tr>
      <w:tr>
        <w:trPr>
          <w:trHeight w:val="205"/>
        </w:trPr>
        <w:tc>
          <w:tcPr>
            <w:tcW w:w="48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Balance at December 31, 2025</w:t>
            </w:r>
          </w:p>
        </w:tc>
        <w:tc>
          <w:tcPr>
            <w:tcW w:w="1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3,230</w:t>
            </w:r>
          </w:p>
        </w:tc>
      </w:tr>
      <w:tr>
        <w:trPr>
          <w:trHeight w:val="21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prior years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1"/>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Decreases for tax positions related to the prior years</w:t>
            </w:r>
          </w:p>
        </w:tc>
        <w:tc>
          <w:tcPr>
            <w:tcW w:w="1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4860" w:type="dxa"/>
            <w:vAlign w:val="bottom"/>
            <w:tcBorders>
              <w:bottom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Balance at March 31, 2026</w:t>
            </w:r>
          </w:p>
        </w:tc>
        <w:tc>
          <w:tcPr>
            <w:tcW w:w="1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3,578</w:t>
            </w:r>
          </w:p>
        </w:tc>
      </w:tr>
      <w:tr>
        <w:trPr>
          <w:trHeight w:val="20"/>
        </w:trPr>
        <w:tc>
          <w:tcPr>
            <w:tcW w:w="4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in the provision for income taxes in the Company’s condensed consolidated financial statements. As of March 31, 2026, the Company had approximately $1.0 million in accrued interest and penalties related to unrecognized tax benefits. If the Company were to prevail on all uncertain tax positions, the resultant impact on the Company’s effective tax rate would not be significant.</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is subject to U.S. federal income tax as well as to income tax in multiple state and foreign jurisdictions.</w:t>
      </w:r>
    </w:p>
    <w:p>
      <w:pPr>
        <w:spacing w:after="0" w:line="215"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 is in various stages of examination with certain states and certain foreign jurisdictions. The Company’s 2022 through 2025 U.S. federal income tax returns are subject to examination by the IRS. The Company’s state income tax returns are generally subject to examination for the 2021 through 2025 tax years. The United Kingdom and Ireland income tax returns are subject to examination for the 2021 through 2025 tax years.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ind w:left="640" w:hanging="634"/>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15"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A reconciliation of the weighted-average shares used in the basic and diluted earnings per common share computations is presented below (in thousands):</w:t>
      </w:r>
    </w:p>
    <w:p>
      <w:pPr>
        <w:spacing w:after="0" w:line="18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Three-Months Ended</w:t>
      </w:r>
    </w:p>
    <w:p>
      <w:pPr>
        <w:spacing w:after="0" w:line="2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March 31,</w:t>
      </w:r>
    </w:p>
    <w:p>
      <w:pPr>
        <w:spacing w:after="0" w:line="24"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6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185"/>
        </w:trPr>
        <w:tc>
          <w:tcPr>
            <w:tcW w:w="6160" w:type="dxa"/>
            <w:vAlign w:val="bottom"/>
            <w:gridSpan w:val="2"/>
          </w:tcPr>
          <w:p>
            <w:pPr>
              <w:ind w:left="5920"/>
              <w:spacing w:after="0" w:line="185"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72"/>
              <w:spacing w:after="0" w:line="185" w:lineRule="exact"/>
              <w:rPr>
                <w:sz w:val="20"/>
                <w:szCs w:val="20"/>
                <w:color w:val="auto"/>
              </w:rPr>
            </w:pPr>
            <w:r>
              <w:rPr>
                <w:rFonts w:ascii="Times New Roman" w:cs="Times New Roman" w:eastAsia="Times New Roman" w:hAnsi="Times New Roman"/>
                <w:sz w:val="18"/>
                <w:szCs w:val="18"/>
                <w:color w:val="auto"/>
              </w:rPr>
              <w:t>2026</w:t>
            </w:r>
          </w:p>
        </w:tc>
        <w:tc>
          <w:tcPr>
            <w:tcW w:w="1060" w:type="dxa"/>
            <w:vAlign w:val="bottom"/>
            <w:gridSpan w:val="2"/>
          </w:tcPr>
          <w:p>
            <w:pPr>
              <w:jc w:val="right"/>
              <w:ind w:right="192"/>
              <w:spacing w:after="0" w:line="185" w:lineRule="exact"/>
              <w:rPr>
                <w:sz w:val="20"/>
                <w:szCs w:val="20"/>
                <w:color w:val="auto"/>
              </w:rPr>
            </w:pPr>
            <w:r>
              <w:rPr>
                <w:rFonts w:ascii="Times New Roman" w:cs="Times New Roman" w:eastAsia="Times New Roman" w:hAnsi="Times New Roman"/>
                <w:sz w:val="18"/>
                <w:szCs w:val="18"/>
                <w:color w:val="auto"/>
              </w:rPr>
              <w:t>​​​   2025</w:t>
            </w:r>
          </w:p>
        </w:tc>
      </w:tr>
      <w:tr>
        <w:trPr>
          <w:trHeight w:val="204"/>
        </w:trPr>
        <w:tc>
          <w:tcPr>
            <w:tcW w:w="602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Weighted-average shares outstanding:</w:t>
            </w: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1"/>
        </w:trPr>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978,309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973,622</w:t>
            </w:r>
          </w:p>
        </w:tc>
      </w:tr>
      <w:tr>
        <w:trPr>
          <w:trHeight w:val="211"/>
        </w:trPr>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Dilutive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r>
      <w:tr>
        <w:trPr>
          <w:trHeight w:val="204"/>
        </w:trPr>
        <w:tc>
          <w:tcPr>
            <w:tcW w:w="6020" w:type="dxa"/>
            <w:vAlign w:val="bottom"/>
          </w:tcPr>
          <w:p>
            <w:pPr>
              <w:ind w:left="100"/>
              <w:spacing w:after="0" w:line="204"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988,258</w:t>
            </w:r>
          </w:p>
        </w:tc>
        <w:tc>
          <w:tcPr>
            <w:tcW w:w="1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981,282</w:t>
            </w: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For the three-months ended March 31, 2026 and 2025, options and awards outstanding totaling 0.2 million shares and 9.7 million shares, respectively, were excluded from the calculations as their effect would have been antidilutive.</w:t>
      </w:r>
    </w:p>
    <w:p>
      <w:pPr>
        <w:spacing w:after="0" w:line="169" w:lineRule="exact"/>
        <w:rPr>
          <w:sz w:val="20"/>
          <w:szCs w:val="20"/>
          <w:color w:val="auto"/>
        </w:rPr>
      </w:pPr>
    </w:p>
    <w:p>
      <w:pPr>
        <w:ind w:left="640" w:hanging="63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w:t>
      </w:r>
    </w:p>
    <w:p>
      <w:pPr>
        <w:spacing w:after="0" w:line="215" w:lineRule="exact"/>
        <w:rPr>
          <w:sz w:val="20"/>
          <w:szCs w:val="20"/>
          <w:color w:val="auto"/>
        </w:rPr>
      </w:pPr>
    </w:p>
    <w:p>
      <w:pPr>
        <w:jc w:val="both"/>
        <w:ind w:firstLine="633"/>
        <w:spacing w:after="0" w:line="230" w:lineRule="auto"/>
        <w:rPr>
          <w:sz w:val="20"/>
          <w:szCs w:val="20"/>
          <w:color w:val="auto"/>
        </w:rPr>
      </w:pPr>
      <w:r>
        <w:rPr>
          <w:rFonts w:ascii="Times New Roman" w:cs="Times New Roman" w:eastAsia="Times New Roman" w:hAnsi="Times New Roman"/>
          <w:sz w:val="18"/>
          <w:szCs w:val="18"/>
          <w:color w:val="auto"/>
        </w:rPr>
        <w:t>The Company has four operating and reportable segments: (i) Monster Energy® Drinks segment, which is primarily comprised of the Company’s Monster Energy® drinks, Reign Total Body Fuel® high performance energy drinks, Reign Storm® total wellness energy drinks, Bang Energy® drinks and FLRT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total wellness energy drinks, (ii) Strategic Brands segment, which is primarily comprised of the various energy drink brands acquired from TCCC in 2015 as well as the Company’s affordable energy brands, Predator® and Fury®, (iii) Alcohol Brands segment, which is comprised of various craft beers, FMBs and hard seltzers and (iv) Other segment, which is comprised of the AFF Third-Party Products.</w:t>
      </w:r>
    </w:p>
    <w:p>
      <w:pPr>
        <w:spacing w:after="0" w:line="19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spacing w:after="0" w:line="182"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9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Generally, the Monster Energy® Drinks segment generates higher per case net operating revenues, but lower per case gross profit margin percentages than the Strategic Brands segment.</w:t>
      </w:r>
    </w:p>
    <w:p>
      <w:pPr>
        <w:spacing w:after="0" w:line="16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Company’s Alcohol Brands segment primarily generates operating revenues by selling kegged and ready-to-drink canned beers, FMBs and hard seltzers primarily to beer distributors in the United States.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Generally, the Alcohol Brands segment has lower gross profit margin percentages than the Monster Energy® Drinks segment.</w:t>
      </w:r>
    </w:p>
    <w:p>
      <w:pPr>
        <w:spacing w:after="0" w:line="215"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17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Company’s chief operating decision maker is the chief executive officer (the “CEO”). The CEO assesses segments’ performance by using each segment’s operating income and considers budget-to-actual variances on a periodic basis (at least quarterly)</w:t>
      </w:r>
    </w:p>
    <w:p>
      <w:pPr>
        <w:sectPr>
          <w:pgSz w:w="11900" w:h="16838" w:orient="portrait"/>
          <w:cols w:equalWidth="0" w:num="1">
            <w:col w:w="9920"/>
          </w:cols>
          <w:pgMar w:left="980" w:top="649"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when making decisions about operational planning, including resource allocation. Further, the CEO uses segments’ operating income when comparing the results of each segment with one another.</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tables below provide information about the Company’s reportable segments, including the corporate and unallocated category.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Three-Months Ended March 31, 2026</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2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Monster</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Energy®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3"/>
              </w:rPr>
              <w:t>Strategic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9"/>
              </w:rPr>
              <w:t>Alcohol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Drinks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Brands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Brands</w:t>
            </w:r>
          </w:p>
        </w:tc>
        <w:tc>
          <w:tcPr>
            <w:tcW w:w="3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Borders>
              <w:top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Net sales</w:t>
            </w:r>
            <w:r>
              <w:rPr>
                <w:rFonts w:ascii="Times New Roman" w:cs="Times New Roman" w:eastAsia="Times New Roman" w:hAnsi="Times New Roman"/>
                <w:sz w:val="23"/>
                <w:szCs w:val="23"/>
                <w:color w:val="auto"/>
                <w:vertAlign w:val="superscript"/>
              </w:rPr>
              <w:t>1</w:t>
            </w: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99"/>
              </w:rPr>
              <w:t>2,188,654</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126,720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32,657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5,260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2,353,291</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990,657</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1,197,997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83,155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10,510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1,687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1,293,349</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expense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Nonmanufacturing payroll expense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4"/>
                <w:szCs w:val="24"/>
                <w:color w:val="auto"/>
                <w:vertAlign w:val="superscript"/>
              </w:rPr>
              <w:t>2</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80" w:type="dxa"/>
            <w:vAlign w:val="bottom"/>
            <w:gridSpan w:val="2"/>
          </w:tcPr>
          <w:p>
            <w:pPr>
              <w:spacing w:after="0" w:line="204" w:lineRule="exact"/>
              <w:rPr>
                <w:sz w:val="20"/>
                <w:szCs w:val="20"/>
                <w:color w:val="auto"/>
              </w:rPr>
            </w:pPr>
            <w:r>
              <w:rPr>
                <w:rFonts w:ascii="Times New Roman" w:cs="Times New Roman" w:eastAsia="Times New Roman" w:hAnsi="Times New Roman"/>
                <w:sz w:val="16"/>
                <w:szCs w:val="16"/>
                <w:color w:val="auto"/>
              </w:rPr>
              <w:t>Segment profit (loss)</w:t>
            </w:r>
            <w:r>
              <w:rPr>
                <w:rFonts w:ascii="Times New Roman" w:cs="Times New Roman" w:eastAsia="Times New Roman" w:hAnsi="Times New Roman"/>
                <w:sz w:val="23"/>
                <w:szCs w:val="23"/>
                <w:color w:val="auto"/>
                <w:vertAlign w:val="superscript"/>
              </w:rPr>
              <w:t>1</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848,879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63,884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(9,647)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903,497</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Reconciliation of segment profit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amounts: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payroll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Corporate overhead expenses, excluding payroll</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(55,881)</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750,128</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26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depreciation and amortization</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15748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6"/>
          <w:szCs w:val="16"/>
          <w:i w:val="1"/>
          <w:iCs w:val="1"/>
          <w:color w:val="auto"/>
        </w:rPr>
        <w:t>For the Monster Energy® Drinks segment, includes $9.9 million related to the recognition of deferred revenue.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2</w:t>
      </w:r>
      <w:r>
        <w:rPr>
          <w:rFonts w:ascii="Times New Roman" w:cs="Times New Roman" w:eastAsia="Times New Roman" w:hAnsi="Times New Roman"/>
          <w:sz w:val="16"/>
          <w:szCs w:val="16"/>
          <w:i w:val="1"/>
          <w:iCs w:val="1"/>
          <w:color w:val="auto"/>
        </w:rPr>
        <w:t>Other segment items for each reportable segment include:</w:t>
      </w:r>
    </w:p>
    <w:p>
      <w:pPr>
        <w:ind w:left="320" w:right="1740"/>
        <w:spacing w:after="0" w:line="252" w:lineRule="auto"/>
        <w:rPr>
          <w:sz w:val="20"/>
          <w:szCs w:val="20"/>
          <w:color w:val="auto"/>
        </w:rPr>
      </w:pPr>
      <w:r>
        <w:rPr>
          <w:rFonts w:ascii="Times New Roman" w:cs="Times New Roman" w:eastAsia="Times New Roman" w:hAnsi="Times New Roman"/>
          <w:sz w:val="16"/>
          <w:szCs w:val="16"/>
          <w:i w:val="1"/>
          <w:iCs w:val="1"/>
          <w:color w:val="auto"/>
        </w:rPr>
        <w:t>Monster Energy® Drinks – travel and entertainment expense, professional services expense, and certain overhead expenses Strategic Brands – travel and entertainment expense, and certain overhead expenses</w:t>
      </w:r>
    </w:p>
    <w:p>
      <w:pPr>
        <w:ind w:left="320"/>
        <w:spacing w:after="0" w:line="258" w:lineRule="auto"/>
        <w:rPr>
          <w:sz w:val="20"/>
          <w:szCs w:val="20"/>
          <w:color w:val="auto"/>
        </w:rPr>
      </w:pPr>
      <w:r>
        <w:rPr>
          <w:rFonts w:ascii="Times New Roman" w:cs="Times New Roman" w:eastAsia="Times New Roman" w:hAnsi="Times New Roman"/>
          <w:sz w:val="16"/>
          <w:szCs w:val="16"/>
          <w:i w:val="1"/>
          <w:iCs w:val="1"/>
          <w:color w:val="auto"/>
        </w:rPr>
        <w:t>Alcohol Brands – travel and entertainment expense, professional services expense, depreciation and amortization expense, and certain overhead expenses</w:t>
      </w:r>
    </w:p>
    <w:p>
      <w:pPr>
        <w:ind w:left="320"/>
        <w:spacing w:after="0"/>
        <w:rPr>
          <w:sz w:val="20"/>
          <w:szCs w:val="20"/>
          <w:color w:val="auto"/>
        </w:rPr>
      </w:pPr>
      <w:r>
        <w:rPr>
          <w:rFonts w:ascii="Times New Roman" w:cs="Times New Roman" w:eastAsia="Times New Roman" w:hAnsi="Times New Roman"/>
          <w:sz w:val="16"/>
          <w:szCs w:val="16"/>
          <w:i w:val="1"/>
          <w:iCs w:val="1"/>
          <w:color w:val="auto"/>
        </w:rPr>
        <w:t>Other – professional services expense, and certain overhead expenses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Three-Months Ended March 31, 2025</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2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Monster</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4"/>
                <w:szCs w:val="24"/>
                <w:color w:val="auto"/>
              </w:rPr>
            </w:pPr>
          </w:p>
        </w:tc>
        <w:tc>
          <w:tcPr>
            <w:tcW w:w="3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Energy®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Strategic</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9"/>
              </w:rPr>
              <w:t>Alcohol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7"/>
              </w:rPr>
              <w:t>Drinks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Brands</w:t>
            </w:r>
          </w:p>
        </w:tc>
        <w:tc>
          <w:tcPr>
            <w:tcW w:w="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Brands</w:t>
            </w:r>
          </w:p>
        </w:tc>
        <w:tc>
          <w:tcPr>
            <w:tcW w:w="3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tcBorders>
              <w:top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Net sales</w:t>
            </w:r>
            <w:r>
              <w:rPr>
                <w:rFonts w:ascii="Times New Roman" w:cs="Times New Roman" w:eastAsia="Times New Roman" w:hAnsi="Times New Roman"/>
                <w:sz w:val="23"/>
                <w:szCs w:val="23"/>
                <w:color w:val="auto"/>
                <w:vertAlign w:val="superscript"/>
              </w:rPr>
              <w:t>1</w:t>
            </w: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1,715,548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98,332</w:t>
            </w: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34,703</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5,975</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99"/>
              </w:rPr>
              <w:t>1,854,558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745,696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30,687</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8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969,852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67,645</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9,267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1,198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1,047,962</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expense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Nonmanufacturing payroll expense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4"/>
                <w:szCs w:val="24"/>
                <w:color w:val="auto"/>
                <w:vertAlign w:val="superscript"/>
              </w:rPr>
              <w:t>2</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080" w:type="dxa"/>
            <w:vAlign w:val="bottom"/>
            <w:gridSpan w:val="2"/>
          </w:tcPr>
          <w:p>
            <w:pPr>
              <w:spacing w:after="0" w:line="204" w:lineRule="exact"/>
              <w:rPr>
                <w:sz w:val="20"/>
                <w:szCs w:val="20"/>
                <w:color w:val="auto"/>
              </w:rPr>
            </w:pPr>
            <w:r>
              <w:rPr>
                <w:rFonts w:ascii="Times New Roman" w:cs="Times New Roman" w:eastAsia="Times New Roman" w:hAnsi="Times New Roman"/>
                <w:sz w:val="16"/>
                <w:szCs w:val="16"/>
                <w:color w:val="auto"/>
              </w:rPr>
              <w:t>Segment profit (loss)</w:t>
            </w:r>
            <w:r>
              <w:rPr>
                <w:rFonts w:ascii="Times New Roman" w:cs="Times New Roman" w:eastAsia="Times New Roman" w:hAnsi="Times New Roman"/>
                <w:sz w:val="23"/>
                <w:szCs w:val="23"/>
                <w:color w:val="auto"/>
                <w:vertAlign w:val="superscript"/>
              </w:rPr>
              <w:t>1</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680,352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51,896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(21,490)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236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710,994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Reconciliation of segment profit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amounts: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payroll expenses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Corporate overhead expenses, excluding payroll</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(44,148)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gridSpan w:val="3"/>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3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578,017</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26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depreciation and amortization</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wp:posOffset>
            </wp:positionV>
            <wp:extent cx="15748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6"/>
          <w:szCs w:val="16"/>
          <w:i w:val="1"/>
          <w:iCs w:val="1"/>
          <w:color w:val="auto"/>
        </w:rPr>
        <w:t>For the Monster Energy® Drinks segment, includes $9.9 million related to the recognition of deferred revenue.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2</w:t>
      </w:r>
      <w:r>
        <w:rPr>
          <w:rFonts w:ascii="Times New Roman" w:cs="Times New Roman" w:eastAsia="Times New Roman" w:hAnsi="Times New Roman"/>
          <w:sz w:val="16"/>
          <w:szCs w:val="16"/>
          <w:i w:val="1"/>
          <w:iCs w:val="1"/>
          <w:color w:val="auto"/>
        </w:rPr>
        <w:t>Other segment items for each reportable segment include:</w:t>
      </w:r>
    </w:p>
    <w:p>
      <w:pPr>
        <w:ind w:left="320" w:right="1740"/>
        <w:spacing w:after="0" w:line="252" w:lineRule="auto"/>
        <w:rPr>
          <w:sz w:val="20"/>
          <w:szCs w:val="20"/>
          <w:color w:val="auto"/>
        </w:rPr>
      </w:pPr>
      <w:r>
        <w:rPr>
          <w:rFonts w:ascii="Times New Roman" w:cs="Times New Roman" w:eastAsia="Times New Roman" w:hAnsi="Times New Roman"/>
          <w:sz w:val="16"/>
          <w:szCs w:val="16"/>
          <w:i w:val="1"/>
          <w:iCs w:val="1"/>
          <w:color w:val="auto"/>
        </w:rPr>
        <w:t>Monster Energy® Drinks – travel and entertainment expense, professional services expense, and certain overhead expenses Strategic Brands – travel and entertainment expense, and certain overhead expenses</w:t>
      </w:r>
    </w:p>
    <w:p>
      <w:pPr>
        <w:ind w:left="320"/>
        <w:spacing w:after="0" w:line="258" w:lineRule="auto"/>
        <w:rPr>
          <w:sz w:val="20"/>
          <w:szCs w:val="20"/>
          <w:color w:val="auto"/>
        </w:rPr>
      </w:pPr>
      <w:r>
        <w:rPr>
          <w:rFonts w:ascii="Times New Roman" w:cs="Times New Roman" w:eastAsia="Times New Roman" w:hAnsi="Times New Roman"/>
          <w:sz w:val="16"/>
          <w:szCs w:val="16"/>
          <w:i w:val="1"/>
          <w:iCs w:val="1"/>
          <w:color w:val="auto"/>
        </w:rPr>
        <w:t>Alcohol Brands – depreciation and amortization expense, travel and entertainment expense, professional services expense, and certain overhead expenses</w:t>
      </w:r>
    </w:p>
    <w:p>
      <w:pPr>
        <w:ind w:left="320"/>
        <w:spacing w:after="0"/>
        <w:rPr>
          <w:sz w:val="20"/>
          <w:szCs w:val="20"/>
          <w:color w:val="auto"/>
        </w:rPr>
      </w:pPr>
      <w:r>
        <w:rPr>
          <w:rFonts w:ascii="Times New Roman" w:cs="Times New Roman" w:eastAsia="Times New Roman" w:hAnsi="Times New Roman"/>
          <w:sz w:val="16"/>
          <w:szCs w:val="16"/>
          <w:i w:val="1"/>
          <w:iCs w:val="1"/>
          <w:color w:val="auto"/>
        </w:rPr>
        <w:t>Other – professional services expense, and certain overhead expenses</w:t>
      </w:r>
    </w:p>
    <w:p>
      <w:pPr>
        <w:spacing w:after="0" w:line="185"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Coca-Cola Europacific Partners accounted for approximately 17% and 14% of the Company’s net sales for the three-months ended March 31, 2026 and 2025, respectively.</w:t>
      </w:r>
    </w:p>
    <w:p>
      <w:pPr>
        <w:spacing w:after="0" w:line="169" w:lineRule="exact"/>
        <w:rPr>
          <w:sz w:val="20"/>
          <w:szCs w:val="20"/>
          <w:color w:val="auto"/>
        </w:rPr>
      </w:pPr>
    </w:p>
    <w:p>
      <w:pPr>
        <w:jc w:val="both"/>
        <w:ind w:right="20" w:firstLine="633"/>
        <w:spacing w:after="0" w:line="269" w:lineRule="auto"/>
        <w:rPr>
          <w:sz w:val="20"/>
          <w:szCs w:val="20"/>
          <w:color w:val="auto"/>
        </w:rPr>
      </w:pPr>
      <w:r>
        <w:rPr>
          <w:rFonts w:ascii="Times New Roman" w:cs="Times New Roman" w:eastAsia="Times New Roman" w:hAnsi="Times New Roman"/>
          <w:sz w:val="18"/>
          <w:szCs w:val="18"/>
          <w:color w:val="auto"/>
        </w:rPr>
        <w:t xml:space="preserve">Coca-Cola Consolidated, Inc. accounted for approximately 9% and </w:t>
      </w:r>
      <w:r>
        <w:rPr>
          <w:rFonts w:ascii="Times New Roman" w:cs="Times New Roman" w:eastAsia="Times New Roman" w:hAnsi="Times New Roman"/>
          <w:sz w:val="18"/>
          <w:szCs w:val="18"/>
          <w:color w:val="212529"/>
        </w:rPr>
        <w:t>10%</w:t>
      </w:r>
      <w:r>
        <w:rPr>
          <w:rFonts w:ascii="Times New Roman" w:cs="Times New Roman" w:eastAsia="Times New Roman" w:hAnsi="Times New Roman"/>
          <w:sz w:val="18"/>
          <w:szCs w:val="18"/>
          <w:color w:val="auto"/>
        </w:rPr>
        <w:t xml:space="preserve"> of the Company’s net sales for the three-months ended March 31, 2026 and 2025, respectively.</w:t>
      </w:r>
    </w:p>
    <w:p>
      <w:pPr>
        <w:spacing w:after="0" w:line="16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Net sales to customers outside the United States amounted to $1.06 billion and $733.2 million for the three-months ended March 31, 2026 and 2025, respectively. Such sales were approximately 45% and 40% of net sales for the three-months ended March 31, 2026 and 2025, respectively.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Goodwill and other intangible assets for the Company’s reportable segments were as follows at: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1"/>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7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5"/>
        </w:trPr>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Goodwill and other intangible assets:</w:t>
            </w:r>
          </w:p>
        </w:tc>
        <w:tc>
          <w:tcPr>
            <w:tcW w:w="1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1,718,207</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1,716,824</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982,543</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Alcohol Brands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2,711,954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2,710,911</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88"/>
              </w:rPr>
              <w:t>17.</w:t>
            </w:r>
          </w:p>
        </w:tc>
        <w:tc>
          <w:tcPr>
            <w:tcW w:w="47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40" w:type="dxa"/>
            <w:vAlign w:val="bottom"/>
            <w:vMerge w:val="continue"/>
          </w:tcPr>
          <w:p>
            <w:pPr>
              <w:spacing w:after="0"/>
              <w:rPr>
                <w:sz w:val="24"/>
                <w:szCs w:val="24"/>
                <w:color w:val="auto"/>
              </w:rPr>
            </w:pPr>
          </w:p>
        </w:tc>
        <w:tc>
          <w:tcPr>
            <w:tcW w:w="470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TCCC controls approximately 20.9%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spacing w:after="0" w:line="17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TCCC commissions, based on sales to the TCCC Subsidiaries and the TCCC Related Parties, were $36.4 million and $25.8 million for the three-months ended March 31, 2026 and 2025, respectively, and are included as a reduction to net sales.</w:t>
      </w:r>
    </w:p>
    <w:p>
      <w:pPr>
        <w:spacing w:after="0" w:line="16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TCCC commissions, based on sales to TCCC independent bottlers, were $16.2 million and $9.4 million for the three-months ended March 31, 2026 and 2025, respectively, and are included in operating expenses.</w:t>
      </w:r>
    </w:p>
    <w:p>
      <w:pPr>
        <w:spacing w:after="0" w:line="169" w:lineRule="exact"/>
        <w:rPr>
          <w:sz w:val="20"/>
          <w:szCs w:val="20"/>
          <w:color w:val="auto"/>
        </w:rPr>
      </w:pPr>
    </w:p>
    <w:p>
      <w:pPr>
        <w:jc w:val="both"/>
        <w:ind w:right="20" w:firstLine="633"/>
        <w:spacing w:after="0" w:line="269" w:lineRule="auto"/>
        <w:rPr>
          <w:sz w:val="20"/>
          <w:szCs w:val="20"/>
          <w:color w:val="auto"/>
        </w:rPr>
      </w:pPr>
      <w:r>
        <w:rPr>
          <w:rFonts w:ascii="Times New Roman" w:cs="Times New Roman" w:eastAsia="Times New Roman" w:hAnsi="Times New Roman"/>
          <w:sz w:val="18"/>
          <w:szCs w:val="18"/>
          <w:color w:val="auto"/>
        </w:rPr>
        <w:t>Net sales to the TCCC Subsidiaries for the three-months ended March 31, 2026 and 2025 were $65.1 million and $58.1 million, respectively.</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also purchases concentrates from TCCC which are then sold to certain of the Company’s bottlers/distributors.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Concentrate purchases from TCCC were $5.9 million and $6.4 million for the three-months ended March 31, 2026 and 2025, respectively.</w:t>
      </w:r>
    </w:p>
    <w:p>
      <w:pPr>
        <w:spacing w:after="0" w:line="22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Certain TCCC Subsidiaries also contract manufacture certain of the Company’s energy drinks. Such contract manufacturing expenses were $13.1 million and $11.7 million for the three-months ended March 31, 2026 and 2025, respectively.</w:t>
      </w:r>
    </w:p>
    <w:p>
      <w:pPr>
        <w:spacing w:after="0" w:line="16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Accounts receivable, accounts payable, accrued promotional allowances and accrued liabilities related to the TCCC Subsidiaries were as follows at: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4"/>
              </w:rPr>
              <w:t>March 31,</w:t>
            </w:r>
          </w:p>
        </w:tc>
        <w:tc>
          <w:tcPr>
            <w:tcW w:w="18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w:t>
            </w:r>
          </w:p>
        </w:tc>
      </w:tr>
      <w:tr>
        <w:trPr>
          <w:trHeight w:val="229"/>
        </w:trPr>
        <w:tc>
          <w:tcPr>
            <w:tcW w:w="10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Pr>
          <w:p>
            <w:pPr>
              <w:spacing w:after="0"/>
              <w:rPr>
                <w:sz w:val="19"/>
                <w:szCs w:val="19"/>
                <w:color w:val="auto"/>
              </w:rPr>
            </w:pPr>
          </w:p>
        </w:tc>
      </w:tr>
      <w:tr>
        <w:trPr>
          <w:trHeight w:val="205"/>
        </w:trPr>
        <w:tc>
          <w:tcPr>
            <w:tcW w:w="1000" w:type="dxa"/>
            <w:vAlign w:val="bottom"/>
          </w:tcPr>
          <w:p>
            <w:pPr>
              <w:spacing w:after="0"/>
              <w:rPr>
                <w:sz w:val="17"/>
                <w:szCs w:val="17"/>
                <w:color w:val="auto"/>
              </w:rPr>
            </w:pPr>
          </w:p>
        </w:tc>
        <w:tc>
          <w:tcPr>
            <w:tcW w:w="31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Accounts receivable, net</w:t>
            </w:r>
          </w:p>
        </w:tc>
        <w:tc>
          <w:tcPr>
            <w:tcW w:w="2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176,940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166,618</w:t>
            </w:r>
          </w:p>
        </w:tc>
        <w:tc>
          <w:tcPr>
            <w:tcW w:w="980" w:type="dxa"/>
            <w:vAlign w:val="bottom"/>
          </w:tcPr>
          <w:p>
            <w:pPr>
              <w:spacing w:after="0"/>
              <w:rPr>
                <w:sz w:val="17"/>
                <w:szCs w:val="17"/>
                <w:color w:val="auto"/>
              </w:rPr>
            </w:pPr>
          </w:p>
        </w:tc>
      </w:tr>
      <w:tr>
        <w:trPr>
          <w:trHeight w:val="211"/>
        </w:trPr>
        <w:tc>
          <w:tcPr>
            <w:tcW w:w="100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(39,040)</w:t>
            </w:r>
          </w:p>
        </w:tc>
        <w:tc>
          <w:tcPr>
            <w:tcW w:w="3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(37,775)</w:t>
            </w:r>
          </w:p>
        </w:tc>
        <w:tc>
          <w:tcPr>
            <w:tcW w:w="980" w:type="dxa"/>
            <w:vAlign w:val="bottom"/>
          </w:tcPr>
          <w:p>
            <w:pPr>
              <w:spacing w:after="0"/>
              <w:rPr>
                <w:sz w:val="18"/>
                <w:szCs w:val="18"/>
                <w:color w:val="auto"/>
              </w:rPr>
            </w:pPr>
          </w:p>
        </w:tc>
      </w:tr>
      <w:tr>
        <w:trPr>
          <w:trHeight w:val="211"/>
        </w:trPr>
        <w:tc>
          <w:tcPr>
            <w:tcW w:w="100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promotional allowances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3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(24,898)</w:t>
            </w:r>
          </w:p>
        </w:tc>
        <w:tc>
          <w:tcPr>
            <w:tcW w:w="980" w:type="dxa"/>
            <w:vAlign w:val="bottom"/>
          </w:tcPr>
          <w:p>
            <w:pPr>
              <w:spacing w:after="0"/>
              <w:rPr>
                <w:sz w:val="18"/>
                <w:szCs w:val="18"/>
                <w:color w:val="auto"/>
              </w:rPr>
            </w:pPr>
          </w:p>
        </w:tc>
      </w:tr>
      <w:tr>
        <w:trPr>
          <w:trHeight w:val="229"/>
        </w:trPr>
        <w:tc>
          <w:tcPr>
            <w:tcW w:w="10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(66,038)</w:t>
            </w:r>
          </w:p>
        </w:tc>
        <w:tc>
          <w:tcPr>
            <w:tcW w:w="3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980" w:type="dxa"/>
            <w:vAlign w:val="bottom"/>
          </w:tcPr>
          <w:p>
            <w:pPr>
              <w:spacing w:after="0"/>
              <w:rPr>
                <w:sz w:val="19"/>
                <w:szCs w:val="19"/>
                <w:color w:val="auto"/>
              </w:rPr>
            </w:pPr>
          </w:p>
        </w:tc>
      </w:tr>
      <w:tr>
        <w:trPr>
          <w:trHeight w:val="826"/>
        </w:trPr>
        <w:tc>
          <w:tcPr>
            <w:tcW w:w="1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740" w:type="dxa"/>
            <w:vAlign w:val="bottom"/>
          </w:tcPr>
          <w:p>
            <w:pPr>
              <w:jc w:val="right"/>
              <w:ind w:right="1692"/>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8"/>
        </w:trPr>
        <w:tc>
          <w:tcPr>
            <w:tcW w:w="10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49"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MONSTER BEVERAGE CORPORATION AND SUBSIDIARIES</w:t>
      </w:r>
    </w:p>
    <w:p>
      <w:pPr>
        <w:spacing w:after="0" w:line="32" w:lineRule="exact"/>
        <w:rPr>
          <w:sz w:val="20"/>
          <w:szCs w:val="20"/>
          <w:color w:val="auto"/>
        </w:rPr>
      </w:pPr>
    </w:p>
    <w:p>
      <w:pPr>
        <w:ind w:right="3580"/>
        <w:spacing w:after="0" w:line="259"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629793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pacing w:after="0" w:line="190"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One director of the Company through certain trusts, and a family member of one director have ownership interests in a company that provides promotional materials to the Company. Expenses incurred with such company in connection with promotional materials purchased during the three-months ended March 31, 2026 and 2025 were $1.3 million and $1.6 million, respectively.</w:t>
      </w:r>
    </w:p>
    <w:p>
      <w:pPr>
        <w:spacing w:after="0" w:line="17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Company occasionally charters a private aircraft that is indirectly owned by Mr. Rodney C. Sacks, Chairman of the Board of Directors. On certain occasions, Mr. Sacks is accompanied by guests and other Company personnel when using such aircraft for business travel. During the three-months ended March 31, 2026, the Company incurred no expenses in relation to the aircraft. During the three-months ended March 31, 2025, the Company incurred expenses of $0.04 million in relation to the aircraft.</w:t>
      </w:r>
    </w:p>
    <w:p>
      <w:pPr>
        <w:spacing w:after="0" w:line="182"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In December 2018, the Company and a director of the Company entered into a 50-50 partnership that purchased land, and real property thereon, in Kona, Hawaii for the purpose of producing coffee products. In October 2023, the partnership made a special, one-time distribution to each of the partners, reflecting the amount of their initial capital contributions. This partnership meets the definition of a Variable Interest Entity (“VIE”) for which the Company has determined that it is the primary beneficiary. Therefore, the Company consolidates the VIE in the accompanying consolidated financial statements. The aggregate carrying values of the VIE’s assets and liabilities, after elimination of any intercompany transactions and balances, as well as the results of operations for all periods presented, are not material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17"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flavored malt beverages (“FMBs”) and hard seltzers.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Actions</w:t>
      </w:r>
    </w:p>
    <w:p>
      <w:pPr>
        <w:spacing w:after="0" w:line="21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implemented price increases in the fourth quarter of 2025 (for core brands and packages) in the United States and at various times in certain international markets during 2025 (collectively, the “Pricing Actions”). The Pricing Actions positively impacted gross profit margins in 2026 as compared to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7" w:lineRule="exact"/>
        <w:rPr>
          <w:sz w:val="20"/>
          <w:szCs w:val="20"/>
          <w:color w:val="auto"/>
        </w:rPr>
      </w:pPr>
    </w:p>
    <w:p>
      <w:pPr>
        <w:jc w:val="both"/>
        <w:ind w:right="20" w:firstLine="633"/>
        <w:spacing w:after="0" w:line="269" w:lineRule="auto"/>
        <w:rPr>
          <w:sz w:val="20"/>
          <w:szCs w:val="20"/>
          <w:color w:val="auto"/>
        </w:rPr>
      </w:pPr>
      <w:r>
        <w:rPr>
          <w:rFonts w:ascii="Times New Roman" w:cs="Times New Roman" w:eastAsia="Times New Roman" w:hAnsi="Times New Roman"/>
          <w:sz w:val="18"/>
          <w:szCs w:val="18"/>
          <w:color w:val="auto"/>
        </w:rPr>
        <w:t>We develop, market, sell and distribute energy drink beverages and concentrates for energy drink beverages, primarily under the following brand names:</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​​​​Monster​ Energy®</w:t>
            </w:r>
          </w:p>
        </w:tc>
        <w:tc>
          <w:tcPr>
            <w:tcW w:w="1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​​​​Full​ Throttle®</w:t>
            </w:r>
          </w:p>
        </w:tc>
      </w:tr>
      <w:tr>
        <w:trPr>
          <w:trHeight w:val="21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​​​​Monster​ Energy Ultra®</w:t>
            </w:r>
          </w:p>
        </w:tc>
        <w:tc>
          <w:tcPr>
            <w:tcW w:w="39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 ​​​​Burn®​</w:t>
            </w:r>
          </w:p>
        </w:tc>
      </w:tr>
      <w:tr>
        <w:trPr>
          <w:trHeight w:val="21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​​​​Rehab​ Monster®</w:t>
            </w:r>
          </w:p>
        </w:tc>
        <w:tc>
          <w:tcPr>
            <w:tcW w:w="39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 ​​​​Mother®​</w:t>
            </w:r>
          </w:p>
        </w:tc>
      </w:tr>
      <w:tr>
        <w:trPr>
          <w:trHeight w:val="21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​​​​Monster​ Energy® Nitro</w:t>
            </w:r>
          </w:p>
        </w:tc>
        <w:tc>
          <w:tcPr>
            <w:tcW w:w="39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 ​​​​Nalu®​</w:t>
            </w:r>
          </w:p>
        </w:tc>
      </w:tr>
      <w:tr>
        <w:trPr>
          <w:trHeight w:val="21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​​​​Java​ Monster®</w:t>
            </w:r>
          </w:p>
        </w:tc>
        <w:tc>
          <w:tcPr>
            <w:tcW w:w="1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​​​​Ultra​ Energy®</w:t>
            </w:r>
          </w:p>
        </w:tc>
      </w:tr>
      <w:tr>
        <w:trPr>
          <w:trHeight w:val="21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​​​​Punch​ Monster®</w:t>
            </w:r>
          </w:p>
        </w:tc>
        <w:tc>
          <w:tcPr>
            <w:tcW w:w="1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​​​​Play®​ and Power Play® (stylized)</w:t>
            </w:r>
          </w:p>
        </w:tc>
      </w:tr>
      <w:tr>
        <w:trPr>
          <w:trHeight w:val="21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​​​​Juice​ Monster®</w:t>
            </w:r>
          </w:p>
        </w:tc>
        <w:tc>
          <w:tcPr>
            <w:tcW w:w="39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 ​​​​Relentless®​</w:t>
            </w:r>
          </w:p>
        </w:tc>
      </w:tr>
      <w:tr>
        <w:trPr>
          <w:trHeight w:val="21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​​​​Reign​ Total Body Fuel®</w:t>
            </w:r>
          </w:p>
        </w:tc>
        <w:tc>
          <w:tcPr>
            <w:tcW w:w="39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 ​​​​BPM®​</w:t>
            </w:r>
          </w:p>
        </w:tc>
      </w:tr>
      <w:tr>
        <w:trPr>
          <w:trHeight w:val="203"/>
        </w:trPr>
        <w:tc>
          <w:tcPr>
            <w:tcW w:w="1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ind w:left="40"/>
              <w:spacing w:after="0" w:line="203" w:lineRule="exact"/>
              <w:rPr>
                <w:sz w:val="20"/>
                <w:szCs w:val="20"/>
                <w:color w:val="auto"/>
              </w:rPr>
            </w:pPr>
            <w:r>
              <w:rPr>
                <w:rFonts w:ascii="Times New Roman" w:cs="Times New Roman" w:eastAsia="Times New Roman" w:hAnsi="Times New Roman"/>
                <w:sz w:val="18"/>
                <w:szCs w:val="18"/>
                <w:color w:val="auto"/>
              </w:rPr>
              <w:t>​​​​Reign​ Storm®</w:t>
            </w:r>
          </w:p>
        </w:tc>
        <w:tc>
          <w:tcPr>
            <w:tcW w:w="3920" w:type="dxa"/>
            <w:vAlign w:val="bottom"/>
            <w:gridSpan w:val="2"/>
          </w:tcPr>
          <w:p>
            <w:pPr>
              <w:ind w:left="1100"/>
              <w:spacing w:after="0" w:line="203" w:lineRule="exact"/>
              <w:rPr>
                <w:sz w:val="20"/>
                <w:szCs w:val="20"/>
                <w:color w:val="auto"/>
              </w:rPr>
            </w:pPr>
            <w:r>
              <w:rPr>
                <w:rFonts w:ascii="Times New Roman" w:cs="Times New Roman" w:eastAsia="Times New Roman" w:hAnsi="Times New Roman"/>
                <w:sz w:val="18"/>
                <w:szCs w:val="18"/>
                <w:color w:val="auto"/>
              </w:rPr>
              <w:t>● ​​​​BU®​</w:t>
            </w:r>
          </w:p>
        </w:tc>
      </w:tr>
      <w:tr>
        <w:trPr>
          <w:trHeight w:val="23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9"/>
                <w:szCs w:val="19"/>
                <w:color w:val="auto"/>
              </w:rPr>
              <w:t>Storm</w:t>
            </w:r>
            <w:r>
              <w:rPr>
                <w:rFonts w:ascii="Times New Roman" w:cs="Times New Roman" w:eastAsia="Times New Roman" w:hAnsi="Times New Roman"/>
                <w:sz w:val="18"/>
                <w:szCs w:val="18"/>
                <w:color w:val="auto"/>
              </w:rPr>
              <w:t>​</w:t>
            </w:r>
          </w:p>
        </w:tc>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TM</w:t>
            </w:r>
          </w:p>
        </w:tc>
        <w:tc>
          <w:tcPr>
            <w:tcW w:w="39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 ​​​​Samurai®​</w:t>
            </w:r>
          </w:p>
        </w:tc>
      </w:tr>
      <w:tr>
        <w:trPr>
          <w:trHeight w:val="203"/>
        </w:trPr>
        <w:tc>
          <w:tcPr>
            <w:tcW w:w="1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ind w:left="40"/>
              <w:spacing w:after="0" w:line="203" w:lineRule="exact"/>
              <w:rPr>
                <w:sz w:val="20"/>
                <w:szCs w:val="20"/>
                <w:color w:val="auto"/>
              </w:rPr>
            </w:pPr>
            <w:r>
              <w:rPr>
                <w:rFonts w:ascii="Times New Roman" w:cs="Times New Roman" w:eastAsia="Times New Roman" w:hAnsi="Times New Roman"/>
                <w:sz w:val="18"/>
                <w:szCs w:val="18"/>
                <w:color w:val="auto"/>
              </w:rPr>
              <w:t>​​​​Bang​ Energy®</w:t>
            </w:r>
          </w:p>
        </w:tc>
        <w:tc>
          <w:tcPr>
            <w:tcW w:w="3920" w:type="dxa"/>
            <w:vAlign w:val="bottom"/>
            <w:gridSpan w:val="2"/>
          </w:tcPr>
          <w:p>
            <w:pPr>
              <w:ind w:left="1100"/>
              <w:spacing w:after="0" w:line="203" w:lineRule="exact"/>
              <w:rPr>
                <w:sz w:val="20"/>
                <w:szCs w:val="20"/>
                <w:color w:val="auto"/>
              </w:rPr>
            </w:pPr>
            <w:r>
              <w:rPr>
                <w:rFonts w:ascii="Times New Roman" w:cs="Times New Roman" w:eastAsia="Times New Roman" w:hAnsi="Times New Roman"/>
                <w:sz w:val="18"/>
                <w:szCs w:val="18"/>
                <w:color w:val="auto"/>
              </w:rPr>
              <w:t>● ​​​​Live+®​</w:t>
            </w:r>
          </w:p>
        </w:tc>
      </w:tr>
      <w:tr>
        <w:trPr>
          <w:trHeight w:val="23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9"/>
                <w:szCs w:val="19"/>
                <w:color w:val="auto"/>
              </w:rPr>
              <w:t>FLRT</w:t>
            </w:r>
            <w:r>
              <w:rPr>
                <w:rFonts w:ascii="Times New Roman" w:cs="Times New Roman" w:eastAsia="Times New Roman" w:hAnsi="Times New Roman"/>
                <w:sz w:val="18"/>
                <w:szCs w:val="18"/>
                <w:color w:val="auto"/>
              </w:rPr>
              <w:t>​</w:t>
            </w:r>
          </w:p>
        </w:tc>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TM</w:t>
            </w:r>
          </w:p>
        </w:tc>
        <w:tc>
          <w:tcPr>
            <w:tcW w:w="39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 ​​​​Predator®​</w:t>
            </w:r>
          </w:p>
        </w:tc>
      </w:tr>
      <w:tr>
        <w:trPr>
          <w:trHeight w:val="22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​​​​NOS®​</w:t>
            </w:r>
          </w:p>
        </w:tc>
        <w:tc>
          <w:tcPr>
            <w:tcW w:w="12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​​​​Fury®​</w:t>
            </w:r>
          </w:p>
        </w:tc>
      </w:tr>
    </w:tbl>
    <w:p>
      <w:pPr>
        <w:spacing w:after="0" w:line="193" w:lineRule="exact"/>
        <w:rPr>
          <w:sz w:val="20"/>
          <w:szCs w:val="20"/>
          <w:color w:val="auto"/>
        </w:rPr>
      </w:pPr>
    </w:p>
    <w:p>
      <w:pPr>
        <w:jc w:val="both"/>
        <w:ind w:firstLine="633"/>
        <w:spacing w:after="0" w:line="187" w:lineRule="auto"/>
        <w:rPr>
          <w:sz w:val="20"/>
          <w:szCs w:val="20"/>
          <w:color w:val="auto"/>
        </w:rPr>
      </w:pPr>
      <w:r>
        <w:rPr>
          <w:rFonts w:ascii="Times New Roman" w:cs="Times New Roman" w:eastAsia="Times New Roman" w:hAnsi="Times New Roman"/>
          <w:sz w:val="18"/>
          <w:szCs w:val="18"/>
          <w:color w:val="auto"/>
        </w:rPr>
        <w:t>We also develop, market, sell and distribute craft beers, FMBs and hard seltzers under a number of brands, including Jai Alai® IPA, Florida Man® IPA, Dale’s Pale Ale®, Wild Basin® Hard Seltzers, Dallas Blonde®, Deep Ellum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IPA, Perrin Brewing Company® Black Ale, Hop Rising® Double IPA, Wasatch® Apricot Hefeweizen, The Beast</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Beast® Tea, Blind Lemon®, Blinder Lemon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other brands.</w:t>
      </w:r>
    </w:p>
    <w:p>
      <w:pPr>
        <w:spacing w:after="0" w:line="195" w:lineRule="exact"/>
        <w:rPr>
          <w:sz w:val="20"/>
          <w:szCs w:val="20"/>
          <w:color w:val="auto"/>
        </w:rPr>
      </w:pPr>
    </w:p>
    <w:p>
      <w:pPr>
        <w:jc w:val="both"/>
        <w:ind w:firstLine="633"/>
        <w:spacing w:after="0" w:line="246" w:lineRule="auto"/>
        <w:rPr>
          <w:sz w:val="20"/>
          <w:szCs w:val="20"/>
          <w:color w:val="auto"/>
        </w:rPr>
      </w:pPr>
      <w:r>
        <w:rPr>
          <w:rFonts w:ascii="Times New Roman" w:cs="Times New Roman" w:eastAsia="Times New Roman" w:hAnsi="Times New Roman"/>
          <w:sz w:val="17"/>
          <w:szCs w:val="17"/>
          <w:color w:val="auto"/>
        </w:rPr>
        <w:t>We have four operating and reportable segments: (i) Monster Energy® Drinks segment (“Monster Energy® Drinks”), which is primarily comprised of our Monster Energy® drinks, Reign Total Body Fuel® high performance energy drinks, Reign Storm® total wellness energy drinks, Bang Energy® drinks and FLRT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total wellness energy drinks, (ii) Strategic Brands segment (“Strategic Brands”), which is primarily comprised of the various energy drink brands acquired from The Coca-Cola Company (“TCCC”) in 2015 as well as our affordable energy brands, Predator® and Fury®, (iii) Alcohol Brands segment (“Alcohol Brands”), which is comprised of various craft beers, FMBs and hard seltzers and (iv) Other segment (“Other”), which is comprised of certain products sold by American Fruits and Flavors LLC, a wholly-owned subsidiary of the Company, to independent third-party customers (the “AFF Third-Party Products”).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During the three-months ended March 31, 2026, we continued to expand our existing drink portfolio by adding additional products to our portfolio in a number of countries and further developed our distribution markets. During the three-months ended March 31, 2026, we sold the following new products to our customers:</w:t>
      </w:r>
    </w:p>
    <w:p>
      <w:pPr>
        <w:spacing w:after="0" w:line="179" w:lineRule="exact"/>
        <w:rPr>
          <w:sz w:val="20"/>
          <w:szCs w:val="20"/>
          <w:color w:val="auto"/>
        </w:rPr>
      </w:pPr>
    </w:p>
    <w:p>
      <w:pPr>
        <w:ind w:left="660" w:hanging="311"/>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Bang Energy® Lime Pop Drop</w:t>
      </w:r>
    </w:p>
    <w:p>
      <w:pPr>
        <w:spacing w:after="0" w:line="21" w:lineRule="exact"/>
        <w:rPr>
          <w:rFonts w:ascii="Times New Roman" w:cs="Times New Roman" w:eastAsia="Times New Roman" w:hAnsi="Times New Roman"/>
          <w:sz w:val="18"/>
          <w:szCs w:val="18"/>
          <w:color w:val="auto"/>
        </w:rPr>
      </w:pPr>
    </w:p>
    <w:p>
      <w:pPr>
        <w:ind w:left="660" w:hanging="311"/>
        <w:spacing w:after="0" w:line="185"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FLRT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6"/>
          <w:szCs w:val="16"/>
          <w:color w:val="auto"/>
        </w:rPr>
        <w:t xml:space="preserve"> Berry Tempting</w:t>
      </w:r>
      <w:r>
        <w:rPr>
          <w:rFonts w:ascii="Times New Roman" w:cs="Times New Roman" w:eastAsia="Times New Roman" w:hAnsi="Times New Roman"/>
          <w:sz w:val="24"/>
          <w:szCs w:val="24"/>
          <w:color w:val="auto"/>
          <w:vertAlign w:val="superscript"/>
        </w:rPr>
        <w:t>TM</w:t>
      </w:r>
    </w:p>
    <w:p>
      <w:pPr>
        <w:ind w:left="660" w:hanging="311"/>
        <w:spacing w:after="0" w:line="183"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FLRT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6"/>
          <w:szCs w:val="16"/>
          <w:color w:val="auto"/>
        </w:rPr>
        <w:t xml:space="preserve"> Guava Lava</w:t>
      </w:r>
      <w:r>
        <w:rPr>
          <w:rFonts w:ascii="Times New Roman" w:cs="Times New Roman" w:eastAsia="Times New Roman" w:hAnsi="Times New Roman"/>
          <w:sz w:val="24"/>
          <w:szCs w:val="24"/>
          <w:color w:val="auto"/>
          <w:vertAlign w:val="superscript"/>
        </w:rPr>
        <w:t>TM</w:t>
      </w:r>
    </w:p>
    <w:p>
      <w:pPr>
        <w:ind w:left="660" w:hanging="311"/>
        <w:spacing w:after="0" w:line="183"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FLRT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6"/>
          <w:szCs w:val="16"/>
          <w:color w:val="auto"/>
        </w:rPr>
        <w:t xml:space="preserve"> Strawberry Fling</w:t>
      </w:r>
      <w:r>
        <w:rPr>
          <w:rFonts w:ascii="Times New Roman" w:cs="Times New Roman" w:eastAsia="Times New Roman" w:hAnsi="Times New Roman"/>
          <w:sz w:val="24"/>
          <w:szCs w:val="24"/>
          <w:color w:val="auto"/>
          <w:vertAlign w:val="superscript"/>
        </w:rPr>
        <w:t>TM</w:t>
      </w:r>
    </w:p>
    <w:p>
      <w:pPr>
        <w:ind w:left="660" w:hanging="311"/>
        <w:spacing w:after="0" w:line="183"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FLRT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6"/>
          <w:szCs w:val="16"/>
          <w:color w:val="auto"/>
        </w:rPr>
        <w:t xml:space="preserve"> Sunset Squeeze</w:t>
      </w:r>
      <w:r>
        <w:rPr>
          <w:rFonts w:ascii="Times New Roman" w:cs="Times New Roman" w:eastAsia="Times New Roman" w:hAnsi="Times New Roman"/>
          <w:sz w:val="24"/>
          <w:szCs w:val="24"/>
          <w:color w:val="auto"/>
          <w:vertAlign w:val="superscript"/>
        </w:rPr>
        <w:t>TM</w:t>
      </w:r>
    </w:p>
    <w:p>
      <w:pPr>
        <w:ind w:left="660" w:hanging="311"/>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Throttle® Red Apple</w:t>
      </w:r>
    </w:p>
    <w:p>
      <w:pPr>
        <w:spacing w:after="0" w:line="1" w:lineRule="exact"/>
        <w:rPr>
          <w:rFonts w:ascii="Times New Roman" w:cs="Times New Roman" w:eastAsia="Times New Roman" w:hAnsi="Times New Roman"/>
          <w:sz w:val="18"/>
          <w:szCs w:val="18"/>
          <w:color w:val="auto"/>
        </w:rPr>
      </w:pPr>
    </w:p>
    <w:p>
      <w:pPr>
        <w:ind w:left="660" w:hanging="311"/>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Juice Monster® Strawberry Lemonade</w:t>
      </w:r>
    </w:p>
    <w:p>
      <w:pPr>
        <w:spacing w:after="0" w:line="4" w:lineRule="exact"/>
        <w:rPr>
          <w:rFonts w:ascii="Times New Roman" w:cs="Times New Roman" w:eastAsia="Times New Roman" w:hAnsi="Times New Roman"/>
          <w:sz w:val="18"/>
          <w:szCs w:val="18"/>
          <w:color w:val="auto"/>
        </w:rPr>
      </w:pPr>
    </w:p>
    <w:p>
      <w:pPr>
        <w:ind w:left="660" w:hanging="311"/>
        <w:spacing w:after="0" w:line="185"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NOS® Grand Prix Guava</w:t>
      </w:r>
      <w:r>
        <w:rPr>
          <w:rFonts w:ascii="Times New Roman" w:cs="Times New Roman" w:eastAsia="Times New Roman" w:hAnsi="Times New Roman"/>
          <w:sz w:val="24"/>
          <w:szCs w:val="24"/>
          <w:color w:val="auto"/>
          <w:vertAlign w:val="superscript"/>
        </w:rPr>
        <w:t>TM</w:t>
      </w:r>
    </w:p>
    <w:p>
      <w:pPr>
        <w:ind w:left="660" w:hanging="311"/>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Reign Total Body Fuel® Watermelon Sour Gummy</w:t>
      </w:r>
    </w:p>
    <w:p>
      <w:pPr>
        <w:spacing w:after="0" w:line="1" w:lineRule="exact"/>
        <w:rPr>
          <w:rFonts w:ascii="Times New Roman" w:cs="Times New Roman" w:eastAsia="Times New Roman" w:hAnsi="Times New Roman"/>
          <w:sz w:val="18"/>
          <w:szCs w:val="18"/>
          <w:color w:val="auto"/>
        </w:rPr>
      </w:pPr>
    </w:p>
    <w:p>
      <w:pPr>
        <w:ind w:left="660" w:hanging="311"/>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Relentless® White Citrus</w:t>
      </w:r>
    </w:p>
    <w:p>
      <w:pPr>
        <w:spacing w:after="0" w:line="197"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In the normal course of business, we discontinue certain products and/or product lines. Those products or product lines discontinued in the three-months ended March 31, 2026, either individually or in aggregate, did not have a material adverse impact on our financial position, results of operations or liquidity.</w:t>
      </w:r>
    </w:p>
    <w:p>
      <w:pPr>
        <w:spacing w:after="0" w:line="17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Our net sales were $2.35 billion for the three-months ended March 31, 2026. Net changes in foreign currency exchange rates had a favorable impact on net sales of approximately $89.3 million for the three-months ended March 31, 2026. Net sales on a foreign currency adjusted basis increased 22.1% for the three-months ended March 31, 2026.</w:t>
      </w:r>
    </w:p>
    <w:p>
      <w:pPr>
        <w:spacing w:after="0" w:line="17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The vast majority of our net sales are derived from our Monster Energy® Drinks segment. Net sales of our Monster Energy® Drinks segment were $2.19 billion for the three-months ended March 31, 2026. Net sales of our Strategic Brands segment were $126.7 million for the three-months ended March 31, 2026. Net sales of our Alcohol Brands segment were $32.7 million for the three-months ended March 31, 2026. Net sales of our Other segment were $5.3 million for the three-months ended March 31, 2026.</w:t>
      </w:r>
    </w:p>
    <w:p>
      <w:pPr>
        <w:spacing w:after="0" w:line="182"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Our Monster Energy® Drinks segment represented 93.0% and 92.5% of our net sales for the three-months ended March 31, 2026 and 2025, respectively. Our Strategic Brands segment represented 5.4% and 5.3% of our net sales for the three-months ended March 31, 2026 and 2025, respectively. Our Alcohol Brands segment represented 1.4% and 1.9% of our net sales for the three-months ended March 31, 2026 and 2025, respectively. Our Other segment represented 0.2% and 0.3% of our net sales for the three-months ended March 31, 2026 and 2025, respectively.</w:t>
      </w:r>
    </w:p>
    <w:p>
      <w:pPr>
        <w:spacing w:after="0" w:line="188"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Our growth strategy includes further developing our domestic markets and expanding our international business. Net sales to customers outside the United States were $1.06 billion for the three-months ended March 31, 2026, an increase of approximately $329.3 million, or 44.9% higher than net sales to customers outside of the United States of $733.2 million for the three-months ended March 31, 2025. Such sales were approximately 45% and 40% of net sales for the three-months ended March 31, 2026 and 2025, respectively. Net changes in foreign currency exchange rates had a favorable impact on net sales to customers outside of the United States of approximately $89.3 million for the three-months ended March 31, 2026. Net sales to customers outside the United States, on a foreign currency adjusted basis, increased 32.7% for the three-months ended March 31, 2026.</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Our non-alcohol customers are primarily full service beverage bottlers/distributors, retail grocery and specialty chains, wholesalers, club stores, mass merchandisers, convenience and gas chains, drug stores, foodservice customers, value stores, e-commerce retailers and the military. Our alcohol customers are primarily beer distributors who in turn sell to retailers within the alcohol distribution system. Percentages of our gross billings to our various customer types for the three- months ended March 31, 2026 and 2025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Three-Months Ended</w:t>
      </w:r>
    </w:p>
    <w:p>
      <w:pPr>
        <w:spacing w:after="0" w:line="22" w:lineRule="exact"/>
        <w:rPr>
          <w:sz w:val="20"/>
          <w:szCs w:val="20"/>
          <w:color w:val="auto"/>
        </w:rPr>
      </w:pPr>
    </w:p>
    <w:tbl>
      <w:tblPr>
        <w:tblLayout w:type="fixed"/>
        <w:tblInd w:w="1000" w:type="dxa"/>
        <w:tblCellMar>
          <w:top w:w="0" w:type="dxa"/>
          <w:left w:w="0" w:type="dxa"/>
          <w:bottom w:w="0" w:type="dxa"/>
          <w:right w:w="0" w:type="dxa"/>
        </w:tblCellMar>
      </w:tblPr>
      <w:tr>
        <w:trPr>
          <w:trHeight w:val="212"/>
        </w:trPr>
        <w:tc>
          <w:tcPr>
            <w:tcW w:w="5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color w:val="auto"/>
                <w:w w:val="94"/>
              </w:rPr>
              <w:t>March 31,</w:t>
            </w: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5980" w:type="dxa"/>
            <w:vAlign w:val="bottom"/>
            <w:gridSpan w:val="2"/>
          </w:tcPr>
          <w:p>
            <w:pPr>
              <w:ind w:left="5760"/>
              <w:spacing w:after="0" w:line="204"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7"/>
                <w:szCs w:val="17"/>
                <w:color w:val="auto"/>
              </w:rPr>
            </w:pPr>
          </w:p>
        </w:tc>
        <w:tc>
          <w:tcPr>
            <w:tcW w:w="440" w:type="dxa"/>
            <w:vAlign w:val="bottom"/>
            <w:gridSpan w:val="2"/>
          </w:tcPr>
          <w:p>
            <w:pPr>
              <w:ind w:left="80"/>
              <w:spacing w:after="0" w:line="204"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w w:val="94"/>
              </w:rPr>
              <w:t>2025</w:t>
            </w:r>
          </w:p>
        </w:tc>
        <w:tc>
          <w:tcPr>
            <w:tcW w:w="1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6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U.S. full service bottlers/distributors</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top w:val="single" w:sz="8" w:color="CCEEFF"/>
            </w:tcBorders>
            <w:shd w:val="clear" w:color="auto" w:fill="CCEEFF"/>
          </w:tcPr>
          <w:p>
            <w:pPr>
              <w:jc w:val="right"/>
              <w:ind w:right="12"/>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top w:val="single" w:sz="8" w:color="CCEEFF"/>
            </w:tcBorders>
            <w:shd w:val="clear" w:color="auto" w:fill="CCEEFF"/>
          </w:tcPr>
          <w:p>
            <w:pPr>
              <w:jc w:val="right"/>
              <w:ind w:right="32"/>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1"/>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full service bottlers/distributors</w:t>
            </w:r>
          </w:p>
        </w:tc>
        <w:tc>
          <w:tcPr>
            <w:tcW w:w="92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47 %</w:t>
            </w:r>
          </w:p>
        </w:tc>
        <w:tc>
          <w:tcPr>
            <w:tcW w:w="200" w:type="dxa"/>
            <w:vAlign w:val="bottom"/>
          </w:tcPr>
          <w:p>
            <w:pPr>
              <w:spacing w:after="0"/>
              <w:rPr>
                <w:sz w:val="18"/>
                <w:szCs w:val="18"/>
                <w:color w:val="auto"/>
              </w:rPr>
            </w:pPr>
          </w:p>
        </w:tc>
        <w:tc>
          <w:tcPr>
            <w:tcW w:w="84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stores and e-commerce retailers</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1"/>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grocery, direct convenience, specialty chains and wholesalers</w:t>
            </w:r>
          </w:p>
        </w:tc>
        <w:tc>
          <w:tcPr>
            <w:tcW w:w="480" w:type="dxa"/>
            <w:vAlign w:val="bottom"/>
          </w:tcPr>
          <w:p>
            <w:pPr>
              <w:spacing w:after="0"/>
              <w:rPr>
                <w:sz w:val="18"/>
                <w:szCs w:val="18"/>
                <w:color w:val="auto"/>
              </w:rPr>
            </w:pPr>
          </w:p>
        </w:tc>
        <w:tc>
          <w:tcPr>
            <w:tcW w:w="4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1"/>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value stores and other</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Our non-alcohol customers include Coca-Cola Canada Bottling Limited, Coca-Cola Consolidated, Inc., Coca-Cola Bottling Company United, Inc., Reyes Holdings, LLC, Coca-Cola Southwest Beverages LLC, The Coca-Cola Bottling Company of Northern New England, Inc., Swire Pacific Holdings, Inc. (USA), Liberty Coca-Cola Beverages, LLC, Coca-Cola Europacific Partners, Coca-Cola Hellenic, Coca-Cola FEMSA, Swire Coca-Cola (China), COFCO Coca-Cola, Coca-Cola Beverages Africa, Coca-Cola İçecek and certain other TCCC network bottlers, Asahi Soft Drinks, Co., Ltd., Wal-Mart, Inc. (including Sam’s Club), Costco Wholesale Corporation and Amazon.com, Inc.</w:t>
      </w:r>
    </w:p>
    <w:p>
      <w:pPr>
        <w:spacing w:after="0" w:line="18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Our alcohol customers include Reyes Beverage Group, Ben E. Keith Company, J.J. Taylor Distributing and Admiral Beverage Corporation.</w:t>
      </w:r>
    </w:p>
    <w:p>
      <w:pPr>
        <w:spacing w:after="0" w:line="16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A decision by any large customer to decrease amounts purchased from us or to cease carrying our products could have a material adverse effect on our financial condition and consolidated results of operations.</w:t>
      </w:r>
    </w:p>
    <w:p>
      <w:pPr>
        <w:spacing w:after="0" w:line="16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Coca-Cola Europacific Partners accounted for approximately 17% and 14% of the Company’s net sales for the three-months ended March 31, 2026 and 2025, respectively.</w:t>
      </w:r>
    </w:p>
    <w:p>
      <w:pPr>
        <w:spacing w:after="0" w:line="16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Coca-Cola Consolidated, Inc. accounted for approximately 9% and 10% of the Company’s net sales for the three-months ended March 31, 2026 and 2025, respectively.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key statistics for the three-months ended March 31, 2026 and 2025.</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58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5"/>
          </w:tcPr>
          <w:p>
            <w:pPr>
              <w:jc w:val="right"/>
              <w:ind w:right="270"/>
              <w:spacing w:after="0"/>
              <w:rPr>
                <w:sz w:val="20"/>
                <w:szCs w:val="20"/>
                <w:color w:val="auto"/>
              </w:rPr>
            </w:pPr>
            <w:r>
              <w:rPr>
                <w:rFonts w:ascii="Times New Roman" w:cs="Times New Roman" w:eastAsia="Times New Roman" w:hAnsi="Times New Roman"/>
                <w:sz w:val="14"/>
                <w:szCs w:val="14"/>
                <w:color w:val="auto"/>
              </w:rPr>
              <w:t>Three-Months Ended</w:t>
            </w:r>
          </w:p>
        </w:tc>
        <w:tc>
          <w:tcPr>
            <w:tcW w:w="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Percentage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Change</w:t>
            </w:r>
          </w:p>
        </w:tc>
        <w:tc>
          <w:tcPr>
            <w:tcW w:w="20" w:type="dxa"/>
            <w:vAlign w:val="bottom"/>
            <w:tcBorders>
              <w:bottom w:val="single" w:sz="8" w:color="auto"/>
            </w:tcBorders>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580" w:type="dxa"/>
            <w:vAlign w:val="bottom"/>
          </w:tcPr>
          <w:p>
            <w:pPr>
              <w:ind w:left="14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90"/>
              <w:spacing w:after="0" w:line="139" w:lineRule="exact"/>
              <w:rPr>
                <w:sz w:val="20"/>
                <w:szCs w:val="20"/>
                <w:color w:val="auto"/>
              </w:rPr>
            </w:pPr>
            <w:r>
              <w:rPr>
                <w:rFonts w:ascii="Times New Roman" w:cs="Times New Roman" w:eastAsia="Times New Roman" w:hAnsi="Times New Roman"/>
                <w:sz w:val="14"/>
                <w:szCs w:val="14"/>
                <w:color w:val="auto"/>
              </w:rPr>
              <w:t>2026</w:t>
            </w:r>
          </w:p>
        </w:tc>
        <w:tc>
          <w:tcPr>
            <w:tcW w:w="40" w:type="dxa"/>
            <w:vAlign w:val="bottom"/>
          </w:tcPr>
          <w:p>
            <w:pPr>
              <w:spacing w:after="0"/>
              <w:rPr>
                <w:sz w:val="12"/>
                <w:szCs w:val="12"/>
                <w:color w:val="auto"/>
              </w:rPr>
            </w:pPr>
          </w:p>
        </w:tc>
        <w:tc>
          <w:tcPr>
            <w:tcW w:w="400" w:type="dxa"/>
            <w:vAlign w:val="bottom"/>
            <w:gridSpan w:val="2"/>
          </w:tcPr>
          <w:p>
            <w:pPr>
              <w:jc w:val="right"/>
              <w:ind w:right="185"/>
              <w:spacing w:after="0" w:line="13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90"/>
              <w:spacing w:after="0" w:line="139" w:lineRule="exact"/>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12"/>
                <w:szCs w:val="12"/>
                <w:color w:val="auto"/>
              </w:rPr>
            </w:pPr>
          </w:p>
        </w:tc>
        <w:tc>
          <w:tcPr>
            <w:tcW w:w="2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8"/>
              </w:rPr>
              <w:t>26 vs. 25</w:t>
            </w:r>
          </w:p>
        </w:tc>
        <w:tc>
          <w:tcPr>
            <w:tcW w:w="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040" w:type="dxa"/>
            <w:vAlign w:val="bottom"/>
            <w:tcBorders>
              <w:top w:val="single" w:sz="8" w:color="CCEEFF"/>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1"/>
                <w:szCs w:val="11"/>
                <w:color w:val="auto"/>
              </w:rPr>
              <w:t>Net sales</w:t>
            </w:r>
            <w:r>
              <w:rPr>
                <w:rFonts w:ascii="Times New Roman" w:cs="Times New Roman" w:eastAsia="Times New Roman" w:hAnsi="Times New Roman"/>
                <w:sz w:val="16"/>
                <w:szCs w:val="16"/>
                <w:color w:val="auto"/>
                <w:vertAlign w:val="superscript"/>
              </w:rPr>
              <w:t>1</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2,353,291</w:t>
            </w: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1,854,558</w:t>
            </w: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26.9</w:t>
            </w: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10"/>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40" w:type="dxa"/>
            <w:vAlign w:val="bottom"/>
            <w:tcBorders>
              <w:bottom w:val="single" w:sz="8" w:color="CCEEFF"/>
            </w:tcBorders>
            <w:gridSpan w:val="2"/>
          </w:tcPr>
          <w:p>
            <w:pPr>
              <w:spacing w:after="0" w:line="145" w:lineRule="exact"/>
              <w:rPr>
                <w:sz w:val="20"/>
                <w:szCs w:val="20"/>
                <w:color w:val="auto"/>
              </w:rPr>
            </w:pPr>
            <w:r>
              <w:rPr>
                <w:rFonts w:ascii="Times New Roman" w:cs="Times New Roman" w:eastAsia="Times New Roman" w:hAnsi="Times New Roman"/>
                <w:sz w:val="14"/>
                <w:szCs w:val="14"/>
                <w:color w:val="auto"/>
              </w:rPr>
              <w:t>Cost of sales</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1,059,942</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806,596</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31.4</w:t>
            </w:r>
          </w:p>
        </w:tc>
        <w:tc>
          <w:tcPr>
            <w:tcW w:w="220" w:type="dxa"/>
            <w:vAlign w:val="bottom"/>
            <w:tcBorders>
              <w:bottom w:val="single" w:sz="8" w:color="CCEEFF"/>
            </w:tcBorders>
            <w:gridSpan w:val="2"/>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1"/>
                <w:szCs w:val="11"/>
                <w:color w:val="auto"/>
              </w:rPr>
              <w:t>Gross profit*</w:t>
            </w:r>
            <w:r>
              <w:rPr>
                <w:rFonts w:ascii="Times New Roman" w:cs="Times New Roman" w:eastAsia="Times New Roman" w:hAnsi="Times New Roman"/>
                <w:sz w:val="16"/>
                <w:szCs w:val="16"/>
                <w:color w:val="auto"/>
                <w:vertAlign w:val="superscript"/>
              </w:rPr>
              <w:t>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1,293,349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1,047,962</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23.4</w:t>
            </w:r>
          </w:p>
        </w:tc>
        <w:tc>
          <w:tcPr>
            <w:tcW w:w="220" w:type="dxa"/>
            <w:vAlign w:val="bottom"/>
            <w:gridSpan w:val="2"/>
            <w:shd w:val="clear" w:color="auto" w:fill="CCEEFF"/>
          </w:tcPr>
          <w:p>
            <w:pPr>
              <w:jc w:val="right"/>
              <w:ind w:right="10"/>
              <w:spacing w:after="0" w:line="13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Gross profit as a percentage of net sales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55.0</w:t>
            </w:r>
          </w:p>
        </w:tc>
        <w:tc>
          <w:tcPr>
            <w:tcW w:w="240" w:type="dxa"/>
            <w:vAlign w:val="bottom"/>
            <w:gridSpan w:val="2"/>
          </w:tcPr>
          <w:p>
            <w:pPr>
              <w:jc w:val="right"/>
              <w:ind w:right="32"/>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56.5</w:t>
            </w:r>
          </w:p>
        </w:tc>
        <w:tc>
          <w:tcPr>
            <w:tcW w:w="220" w:type="dxa"/>
            <w:vAlign w:val="bottom"/>
            <w:gridSpan w:val="2"/>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Operating expenses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563,391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478,217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17.8</w:t>
            </w:r>
          </w:p>
        </w:tc>
        <w:tc>
          <w:tcPr>
            <w:tcW w:w="220" w:type="dxa"/>
            <w:vAlign w:val="bottom"/>
            <w:gridSpan w:val="2"/>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Operating expenses as a percentage of net sales</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23.9</w:t>
            </w:r>
          </w:p>
        </w:tc>
        <w:tc>
          <w:tcPr>
            <w:tcW w:w="240" w:type="dxa"/>
            <w:vAlign w:val="bottom"/>
            <w:gridSpan w:val="2"/>
            <w:shd w:val="clear" w:color="auto" w:fill="CCEEFF"/>
          </w:tcPr>
          <w:p>
            <w:pPr>
              <w:jc w:val="right"/>
              <w:ind w:right="32"/>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25.8</w:t>
            </w:r>
          </w:p>
        </w:tc>
        <w:tc>
          <w:tcPr>
            <w:tcW w:w="220" w:type="dxa"/>
            <w:vAlign w:val="bottom"/>
            <w:gridSpan w:val="2"/>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40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1"/>
                <w:szCs w:val="11"/>
                <w:color w:val="auto"/>
              </w:rPr>
              <w:t>Operating income</w:t>
            </w:r>
            <w:r>
              <w:rPr>
                <w:rFonts w:ascii="Times New Roman" w:cs="Times New Roman" w:eastAsia="Times New Roman" w:hAnsi="Times New Roman"/>
                <w:sz w:val="16"/>
                <w:szCs w:val="16"/>
                <w:color w:val="auto"/>
                <w:vertAlign w:val="superscript"/>
              </w:rPr>
              <w:t>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729,958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569,745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28.1</w:t>
            </w:r>
          </w:p>
        </w:tc>
        <w:tc>
          <w:tcPr>
            <w:tcW w:w="220" w:type="dxa"/>
            <w:vAlign w:val="bottom"/>
            <w:gridSpan w:val="2"/>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Operating income as a percentage of net sales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31.0</w:t>
            </w:r>
          </w:p>
        </w:tc>
        <w:tc>
          <w:tcPr>
            <w:tcW w:w="240" w:type="dxa"/>
            <w:vAlign w:val="bottom"/>
            <w:gridSpan w:val="2"/>
          </w:tcPr>
          <w:p>
            <w:pPr>
              <w:jc w:val="right"/>
              <w:ind w:right="32"/>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30.7</w:t>
            </w:r>
          </w:p>
        </w:tc>
        <w:tc>
          <w:tcPr>
            <w:tcW w:w="220" w:type="dxa"/>
            <w:vAlign w:val="bottom"/>
            <w:gridSpan w:val="2"/>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4040" w:type="dxa"/>
            <w:vAlign w:val="bottom"/>
            <w:tcBorders>
              <w:bottom w:val="single" w:sz="8" w:color="CCEEFF"/>
            </w:tcBorders>
            <w:gridSpan w:val="2"/>
          </w:tcPr>
          <w:p>
            <w:pPr>
              <w:spacing w:after="0" w:line="145" w:lineRule="exact"/>
              <w:rPr>
                <w:sz w:val="20"/>
                <w:szCs w:val="20"/>
                <w:color w:val="auto"/>
              </w:rPr>
            </w:pPr>
            <w:r>
              <w:rPr>
                <w:rFonts w:ascii="Times New Roman" w:cs="Times New Roman" w:eastAsia="Times New Roman" w:hAnsi="Times New Roman"/>
                <w:sz w:val="14"/>
                <w:szCs w:val="14"/>
                <w:color w:val="auto"/>
              </w:rPr>
              <w:t>Interest and other income, net</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20,170</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8,272</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143.8</w:t>
            </w:r>
          </w:p>
        </w:tc>
        <w:tc>
          <w:tcPr>
            <w:tcW w:w="220" w:type="dxa"/>
            <w:vAlign w:val="bottom"/>
            <w:tcBorders>
              <w:bottom w:val="single" w:sz="8" w:color="CCEEFF"/>
            </w:tcBorders>
            <w:gridSpan w:val="2"/>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1"/>
                <w:szCs w:val="11"/>
                <w:color w:val="auto"/>
              </w:rPr>
              <w:t>Income before provision for income taxes</w:t>
            </w:r>
            <w:r>
              <w:rPr>
                <w:rFonts w:ascii="Times New Roman" w:cs="Times New Roman" w:eastAsia="Times New Roman" w:hAnsi="Times New Roman"/>
                <w:sz w:val="16"/>
                <w:szCs w:val="16"/>
                <w:color w:val="auto"/>
                <w:vertAlign w:val="superscript"/>
              </w:rPr>
              <w:t>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750,128</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578,017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29.8</w:t>
            </w:r>
          </w:p>
        </w:tc>
        <w:tc>
          <w:tcPr>
            <w:tcW w:w="220" w:type="dxa"/>
            <w:vAlign w:val="bottom"/>
            <w:gridSpan w:val="2"/>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4040" w:type="dxa"/>
            <w:vAlign w:val="bottom"/>
            <w:tcBorders>
              <w:bottom w:val="single" w:sz="8" w:color="CCEEFF"/>
            </w:tcBorders>
            <w:gridSpan w:val="2"/>
          </w:tcPr>
          <w:p>
            <w:pPr>
              <w:spacing w:after="0" w:line="145" w:lineRule="exact"/>
              <w:rPr>
                <w:sz w:val="20"/>
                <w:szCs w:val="20"/>
                <w:color w:val="auto"/>
              </w:rPr>
            </w:pPr>
            <w:r>
              <w:rPr>
                <w:rFonts w:ascii="Times New Roman" w:cs="Times New Roman" w:eastAsia="Times New Roman" w:hAnsi="Times New Roman"/>
                <w:sz w:val="14"/>
                <w:szCs w:val="14"/>
                <w:color w:val="auto"/>
              </w:rPr>
              <w:t>Provision for income taxes</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180,643</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135,024</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33.8</w:t>
            </w:r>
          </w:p>
        </w:tc>
        <w:tc>
          <w:tcPr>
            <w:tcW w:w="220" w:type="dxa"/>
            <w:vAlign w:val="bottom"/>
            <w:tcBorders>
              <w:bottom w:val="single" w:sz="8" w:color="CCEEFF"/>
            </w:tcBorders>
            <w:gridSpan w:val="2"/>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Income taxes as a percentage of income before taxes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24.1</w:t>
            </w:r>
          </w:p>
        </w:tc>
        <w:tc>
          <w:tcPr>
            <w:tcW w:w="240" w:type="dxa"/>
            <w:vAlign w:val="bottom"/>
            <w:gridSpan w:val="2"/>
          </w:tcPr>
          <w:p>
            <w:pPr>
              <w:jc w:val="right"/>
              <w:ind w:right="32"/>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23.4</w:t>
            </w:r>
          </w:p>
        </w:tc>
        <w:tc>
          <w:tcPr>
            <w:tcW w:w="220" w:type="dxa"/>
            <w:vAlign w:val="bottom"/>
            <w:gridSpan w:val="2"/>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gridSpan w:val="2"/>
          </w:tcPr>
          <w:p>
            <w:pPr>
              <w:jc w:val="right"/>
              <w:ind w:right="45"/>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569,485</w:t>
            </w:r>
          </w:p>
        </w:tc>
        <w:tc>
          <w:tcPr>
            <w:tcW w:w="440" w:type="dxa"/>
            <w:vAlign w:val="bottom"/>
            <w:gridSpan w:val="3"/>
          </w:tcPr>
          <w:p>
            <w:pPr>
              <w:jc w:val="right"/>
              <w:ind w:right="85"/>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442,993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28.6</w:t>
            </w:r>
          </w:p>
        </w:tc>
        <w:tc>
          <w:tcPr>
            <w:tcW w:w="220" w:type="dxa"/>
            <w:vAlign w:val="bottom"/>
            <w:gridSpan w:val="2"/>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040" w:type="dxa"/>
            <w:vAlign w:val="bottom"/>
            <w:tcBorders>
              <w:top w:val="single" w:sz="8" w:color="CCEEFF"/>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Net income as a percentage of net sales</w:t>
            </w: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rPr>
              <w:t>24.2</w:t>
            </w:r>
          </w:p>
        </w:tc>
        <w:tc>
          <w:tcPr>
            <w:tcW w:w="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jc w:val="right"/>
              <w:ind w:right="32"/>
              <w:spacing w:after="0" w:line="125" w:lineRule="exact"/>
              <w:rPr>
                <w:sz w:val="20"/>
                <w:szCs w:val="20"/>
                <w:color w:val="auto"/>
              </w:rPr>
            </w:pPr>
            <w:r>
              <w:rPr>
                <w:rFonts w:ascii="Times New Roman" w:cs="Times New Roman" w:eastAsia="Times New Roman" w:hAnsi="Times New Roman"/>
                <w:sz w:val="13"/>
                <w:szCs w:val="13"/>
                <w:color w:val="auto"/>
                <w:w w:val="73"/>
              </w:rPr>
              <w:t>%</w:t>
            </w:r>
          </w:p>
        </w:tc>
        <w:tc>
          <w:tcPr>
            <w:tcW w:w="2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25" w:lineRule="exact"/>
              <w:rPr>
                <w:sz w:val="20"/>
                <w:szCs w:val="20"/>
                <w:color w:val="auto"/>
              </w:rPr>
            </w:pPr>
            <w:r>
              <w:rPr>
                <w:rFonts w:ascii="Times New Roman" w:cs="Times New Roman" w:eastAsia="Times New Roman" w:hAnsi="Times New Roman"/>
                <w:sz w:val="14"/>
                <w:szCs w:val="14"/>
                <w:color w:val="auto"/>
              </w:rPr>
              <w:t>23.9</w:t>
            </w: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jc w:val="right"/>
              <w:ind w:right="10"/>
              <w:spacing w:after="0" w:line="12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40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income per common share: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4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color w:val="auto"/>
              </w:rPr>
              <w:t>Basic</w:t>
            </w:r>
          </w:p>
        </w:tc>
        <w:tc>
          <w:tcPr>
            <w:tcW w:w="180" w:type="dxa"/>
            <w:vAlign w:val="bottom"/>
            <w:gridSpan w:val="2"/>
          </w:tcPr>
          <w:p>
            <w:pPr>
              <w:jc w:val="right"/>
              <w:ind w:right="45"/>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0.58</w:t>
            </w:r>
          </w:p>
        </w:tc>
        <w:tc>
          <w:tcPr>
            <w:tcW w:w="440" w:type="dxa"/>
            <w:vAlign w:val="bottom"/>
            <w:gridSpan w:val="3"/>
          </w:tcPr>
          <w:p>
            <w:pPr>
              <w:jc w:val="right"/>
              <w:ind w:right="85"/>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0.45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27.9</w:t>
            </w:r>
          </w:p>
        </w:tc>
        <w:tc>
          <w:tcPr>
            <w:tcW w:w="220" w:type="dxa"/>
            <w:vAlign w:val="bottom"/>
            <w:gridSpan w:val="2"/>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40" w:type="dxa"/>
            <w:vAlign w:val="bottom"/>
            <w:gridSpan w:val="2"/>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Diluted</w:t>
            </w:r>
          </w:p>
        </w:tc>
        <w:tc>
          <w:tcPr>
            <w:tcW w:w="180" w:type="dxa"/>
            <w:vAlign w:val="bottom"/>
            <w:gridSpan w:val="2"/>
            <w:shd w:val="clear" w:color="auto" w:fill="CCEEFF"/>
          </w:tcPr>
          <w:p>
            <w:pPr>
              <w:jc w:val="right"/>
              <w:ind w:right="45"/>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0.58</w:t>
            </w:r>
          </w:p>
        </w:tc>
        <w:tc>
          <w:tcPr>
            <w:tcW w:w="440" w:type="dxa"/>
            <w:vAlign w:val="bottom"/>
            <w:gridSpan w:val="3"/>
            <w:shd w:val="clear" w:color="auto" w:fill="CCEEFF"/>
          </w:tcPr>
          <w:p>
            <w:pPr>
              <w:jc w:val="right"/>
              <w:ind w:right="85"/>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0.45</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27.6</w:t>
            </w:r>
          </w:p>
        </w:tc>
        <w:tc>
          <w:tcPr>
            <w:tcW w:w="220" w:type="dxa"/>
            <w:vAlign w:val="bottom"/>
            <w:gridSpan w:val="2"/>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Energy drink case sales (in thousands) (in 192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ounce case</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equivalents)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274,460</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213,100</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6"/>
          <w:szCs w:val="16"/>
          <w:i w:val="1"/>
          <w:iCs w:val="1"/>
          <w:color w:val="auto"/>
        </w:rPr>
        <w:t>Includes $9.9 million for both the three-months ended March 31, 2026 and 2025, related to the recognition of deferred revenue.</w:t>
      </w:r>
    </w:p>
    <w:p>
      <w:pPr>
        <w:spacing w:after="0" w:line="156" w:lineRule="exact"/>
        <w:rPr>
          <w:sz w:val="20"/>
          <w:szCs w:val="20"/>
          <w:color w:val="auto"/>
        </w:rPr>
      </w:pPr>
    </w:p>
    <w:p>
      <w:pPr>
        <w:jc w:val="both"/>
        <w:ind w:left="1020"/>
        <w:spacing w:after="0" w:line="274" w:lineRule="auto"/>
        <w:rPr>
          <w:sz w:val="20"/>
          <w:szCs w:val="20"/>
          <w:color w:val="auto"/>
        </w:rPr>
      </w:pPr>
      <w:r>
        <w:rPr>
          <w:rFonts w:ascii="Times New Roman" w:cs="Times New Roman" w:eastAsia="Times New Roman" w:hAnsi="Times New Roman"/>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Three-Months Ended March 31, 2026 Compared to the Three-Months Ended March 31, 2025</w:t>
      </w:r>
      <w:r>
        <w:rPr>
          <w:rFonts w:ascii="Times New Roman" w:cs="Times New Roman" w:eastAsia="Times New Roman" w:hAnsi="Times New Roman"/>
          <w:sz w:val="18"/>
          <w:szCs w:val="18"/>
          <w:b w:val="1"/>
          <w:bCs w:val="1"/>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17"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Net sales were $2.35 billion for the three-months ended March 31, 2026, an increase of approximately $498.7 million, or 26.9% higher than net sales of $1.85 billion for the three-months ended March 31, 2025. Net sales increased primarily due to increased worldwide sales of our Monster Energy® brand energy drinks as a result of increased consumer demand. Net changes in foreign currency exchange rates had a favorable impact on net sales of approximately $89.3 million for the three-months ended March 31, 2026. Net sales on a foreign currency adjusted basis increased 22.1% for the three-months ended March 31, 2026.</w:t>
      </w:r>
    </w:p>
    <w:p>
      <w:pPr>
        <w:spacing w:after="0" w:line="188"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Net sales for the Monster Energy® Drinks segment were $2.19 billion for the three-months ended March 31, 2026, an increase of approximately $473.1 million, or 27.6% higher than net sales of $1.72 billion for the three-months ended March 31, 2025. Net sales increased primarily due to increased worldwide sales of our Monster Energy® brand energy drinks as a result of increased consumer demand. Net changes in foreign currency exchange rates had a favorable impact on net sales for the Monster Energy® Drinks segment of approximately $82.0 million for the three-months ended March 31, 2026. Net sales for the Monster Energy® Drinks segment on a foreign currency adjusted basis increased 22.8% for the three-months ended March 31, 2026.</w:t>
      </w:r>
    </w:p>
    <w:p>
      <w:pPr>
        <w:spacing w:after="0" w:line="18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Net sales for the Strategic Brands segment were $126.7 million for the three-months ended March 31, 2026, an increase of approximately $28.4 million, or 28.9% higher than net sales of $98.3 million for the three-months ended March 31, 2025. Net sales for the Strategic Brands segment increased primarily due to increased sales of our Burn®, Predator®, and Fury® brand energy drinks. Net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changes in foreign currency exchange rates had a favorable impact on net sales of approximately $7.3 million for the Strategic Brands segment for the three-months ended March 31, 2026. Net sales for the Strategic Brands segment on a foreign currency adjusted basis increased 21.4% for the three-months ended March 31, 2026. Net sales of concentrates within the Strategic Brands segment tend to have more pronounced fluctuations from period to period as compared to net sales of our finished goods within the Monster Energy® Drinks segment primarily as a result of bottler production schedules.</w:t>
      </w:r>
    </w:p>
    <w:p>
      <w:pPr>
        <w:spacing w:after="0" w:line="188"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Net sales for the Alcohol Brands segment were $32.7 million for the three-months ended March 31, 2026, a decrease of approximately $2.0 million, or 5.9% lower than net sales of $34.7 million for the three-months ended March 31, 2025. The decrease in net sales for the three-months ended March 31, 2026 was primarily due to decreased sales of craft beers.</w:t>
      </w:r>
    </w:p>
    <w:p>
      <w:pPr>
        <w:spacing w:after="0" w:line="17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Net sales for the Other segment were $5.3 million for the three-months ended March 31, 2026, a decrease of approximately $0.7 million, or 12.0% lower than net sales of $6.0 million for the three-months ended March 31, 2025.</w:t>
      </w:r>
    </w:p>
    <w:p>
      <w:pPr>
        <w:spacing w:after="0" w:line="16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Case sales for our energy drink products, in 192-ounce case equivalents, were 274.5 million cases for the three-months ended March 31, 2026, an increase of approximately 61.4 million cases or 28.8% higher than case sales of 213.1 million cases for the three-months ended March 31, 2025. The overall average net sales per case for our energy drink products (excluding net sales of Alcohol Brands and Other segments) decreased marginally to $8.44 for the three-months ended March 31, 2026 from $8.51 for the three-months ended March 31, 2025.</w:t>
      </w:r>
    </w:p>
    <w:p>
      <w:pPr>
        <w:spacing w:after="0" w:line="188"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Case sales for our craft beers, FMBs and hard seltzers, in 192-ounce equivalents, were 2.3 million cases for the three-months ended March 31, 2026, a decrease of approximately 0.1 million cases or 5.7% lower than case sales of 2.4 million cases for the three-months ended March 31, 2025. Barrel sales for our craft beers, FMBs and hard seltzers, in 31 U.S. gallon equivalents, were 0.11 million barrels for the three-months ended March 31, 2026, a decrease of approximately 0.01 million barrels or 5.7% lower than barrel sales of 0.12 million barrels for the three-months ended March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17"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Gross profit was $1.29 billion for the three-months ended March 31, 2026, an increase of approximately $245.4 million, or 23.4% higher than the gross profit of $1.05 billion for the three-months ended March 31, 2025. The increase in gross profit dollars was primarily the result of the increase in net sales.</w:t>
      </w:r>
    </w:p>
    <w:p>
      <w:pPr>
        <w:spacing w:after="0" w:line="17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Gross profit as a percentage of net sales decreased to 55.0% for the three-months ended March 31, 2026 from 56.5% for the three-months ended March 31, 2025. The decrease in gross profit as a percentage of net sales for the three-months ended March 31, 2026 was primarily the result of geographical sales mix, increased aluminum can costs and increased freight-in costs, partially offset by the Pricing 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17"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Total operating expenses were $563.4 million for the three-months ended March 31, 2026, an increase of approximately $85.2 million, or 17.8% higher than total operating expenses of $478.2 million for the three-months ended March 31, 2025.</w:t>
      </w:r>
    </w:p>
    <w:p>
      <w:pPr>
        <w:spacing w:after="0" w:line="16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The increase in operating expenses was primarily due to increased payroll expenses of $28.3 million, distribution expenses of $25.3 million and selling and marketing expenses of $22.7 million. Operating expenses as a percentage of net sales for the three-months ended March 31, 2026 and 2025 were 23.9% and 25.8%,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17"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Operating income was $730.0 million for the three-months ended March 31, 2026, an increase of approximately $160.2 million, or 28.1% higher than operating income of $569.7 million for the three-months ended March 31, 2025. Operating income as a percentage of net sales increased to 31.0% for the three-months ended March 31, 2026 from 30.7% for the three-months ended March 31, 2025.</w:t>
      </w:r>
    </w:p>
    <w:p>
      <w:pPr>
        <w:spacing w:after="0" w:line="17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Operating income was $233.8 million and $142.6 million for the three-months ended March 31, 2026 and 2025, respectively, for our international operations, exclusive of Canada.</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Operating income for the Monster Energy® Drinks segment, exclusive of corporate and unallocated expenses, was $848.9 million for the three-months ended March 31, 2026, an increase of approximately $168.5 million, or 24.8% higher than operating income of $680.4 million for the three-months ended March 31, 2025. The increase in operating income for the Monster Energy® Drinks segment was primarily the result of an increase in net sales.</w:t>
      </w:r>
    </w:p>
    <w:p>
      <w:pPr>
        <w:spacing w:after="0" w:line="182"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Operating income for the Strategic Brands segment, exclusive of corporate and unallocated expenses, was $63.9 million for the three-months ended March 31, 2026, an increase of approximately $12.0 million, or 23.1% higher than operating income of $51.9 million for the three-months ended March 31, 2025. The increase in operating income for the Strategic Brands segment was primarily the result of an increase in net sales.</w:t>
      </w:r>
    </w:p>
    <w:p>
      <w:pPr>
        <w:spacing w:after="0" w:line="182"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Operating loss for the Alcohol Brands segment, exclusive of corporate and unallocated expenses, was $9.6 million for the three-months ended March 31, 2026, a decrease of approximately $11.8 million, or 55.1% lower than the operating loss of $21.5 million for the three-months ended March 31, 2025. The decrease in operating loss for the three-months ended March 31, 2026 was primarily due to decreased general administrative expenses of $8.1 million.</w:t>
      </w:r>
    </w:p>
    <w:p>
      <w:pPr>
        <w:spacing w:after="0" w:line="182"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Operating income for the Other segment, exclusive of corporate and unallocated expenses, was $0.4 million for the three-months ended March 31, 2026, as compared to operating income of $0.2 million for the three-months ended March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net</w:t>
      </w:r>
    </w:p>
    <w:p>
      <w:pPr>
        <w:spacing w:after="0" w:line="217"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Interest and other income, net, was $20.2 million for the three-months ended March 31, 2026, as compared to interest and other income, net, of $8.3 million for the three-months ended March 31, 2025. Interest income was $28.6 million and $16.8 million for the three-months ended March 31, 2026 and 2025, respectively. Interest expense was $0.6 million and $4.0 million for the three-months ended March 31, 2026 and 2025, respectively. Foreign currency transaction losses were $6.8 million and $3.7 million for the three-months ended March 31, 2026 and 2025,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17"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Provision for income taxes was $180.6 million for the three-months ended March 31, 2026, an increase of $45.6 million from the provision for income taxes of $135.0 million for the three-months ended March 31, 2025. The effective combined federal, state and foreign tax rate increased to 24.1% from 23.4% for the three-months ended March 31, 2026 and 2025,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17"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Net income was $569.5 million for the three-months ended March 31, 2026, an increase of $126.5 million, or 28.6% higher than net income of $443.0 million for the three-months ended March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17"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Other Key Metrics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Billings**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Three-Months Ended March 31, 2026 Compared to the Three-Months Ended March 31, 2025</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Gross billings were $2.77 billion for the three-months ended March 31, 2026, an increase of approximately $603.7 million, or 27.9% higher than gross billings of $2.16 billion for the three-months ended March 31, 2025. Gross billings increased primarily due to increased worldwide sales of our Monster Energy® brand energy drinks as a result of increased consumer demand. Net changes in foreign currency exchange rates had a favorable impact on gross billings of approximately $107.9 million for the three-months ended March 31, 2026. Gross billings on a foreign currency adjusted basis increased 22.9% for the three-months ended March 31,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Gross billings for the Monster Energy® Drinks segment were $2.58 billion for the three-months ended March 31, 2026, an increase of approximately $571.8 million, or 28.5% higher than gross billings of $2.01 billion for the three-months ended March 31, 2025. Gross billings increased primarily due to increased worldwide sales of our Monster Energy® brand energy drinks as a result of increased consumer demand. Net changes in foreign currency exchange rates had a favorable impact on gross billings for the Monster Energy® Drinks segment of approximately $100.7 million for the three-months ended March 31, 2026. Gross billings for the Monster Energy® Drinks segment on a foreign currency adjusted basis increased 23.5% for the three-months ended March 31, 2026.</w:t>
      </w:r>
    </w:p>
    <w:p>
      <w:pPr>
        <w:spacing w:after="0" w:line="189"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Gross billings for the Strategic Brands segment were $149.2 million for the three-months ended March 31, 2026, an increase of $35.5 million, or 31.2% higher than gross billings of $113.8 million for the three-months ended March 31, 2025. Gross billings for the Strategic Brands segment increased primarily due to increased sales of our Burn®, Predator®, and Fury® brand energy drinks. Net changes in foreign currency exchange rates had a favorable impact on gross billings in the Strategic Brands segment of approximately $7.3 million for the three-months ended March 31, 2026. Gross billings for the Strategic Brands segment on a foreign currency adjusted basis increased 24.8% for the three-months ended March 31, 2026.</w:t>
      </w:r>
    </w:p>
    <w:p>
      <w:pPr>
        <w:spacing w:after="0" w:line="18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Gross billings for the Alcohol Brands segment were $33.5 million for the three-months ended March 31, 2026, a decrease of approximately $2.7 million, or 7.5% lower than gross billings of $36.2 million for the three-months ended March 31, 2025. The decrease in gross billings for the three-months ended March 31, 2026 was primarily due to decreased sales of craft beers.</w:t>
      </w:r>
    </w:p>
    <w:p>
      <w:pPr>
        <w:spacing w:after="0" w:line="179"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Gross billings for the Other segment were $5.4 million for the three-months ended March 31, 2026, a decrease of $0.8 million, or 12.9% lower than gross billings of $6.1 million for the three-months ended March 31, 2025.</w:t>
      </w:r>
    </w:p>
    <w:p>
      <w:pPr>
        <w:spacing w:after="0" w:line="16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Promotional allowances, commissions and other expenses, as described in the footnote below, were $422.5 million for the three-months ended March 31, 2026, an increase of $105.0 million, or 33.1% higher than promotional allowances, commissions and other expenses of $317.5 million for the three-months ended March 31, 2025. Promotional allowances, commissions and other expenses as a percentage of gross billings increased to 15.3% from 14.7% for the three-months ended March 31, 2026 and 2025, respectively.</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spacing w:after="0" w:line="18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following table reconciles the non-GAAP financial measure of gross billings with the most directly comparable GAAP financial measure of net sales: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5"/>
          </w:tcPr>
          <w:p>
            <w:pPr>
              <w:jc w:val="right"/>
              <w:ind w:right="192"/>
              <w:spacing w:after="0"/>
              <w:rPr>
                <w:sz w:val="20"/>
                <w:szCs w:val="20"/>
                <w:color w:val="auto"/>
              </w:rPr>
            </w:pPr>
            <w:r>
              <w:rPr>
                <w:rFonts w:ascii="Times New Roman" w:cs="Times New Roman" w:eastAsia="Times New Roman" w:hAnsi="Times New Roman"/>
                <w:sz w:val="18"/>
                <w:szCs w:val="18"/>
                <w:color w:val="auto"/>
              </w:rPr>
              <w:t>Three-Months Ended</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​​​Percentage  ​​​</w:t>
            </w:r>
          </w:p>
        </w:tc>
      </w:tr>
      <w:tr>
        <w:trPr>
          <w:trHeight w:val="229"/>
        </w:trPr>
        <w:tc>
          <w:tcPr>
            <w:tcW w:w="51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5"/>
          </w:tcPr>
          <w:p>
            <w:pPr>
              <w:jc w:val="right"/>
              <w:ind w:right="612"/>
              <w:spacing w:after="0"/>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Pr>
          <w:p>
            <w:pPr>
              <w:spacing w:after="0"/>
              <w:rPr>
                <w:sz w:val="19"/>
                <w:szCs w:val="19"/>
                <w:color w:val="auto"/>
              </w:rPr>
            </w:pPr>
          </w:p>
        </w:tc>
        <w:tc>
          <w:tcPr>
            <w:tcW w:w="110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Change</w:t>
            </w:r>
          </w:p>
        </w:tc>
      </w:tr>
      <w:tr>
        <w:trPr>
          <w:trHeight w:val="205"/>
        </w:trPr>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top w:val="single" w:sz="8" w:color="auto"/>
            </w:tcBorders>
            <w:gridSpan w:val="3"/>
          </w:tcPr>
          <w:p>
            <w:pPr>
              <w:jc w:val="right"/>
              <w:ind w:right="45"/>
              <w:spacing w:after="0" w:line="205"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7"/>
                <w:szCs w:val="17"/>
                <w:color w:val="auto"/>
              </w:rPr>
            </w:pPr>
          </w:p>
        </w:tc>
        <w:tc>
          <w:tcPr>
            <w:tcW w:w="840" w:type="dxa"/>
            <w:vAlign w:val="bottom"/>
            <w:tcBorders>
              <w:top w:val="single" w:sz="8" w:color="auto"/>
            </w:tcBorders>
          </w:tcPr>
          <w:p>
            <w:pPr>
              <w:jc w:val="right"/>
              <w:ind w:right="12"/>
              <w:spacing w:after="0" w:line="205" w:lineRule="exact"/>
              <w:rPr>
                <w:sz w:val="20"/>
                <w:szCs w:val="20"/>
                <w:color w:val="auto"/>
              </w:rPr>
            </w:pPr>
            <w:r>
              <w:rPr>
                <w:rFonts w:ascii="Times New Roman" w:cs="Times New Roman" w:eastAsia="Times New Roman" w:hAnsi="Times New Roman"/>
                <w:sz w:val="18"/>
                <w:szCs w:val="18"/>
                <w:color w:val="auto"/>
              </w:rPr>
              <w:t>26 vs. 25</w:t>
            </w:r>
          </w:p>
        </w:tc>
        <w:tc>
          <w:tcPr>
            <w:tcW w:w="260" w:type="dxa"/>
            <w:vAlign w:val="bottom"/>
          </w:tcPr>
          <w:p>
            <w:pPr>
              <w:spacing w:after="0"/>
              <w:rPr>
                <w:sz w:val="17"/>
                <w:szCs w:val="17"/>
                <w:color w:val="auto"/>
              </w:rPr>
            </w:pPr>
          </w:p>
        </w:tc>
      </w:tr>
      <w:tr>
        <w:trPr>
          <w:trHeight w:val="204"/>
        </w:trPr>
        <w:tc>
          <w:tcPr>
            <w:tcW w:w="1000" w:type="dxa"/>
            <w:vAlign w:val="bottom"/>
          </w:tcPr>
          <w:p>
            <w:pPr>
              <w:spacing w:after="0"/>
              <w:rPr>
                <w:sz w:val="17"/>
                <w:szCs w:val="17"/>
                <w:color w:val="auto"/>
              </w:rPr>
            </w:pPr>
          </w:p>
        </w:tc>
        <w:tc>
          <w:tcPr>
            <w:tcW w:w="4160" w:type="dxa"/>
            <w:vAlign w:val="bottom"/>
            <w:tcBorders>
              <w:top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Gross Billings</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2,765,929</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2,162,190</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27.9</w:t>
            </w:r>
          </w:p>
        </w:tc>
        <w:tc>
          <w:tcPr>
            <w:tcW w:w="260" w:type="dxa"/>
            <w:vAlign w:val="bottom"/>
            <w:tcBorders>
              <w:top w:val="single" w:sz="8" w:color="CCEEFF"/>
            </w:tcBorders>
            <w:shd w:val="clear" w:color="auto" w:fill="CCEEFF"/>
          </w:tcPr>
          <w:p>
            <w:pPr>
              <w:jc w:val="right"/>
              <w:ind w:right="32"/>
              <w:spacing w:after="0" w:line="204" w:lineRule="exact"/>
              <w:rPr>
                <w:sz w:val="20"/>
                <w:szCs w:val="20"/>
                <w:color w:val="auto"/>
              </w:rPr>
            </w:pPr>
            <w:r>
              <w:rPr>
                <w:rFonts w:ascii="Times New Roman" w:cs="Times New Roman" w:eastAsia="Times New Roman" w:hAnsi="Times New Roman"/>
                <w:sz w:val="18"/>
                <w:szCs w:val="18"/>
                <w:color w:val="auto"/>
                <w:w w:val="79"/>
              </w:rPr>
              <w:t>%</w:t>
            </w:r>
          </w:p>
        </w:tc>
      </w:tr>
      <w:tr>
        <w:trPr>
          <w:trHeight w:val="211"/>
        </w:trPr>
        <w:tc>
          <w:tcPr>
            <w:tcW w:w="10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128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r>
      <w:tr>
        <w:trPr>
          <w:trHeight w:val="193"/>
        </w:trPr>
        <w:tc>
          <w:tcPr>
            <w:tcW w:w="1000" w:type="dxa"/>
            <w:vAlign w:val="bottom"/>
          </w:tcPr>
          <w:p>
            <w:pPr>
              <w:spacing w:after="0"/>
              <w:rPr>
                <w:sz w:val="16"/>
                <w:szCs w:val="16"/>
                <w:color w:val="auto"/>
              </w:rPr>
            </w:pPr>
          </w:p>
        </w:tc>
        <w:tc>
          <w:tcPr>
            <w:tcW w:w="416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Less: Promotional allowances, commissions and other</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29"/>
        </w:trPr>
        <w:tc>
          <w:tcPr>
            <w:tcW w:w="1000" w:type="dxa"/>
            <w:vAlign w:val="bottom"/>
          </w:tcPr>
          <w:p>
            <w:pPr>
              <w:spacing w:after="0"/>
              <w:rPr>
                <w:sz w:val="19"/>
                <w:szCs w:val="19"/>
                <w:color w:val="auto"/>
              </w:rPr>
            </w:pPr>
          </w:p>
        </w:tc>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4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422,540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317,542</w:t>
            </w:r>
          </w:p>
        </w:tc>
        <w:tc>
          <w:tcPr>
            <w:tcW w:w="128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33.1 %</w:t>
            </w:r>
          </w:p>
        </w:tc>
      </w:tr>
      <w:tr>
        <w:trPr>
          <w:trHeight w:val="204"/>
        </w:trPr>
        <w:tc>
          <w:tcPr>
            <w:tcW w:w="1000" w:type="dxa"/>
            <w:vAlign w:val="bottom"/>
          </w:tcPr>
          <w:p>
            <w:pPr>
              <w:spacing w:after="0"/>
              <w:rPr>
                <w:sz w:val="17"/>
                <w:szCs w:val="17"/>
                <w:color w:val="auto"/>
              </w:rPr>
            </w:pPr>
          </w:p>
        </w:tc>
        <w:tc>
          <w:tcPr>
            <w:tcW w:w="41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2,353,291</w:t>
            </w:r>
          </w:p>
        </w:tc>
        <w:tc>
          <w:tcPr>
            <w:tcW w:w="200" w:type="dxa"/>
            <w:vAlign w:val="bottom"/>
            <w:gridSpan w:val="2"/>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1,854,558</w:t>
            </w:r>
          </w:p>
        </w:tc>
        <w:tc>
          <w:tcPr>
            <w:tcW w:w="1280" w:type="dxa"/>
            <w:vAlign w:val="bottom"/>
            <w:gridSpan w:val="3"/>
          </w:tcPr>
          <w:p>
            <w:pPr>
              <w:jc w:val="right"/>
              <w:ind w:right="32"/>
              <w:spacing w:after="0" w:line="204" w:lineRule="exact"/>
              <w:rPr>
                <w:sz w:val="20"/>
                <w:szCs w:val="20"/>
                <w:color w:val="auto"/>
              </w:rPr>
            </w:pPr>
            <w:r>
              <w:rPr>
                <w:rFonts w:ascii="Times New Roman" w:cs="Times New Roman" w:eastAsia="Times New Roman" w:hAnsi="Times New Roman"/>
                <w:sz w:val="18"/>
                <w:szCs w:val="18"/>
                <w:color w:val="auto"/>
              </w:rPr>
              <w:t>26.9 %</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65"/>
        </w:trPr>
        <w:tc>
          <w:tcPr>
            <w:tcW w:w="10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r>
    </w:tbl>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and/or free products or cash rebates; (vii) contractual fees</w:t>
      </w:r>
    </w:p>
    <w:p>
      <w:pPr>
        <w:sectPr>
          <w:pgSz w:w="11900" w:h="16838" w:orient="portrait"/>
          <w:cols w:equalWidth="0" w:num="1">
            <w:col w:w="9920"/>
          </w:cols>
          <w:pgMar w:left="980" w:top="649"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i w:val="1"/>
          <w:iCs w:val="1"/>
          <w:color w:val="auto"/>
        </w:rPr>
        <w:t>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Promotional and other allowances for our Alcohol Brands segment primarily include price promotions where permitted.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17"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table below discloses selected quarterly data regarding sales for the three-months ended March 31, 2026 and 2025, respectively. Data from any one or more quarters or periods is not necessarily indicative of annual results or continuing trends.</w:t>
      </w:r>
    </w:p>
    <w:p>
      <w:pPr>
        <w:spacing w:after="0" w:line="169" w:lineRule="exact"/>
        <w:rPr>
          <w:sz w:val="20"/>
          <w:szCs w:val="20"/>
          <w:color w:val="auto"/>
        </w:rPr>
      </w:pPr>
    </w:p>
    <w:p>
      <w:pPr>
        <w:jc w:val="both"/>
        <w:ind w:firstLine="633"/>
        <w:spacing w:after="0" w:line="257" w:lineRule="auto"/>
        <w:rPr>
          <w:sz w:val="20"/>
          <w:szCs w:val="20"/>
          <w:color w:val="auto"/>
        </w:rPr>
      </w:pPr>
      <w:r>
        <w:rPr>
          <w:rFonts w:ascii="Times New Roman" w:cs="Times New Roman" w:eastAsia="Times New Roman" w:hAnsi="Times New Roman"/>
          <w:sz w:val="18"/>
          <w:szCs w:val="18"/>
          <w:color w:val="auto"/>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79"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w:t>
      </w:r>
    </w:p>
    <w:p>
      <w:pPr>
        <w:spacing w:after="0" w:line="202" w:lineRule="exact"/>
        <w:rPr>
          <w:sz w:val="20"/>
          <w:szCs w:val="20"/>
          <w:color w:val="auto"/>
        </w:rPr>
      </w:pPr>
    </w:p>
    <w:tbl>
      <w:tblPr>
        <w:tblLayout w:type="fixed"/>
        <w:tblInd w:w="10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jc w:val="right"/>
              <w:ind w:right="332"/>
              <w:spacing w:after="0"/>
              <w:rPr>
                <w:sz w:val="20"/>
                <w:szCs w:val="20"/>
                <w:color w:val="auto"/>
              </w:rPr>
            </w:pPr>
            <w:r>
              <w:rPr>
                <w:rFonts w:ascii="Times New Roman" w:cs="Times New Roman" w:eastAsia="Times New Roman" w:hAnsi="Times New Roman"/>
                <w:sz w:val="18"/>
                <w:szCs w:val="18"/>
                <w:color w:val="auto"/>
              </w:rPr>
              <w:t>Three-Months Ended</w:t>
            </w:r>
          </w:p>
        </w:tc>
        <w:tc>
          <w:tcPr>
            <w:tcW w:w="0" w:type="dxa"/>
            <w:vAlign w:val="bottom"/>
          </w:tcPr>
          <w:p>
            <w:pPr>
              <w:spacing w:after="0"/>
              <w:rPr>
                <w:sz w:val="1"/>
                <w:szCs w:val="1"/>
                <w:color w:val="auto"/>
              </w:rPr>
            </w:pPr>
          </w:p>
        </w:tc>
      </w:tr>
      <w:tr>
        <w:trPr>
          <w:trHeight w:val="229"/>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 except average net sales per case)</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72"/>
              <w:spacing w:after="0" w:line="205" w:lineRule="exact"/>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top w:val="single" w:sz="8" w:color="auto"/>
            </w:tcBorders>
            <w:gridSpan w:val="3"/>
          </w:tcPr>
          <w:p>
            <w:pPr>
              <w:jc w:val="right"/>
              <w:ind w:right="205"/>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272"/>
              <w:spacing w:after="0" w:line="205" w:lineRule="exact"/>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60" w:type="dxa"/>
            <w:vAlign w:val="bottom"/>
            <w:tcBorders>
              <w:top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2,353,291</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1,854,558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Alcohol Brands segment sales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segment sales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560" w:type="dxa"/>
            <w:vAlign w:val="bottom"/>
            <w:tcBorders>
              <w:bottom w:val="single" w:sz="8" w:color="CCEEFF"/>
            </w:tcBorders>
            <w:gridSpan w:val="2"/>
          </w:tcPr>
          <w:p>
            <w:pPr>
              <w:spacing w:after="0" w:line="204" w:lineRule="exact"/>
              <w:rPr>
                <w:sz w:val="20"/>
                <w:szCs w:val="20"/>
                <w:color w:val="auto"/>
              </w:rPr>
            </w:pPr>
            <w:r>
              <w:rPr>
                <w:rFonts w:ascii="Times New Roman" w:cs="Times New Roman" w:eastAsia="Times New Roman" w:hAnsi="Times New Roman"/>
                <w:sz w:val="16"/>
                <w:szCs w:val="16"/>
                <w:color w:val="auto"/>
              </w:rPr>
              <w:t>Adjusted net sales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2,315,374</w:t>
            </w:r>
          </w:p>
        </w:tc>
        <w:tc>
          <w:tcPr>
            <w:tcW w:w="220" w:type="dxa"/>
            <w:vAlign w:val="bottom"/>
            <w:tcBorders>
              <w:bottom w:val="single" w:sz="8" w:color="CCEEFF"/>
            </w:tcBorders>
            <w:gridSpan w:val="2"/>
          </w:tcPr>
          <w:p>
            <w:pPr>
              <w:spacing w:after="0"/>
              <w:rPr>
                <w:sz w:val="21"/>
                <w:szCs w:val="21"/>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1,813,880</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560" w:type="dxa"/>
            <w:vAlign w:val="bottom"/>
            <w:gridSpan w:val="2"/>
          </w:tcPr>
          <w:p>
            <w:pPr>
              <w:spacing w:after="0" w:line="211" w:lineRule="exact"/>
              <w:rPr>
                <w:sz w:val="20"/>
                <w:szCs w:val="20"/>
                <w:color w:val="auto"/>
              </w:rPr>
            </w:pPr>
            <w:r>
              <w:rPr>
                <w:rFonts w:ascii="Times New Roman" w:cs="Times New Roman" w:eastAsia="Times New Roman" w:hAnsi="Times New Roman"/>
                <w:sz w:val="16"/>
                <w:szCs w:val="16"/>
                <w:color w:val="auto"/>
              </w:rPr>
              <w:t>Case sales by segment:</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Monster Energy® Drinks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Strategic Brands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Total case sales</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274,460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213,100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Average net sales per case - Energy Drinks</w:t>
            </w:r>
          </w:p>
        </w:tc>
        <w:tc>
          <w:tcPr>
            <w:tcW w:w="200" w:type="dxa"/>
            <w:vAlign w:val="bottom"/>
          </w:tcPr>
          <w:p>
            <w:pPr>
              <w:spacing w:after="0"/>
              <w:rPr>
                <w:sz w:val="17"/>
                <w:szCs w:val="17"/>
                <w:color w:val="auto"/>
              </w:rPr>
            </w:pP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8.44</w:t>
            </w:r>
          </w:p>
        </w:tc>
        <w:tc>
          <w:tcPr>
            <w:tcW w:w="220" w:type="dxa"/>
            <w:vAlign w:val="bottom"/>
            <w:gridSpan w:val="2"/>
          </w:tcPr>
          <w:p>
            <w:pPr>
              <w:spacing w:after="0"/>
              <w:rPr>
                <w:sz w:val="17"/>
                <w:szCs w:val="17"/>
                <w:color w:val="auto"/>
              </w:rPr>
            </w:pP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2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6"/>
          <w:szCs w:val="16"/>
          <w:i w:val="1"/>
          <w:iCs w:val="1"/>
          <w:color w:val="auto"/>
        </w:rPr>
        <w:t>Excludes Alcohol Brands segment and Other segment net sales.</w:t>
      </w:r>
    </w:p>
    <w:p>
      <w:pPr>
        <w:spacing w:after="0" w:line="153"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Net changes in foreign currency exchange rates had a favorable impact on the overall average net sales per case for the three-months ended March 31, 2026.</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represents case sales for our craft beers, FMBs and hard seltzers, in 192-ounce equivalents:</w:t>
      </w:r>
    </w:p>
    <w:p>
      <w:pPr>
        <w:spacing w:after="0" w:line="228" w:lineRule="exact"/>
        <w:rPr>
          <w:sz w:val="20"/>
          <w:szCs w:val="20"/>
          <w:color w:val="auto"/>
        </w:rPr>
      </w:pPr>
    </w:p>
    <w:tbl>
      <w:tblPr>
        <w:tblLayout w:type="fixed"/>
        <w:tblInd w:w="102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4"/>
          </w:tcPr>
          <w:p>
            <w:pPr>
              <w:jc w:val="right"/>
              <w:ind w:right="332"/>
              <w:spacing w:after="0"/>
              <w:rPr>
                <w:sz w:val="20"/>
                <w:szCs w:val="20"/>
                <w:color w:val="auto"/>
              </w:rPr>
            </w:pPr>
            <w:r>
              <w:rPr>
                <w:rFonts w:ascii="Times New Roman" w:cs="Times New Roman" w:eastAsia="Times New Roman" w:hAnsi="Times New Roman"/>
                <w:sz w:val="18"/>
                <w:szCs w:val="18"/>
                <w:color w:val="auto"/>
              </w:rPr>
              <w:t>Three-Months Ended</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 except average net sales per case)</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272"/>
              <w:spacing w:after="0" w:line="205" w:lineRule="exact"/>
              <w:rPr>
                <w:sz w:val="20"/>
                <w:szCs w:val="20"/>
                <w:color w:val="auto"/>
              </w:rPr>
            </w:pPr>
            <w:r>
              <w:rPr>
                <w:rFonts w:ascii="Times New Roman" w:cs="Times New Roman" w:eastAsia="Times New Roman" w:hAnsi="Times New Roman"/>
                <w:sz w:val="18"/>
                <w:szCs w:val="18"/>
                <w:color w:val="auto"/>
              </w:rPr>
              <w:t>2026</w:t>
            </w:r>
          </w:p>
        </w:tc>
        <w:tc>
          <w:tcPr>
            <w:tcW w:w="500" w:type="dxa"/>
            <w:vAlign w:val="bottom"/>
            <w:gridSpan w:val="2"/>
          </w:tcPr>
          <w:p>
            <w:pPr>
              <w:jc w:val="right"/>
              <w:ind w:right="178"/>
              <w:spacing w:after="0" w:line="205"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72"/>
              <w:spacing w:after="0" w:line="205" w:lineRule="exact"/>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4"/>
        </w:trPr>
        <w:tc>
          <w:tcPr>
            <w:tcW w:w="458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Alcohol Brands segment net sales</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32,657</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34,703</w:t>
            </w:r>
          </w:p>
        </w:tc>
        <w:tc>
          <w:tcPr>
            <w:tcW w:w="0" w:type="dxa"/>
            <w:vAlign w:val="bottom"/>
          </w:tcPr>
          <w:p>
            <w:pPr>
              <w:spacing w:after="0"/>
              <w:rPr>
                <w:sz w:val="1"/>
                <w:szCs w:val="1"/>
                <w:color w:val="auto"/>
              </w:rPr>
            </w:pPr>
          </w:p>
        </w:tc>
      </w:tr>
      <w:tr>
        <w:trPr>
          <w:trHeight w:val="204"/>
        </w:trPr>
        <w:tc>
          <w:tcPr>
            <w:tcW w:w="4580" w:type="dxa"/>
            <w:vAlign w:val="bottom"/>
            <w:tcBorders>
              <w:bottom w:val="single" w:sz="8" w:color="CCEEFF"/>
            </w:tcBorders>
          </w:tcPr>
          <w:p>
            <w:pPr>
              <w:spacing w:after="0" w:line="204" w:lineRule="exact"/>
              <w:rPr>
                <w:sz w:val="20"/>
                <w:szCs w:val="20"/>
                <w:color w:val="auto"/>
              </w:rPr>
            </w:pPr>
            <w:r>
              <w:rPr>
                <w:rFonts w:ascii="Times New Roman" w:cs="Times New Roman" w:eastAsia="Times New Roman" w:hAnsi="Times New Roman"/>
                <w:sz w:val="18"/>
                <w:szCs w:val="18"/>
                <w:color w:val="auto"/>
              </w:rPr>
              <w:t>Case sales</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2,267</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204"/>
        </w:trPr>
        <w:tc>
          <w:tcPr>
            <w:tcW w:w="4580" w:type="dxa"/>
            <w:vAlign w:val="bottom"/>
            <w:tcBorders>
              <w:bottom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Average net sales per case - Alcohol Brands</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14.41</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See Item 2, “Management’s Discussion and Analysis of Financial Condition and Results of Operations – Results of Operations” for additional information related to net sales.</w:t>
      </w:r>
    </w:p>
    <w:p>
      <w:pPr>
        <w:sectPr>
          <w:pgSz w:w="11900" w:h="16838" w:orient="portrait"/>
          <w:cols w:equalWidth="0" w:num="1">
            <w:col w:w="9920"/>
          </w:cols>
          <w:pgMar w:left="980" w:top="649"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At March 31, 2026, we had $2.04 billion in cash and cash equivalents, $945.3 million in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and $770.4 million in long-term investments, including commercial paper, certificates of deposit, municipal securities, U.S. government agency securities, U.S. treasuries and corporate bonds.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the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90"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Of our $2.04 billion of cash and cash equivalents held at March 31, 2026, $968.1 million was held by our foreign subsidiaries. No short-term or long-term investments were held by our foreign subsidiaries at March 31, 2026.</w:t>
      </w:r>
    </w:p>
    <w:p>
      <w:pPr>
        <w:spacing w:after="0" w:line="167"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In May 2024, the Company entered into a credit agreement with JPMorgan Chase Bank, N.A., as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and certain other lenders (the “Original Credit Agreement”), which provided for senior unsecured credit facilities in an aggregate principal amount of $1.50 billion (collectively, the “Credit Facilities”). The Credit Facilities previously consisted of a $750.0 million term loan (the “Term Loan”) and up to $750.0 million in multicurrency revolving loan commitments (the “Revolving Credit Facility”). The Term Loan was repaid in April 2025 with no additional borrowings permitted. In addition, pursuant to Amendment No. 1 to the Original Credit Agreement, dated as of October 17, 2025, among the Company, JPMorgan Chase Bank, N.A., as administrative agent, and certain other lenders (the “Amended Credit Agreement”), the Company’s aggregate borrowing capacity under the Revolving Credit Facility has been reduced to $500.0 million. Borrowings under the Revolving Credit Facility bear interest at a variable rate per annum equal to the applicable rate plus margin (as defined in the Amended Credit Agreement). Borrowings may be repaid at any time during the term of the Revolving Credit Facility and may be reborrowed prior to the maturity date, which is set to occur in May 2029. As of March 31, 2026, no borrowings were outstanding under the Credit Facilities, and the Company was in compliance with all covenants under the Amended Credit Agreement. As of May 6, 2026, the Revolving Credit Facility had remaining availability of $500.0 million.</w:t>
      </w:r>
    </w:p>
    <w:p>
      <w:pPr>
        <w:spacing w:after="0" w:line="189" w:lineRule="exact"/>
        <w:rPr>
          <w:sz w:val="20"/>
          <w:szCs w:val="20"/>
          <w:color w:val="auto"/>
        </w:rPr>
      </w:pPr>
    </w:p>
    <w:p>
      <w:pPr>
        <w:jc w:val="both"/>
        <w:ind w:firstLine="633"/>
        <w:spacing w:after="0" w:line="249" w:lineRule="auto"/>
        <w:rPr>
          <w:sz w:val="20"/>
          <w:szCs w:val="20"/>
          <w:color w:val="auto"/>
        </w:rPr>
      </w:pPr>
      <w:r>
        <w:rPr>
          <w:rFonts w:ascii="Times New Roman" w:cs="Times New Roman" w:eastAsia="Times New Roman" w:hAnsi="Times New Roman"/>
          <w:sz w:val="18"/>
          <w:szCs w:val="18"/>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requirements, purchases of capital assets, purchases of equipment, purchases of real property and purchases of shares of our common stock, through at least the next 12 months. Based on our current plans, we estimate that capital expenditures (exclusive of common stock repurchases) are likely to be less than $250.0 million through March 31, 2027. However, future business opportunities may cause a change in this estimate.</w:t>
      </w:r>
    </w:p>
    <w:p>
      <w:pPr>
        <w:spacing w:after="0" w:line="18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Purchases of inventories, increases in accounts receivable and other assets, acquisition of property and equipment (including real property, personal property, plant and manufacturing equipment,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summarizes our cash flows for the three-months ended March 31, 2026 and 2025 (in thousands):</w:t>
      </w:r>
    </w:p>
    <w:p>
      <w:pPr>
        <w:spacing w:after="0" w:line="215"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435"/>
        </w:trPr>
        <w:tc>
          <w:tcPr>
            <w:tcW w:w="3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2025</w:t>
            </w:r>
          </w:p>
        </w:tc>
      </w:tr>
      <w:tr>
        <w:trPr>
          <w:trHeight w:val="205"/>
        </w:trPr>
        <w:tc>
          <w:tcPr>
            <w:tcW w:w="36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Operating activities</w:t>
            </w:r>
          </w:p>
        </w:tc>
        <w:tc>
          <w:tcPr>
            <w:tcW w:w="2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604,986</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507,600</w:t>
            </w:r>
          </w:p>
        </w:tc>
      </w:tr>
      <w:tr>
        <w:trPr>
          <w:trHeight w:val="211"/>
        </w:trPr>
        <w:tc>
          <w:tcPr>
            <w:tcW w:w="3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(520,685)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(30,855)</w:t>
            </w:r>
          </w:p>
        </w:tc>
      </w:tr>
      <w:tr>
        <w:trPr>
          <w:trHeight w:val="211"/>
        </w:trPr>
        <w:tc>
          <w:tcPr>
            <w:tcW w:w="3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(118,120)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(145,585)</w:t>
            </w:r>
          </w:p>
        </w:tc>
      </w:tr>
    </w:tbl>
    <w:p>
      <w:pPr>
        <w:spacing w:after="0" w:line="191" w:lineRule="exact"/>
        <w:rPr>
          <w:sz w:val="20"/>
          <w:szCs w:val="20"/>
          <w:color w:val="auto"/>
        </w:rPr>
      </w:pPr>
    </w:p>
    <w:p>
      <w:pPr>
        <w:ind w:firstLine="633"/>
        <w:spacing w:after="0" w:line="336" w:lineRule="auto"/>
        <w:rPr>
          <w:sz w:val="20"/>
          <w:szCs w:val="20"/>
          <w:color w:val="auto"/>
        </w:rPr>
      </w:pPr>
      <w:r>
        <w:rPr>
          <w:rFonts w:ascii="Times New Roman" w:cs="Times New Roman" w:eastAsia="Times New Roman" w:hAnsi="Times New Roman"/>
          <w:sz w:val="16"/>
          <w:szCs w:val="16"/>
          <w:i w:val="1"/>
          <w:iCs w:val="1"/>
          <w:color w:val="auto"/>
        </w:rPr>
        <w:t xml:space="preserve">Cash flows provided by operating activities. </w:t>
      </w:r>
      <w:r>
        <w:rPr>
          <w:rFonts w:ascii="Times New Roman" w:cs="Times New Roman" w:eastAsia="Times New Roman" w:hAnsi="Times New Roman"/>
          <w:sz w:val="16"/>
          <w:szCs w:val="16"/>
          <w:color w:val="auto"/>
        </w:rPr>
        <w:t>Cash provided by operating activities was $605.0 million for the three-months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March 31, 2026, as compared with cash provided by operating activities of $507.6 million for the three-months ended March 31, 2025.</w:t>
      </w:r>
    </w:p>
    <w:p>
      <w:pPr>
        <w:spacing w:after="0" w:line="120"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For the three-months ended March 31, 2026, cash provided by operating activities was primarily attributable to net income earned of $569.5 million and adjustments for certain non-cash expenses, consisting primarily of $32.0 million of depreciation and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amortization and non-cash lease expense and $28.3 million of stock-based compensation. For the three-months ended March 31, 2026, cash provided by operating activities also increased due to a $164.7 million increase in accounts payable, an $87.0 million increase in accrued liabilities, an $83.4 million increase in income taxes payable, a $23.7 million increase in accrued promotional allowances, and a $23.4 million decrease in prepaid income taxes. For the three-months ended March 31, 2026, cash used in operating activities was primarily attributable to a $249.1 million increase in accounts receivable, a $70.6 million increase in prepaid expenses and other assets, a $45.5 million decrease in accrued compensation, and a $33.5 million increase in inventories.</w:t>
      </w:r>
    </w:p>
    <w:p>
      <w:pPr>
        <w:spacing w:after="0" w:line="189"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color w:val="auto"/>
        </w:rPr>
        <w:t>For the three-months ended March 31, 2025, cash provided by operating activities was primarily attributable to net income earned of $443.0 million and adjustments for certain non-cash expenses, consisting primarily of $28.9 million of depreciation and amortization and non-cash lease expense and $20.7 million of stock-based compensation. For the three-months ended March 31, 2025, cash provided by operating activities also increased due to a $61.7 million increase in income taxes payable, a $33.7 million increase in accrued liabilities, a $30.8 million increase in accrued promotional allowances, a $19.6 million decrease in inventories, an $11.9 million decrease in prepaid income taxes, and an $11.8 million increase in accounts payable. For the three-months ended March 31, 2025, cash used in operating activities was primarily attributable to a $109.6 million increase in accounts receivable, a $37.3 million decrease in accrued compensation, a $4.3 million decrease in deferred revenue, and a $4.0 million increase in prepaid expenses and other assets.</w:t>
      </w:r>
    </w:p>
    <w:p>
      <w:pPr>
        <w:spacing w:after="0" w:line="186" w:lineRule="exact"/>
        <w:rPr>
          <w:sz w:val="20"/>
          <w:szCs w:val="20"/>
          <w:color w:val="auto"/>
        </w:rPr>
      </w:pPr>
    </w:p>
    <w:p>
      <w:pPr>
        <w:jc w:val="both"/>
        <w:ind w:firstLine="633"/>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Cash used in investing activities was $520.7 million for the three-months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as compared to cash used in investing activities of $30.9 million for the three-months ended March 31, 2025.</w:t>
      </w:r>
    </w:p>
    <w:p>
      <w:pPr>
        <w:spacing w:after="0" w:line="166" w:lineRule="exact"/>
        <w:rPr>
          <w:sz w:val="20"/>
          <w:szCs w:val="20"/>
          <w:color w:val="auto"/>
        </w:rPr>
      </w:pPr>
    </w:p>
    <w:p>
      <w:pPr>
        <w:jc w:val="both"/>
        <w:ind w:firstLine="633"/>
        <w:spacing w:after="0" w:line="281" w:lineRule="auto"/>
        <w:rPr>
          <w:sz w:val="20"/>
          <w:szCs w:val="20"/>
          <w:color w:val="auto"/>
        </w:rPr>
      </w:pPr>
      <w:r>
        <w:rPr>
          <w:rFonts w:ascii="Times New Roman" w:cs="Times New Roman" w:eastAsia="Times New Roman" w:hAnsi="Times New Roman"/>
          <w:sz w:val="16"/>
          <w:szCs w:val="16"/>
          <w:color w:val="auto"/>
        </w:rPr>
        <w:t>For the three-months ended March 31, 2026, cash used in investing activities was primarily attributable to purchases of available-for-sale investments. To a lesser extent, for both the three-months ended March 31, 2026 and 2025,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equipment used for sales and administrative activities, certain leasehold improvements, as well as construction of and/or improvements to real property. For the three-months ended March 31, 2026, cash provided by investing activities was primarily attributable to sales of available-for-sale investments. We expect to continue to use a portion of our cash in excess of our requirements for operations to purchase short-term and long-term investments, leasehold improvements, and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376"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Cash flows used in financing activities. </w:t>
      </w:r>
      <w:r>
        <w:rPr>
          <w:rFonts w:ascii="Times New Roman" w:cs="Times New Roman" w:eastAsia="Times New Roman" w:hAnsi="Times New Roman"/>
          <w:sz w:val="18"/>
          <w:szCs w:val="18"/>
          <w:color w:val="auto"/>
        </w:rPr>
        <w:t>Cash used in financing activities was $118.1 million for the three-months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as compared to cash used in financing activities of $145.6 million for the three-months ended March 31, 2025. The cash used in financing activities for the three-months ended March 31, 2026 was primarily attributable to repurchases of our common stock. The cash used in financing activities for the three-months ended March 31, 2025 was primarily due to repayments on the Credit Facilities and, to a lesser extent, repurchases of our common stock. The cash provided by financing activities for both the three-months ended March 31, 2026 and 2025 was primarily attributable to the issuance of our common stock under our stock-based compensation plans.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following represents a summary of the Company’s contractual commitments and related scheduled maturities as of March 31,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7"/>
          </w:tcPr>
          <w:p>
            <w:pPr>
              <w:jc w:val="right"/>
              <w:ind w:right="292"/>
              <w:spacing w:after="0"/>
              <w:rPr>
                <w:sz w:val="20"/>
                <w:szCs w:val="20"/>
                <w:color w:val="auto"/>
              </w:rPr>
            </w:pPr>
            <w:r>
              <w:rPr>
                <w:rFonts w:ascii="Times New Roman" w:cs="Times New Roman" w:eastAsia="Times New Roman" w:hAnsi="Times New Roman"/>
                <w:sz w:val="18"/>
                <w:szCs w:val="18"/>
                <w:color w:val="auto"/>
              </w:rPr>
              <w:t>Payments due by period (in thousands)</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186"/>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gridSpan w:val="2"/>
          </w:tcPr>
          <w:p>
            <w:pPr>
              <w:jc w:val="right"/>
              <w:ind w:right="98"/>
              <w:spacing w:after="0" w:line="18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6"/>
                <w:szCs w:val="16"/>
                <w:color w:val="auto"/>
              </w:rPr>
            </w:pPr>
          </w:p>
        </w:tc>
        <w:tc>
          <w:tcPr>
            <w:tcW w:w="320" w:type="dxa"/>
            <w:vAlign w:val="bottom"/>
            <w:gridSpan w:val="2"/>
          </w:tcPr>
          <w:p>
            <w:pPr>
              <w:jc w:val="right"/>
              <w:ind w:right="38"/>
              <w:spacing w:after="0" w:line="18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2"/>
              <w:spacing w:after="0" w:line="186" w:lineRule="exact"/>
              <w:rPr>
                <w:sz w:val="20"/>
                <w:szCs w:val="20"/>
                <w:color w:val="auto"/>
              </w:rPr>
            </w:pPr>
            <w:r>
              <w:rPr>
                <w:rFonts w:ascii="Times New Roman" w:cs="Times New Roman" w:eastAsia="Times New Roman" w:hAnsi="Times New Roman"/>
                <w:sz w:val="18"/>
                <w:szCs w:val="18"/>
                <w:color w:val="auto"/>
              </w:rPr>
              <w:t>Less than</w:t>
            </w:r>
          </w:p>
        </w:tc>
        <w:tc>
          <w:tcPr>
            <w:tcW w:w="400" w:type="dxa"/>
            <w:vAlign w:val="bottom"/>
            <w:gridSpan w:val="2"/>
          </w:tcPr>
          <w:p>
            <w:pPr>
              <w:jc w:val="right"/>
              <w:ind w:right="98"/>
              <w:spacing w:after="0" w:line="18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2"/>
              <w:spacing w:after="0" w:line="186" w:lineRule="exact"/>
              <w:rPr>
                <w:sz w:val="20"/>
                <w:szCs w:val="20"/>
                <w:color w:val="auto"/>
              </w:rPr>
            </w:pPr>
            <w:r>
              <w:rPr>
                <w:rFonts w:ascii="Times New Roman" w:cs="Times New Roman" w:eastAsia="Times New Roman" w:hAnsi="Times New Roman"/>
                <w:sz w:val="18"/>
                <w:szCs w:val="18"/>
                <w:color w:val="auto"/>
              </w:rPr>
              <w:t>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tc>
        <w:tc>
          <w:tcPr>
            <w:tcW w:w="400" w:type="dxa"/>
            <w:vAlign w:val="bottom"/>
            <w:gridSpan w:val="2"/>
          </w:tcPr>
          <w:p>
            <w:pPr>
              <w:jc w:val="right"/>
              <w:ind w:right="98"/>
              <w:spacing w:after="0" w:line="18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52"/>
              <w:spacing w:after="0" w:line="186" w:lineRule="exact"/>
              <w:rPr>
                <w:sz w:val="20"/>
                <w:szCs w:val="20"/>
                <w:color w:val="auto"/>
              </w:rPr>
            </w:pPr>
            <w:r>
              <w:rPr>
                <w:rFonts w:ascii="Times New Roman" w:cs="Times New Roman" w:eastAsia="Times New Roman" w:hAnsi="Times New Roman"/>
                <w:sz w:val="18"/>
                <w:szCs w:val="18"/>
                <w:color w:val="auto"/>
              </w:rPr>
              <w:t>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w:t>
            </w:r>
          </w:p>
        </w:tc>
        <w:tc>
          <w:tcPr>
            <w:tcW w:w="300" w:type="dxa"/>
            <w:vAlign w:val="bottom"/>
            <w:gridSpan w:val="2"/>
          </w:tcPr>
          <w:p>
            <w:pPr>
              <w:jc w:val="right"/>
              <w:ind w:right="18"/>
              <w:spacing w:after="0" w:line="18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2"/>
              <w:spacing w:after="0" w:line="186" w:lineRule="exact"/>
              <w:rPr>
                <w:sz w:val="20"/>
                <w:szCs w:val="20"/>
                <w:color w:val="auto"/>
              </w:rPr>
            </w:pPr>
            <w:r>
              <w:rPr>
                <w:rFonts w:ascii="Times New Roman" w:cs="Times New Roman" w:eastAsia="Times New Roman" w:hAnsi="Times New Roman"/>
                <w:sz w:val="18"/>
                <w:szCs w:val="18"/>
                <w:color w:val="auto"/>
                <w:w w:val="99"/>
              </w:rPr>
              <w:t>More than</w:t>
            </w:r>
          </w:p>
        </w:tc>
      </w:tr>
      <w:tr>
        <w:trPr>
          <w:trHeight w:val="229"/>
        </w:trPr>
        <w:tc>
          <w:tcPr>
            <w:tcW w:w="20" w:type="dxa"/>
            <w:vAlign w:val="bottom"/>
          </w:tcPr>
          <w:p>
            <w:pPr>
              <w:spacing w:after="0"/>
              <w:rPr>
                <w:sz w:val="19"/>
                <w:szCs w:val="19"/>
                <w:color w:val="auto"/>
              </w:rPr>
            </w:pPr>
          </w:p>
        </w:tc>
        <w:tc>
          <w:tcPr>
            <w:tcW w:w="378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Obligations</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 year</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years</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years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 years</w:t>
            </w:r>
          </w:p>
        </w:tc>
      </w:tr>
      <w:tr>
        <w:trPr>
          <w:trHeight w:val="205"/>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Contractual Obligations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684,937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390,557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247,223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47,039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118</w:t>
            </w:r>
          </w:p>
        </w:tc>
      </w:tr>
      <w:tr>
        <w:trPr>
          <w:trHeight w:val="211"/>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r>
      <w:tr>
        <w:trPr>
          <w:trHeight w:val="211"/>
        </w:trPr>
        <w:tc>
          <w:tcPr>
            <w:tcW w:w="20" w:type="dxa"/>
            <w:vAlign w:val="bottom"/>
          </w:tcPr>
          <w:p>
            <w:pPr>
              <w:spacing w:after="0"/>
              <w:rPr>
                <w:sz w:val="18"/>
                <w:szCs w:val="18"/>
                <w:color w:val="auto"/>
              </w:rPr>
            </w:pPr>
          </w:p>
        </w:tc>
        <w:tc>
          <w:tcPr>
            <w:tcW w:w="3780" w:type="dxa"/>
            <w:vAlign w:val="bottom"/>
            <w:tcBorders>
              <w:bottom w:val="single" w:sz="8" w:color="CCEEFF"/>
            </w:tcBorders>
            <w:gridSpan w:val="2"/>
          </w:tcPr>
          <w:p>
            <w:pPr>
              <w:spacing w:after="0" w:line="211" w:lineRule="exact"/>
              <w:rPr>
                <w:sz w:val="20"/>
                <w:szCs w:val="20"/>
                <w:color w:val="auto"/>
              </w:rPr>
            </w:pPr>
            <w:r>
              <w:rPr>
                <w:rFonts w:ascii="Times New Roman" w:cs="Times New Roman" w:eastAsia="Times New Roman" w:hAnsi="Times New Roman"/>
                <w:sz w:val="16"/>
                <w:szCs w:val="16"/>
                <w:color w:val="auto"/>
              </w:rPr>
              <w:t>Purchase Commitments</w:t>
            </w:r>
            <w:r>
              <w:rPr>
                <w:rFonts w:ascii="Times New Roman" w:cs="Times New Roman" w:eastAsia="Times New Roman" w:hAnsi="Times New Roman"/>
                <w:sz w:val="24"/>
                <w:szCs w:val="24"/>
                <w:color w:val="auto"/>
                <w:vertAlign w:val="superscript"/>
              </w:rPr>
              <w:t>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207,992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187,450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20" w:type="dxa"/>
            <w:vAlign w:val="bottom"/>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987,398</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601,018</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304,405</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74,640</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7,335</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5"/>
        </w:trPr>
        <w:tc>
          <w:tcPr>
            <w:tcW w:w="2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1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6"/>
          <w:szCs w:val="16"/>
          <w:i w:val="1"/>
          <w:iCs w:val="1"/>
          <w:color w:val="auto"/>
        </w:rPr>
        <w:t>Contractual obligations include our obligations related to sponsorships and other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vertAlign w:val="superscript"/>
        </w:rPr>
        <w:t>2</w:t>
      </w:r>
      <w:r>
        <w:rPr>
          <w:rFonts w:ascii="Times New Roman" w:cs="Times New Roman" w:eastAsia="Times New Roman" w:hAnsi="Times New Roman"/>
          <w:sz w:val="15"/>
          <w:szCs w:val="15"/>
          <w:i w:val="1"/>
          <w:iCs w:val="1"/>
          <w:color w:val="auto"/>
        </w:rPr>
        <w:t>Purchase commitments include obligations made by us and our subsidiaries to various suppliers for raw materials used in the production of our products.</w:t>
      </w:r>
    </w:p>
    <w:p>
      <w:pPr>
        <w:ind w:left="60"/>
        <w:spacing w:after="0"/>
        <w:rPr>
          <w:sz w:val="20"/>
          <w:szCs w:val="20"/>
          <w:color w:val="auto"/>
        </w:rPr>
      </w:pPr>
      <w:r>
        <w:rPr>
          <w:rFonts w:ascii="Times New Roman" w:cs="Times New Roman" w:eastAsia="Times New Roman" w:hAnsi="Times New Roman"/>
          <w:sz w:val="16"/>
          <w:szCs w:val="16"/>
          <w:i w:val="1"/>
          <w:iCs w:val="1"/>
          <w:color w:val="auto"/>
        </w:rPr>
        <w:t>These obligations vary in terms but are generally satisfied within one year.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In addition, approximately $3.6 million of unrecognized tax benefits have been recorded as liabilities as of March 31, 2026. As of March 31, 2026, we had $1.0 million of accrued interest and penalties related to unrecognized tax benefits.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91"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2025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7"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Notes to Condensed Consolidated Financial Statements - Note 1. Recent Accounting Pronouncements, in Part I, Item 1, of this Quarterly Report on Form 10-Q.</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inflation did not have a significant impact on our results of operations for the three-months ended March 31,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91" w:lineRule="exact"/>
        <w:rPr>
          <w:sz w:val="20"/>
          <w:szCs w:val="20"/>
          <w:color w:val="auto"/>
        </w:rPr>
      </w:pPr>
    </w:p>
    <w:p>
      <w:pPr>
        <w:jc w:val="both"/>
        <w:ind w:firstLine="633"/>
        <w:spacing w:after="0" w:line="247" w:lineRule="auto"/>
        <w:rPr>
          <w:sz w:val="20"/>
          <w:szCs w:val="20"/>
          <w:color w:val="auto"/>
        </w:rPr>
      </w:pPr>
      <w:r>
        <w:rPr>
          <w:rFonts w:ascii="Times New Roman" w:cs="Times New Roman" w:eastAsia="Times New Roman" w:hAnsi="Times New Roman"/>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and adequacy of funds from operations and the Revolving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spacing w:after="0" w:line="151" w:lineRule="exact"/>
        <w:rPr>
          <w:sz w:val="20"/>
          <w:szCs w:val="20"/>
          <w:color w:val="auto"/>
        </w:rPr>
      </w:pPr>
    </w:p>
    <w:p>
      <w:pPr>
        <w:jc w:val="both"/>
        <w:ind w:right="20" w:firstLine="633"/>
        <w:spacing w:after="0" w:line="257" w:lineRule="auto"/>
        <w:rPr>
          <w:sz w:val="20"/>
          <w:szCs w:val="20"/>
          <w:color w:val="auto"/>
        </w:rPr>
      </w:pPr>
      <w:r>
        <w:rPr>
          <w:rFonts w:ascii="Times New Roman" w:cs="Times New Roman" w:eastAsia="Times New Roman" w:hAnsi="Times New Roman"/>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40" w:lineRule="exact"/>
        <w:rPr>
          <w:sz w:val="20"/>
          <w:szCs w:val="20"/>
          <w:color w:val="auto"/>
        </w:rPr>
      </w:pPr>
    </w:p>
    <w:p>
      <w:pPr>
        <w:ind w:left="660" w:right="20" w:hanging="311"/>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and/or surpass the current level of sales of our products, to adapt to changing consumer preferences, and to effectively respond to competitive products and pricing pressures;</w:t>
      </w:r>
    </w:p>
    <w:p>
      <w:pPr>
        <w:spacing w:after="0" w:line="1" w:lineRule="exact"/>
        <w:rPr>
          <w:rFonts w:ascii="Times New Roman" w:cs="Times New Roman" w:eastAsia="Times New Roman" w:hAnsi="Times New Roman"/>
          <w:sz w:val="18"/>
          <w:szCs w:val="18"/>
          <w:color w:val="auto"/>
        </w:rPr>
      </w:pPr>
    </w:p>
    <w:p>
      <w:pPr>
        <w:ind w:left="660" w:right="20" w:hanging="311"/>
        <w:spacing w:after="0" w:line="24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strategy, including expanding our business in existing and new sectors and achieving profitability within our Alcohol Brands segment;</w:t>
      </w:r>
    </w:p>
    <w:p>
      <w:pPr>
        <w:spacing w:after="0" w:line="1" w:lineRule="exact"/>
        <w:rPr>
          <w:rFonts w:ascii="Times New Roman" w:cs="Times New Roman" w:eastAsia="Times New Roman" w:hAnsi="Times New Roman"/>
          <w:sz w:val="18"/>
          <w:szCs w:val="18"/>
          <w:color w:val="auto"/>
        </w:rPr>
      </w:pPr>
    </w:p>
    <w:p>
      <w:pPr>
        <w:ind w:left="660" w:hanging="311"/>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changing retail landscape with the rapid growth in e-commerce retailers and e-commerce websites;</w:t>
      </w:r>
    </w:p>
    <w:p>
      <w:pPr>
        <w:spacing w:after="0" w:line="4" w:lineRule="exact"/>
        <w:rPr>
          <w:rFonts w:ascii="Times New Roman" w:cs="Times New Roman" w:eastAsia="Times New Roman" w:hAnsi="Times New Roman"/>
          <w:sz w:val="18"/>
          <w:szCs w:val="18"/>
          <w:color w:val="auto"/>
        </w:rPr>
      </w:pPr>
    </w:p>
    <w:p>
      <w:pPr>
        <w:ind w:left="660" w:right="20" w:hanging="311"/>
        <w:spacing w:after="0" w:line="24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absorb, reduce or pass on to our bottlers/distributors increases in costs and expenses, including, but not limited to, increases to the cost of aluminum and other raw materials, the Midwest Premium, and freight costs;</w:t>
      </w:r>
    </w:p>
    <w:p>
      <w:pPr>
        <w:spacing w:after="0" w:line="1" w:lineRule="exact"/>
        <w:rPr>
          <w:rFonts w:ascii="Times New Roman" w:cs="Times New Roman" w:eastAsia="Times New Roman" w:hAnsi="Times New Roman"/>
          <w:sz w:val="18"/>
          <w:szCs w:val="18"/>
          <w:color w:val="auto"/>
        </w:rPr>
      </w:pPr>
    </w:p>
    <w:p>
      <w:pPr>
        <w:ind w:left="660" w:right="20" w:hanging="311"/>
        <w:spacing w:after="0" w:line="24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U.S. presidential administration’s policies on our energy drinks due to concerns about sugar-sweetened beverages, particular ingredients, such as food dyes, and the “generally recognized as safe” (GRAS) process;</w:t>
      </w:r>
    </w:p>
    <w:p>
      <w:pPr>
        <w:spacing w:after="0" w:line="1" w:lineRule="exact"/>
        <w:rPr>
          <w:rFonts w:ascii="Times New Roman" w:cs="Times New Roman" w:eastAsia="Times New Roman" w:hAnsi="Times New Roman"/>
          <w:sz w:val="18"/>
          <w:szCs w:val="18"/>
          <w:color w:val="auto"/>
        </w:rPr>
      </w:pPr>
    </w:p>
    <w:p>
      <w:pPr>
        <w:jc w:val="both"/>
        <w:ind w:left="660" w:hanging="311"/>
        <w:spacing w:after="0" w:line="24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proposed or adopted domestic and/or foreign legislation to limit or restrict the sale of energy drinks (including the prohibition of the sale of energy drinks to certain demographics, at certain establishments, in certain container sizes or pursuant to certain governmental programs, such as the Supplemental Nutrition Assistance Program (SNAP));</w:t>
      </w:r>
    </w:p>
    <w:p>
      <w:pPr>
        <w:spacing w:after="0" w:line="1" w:lineRule="exact"/>
        <w:rPr>
          <w:rFonts w:ascii="Times New Roman" w:cs="Times New Roman" w:eastAsia="Times New Roman" w:hAnsi="Times New Roman"/>
          <w:sz w:val="18"/>
          <w:szCs w:val="18"/>
          <w:color w:val="auto"/>
        </w:rPr>
      </w:pPr>
    </w:p>
    <w:p>
      <w:pPr>
        <w:ind w:left="660" w:hanging="311"/>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U.S. trade policies, including the imposition of additional tariffs;</w:t>
      </w:r>
    </w:p>
    <w:p>
      <w:pPr>
        <w:spacing w:after="0" w:line="4" w:lineRule="exact"/>
        <w:rPr>
          <w:rFonts w:ascii="Times New Roman" w:cs="Times New Roman" w:eastAsia="Times New Roman" w:hAnsi="Times New Roman"/>
          <w:sz w:val="18"/>
          <w:szCs w:val="18"/>
          <w:color w:val="auto"/>
        </w:rPr>
      </w:pPr>
    </w:p>
    <w:p>
      <w:pPr>
        <w:ind w:left="660" w:hanging="311"/>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changes in our costs, supply chain, inflation or consumer demand for our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60" w:hanging="311"/>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and/or increased excise sales and/or other taxes on our products;</w:t>
      </w:r>
    </w:p>
    <w:p>
      <w:pPr>
        <w:spacing w:after="0" w:line="21" w:lineRule="exact"/>
        <w:rPr>
          <w:rFonts w:ascii="Times New Roman" w:cs="Times New Roman" w:eastAsia="Times New Roman" w:hAnsi="Times New Roman"/>
          <w:sz w:val="18"/>
          <w:szCs w:val="18"/>
          <w:color w:val="auto"/>
        </w:rPr>
      </w:pPr>
    </w:p>
    <w:p>
      <w:pPr>
        <w:ind w:left="660" w:right="20" w:hanging="311"/>
        <w:spacing w:after="0" w:line="24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extensive commercial arrangements with The Coca-Cola Company (TCCC) and, as a result, our future performance’s substantial dependence on the success of our relationship with TCCC;</w:t>
      </w:r>
    </w:p>
    <w:p>
      <w:pPr>
        <w:spacing w:after="0" w:line="1" w:lineRule="exact"/>
        <w:rPr>
          <w:rFonts w:ascii="Times New Roman" w:cs="Times New Roman" w:eastAsia="Times New Roman" w:hAnsi="Times New Roman"/>
          <w:sz w:val="18"/>
          <w:szCs w:val="18"/>
          <w:color w:val="auto"/>
        </w:rPr>
      </w:pPr>
    </w:p>
    <w:p>
      <w:pPr>
        <w:jc w:val="both"/>
        <w:ind w:left="660" w:right="20" w:hanging="311"/>
        <w:spacing w:after="0" w:line="275" w:lineRule="auto"/>
        <w:tabs>
          <w:tab w:leader="none" w:pos="6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unilateral decisions by bottlers/distributors and/or retailers on our business, including their distribution and placement of our products, their consolidation, their discontinuation, or restriction of the range of, all or any of our products that they carry, their limitations on the sale or sizes of our products and/or their allocation of less resources to the sale of our products;</w:t>
      </w:r>
    </w:p>
    <w:p>
      <w:pPr>
        <w:ind w:left="660" w:right="20" w:hanging="311"/>
        <w:spacing w:after="0" w:line="24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 and/or availability of raw materials and other supply chain issues, such as the availability of products, suitable production facilities and/or co-packing arrangements;</w:t>
      </w:r>
    </w:p>
    <w:p>
      <w:pPr>
        <w:spacing w:after="0" w:line="1" w:lineRule="exact"/>
        <w:rPr>
          <w:rFonts w:ascii="Times New Roman" w:cs="Times New Roman" w:eastAsia="Times New Roman" w:hAnsi="Times New Roman"/>
          <w:sz w:val="18"/>
          <w:szCs w:val="18"/>
          <w:color w:val="auto"/>
        </w:rPr>
      </w:pPr>
    </w:p>
    <w:p>
      <w:pPr>
        <w:ind w:left="660" w:hanging="311"/>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recalls of our products and/or the consequences and costs of defective production;</w:t>
      </w:r>
    </w:p>
    <w:p>
      <w:pPr>
        <w:spacing w:after="0" w:line="4" w:lineRule="exact"/>
        <w:rPr>
          <w:rFonts w:ascii="Times New Roman" w:cs="Times New Roman" w:eastAsia="Times New Roman" w:hAnsi="Times New Roman"/>
          <w:sz w:val="18"/>
          <w:szCs w:val="18"/>
          <w:color w:val="auto"/>
        </w:rPr>
      </w:pPr>
    </w:p>
    <w:p>
      <w:pPr>
        <w:ind w:left="660" w:right="20" w:hanging="311"/>
        <w:spacing w:after="0" w:line="24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manufacturing facilities and operations related to climate, labor, production difficulties, capacity limitations, regulations or other causes;</w:t>
      </w:r>
    </w:p>
    <w:p>
      <w:pPr>
        <w:spacing w:after="0" w:line="1" w:lineRule="exact"/>
        <w:rPr>
          <w:rFonts w:ascii="Times New Roman" w:cs="Times New Roman" w:eastAsia="Times New Roman" w:hAnsi="Times New Roman"/>
          <w:sz w:val="18"/>
          <w:szCs w:val="18"/>
          <w:color w:val="auto"/>
        </w:rPr>
      </w:pPr>
    </w:p>
    <w:p>
      <w:pPr>
        <w:ind w:left="660" w:right="20" w:hanging="311"/>
        <w:spacing w:after="0" w:line="24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and/or lack of effectiveness of our information technology systems, including internal and external cybersecurity threats and breaches;</w:t>
      </w:r>
    </w:p>
    <w:p>
      <w:pPr>
        <w:spacing w:after="0" w:line="1" w:lineRule="exact"/>
        <w:rPr>
          <w:rFonts w:ascii="Times New Roman" w:cs="Times New Roman" w:eastAsia="Times New Roman" w:hAnsi="Times New Roman"/>
          <w:sz w:val="18"/>
          <w:szCs w:val="18"/>
          <w:color w:val="auto"/>
        </w:rPr>
      </w:pPr>
    </w:p>
    <w:p>
      <w:pPr>
        <w:ind w:left="660" w:right="20" w:hanging="311"/>
        <w:spacing w:after="0" w:line="24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surrounding obesity, alcohol consumption and other health concerns related to our products, product safety and quality;</w:t>
      </w:r>
    </w:p>
    <w:p>
      <w:pPr>
        <w:spacing w:after="0" w:line="1" w:lineRule="exact"/>
        <w:rPr>
          <w:rFonts w:ascii="Times New Roman" w:cs="Times New Roman" w:eastAsia="Times New Roman" w:hAnsi="Times New Roman"/>
          <w:sz w:val="18"/>
          <w:szCs w:val="18"/>
          <w:color w:val="auto"/>
        </w:rPr>
      </w:pPr>
    </w:p>
    <w:p>
      <w:pPr>
        <w:ind w:left="660" w:hanging="311"/>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resulting from legal or regulatory proceedings, government investigations, and/or injunctions;</w:t>
      </w:r>
    </w:p>
    <w:p>
      <w:pPr>
        <w:spacing w:after="0" w:line="4" w:lineRule="exact"/>
        <w:rPr>
          <w:rFonts w:ascii="Times New Roman" w:cs="Times New Roman" w:eastAsia="Times New Roman" w:hAnsi="Times New Roman"/>
          <w:sz w:val="18"/>
          <w:szCs w:val="18"/>
          <w:color w:val="auto"/>
        </w:rPr>
      </w:pPr>
    </w:p>
    <w:p>
      <w:pPr>
        <w:ind w:left="660" w:hanging="311"/>
        <w:spacing w:after="0" w:line="24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operational risks, including the abuse or misuse of our products, presented by the alcoholic beverage industry and/or related claims that may not be adequately covered by insurance or may lead to litigation;</w:t>
      </w:r>
    </w:p>
    <w:p>
      <w:pPr>
        <w:spacing w:after="0" w:line="1" w:lineRule="exact"/>
        <w:rPr>
          <w:rFonts w:ascii="Times New Roman" w:cs="Times New Roman" w:eastAsia="Times New Roman" w:hAnsi="Times New Roman"/>
          <w:sz w:val="18"/>
          <w:szCs w:val="18"/>
          <w:color w:val="auto"/>
        </w:rPr>
      </w:pPr>
    </w:p>
    <w:p>
      <w:pPr>
        <w:ind w:left="660" w:right="20" w:hanging="311"/>
        <w:spacing w:after="0" w:line="24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uncertainty and volatility in the national and global economy and changes in demand due to such economic conditions, including a slowdown in consumer spending generally; and</w:t>
      </w:r>
    </w:p>
    <w:p>
      <w:pPr>
        <w:spacing w:after="0" w:line="1" w:lineRule="exact"/>
        <w:rPr>
          <w:rFonts w:ascii="Times New Roman" w:cs="Times New Roman" w:eastAsia="Times New Roman" w:hAnsi="Times New Roman"/>
          <w:sz w:val="18"/>
          <w:szCs w:val="18"/>
          <w:color w:val="auto"/>
        </w:rPr>
      </w:pPr>
    </w:p>
    <w:p>
      <w:pPr>
        <w:ind w:left="660" w:right="20" w:hanging="311"/>
        <w:spacing w:after="0" w:line="24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military and geopolitical conflicts, including supply chain disruptions, volatility in commodity prices, increased economic uncertainty and escalating geopolitical tensions.</w:t>
      </w:r>
    </w:p>
    <w:p>
      <w:pPr>
        <w:spacing w:after="0" w:line="146" w:lineRule="exact"/>
        <w:rPr>
          <w:sz w:val="20"/>
          <w:szCs w:val="20"/>
          <w:color w:val="auto"/>
        </w:rPr>
      </w:pPr>
    </w:p>
    <w:p>
      <w:pPr>
        <w:jc w:val="both"/>
        <w:ind w:firstLine="633"/>
        <w:spacing w:after="0" w:line="282" w:lineRule="auto"/>
        <w:rPr>
          <w:sz w:val="20"/>
          <w:szCs w:val="20"/>
          <w:color w:val="auto"/>
        </w:rPr>
      </w:pPr>
      <w:r>
        <w:rPr>
          <w:rFonts w:ascii="Times New Roman" w:cs="Times New Roman" w:eastAsia="Times New Roman" w:hAnsi="Times New Roman"/>
          <w:sz w:val="16"/>
          <w:szCs w:val="16"/>
          <w:color w:val="auto"/>
        </w:rPr>
        <w:t>The foregoing list of important factors and other risks detailed from time to time in our reports filed with the SEC is not exhaustive. See “Part II,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91"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There have been no material changes in our market risks during the three-months ended March 31, 2026 compared with the disclosures in Part II, Item 7A of our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jc w:val="both"/>
        <w:ind w:firstLine="633"/>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 Under the supervision and with the participation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49" w:lineRule="exact"/>
        <w:rPr>
          <w:sz w:val="20"/>
          <w:szCs w:val="20"/>
          <w:color w:val="auto"/>
        </w:rPr>
      </w:pPr>
    </w:p>
    <w:p>
      <w:pPr>
        <w:jc w:val="both"/>
        <w:ind w:firstLine="633"/>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 There were no changes in the Company’s internal controls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17"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Notes to Condensed Consolidated Financial Statements - Note 10. Commitments and Contingencies: Litigation in Part I, Item 1, of this Quarterly Report on Form 10-Q.</w:t>
      </w:r>
    </w:p>
    <w:p>
      <w:pPr>
        <w:spacing w:after="0" w:line="16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77" w:lineRule="exact"/>
        <w:rPr>
          <w:sz w:val="20"/>
          <w:szCs w:val="20"/>
          <w:color w:val="auto"/>
        </w:rPr>
      </w:pPr>
    </w:p>
    <w:p>
      <w:pPr>
        <w:jc w:val="both"/>
        <w:ind w:firstLine="633"/>
        <w:spacing w:after="0" w:line="286" w:lineRule="auto"/>
        <w:rPr>
          <w:sz w:val="20"/>
          <w:szCs w:val="20"/>
          <w:color w:val="auto"/>
        </w:rPr>
      </w:pPr>
      <w:r>
        <w:rPr>
          <w:rFonts w:ascii="Times New Roman" w:cs="Times New Roman" w:eastAsia="Times New Roman" w:hAnsi="Times New Roman"/>
          <w:sz w:val="16"/>
          <w:szCs w:val="16"/>
          <w:color w:val="auto"/>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If any of these risks occur or continue to occur, our business, reputation, financial condition and/or operating results could be materially adversely affected. We also note that the risk factors described in this report and our Form 10-K are not the only risks facing our Company, and such additional risks or uncertainties that we currently deem to be immaterial or are unknown to us could negatively impact our business, operations, or financial results.</w:t>
      </w:r>
    </w:p>
    <w:p>
      <w:pPr>
        <w:spacing w:after="0" w:line="16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17" w:lineRule="exact"/>
        <w:rPr>
          <w:sz w:val="20"/>
          <w:szCs w:val="20"/>
          <w:color w:val="auto"/>
        </w:rPr>
      </w:pPr>
    </w:p>
    <w:p>
      <w:pPr>
        <w:jc w:val="both"/>
        <w:ind w:firstLine="633"/>
        <w:spacing w:after="0" w:line="250" w:lineRule="auto"/>
        <w:rPr>
          <w:sz w:val="20"/>
          <w:szCs w:val="20"/>
          <w:color w:val="auto"/>
        </w:rPr>
      </w:pPr>
      <w:r>
        <w:rPr>
          <w:rFonts w:ascii="Times New Roman" w:cs="Times New Roman" w:eastAsia="Times New Roman" w:hAnsi="Times New Roman"/>
          <w:sz w:val="18"/>
          <w:szCs w:val="18"/>
          <w:color w:val="auto"/>
        </w:rPr>
        <w:t>On August 19, 2024, the Company’s Board of Directors authorized a share repurchase program for the purchase of up to an additional $500.0 million of the Company’s outstanding common stock (the “August 2024 Repurchase Plan”). During the three-months ended March 31, 2026, the Company purchased approximately 1.4 million shares of its common stock at an average purchase price of $73.86 per share, for a total amount of approximately $100.0 million under the August 2024 Repurchase Plan. As of May 6, 2026, approximately $400.0 million remained available for repurchase under the August 2024 Repurchase Plan.</w:t>
      </w:r>
    </w:p>
    <w:p>
      <w:pPr>
        <w:spacing w:after="0" w:line="188" w:lineRule="exact"/>
        <w:rPr>
          <w:sz w:val="20"/>
          <w:szCs w:val="20"/>
          <w:color w:val="auto"/>
        </w:rPr>
      </w:pPr>
    </w:p>
    <w:p>
      <w:pPr>
        <w:jc w:val="both"/>
        <w:ind w:firstLine="633"/>
        <w:spacing w:after="0" w:line="269" w:lineRule="auto"/>
        <w:rPr>
          <w:sz w:val="20"/>
          <w:szCs w:val="20"/>
          <w:color w:val="auto"/>
        </w:rPr>
      </w:pPr>
      <w:r>
        <w:rPr>
          <w:rFonts w:ascii="Times New Roman" w:cs="Times New Roman" w:eastAsia="Times New Roman" w:hAnsi="Times New Roman"/>
          <w:sz w:val="18"/>
          <w:szCs w:val="18"/>
          <w:color w:val="auto"/>
        </w:rPr>
        <w:t>The aggregate amount of the Company’s outstanding common stock that remains available for repurchase under all previously authorized repurchase plans is approximately $400.0 million as of May 6, 2026.</w:t>
      </w:r>
    </w:p>
    <w:p>
      <w:pPr>
        <w:spacing w:after="0" w:line="169" w:lineRule="exact"/>
        <w:rPr>
          <w:sz w:val="20"/>
          <w:szCs w:val="20"/>
          <w:color w:val="auto"/>
        </w:rPr>
      </w:pPr>
    </w:p>
    <w:p>
      <w:pPr>
        <w:jc w:val="both"/>
        <w:ind w:firstLine="633"/>
        <w:spacing w:after="0" w:line="253" w:lineRule="auto"/>
        <w:rPr>
          <w:sz w:val="20"/>
          <w:szCs w:val="20"/>
          <w:color w:val="auto"/>
        </w:rPr>
      </w:pPr>
      <w:r>
        <w:rPr>
          <w:rFonts w:ascii="Times New Roman" w:cs="Times New Roman" w:eastAsia="Times New Roman" w:hAnsi="Times New Roman"/>
          <w:sz w:val="18"/>
          <w:szCs w:val="18"/>
          <w:color w:val="auto"/>
        </w:rPr>
        <w:t>During the three-months ended March 31, 2026, 0.4 million shares of common stock were purchased from employees in lieu of cash payments for options exercised or withholding taxes due for a total amount of $33.9 million. While such purchases are considered common stock repurchases, they are not counted as purchases against the Company’s authorized share repurchase programs. Such shares are included in common stock in treasury in the accompanying condensed consolidated balance sheet at March 31, 2026.</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tabular summary reflects the Company’s repurchase activity during the quarter ended March 31,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​​​Maximum Number (or</w:t>
            </w:r>
          </w:p>
        </w:tc>
      </w:tr>
      <w:tr>
        <w:trPr>
          <w:trHeight w:val="211"/>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Approximate Dollar</w:t>
            </w:r>
          </w:p>
        </w:tc>
      </w:tr>
      <w:tr>
        <w:trPr>
          <w:trHeight w:val="211"/>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5"/>
              </w:rPr>
              <w:t>Value) of Shares that</w:t>
            </w:r>
          </w:p>
        </w:tc>
      </w:tr>
      <w:tr>
        <w:trPr>
          <w:trHeight w:val="211"/>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Shares Purchased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May Yet Be Purchased</w:t>
            </w:r>
          </w:p>
        </w:tc>
      </w:tr>
      <w:tr>
        <w:trPr>
          <w:trHeight w:val="211"/>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Total Number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 Part of Publicly</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Under the Plans or</w:t>
            </w:r>
          </w:p>
        </w:tc>
      </w:tr>
      <w:tr>
        <w:trPr>
          <w:trHeight w:val="203"/>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12"/>
              <w:spacing w:after="0" w:line="203" w:lineRule="exact"/>
              <w:rPr>
                <w:sz w:val="20"/>
                <w:szCs w:val="20"/>
                <w:color w:val="auto"/>
              </w:rPr>
            </w:pPr>
            <w:r>
              <w:rPr>
                <w:rFonts w:ascii="Times New Roman" w:cs="Times New Roman" w:eastAsia="Times New Roman" w:hAnsi="Times New Roman"/>
                <w:sz w:val="18"/>
                <w:szCs w:val="18"/>
                <w:color w:val="auto"/>
              </w:rPr>
              <w:t>of Shares</w:t>
            </w:r>
          </w:p>
        </w:tc>
        <w:tc>
          <w:tcPr>
            <w:tcW w:w="180" w:type="dxa"/>
            <w:vAlign w:val="bottom"/>
          </w:tcPr>
          <w:p>
            <w:pPr>
              <w:spacing w:after="0"/>
              <w:rPr>
                <w:sz w:val="17"/>
                <w:szCs w:val="17"/>
                <w:color w:val="auto"/>
              </w:rPr>
            </w:pPr>
          </w:p>
        </w:tc>
        <w:tc>
          <w:tcPr>
            <w:tcW w:w="104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w w:val="97"/>
              </w:rPr>
              <w:t>Average Price</w:t>
            </w:r>
          </w:p>
        </w:tc>
        <w:tc>
          <w:tcPr>
            <w:tcW w:w="180" w:type="dxa"/>
            <w:vAlign w:val="bottom"/>
          </w:tcPr>
          <w:p>
            <w:pPr>
              <w:spacing w:after="0"/>
              <w:rPr>
                <w:sz w:val="17"/>
                <w:szCs w:val="17"/>
                <w:color w:val="auto"/>
              </w:rPr>
            </w:pPr>
          </w:p>
        </w:tc>
        <w:tc>
          <w:tcPr>
            <w:tcW w:w="136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Announced Plans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center"/>
              <w:ind w:right="32"/>
              <w:spacing w:after="0" w:line="203" w:lineRule="exact"/>
              <w:rPr>
                <w:sz w:val="20"/>
                <w:szCs w:val="20"/>
                <w:color w:val="auto"/>
              </w:rPr>
            </w:pPr>
            <w:r>
              <w:rPr>
                <w:rFonts w:ascii="Times New Roman" w:cs="Times New Roman" w:eastAsia="Times New Roman" w:hAnsi="Times New Roman"/>
                <w:sz w:val="18"/>
                <w:szCs w:val="18"/>
                <w:color w:val="auto"/>
                <w:w w:val="98"/>
              </w:rPr>
              <w:t>Programs</w:t>
            </w:r>
          </w:p>
        </w:tc>
      </w:tr>
      <w:tr>
        <w:trPr>
          <w:trHeight w:val="237"/>
        </w:trPr>
        <w:tc>
          <w:tcPr>
            <w:tcW w:w="4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220" w:type="dxa"/>
            <w:vAlign w:val="bottom"/>
            <w:gridSpan w:val="2"/>
          </w:tcPr>
          <w:p>
            <w:pPr>
              <w:jc w:val="right"/>
              <w:ind w:right="32"/>
              <w:spacing w:after="0" w:line="237" w:lineRule="exact"/>
              <w:rPr>
                <w:sz w:val="20"/>
                <w:szCs w:val="20"/>
                <w:color w:val="auto"/>
              </w:rPr>
            </w:pPr>
            <w:r>
              <w:rPr>
                <w:rFonts w:ascii="Times New Roman" w:cs="Times New Roman" w:eastAsia="Times New Roman" w:hAnsi="Times New Roman"/>
                <w:sz w:val="18"/>
                <w:szCs w:val="18"/>
                <w:color w:val="auto"/>
              </w:rPr>
              <w:t>​​​ Purchased</w:t>
            </w:r>
            <w:r>
              <w:rPr>
                <w:rFonts w:ascii="Times New Roman" w:cs="Times New Roman" w:eastAsia="Times New Roman" w:hAnsi="Times New Roman"/>
                <w:sz w:val="26"/>
                <w:szCs w:val="26"/>
                <w:color w:val="auto"/>
                <w:vertAlign w:val="superscript"/>
              </w:rPr>
              <w:t>1</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99"/>
              </w:rPr>
              <w:t>per Share</w:t>
            </w:r>
          </w:p>
        </w:tc>
        <w:tc>
          <w:tcPr>
            <w:tcW w:w="1540" w:type="dxa"/>
            <w:vAlign w:val="bottom"/>
            <w:gridSpan w:val="2"/>
          </w:tcPr>
          <w:p>
            <w:pPr>
              <w:ind w:left="80"/>
              <w:spacing w:after="0" w:line="237" w:lineRule="exact"/>
              <w:rPr>
                <w:sz w:val="20"/>
                <w:szCs w:val="20"/>
                <w:color w:val="auto"/>
              </w:rPr>
            </w:pPr>
            <w:r>
              <w:rPr>
                <w:rFonts w:ascii="Times New Roman" w:cs="Times New Roman" w:eastAsia="Times New Roman" w:hAnsi="Times New Roman"/>
                <w:sz w:val="18"/>
                <w:szCs w:val="18"/>
                <w:color w:val="auto"/>
              </w:rPr>
              <w:t>​​​  or Programs</w:t>
            </w:r>
            <w:r>
              <w:rPr>
                <w:rFonts w:ascii="Times New Roman" w:cs="Times New Roman" w:eastAsia="Times New Roman" w:hAnsi="Times New Roman"/>
                <w:sz w:val="26"/>
                <w:szCs w:val="26"/>
                <w:color w:val="auto"/>
                <w:vertAlign w:val="superscript"/>
              </w:rPr>
              <w:t>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8"/>
              </w:rPr>
              <w:t>(In thousands)</w:t>
            </w:r>
          </w:p>
        </w:tc>
      </w:tr>
      <w:tr>
        <w:trPr>
          <w:trHeight w:val="204"/>
        </w:trPr>
        <w:tc>
          <w:tcPr>
            <w:tcW w:w="20" w:type="dxa"/>
            <w:vAlign w:val="bottom"/>
          </w:tcPr>
          <w:p>
            <w:pPr>
              <w:spacing w:after="0"/>
              <w:rPr>
                <w:sz w:val="17"/>
                <w:szCs w:val="17"/>
                <w:color w:val="auto"/>
              </w:rPr>
            </w:pPr>
          </w:p>
        </w:tc>
        <w:tc>
          <w:tcPr>
            <w:tcW w:w="4040" w:type="dxa"/>
            <w:vAlign w:val="bottom"/>
            <w:tcBorders>
              <w:top w:val="single" w:sz="8" w:color="auto"/>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Jan 1 – Jan 31, 2026</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500,000</w:t>
            </w:r>
          </w:p>
        </w:tc>
      </w:tr>
      <w:tr>
        <w:trPr>
          <w:trHeight w:val="211"/>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 1 – Feb 28, 2026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1"/>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 1 – Mar 31, 2026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1,793,100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1,353,991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04"/>
        </w:trPr>
        <w:tc>
          <w:tcPr>
            <w:tcW w:w="20" w:type="dxa"/>
            <w:vAlign w:val="bottom"/>
          </w:tcPr>
          <w:p>
            <w:pPr>
              <w:spacing w:after="0"/>
              <w:rPr>
                <w:sz w:val="17"/>
                <w:szCs w:val="17"/>
                <w:color w:val="auto"/>
              </w:rPr>
            </w:pPr>
          </w:p>
        </w:tc>
        <w:tc>
          <w:tcPr>
            <w:tcW w:w="40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1,793,302</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74.65</w:t>
            </w:r>
          </w:p>
        </w:tc>
        <w:tc>
          <w:tcPr>
            <w:tcW w:w="1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1,353,991</w:t>
            </w:r>
          </w:p>
        </w:tc>
        <w:tc>
          <w:tcPr>
            <w:tcW w:w="200" w:type="dxa"/>
            <w:vAlign w:val="bottom"/>
            <w:gridSpan w:val="2"/>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400,000</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20" w:type="dxa"/>
            <w:vAlign w:val="bottom"/>
            <w:tcBorders>
              <w:bottom w:val="single" w:sz="8" w:color="auto"/>
            </w:tcBorders>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r>
    </w:tbl>
    <w:p>
      <w:pPr>
        <w:spacing w:after="0" w:line="3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6"/>
          <w:szCs w:val="16"/>
          <w:i w:val="1"/>
          <w:iCs w:val="1"/>
          <w:color w:val="auto"/>
        </w:rPr>
        <w:t>The total number of shares purchased includes (1) shares repurchased, if any, pursuant to the August 2024 Repurchase Plan and (2) shares repurchased, if any, to satisfy exercise price and/or tax withholding obligations in connection with exercises of employee stock options and/or the vesting of restricted stock issued to employees.</w:t>
      </w:r>
    </w:p>
    <w:p>
      <w:pPr>
        <w:spacing w:after="0" w:line="190"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6"/>
          <w:szCs w:val="16"/>
          <w:i w:val="1"/>
          <w:iCs w:val="1"/>
          <w:color w:val="auto"/>
        </w:rPr>
        <w:t>On August 19, 2024, the Company publicly announced that its Board of Directors authorized the August 2024 Repurchase Plan. Board authorization of the repurchase plan remains in effect until shares in the amount authorized thereunder have been repurchased.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1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17" w:lineRule="exact"/>
        <w:rPr>
          <w:sz w:val="20"/>
          <w:szCs w:val="20"/>
          <w:color w:val="auto"/>
        </w:rPr>
      </w:pPr>
    </w:p>
    <w:p>
      <w:pPr>
        <w:jc w:val="both"/>
        <w:ind w:firstLine="638"/>
        <w:spacing w:after="0" w:line="257" w:lineRule="auto"/>
        <w:rPr>
          <w:sz w:val="20"/>
          <w:szCs w:val="20"/>
          <w:color w:val="auto"/>
        </w:rPr>
      </w:pPr>
      <w:r>
        <w:rPr>
          <w:rFonts w:ascii="Times New Roman" w:cs="Times New Roman" w:eastAsia="Times New Roman" w:hAnsi="Times New Roman"/>
          <w:sz w:val="18"/>
          <w:szCs w:val="18"/>
          <w:color w:val="auto"/>
        </w:rPr>
        <w:t>During the three-months ended March 31, 2026, none of the Company’s directors or officers adopted, modified or terminated a Rule 10b5-1 trading arrangement or a non-Rule 10b5-1 trading arrangement (each as defined in Item 408 of Regulation S-K under the Securities Exchange Act of 1934, as amended).</w:t>
      </w:r>
    </w:p>
    <w:p>
      <w:pPr>
        <w:spacing w:after="0" w:line="17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230" w:lineRule="exact"/>
        <w:rPr>
          <w:sz w:val="20"/>
          <w:szCs w:val="20"/>
          <w:color w:val="auto"/>
        </w:rPr>
      </w:pPr>
    </w:p>
    <w:p>
      <w:pPr>
        <w:ind w:left="20"/>
        <w:spacing w:after="0"/>
        <w:tabs>
          <w:tab w:leader="none" w:pos="680" w:val="left"/>
        </w:tabs>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6"/>
          <w:szCs w:val="16"/>
          <w:color w:val="auto"/>
        </w:rPr>
        <w:t>​</w:t>
      </w:r>
      <w:hyperlink r:id="rId79">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0000EE"/>
          </w:rPr>
          <w:t>Second Amended and Restated Certificate of Incorporation of the Company (incorporated by reference to Exhibit 3.1 to our Form</w:t>
        </w:r>
      </w:hyperlink>
    </w:p>
    <w:p>
      <w:pPr>
        <w:spacing w:after="0" w:line="22" w:lineRule="exact"/>
        <w:rPr>
          <w:sz w:val="20"/>
          <w:szCs w:val="20"/>
          <w:color w:val="auto"/>
        </w:rPr>
      </w:pPr>
    </w:p>
    <w:p>
      <w:pPr>
        <w:ind w:left="760" w:hanging="137"/>
        <w:spacing w:after="0"/>
        <w:tabs>
          <w:tab w:leader="none" w:pos="760" w:val="left"/>
        </w:tabs>
        <w:numPr>
          <w:ilvl w:val="0"/>
          <w:numId w:val="20"/>
        </w:numPr>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8-K dated June 27, 2023).</w:t>
        </w:r>
      </w:hyperlink>
    </w:p>
    <w:p>
      <w:pPr>
        <w:spacing w:after="0" w:line="197" w:lineRule="exact"/>
        <w:rPr>
          <w:sz w:val="20"/>
          <w:szCs w:val="20"/>
          <w:color w:val="auto"/>
        </w:rPr>
      </w:pPr>
    </w:p>
    <w:p>
      <w:pPr>
        <w:jc w:val="both"/>
        <w:ind w:left="760" w:hanging="738"/>
        <w:spacing w:after="0" w:line="269"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80">
        <w:r>
          <w:rPr>
            <w:rFonts w:ascii="Times New Roman" w:cs="Times New Roman" w:eastAsia="Times New Roman" w:hAnsi="Times New Roman"/>
            <w:sz w:val="18"/>
            <w:szCs w:val="18"/>
            <w:u w:val="single" w:color="auto"/>
            <w:color w:val="0000EE"/>
          </w:rPr>
          <w:t>Fourth Amended and Restated By-laws of the Company (incorporated by reference to Exhibit 3.2 to our Form 8-K dated</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November 7, 2024).</w:t>
        </w:r>
      </w:hyperlink>
    </w:p>
    <w:p>
      <w:pPr>
        <w:spacing w:after="0" w:line="16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0000EE"/>
        </w:rPr>
        <w:t>Certification of Chief Executive Officer Pursuant to Section 302 of the Sarbanes-Oxley Act of 2002</w:t>
      </w:r>
    </w:p>
    <w:p>
      <w:pPr>
        <w:spacing w:after="0" w:line="215"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u w:val="single" w:color="auto"/>
          <w:color w:val="0000EE"/>
        </w:rPr>
        <w:t>Certification of Chief Financial Officer Pursuant to Section 302 of the Sarbanes-Oxley Act of 2002</w:t>
      </w:r>
    </w:p>
    <w:p>
      <w:pPr>
        <w:spacing w:after="0" w:line="215" w:lineRule="exact"/>
        <w:rPr>
          <w:sz w:val="20"/>
          <w:szCs w:val="20"/>
          <w:color w:val="auto"/>
        </w:rPr>
      </w:pPr>
    </w:p>
    <w:p>
      <w:pPr>
        <w:jc w:val="both"/>
        <w:ind w:left="760" w:right="20" w:hanging="738"/>
        <w:spacing w:after="0" w:line="269" w:lineRule="auto"/>
        <w:tabs>
          <w:tab w:leader="none" w:pos="7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906 of the Sarbanes-Oxley Act of 2002</w:t>
      </w:r>
    </w:p>
    <w:p>
      <w:pPr>
        <w:spacing w:after="0" w:line="169" w:lineRule="exact"/>
        <w:rPr>
          <w:sz w:val="20"/>
          <w:szCs w:val="20"/>
          <w:color w:val="auto"/>
        </w:rPr>
      </w:pPr>
    </w:p>
    <w:p>
      <w:pPr>
        <w:jc w:val="both"/>
        <w:ind w:left="760" w:hanging="738"/>
        <w:spacing w:after="0" w:line="269" w:lineRule="auto"/>
        <w:tabs>
          <w:tab w:leader="none" w:pos="74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by Chief Financial Officer Pursuant to 18 U.S.C. Section 1350, as Adopted Pursuant to Section 906 of the Sarbanes-Oxley Act of 2002</w:t>
      </w:r>
    </w:p>
    <w:p>
      <w:pPr>
        <w:spacing w:after="0" w:line="169" w:lineRule="exact"/>
        <w:rPr>
          <w:sz w:val="20"/>
          <w:szCs w:val="20"/>
          <w:color w:val="auto"/>
        </w:rPr>
      </w:pPr>
    </w:p>
    <w:p>
      <w:pPr>
        <w:jc w:val="both"/>
        <w:ind w:left="760" w:hanging="739"/>
        <w:spacing w:after="0" w:line="248" w:lineRule="auto"/>
        <w:tabs>
          <w:tab w:leader="none" w:pos="7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financial information from Monster Beverage Corporation’s Quarterly Report on Form 10-Q for the quarter ended March 31, 2026, formatted in iXBRL (Inline eXtensible Business Reporting Language): (i) Condensed Consolidated Balance Sheets as of March 31, 2026 and December 31, 2025, (ii) Condensed Consolidated Statements of Income for the three-months ended March 31, 2026 and 2025, (iii) Condensed Consolidated Statements of Comprehensive Income for the three-months ended March 31, 2026 and 2025, (iv) Condensed Consolidated Statements of Stockholders’ Equity for the three-months ended March 31, 2026 and 2025, (v) Condensed Consolidated Statements of Cash Flows for the three-months ended March 31, 2026 and 2025, and (vi) the Notes to Condensed Consolidated Financial Statements.</w:t>
      </w:r>
    </w:p>
    <w:p>
      <w:pPr>
        <w:spacing w:after="0" w:line="191" w:lineRule="exact"/>
        <w:rPr>
          <w:sz w:val="20"/>
          <w:szCs w:val="20"/>
          <w:color w:val="auto"/>
        </w:rPr>
      </w:pPr>
    </w:p>
    <w:p>
      <w:pPr>
        <w:jc w:val="both"/>
        <w:ind w:left="760" w:right="20" w:hanging="739"/>
        <w:spacing w:after="0" w:line="269" w:lineRule="auto"/>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Monster Beverage Corporation’s Quarterly Report on Form 10-Q for the quarter ended March 31, 2026, formatted in iXBRL (Inline eXtensible Business Reporting Language)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wp:posOffset>
            </wp:positionV>
            <wp:extent cx="157480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574800" cy="16510"/>
                    </a:xfrm>
                    <a:prstGeom prst="rect">
                      <a:avLst/>
                    </a:prstGeom>
                    <a:noFill/>
                  </pic:spPr>
                </pic:pic>
              </a:graphicData>
            </a:graphic>
          </wp:anchor>
        </w:drawing>
      </w:r>
    </w:p>
    <w:p>
      <w:pPr>
        <w:spacing w:after="0" w:line="39" w:lineRule="exact"/>
        <w:rPr>
          <w:sz w:val="20"/>
          <w:szCs w:val="20"/>
          <w:color w:val="auto"/>
        </w:rPr>
      </w:pPr>
    </w:p>
    <w:p>
      <w:pPr>
        <w:ind w:left="200" w:hanging="194"/>
        <w:spacing w:after="0"/>
        <w:tabs>
          <w:tab w:leader="none" w:pos="200" w:val="left"/>
        </w:tabs>
        <w:numPr>
          <w:ilvl w:val="0"/>
          <w:numId w:val="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297930" cy="1651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7" w:lineRule="exact"/>
        <w:rPr>
          <w:sz w:val="20"/>
          <w:szCs w:val="20"/>
          <w:color w:val="auto"/>
        </w:rPr>
      </w:pPr>
    </w:p>
    <w:p>
      <w:pPr>
        <w:ind w:firstLine="633"/>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49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MONSTER BEVERAGE CORPORATION</w:t>
            </w:r>
          </w:p>
        </w:tc>
      </w:tr>
      <w:tr>
        <w:trPr>
          <w:trHeight w:val="229"/>
        </w:trPr>
        <w:tc>
          <w:tcPr>
            <w:tcW w:w="49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2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86"/>
        </w:trPr>
        <w:tc>
          <w:tcPr>
            <w:tcW w:w="4960" w:type="dxa"/>
            <w:vAlign w:val="bottom"/>
          </w:tcPr>
          <w:p>
            <w:pPr>
              <w:spacing w:after="0"/>
              <w:rPr>
                <w:sz w:val="16"/>
                <w:szCs w:val="16"/>
                <w:color w:val="auto"/>
              </w:rPr>
            </w:pPr>
          </w:p>
        </w:tc>
        <w:tc>
          <w:tcPr>
            <w:tcW w:w="494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Hilton H. Schlosberg</w:t>
            </w:r>
          </w:p>
        </w:tc>
      </w:tr>
      <w:tr>
        <w:trPr>
          <w:trHeight w:val="211"/>
        </w:trPr>
        <w:tc>
          <w:tcPr>
            <w:tcW w:w="49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w:t>
            </w:r>
          </w:p>
        </w:tc>
      </w:tr>
      <w:tr>
        <w:trPr>
          <w:trHeight w:val="229"/>
        </w:trPr>
        <w:tc>
          <w:tcPr>
            <w:tcW w:w="49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and Chief Executive Officer</w:t>
            </w:r>
          </w:p>
        </w:tc>
      </w:tr>
      <w:tr>
        <w:trPr>
          <w:trHeight w:val="42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KELLY</w:t>
            </w:r>
          </w:p>
        </w:tc>
      </w:tr>
      <w:tr>
        <w:trPr>
          <w:trHeight w:val="186"/>
        </w:trPr>
        <w:tc>
          <w:tcPr>
            <w:tcW w:w="4960" w:type="dxa"/>
            <w:vAlign w:val="bottom"/>
          </w:tcPr>
          <w:p>
            <w:pPr>
              <w:spacing w:after="0"/>
              <w:rPr>
                <w:sz w:val="16"/>
                <w:szCs w:val="16"/>
                <w:color w:val="auto"/>
              </w:rPr>
            </w:pPr>
          </w:p>
        </w:tc>
        <w:tc>
          <w:tcPr>
            <w:tcW w:w="494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Thomas J. Kelly</w:t>
            </w:r>
          </w:p>
        </w:tc>
      </w:tr>
      <w:tr>
        <w:trPr>
          <w:trHeight w:val="229"/>
        </w:trPr>
        <w:tc>
          <w:tcPr>
            <w:tcW w:w="49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629793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297930" cy="25400"/>
                    </a:xfrm>
                    <a:prstGeom prst="rect">
                      <a:avLst/>
                    </a:prstGeom>
                    <a:noFill/>
                  </pic:spPr>
                </pic:pic>
              </a:graphicData>
            </a:graphic>
          </wp:anchor>
        </w:drawing>
      </w:r>
    </w:p>
    <w:p>
      <w:pPr>
        <w:sectPr>
          <w:pgSz w:w="11900" w:h="16838" w:orient="portrait"/>
          <w:cols w:equalWidth="0" w:num="1">
            <w:col w:w="9920"/>
          </w:cols>
          <w:pgMar w:left="980" w:top="649"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9"/>
          <w:szCs w:val="19"/>
          <w:b w:val="1"/>
          <w:bCs w:val="1"/>
          <w:color w:val="auto"/>
        </w:rPr>
        <w:t>EXHIBIT 31.1</w:t>
      </w:r>
    </w:p>
    <w:p>
      <w:pPr>
        <w:spacing w:after="0" w:line="220"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9"/>
          <w:szCs w:val="19"/>
          <w:color w:val="auto"/>
        </w:rPr>
        <w:t>CERTIFICATION PURSUANT TO RULE 13A-14(a) OR 15D-14(a) OF THE SECURITIES EXCHANGE ACT OF 1934, AS ADOPTED PURSUANT TO SECTION 302 OF THE SARBANES-OXLEY ACT OF 2002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Hilton Schlosberg, certify that:</w:t>
      </w:r>
    </w:p>
    <w:p>
      <w:pPr>
        <w:spacing w:after="0" w:line="217" w:lineRule="exact"/>
        <w:rPr>
          <w:sz w:val="20"/>
          <w:szCs w:val="20"/>
          <w:color w:val="auto"/>
        </w:rPr>
      </w:pPr>
    </w:p>
    <w:p>
      <w:pPr>
        <w:ind w:left="320" w:hanging="314"/>
        <w:spacing w:after="0"/>
        <w:tabs>
          <w:tab w:leader="none" w:pos="3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Monster Beverage Corporation;</w:t>
      </w:r>
    </w:p>
    <w:p>
      <w:pPr>
        <w:spacing w:after="0" w:line="216" w:lineRule="exact"/>
        <w:rPr>
          <w:rFonts w:ascii="Times New Roman" w:cs="Times New Roman" w:eastAsia="Times New Roman" w:hAnsi="Times New Roman"/>
          <w:sz w:val="19"/>
          <w:szCs w:val="19"/>
          <w:color w:val="auto"/>
        </w:rPr>
      </w:pPr>
    </w:p>
    <w:p>
      <w:pPr>
        <w:jc w:val="both"/>
        <w:ind w:left="320" w:hanging="314"/>
        <w:spacing w:after="0" w:line="264" w:lineRule="auto"/>
        <w:tabs>
          <w:tab w:leader="none" w:pos="3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9"/>
          <w:szCs w:val="19"/>
          <w:color w:val="auto"/>
        </w:rPr>
      </w:pPr>
    </w:p>
    <w:p>
      <w:pPr>
        <w:jc w:val="both"/>
        <w:ind w:left="320" w:right="20" w:hanging="314"/>
        <w:spacing w:after="0" w:line="264" w:lineRule="auto"/>
        <w:tabs>
          <w:tab w:leader="none" w:pos="3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9"/>
          <w:szCs w:val="19"/>
          <w:color w:val="auto"/>
        </w:rPr>
      </w:pPr>
    </w:p>
    <w:p>
      <w:pPr>
        <w:jc w:val="both"/>
        <w:ind w:left="320" w:hanging="314"/>
        <w:spacing w:after="0" w:line="264" w:lineRule="auto"/>
        <w:tabs>
          <w:tab w:leader="none" w:pos="3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9"/>
          <w:szCs w:val="19"/>
          <w:color w:val="auto"/>
        </w:rPr>
      </w:pPr>
    </w:p>
    <w:p>
      <w:pPr>
        <w:jc w:val="both"/>
        <w:ind w:left="1280" w:right="20" w:hanging="324"/>
        <w:spacing w:after="0" w:line="258" w:lineRule="auto"/>
        <w:tabs>
          <w:tab w:leader="none" w:pos="128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9"/>
          <w:szCs w:val="19"/>
          <w:color w:val="auto"/>
        </w:rPr>
      </w:pPr>
    </w:p>
    <w:p>
      <w:pPr>
        <w:jc w:val="both"/>
        <w:ind w:left="1280" w:right="20" w:hanging="324"/>
        <w:spacing w:after="0" w:line="258" w:lineRule="auto"/>
        <w:tabs>
          <w:tab w:leader="none" w:pos="128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9"/>
          <w:szCs w:val="19"/>
          <w:color w:val="auto"/>
        </w:rPr>
      </w:pPr>
    </w:p>
    <w:p>
      <w:pPr>
        <w:jc w:val="both"/>
        <w:ind w:left="1280" w:right="20" w:hanging="324"/>
        <w:spacing w:after="0" w:line="264" w:lineRule="auto"/>
        <w:tabs>
          <w:tab w:leader="none" w:pos="128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9"/>
          <w:szCs w:val="19"/>
          <w:color w:val="auto"/>
        </w:rPr>
      </w:pPr>
    </w:p>
    <w:p>
      <w:pPr>
        <w:jc w:val="both"/>
        <w:ind w:left="1280" w:right="20" w:hanging="324"/>
        <w:spacing w:after="0" w:line="258" w:lineRule="auto"/>
        <w:tabs>
          <w:tab w:leader="none" w:pos="128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9"/>
          <w:szCs w:val="19"/>
          <w:color w:val="auto"/>
        </w:rPr>
      </w:pPr>
    </w:p>
    <w:p>
      <w:pPr>
        <w:jc w:val="both"/>
        <w:ind w:left="320" w:right="20" w:hanging="314"/>
        <w:spacing w:after="0" w:line="264" w:lineRule="auto"/>
        <w:tabs>
          <w:tab w:leader="none" w:pos="3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62" w:lineRule="exact"/>
        <w:rPr>
          <w:rFonts w:ascii="Times New Roman" w:cs="Times New Roman" w:eastAsia="Times New Roman" w:hAnsi="Times New Roman"/>
          <w:sz w:val="19"/>
          <w:szCs w:val="19"/>
          <w:color w:val="auto"/>
        </w:rPr>
      </w:pPr>
    </w:p>
    <w:p>
      <w:pPr>
        <w:jc w:val="both"/>
        <w:ind w:left="1280" w:hanging="324"/>
        <w:spacing w:after="0" w:line="264" w:lineRule="auto"/>
        <w:tabs>
          <w:tab w:leader="none" w:pos="128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9"/>
          <w:szCs w:val="19"/>
          <w:color w:val="auto"/>
        </w:rPr>
      </w:pPr>
    </w:p>
    <w:p>
      <w:pPr>
        <w:ind w:left="1280" w:right="20" w:hanging="324"/>
        <w:spacing w:after="0" w:line="283" w:lineRule="auto"/>
        <w:tabs>
          <w:tab w:leader="none" w:pos="128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7, 2026</w:t>
            </w: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87"/>
        </w:trPr>
        <w:tc>
          <w:tcPr>
            <w:tcW w:w="6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520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Hilton H. Schlosberg</w:t>
            </w:r>
          </w:p>
        </w:tc>
        <w:tc>
          <w:tcPr>
            <w:tcW w:w="20" w:type="dxa"/>
            <w:vAlign w:val="bottom"/>
          </w:tcPr>
          <w:p>
            <w:pPr>
              <w:spacing w:after="0"/>
              <w:rPr>
                <w:sz w:val="16"/>
                <w:szCs w:val="16"/>
                <w:color w:val="auto"/>
              </w:rPr>
            </w:pPr>
          </w:p>
        </w:tc>
      </w:tr>
      <w:tr>
        <w:trPr>
          <w:trHeight w:val="211"/>
        </w:trPr>
        <w:tc>
          <w:tcPr>
            <w:tcW w:w="6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Chairman of the Board of Directors and</w:t>
            </w:r>
          </w:p>
        </w:tc>
      </w:tr>
      <w:tr>
        <w:trPr>
          <w:trHeight w:val="229"/>
        </w:trPr>
        <w:tc>
          <w:tcPr>
            <w:tcW w:w="6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59"/>
        </w:trPr>
        <w:tc>
          <w:tcPr>
            <w:tcW w:w="6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220"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19"/>
          <w:szCs w:val="19"/>
          <w:color w:val="auto"/>
        </w:rPr>
        <w:t>CERTIFICATION PURSUANT TO RULE 13A-14(a) OR 15D-14(a) OF THE SECURITIES EXCHANGE ACT OF 1934, AS ADOPTED PURSUANT TO SECTION 302 OF THE SARBANES-OXLEY ACT OF 2002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Thomas Kelly, certify that:</w:t>
      </w:r>
    </w:p>
    <w:p>
      <w:pPr>
        <w:spacing w:after="0" w:line="217" w:lineRule="exact"/>
        <w:rPr>
          <w:sz w:val="20"/>
          <w:szCs w:val="20"/>
          <w:color w:val="auto"/>
        </w:rPr>
      </w:pPr>
    </w:p>
    <w:p>
      <w:pPr>
        <w:ind w:left="320" w:hanging="314"/>
        <w:spacing w:after="0"/>
        <w:tabs>
          <w:tab w:leader="none" w:pos="3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Monster Beverage Corporation;</w:t>
      </w:r>
    </w:p>
    <w:p>
      <w:pPr>
        <w:spacing w:after="0" w:line="216" w:lineRule="exact"/>
        <w:rPr>
          <w:rFonts w:ascii="Times New Roman" w:cs="Times New Roman" w:eastAsia="Times New Roman" w:hAnsi="Times New Roman"/>
          <w:sz w:val="19"/>
          <w:szCs w:val="19"/>
          <w:color w:val="auto"/>
        </w:rPr>
      </w:pPr>
    </w:p>
    <w:p>
      <w:pPr>
        <w:jc w:val="both"/>
        <w:ind w:left="320" w:hanging="314"/>
        <w:spacing w:after="0" w:line="264" w:lineRule="auto"/>
        <w:tabs>
          <w:tab w:leader="none" w:pos="3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9"/>
          <w:szCs w:val="19"/>
          <w:color w:val="auto"/>
        </w:rPr>
      </w:pPr>
    </w:p>
    <w:p>
      <w:pPr>
        <w:jc w:val="both"/>
        <w:ind w:left="320" w:right="20" w:hanging="314"/>
        <w:spacing w:after="0" w:line="264" w:lineRule="auto"/>
        <w:tabs>
          <w:tab w:leader="none" w:pos="3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9"/>
          <w:szCs w:val="19"/>
          <w:color w:val="auto"/>
        </w:rPr>
      </w:pPr>
    </w:p>
    <w:p>
      <w:pPr>
        <w:jc w:val="both"/>
        <w:ind w:left="320" w:hanging="314"/>
        <w:spacing w:after="0" w:line="264" w:lineRule="auto"/>
        <w:tabs>
          <w:tab w:leader="none" w:pos="3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9"/>
          <w:szCs w:val="19"/>
          <w:color w:val="auto"/>
        </w:rPr>
      </w:pPr>
    </w:p>
    <w:p>
      <w:pPr>
        <w:jc w:val="both"/>
        <w:ind w:left="1580" w:right="20" w:hanging="308"/>
        <w:spacing w:after="0" w:line="258" w:lineRule="auto"/>
        <w:tabs>
          <w:tab w:leader="none" w:pos="1580"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9"/>
          <w:szCs w:val="19"/>
          <w:color w:val="auto"/>
        </w:rPr>
      </w:pPr>
    </w:p>
    <w:p>
      <w:pPr>
        <w:jc w:val="both"/>
        <w:ind w:left="1580" w:right="20" w:hanging="308"/>
        <w:spacing w:after="0" w:line="258" w:lineRule="auto"/>
        <w:tabs>
          <w:tab w:leader="none" w:pos="1580"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9"/>
          <w:szCs w:val="19"/>
          <w:color w:val="auto"/>
        </w:rPr>
      </w:pPr>
    </w:p>
    <w:p>
      <w:pPr>
        <w:jc w:val="both"/>
        <w:ind w:left="1580" w:right="20" w:hanging="308"/>
        <w:spacing w:after="0" w:line="264" w:lineRule="auto"/>
        <w:tabs>
          <w:tab w:leader="none" w:pos="1580"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9"/>
          <w:szCs w:val="19"/>
          <w:color w:val="auto"/>
        </w:rPr>
      </w:pPr>
    </w:p>
    <w:p>
      <w:pPr>
        <w:jc w:val="both"/>
        <w:ind w:left="1580" w:hanging="308"/>
        <w:spacing w:after="0" w:line="258" w:lineRule="auto"/>
        <w:tabs>
          <w:tab w:leader="none" w:pos="1580"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9"/>
          <w:szCs w:val="19"/>
          <w:color w:val="auto"/>
        </w:rPr>
      </w:pPr>
    </w:p>
    <w:p>
      <w:pPr>
        <w:jc w:val="both"/>
        <w:ind w:left="320" w:right="20" w:hanging="314"/>
        <w:spacing w:after="0" w:line="264" w:lineRule="auto"/>
        <w:tabs>
          <w:tab w:leader="none" w:pos="3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62" w:lineRule="exact"/>
        <w:rPr>
          <w:rFonts w:ascii="Times New Roman" w:cs="Times New Roman" w:eastAsia="Times New Roman" w:hAnsi="Times New Roman"/>
          <w:sz w:val="19"/>
          <w:szCs w:val="19"/>
          <w:color w:val="auto"/>
        </w:rPr>
      </w:pPr>
    </w:p>
    <w:p>
      <w:pPr>
        <w:jc w:val="both"/>
        <w:ind w:left="1580" w:hanging="308"/>
        <w:spacing w:after="0" w:line="264" w:lineRule="auto"/>
        <w:tabs>
          <w:tab w:leader="none" w:pos="1580"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9"/>
          <w:szCs w:val="19"/>
          <w:color w:val="auto"/>
        </w:rPr>
      </w:pPr>
    </w:p>
    <w:p>
      <w:pPr>
        <w:ind w:left="1580" w:right="20" w:hanging="308"/>
        <w:spacing w:after="0" w:line="283" w:lineRule="auto"/>
        <w:tabs>
          <w:tab w:leader="none" w:pos="1580"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May 7, 2026</w:t>
            </w: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J. Kelly</w:t>
            </w:r>
          </w:p>
        </w:tc>
      </w:tr>
      <w:tr>
        <w:trPr>
          <w:trHeight w:val="187"/>
        </w:trPr>
        <w:tc>
          <w:tcPr>
            <w:tcW w:w="8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62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Thomas J. Kelly</w:t>
            </w:r>
          </w:p>
        </w:tc>
        <w:tc>
          <w:tcPr>
            <w:tcW w:w="20" w:type="dxa"/>
            <w:vAlign w:val="bottom"/>
          </w:tcPr>
          <w:p>
            <w:pPr>
              <w:spacing w:after="0"/>
              <w:rPr>
                <w:sz w:val="16"/>
                <w:szCs w:val="16"/>
                <w:color w:val="auto"/>
              </w:rPr>
            </w:pPr>
          </w:p>
        </w:tc>
      </w:tr>
      <w:tr>
        <w:trPr>
          <w:trHeight w:val="229"/>
        </w:trPr>
        <w:tc>
          <w:tcPr>
            <w:tcW w:w="8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59"/>
        </w:trPr>
        <w:tc>
          <w:tcPr>
            <w:tcW w:w="8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SECTION 906 OF THE SARBANES-OXLEY ACT OF 2002</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In connection with the quarterly report of Monster Beverage Corporation (the “Company”) on Form 10-Q for the quarter ended March 31, 2026 as filed with the Securities and Exchange Commission (the “Report”), the undersigned, Hilton H. Schlosberg, Vice Chairman of the Board of Directors and Chief Executive Officer of the Company, certifies, pursuant to 18 U.S.C. 1350, as adopted pursuant to Section 906 of the Sarbanes-Oxley Act of 2002, that:</w:t>
      </w:r>
    </w:p>
    <w:p>
      <w:pPr>
        <w:spacing w:after="0" w:line="168" w:lineRule="exact"/>
        <w:rPr>
          <w:sz w:val="20"/>
          <w:szCs w:val="20"/>
          <w:color w:val="auto"/>
        </w:rPr>
      </w:pPr>
    </w:p>
    <w:p>
      <w:pPr>
        <w:ind w:left="960" w:right="80" w:hanging="321"/>
        <w:spacing w:after="0" w:line="283" w:lineRule="auto"/>
        <w:tabs>
          <w:tab w:leader="none" w:pos="9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9"/>
          <w:szCs w:val="19"/>
          <w:color w:val="auto"/>
        </w:rPr>
      </w:pPr>
    </w:p>
    <w:p>
      <w:pPr>
        <w:ind w:left="960" w:right="140" w:hanging="321"/>
        <w:spacing w:after="0" w:line="283" w:lineRule="auto"/>
        <w:tabs>
          <w:tab w:leader="none" w:pos="9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7, 2026</w:t>
            </w: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87"/>
        </w:trPr>
        <w:tc>
          <w:tcPr>
            <w:tcW w:w="6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628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Hilton H. Schlosberg</w:t>
            </w:r>
          </w:p>
        </w:tc>
        <w:tc>
          <w:tcPr>
            <w:tcW w:w="20" w:type="dxa"/>
            <w:vAlign w:val="bottom"/>
          </w:tcPr>
          <w:p>
            <w:pPr>
              <w:spacing w:after="0"/>
              <w:rPr>
                <w:sz w:val="16"/>
                <w:szCs w:val="16"/>
                <w:color w:val="auto"/>
              </w:rPr>
            </w:pPr>
          </w:p>
        </w:tc>
      </w:tr>
      <w:tr>
        <w:trPr>
          <w:trHeight w:val="211"/>
        </w:trPr>
        <w:tc>
          <w:tcPr>
            <w:tcW w:w="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Chairman of the Board of Directors and</w:t>
            </w:r>
          </w:p>
        </w:tc>
      </w:tr>
      <w:tr>
        <w:trPr>
          <w:trHeight w:val="229"/>
        </w:trPr>
        <w:tc>
          <w:tcPr>
            <w:tcW w:w="6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59"/>
        </w:trPr>
        <w:tc>
          <w:tcPr>
            <w:tcW w:w="6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9"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SECTION 906 OF THE SARBANES-OXLEY ACT OF 2002</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In connection with the quarterly report of Monster Beverage Corporation (the “Company”) on Form 10-Q for the quarter ended March 31, 2026 as filed with the Securities and Exchange Commission (the “Report”), the undersigned, Thomas J. Kelly, Chief Financial Officer of the Company, certifies, pursuant to 18 U.S.C. 1350, as adopted pursuant to Section 906 of the Sarbanes-Oxley Act of 2002, that:</w:t>
      </w:r>
    </w:p>
    <w:p>
      <w:pPr>
        <w:spacing w:after="0" w:line="168" w:lineRule="exact"/>
        <w:rPr>
          <w:sz w:val="20"/>
          <w:szCs w:val="20"/>
          <w:color w:val="auto"/>
        </w:rPr>
      </w:pPr>
    </w:p>
    <w:p>
      <w:pPr>
        <w:ind w:left="960" w:right="80" w:hanging="321"/>
        <w:spacing w:after="0" w:line="283" w:lineRule="auto"/>
        <w:tabs>
          <w:tab w:leader="none" w:pos="96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9"/>
          <w:szCs w:val="19"/>
          <w:color w:val="auto"/>
        </w:rPr>
      </w:pPr>
    </w:p>
    <w:p>
      <w:pPr>
        <w:ind w:left="960" w:right="140" w:hanging="321"/>
        <w:spacing w:after="0" w:line="283" w:lineRule="auto"/>
        <w:tabs>
          <w:tab w:leader="none" w:pos="96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May 7, 2026</w:t>
            </w: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Thomas J. Kelly</w:t>
            </w:r>
          </w:p>
        </w:tc>
      </w:tr>
      <w:tr>
        <w:trPr>
          <w:trHeight w:val="187"/>
        </w:trPr>
        <w:tc>
          <w:tcPr>
            <w:tcW w:w="6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642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Thomas J. Kelly</w:t>
            </w:r>
          </w:p>
        </w:tc>
        <w:tc>
          <w:tcPr>
            <w:tcW w:w="20" w:type="dxa"/>
            <w:vAlign w:val="bottom"/>
          </w:tcPr>
          <w:p>
            <w:pPr>
              <w:spacing w:after="0"/>
              <w:rPr>
                <w:sz w:val="16"/>
                <w:szCs w:val="16"/>
                <w:color w:val="auto"/>
              </w:rPr>
            </w:pPr>
          </w:p>
        </w:tc>
      </w:tr>
      <w:tr>
        <w:trPr>
          <w:trHeight w:val="229"/>
        </w:trPr>
        <w:tc>
          <w:tcPr>
            <w:tcW w:w="6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59"/>
        </w:trPr>
        <w:tc>
          <w:tcPr>
            <w:tcW w:w="6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2"/>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3"/>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8"/>
    </w:lvl>
  </w:abstractNum>
  <w:abstractNum w:abstractNumId="9">
    <w:nsid w:val="519B500D"/>
    <w:multiLevelType w:val="hybridMultilevel"/>
    <w:lvl w:ilvl="0">
      <w:lvlJc w:val="left"/>
      <w:lvlText w:val="%1."/>
      <w:numFmt w:val="decimal"/>
      <w:start w:val="9"/>
    </w:lvl>
  </w:abstractNum>
  <w:abstractNum w:abstractNumId="10">
    <w:nsid w:val="431BD7B7"/>
    <w:multiLevelType w:val="hybridMultilevel"/>
    <w:lvl w:ilvl="0">
      <w:lvlJc w:val="left"/>
      <w:lvlText w:val="%1."/>
      <w:numFmt w:val="decimal"/>
      <w:start w:val="10"/>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1."/>
      <w:numFmt w:val="decimal"/>
      <w:start w:val="13"/>
    </w:lvl>
  </w:abstractNum>
  <w:abstractNum w:abstractNumId="13">
    <w:nsid w:val="257130A3"/>
    <w:multiLevelType w:val="hybridMultilevel"/>
    <w:lvl w:ilvl="0">
      <w:lvlJc w:val="left"/>
      <w:lvlText w:val="%1."/>
      <w:numFmt w:val="decimal"/>
      <w:start w:val="14"/>
    </w:lvl>
  </w:abstractNum>
  <w:abstractNum w:abstractNumId="14">
    <w:nsid w:val="62BBD95A"/>
    <w:multiLevelType w:val="hybridMultilevel"/>
    <w:lvl w:ilvl="0">
      <w:lvlJc w:val="left"/>
      <w:lvlText w:val="%1."/>
      <w:numFmt w:val="decimal"/>
      <w:start w:val="15"/>
    </w:lvl>
  </w:abstractNum>
  <w:abstractNum w:abstractNumId="15">
    <w:nsid w:val="436C6125"/>
    <w:multiLevelType w:val="hybridMultilevel"/>
    <w:lvl w:ilvl="0">
      <w:lvlJc w:val="left"/>
      <w:lvlText w:val="%1."/>
      <w:numFmt w:val="decimal"/>
      <w:start w:val="16"/>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79" Type="http://schemas.openxmlformats.org/officeDocument/2006/relationships/hyperlink" Target="https://www.sec.gov/Archives/edgar/data/865752/000110465923074933/tm2319592d1_ex3-1.htm" TargetMode="External"/><Relationship Id="rId80" Type="http://schemas.openxmlformats.org/officeDocument/2006/relationships/hyperlink" Target="https://www.sec.gov/Archives/edgar/data/865752/000110465924115332/tm2427782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2026-05-08T05:31:29Z</dcterms:created>
  <dcterms:modified xsi:type="dcterms:W3CDTF">2026-05-08T05:31:29Z</dcterms:modified>
</cp:coreProperties>
</file>