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spacing w:after="0"/>
        <w:tabs>
          <w:tab w:leader="none" w:pos="6660" w:val="left"/>
        </w:tabs>
        <w:rPr>
          <w:sz w:val="20"/>
          <w:szCs w:val="20"/>
          <w:color w:val="auto"/>
        </w:rPr>
      </w:pPr>
      <w:r>
        <w:rPr>
          <w:rFonts w:ascii="Arial" w:cs="Arial" w:eastAsia="Arial" w:hAnsi="Arial"/>
          <w:sz w:val="18"/>
          <w:szCs w:val="18"/>
          <w:color w:val="auto"/>
        </w:rPr>
        <w:t>For the quarterly period ended June 30, 2021</w:t>
      </w:r>
      <w:r>
        <w:rPr>
          <w:sz w:val="20"/>
          <w:szCs w:val="20"/>
          <w:color w:val="auto"/>
        </w:rPr>
        <w:tab/>
      </w:r>
      <w:r>
        <w:rPr>
          <w:rFonts w:ascii="Arial" w:cs="Arial" w:eastAsia="Arial" w:hAnsi="Arial"/>
          <w:sz w:val="16"/>
          <w:szCs w:val="16"/>
          <w:color w:val="auto"/>
        </w:rPr>
        <w:t>Commission File Number 001-18761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8"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Delaware</w:t>
            </w:r>
          </w:p>
        </w:tc>
        <w:tc>
          <w:tcPr>
            <w:tcW w:w="3940" w:type="dxa"/>
            <w:vAlign w:val="bottom"/>
            <w:gridSpan w:val="4"/>
          </w:tcPr>
          <w:p>
            <w:pPr>
              <w:ind w:left="100"/>
              <w:spacing w:after="0"/>
              <w:rPr>
                <w:sz w:val="20"/>
                <w:szCs w:val="20"/>
                <w:color w:val="auto"/>
              </w:rPr>
            </w:pPr>
            <w:r>
              <w:rPr>
                <w:rFonts w:ascii="Arial" w:cs="Arial" w:eastAsia="Arial" w:hAnsi="Arial"/>
                <w:sz w:val="18"/>
                <w:szCs w:val="18"/>
                <w:color w:val="auto"/>
              </w:rPr>
              <w:t>47-1809393</w:t>
            </w:r>
          </w:p>
        </w:tc>
      </w:tr>
      <w:tr>
        <w:trPr>
          <w:trHeight w:val="216"/>
        </w:trPr>
        <w:tc>
          <w:tcPr>
            <w:tcW w:w="2340" w:type="dxa"/>
            <w:vAlign w:val="bottom"/>
          </w:tcPr>
          <w:p>
            <w:pPr>
              <w:spacing w:after="0"/>
              <w:rPr>
                <w:sz w:val="18"/>
                <w:szCs w:val="18"/>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(State or other jurisdiction of</w:t>
            </w:r>
          </w:p>
        </w:tc>
        <w:tc>
          <w:tcPr>
            <w:tcW w:w="3940" w:type="dxa"/>
            <w:vAlign w:val="bottom"/>
            <w:gridSpan w:val="4"/>
          </w:tcPr>
          <w:p>
            <w:pPr>
              <w:ind w:left="100"/>
              <w:spacing w:after="0"/>
              <w:rPr>
                <w:sz w:val="20"/>
                <w:szCs w:val="20"/>
                <w:color w:val="auto"/>
              </w:rPr>
            </w:pPr>
            <w:r>
              <w:rPr>
                <w:rFonts w:ascii="Arial" w:cs="Arial" w:eastAsia="Arial" w:hAnsi="Arial"/>
                <w:sz w:val="18"/>
                <w:szCs w:val="18"/>
                <w:color w:val="auto"/>
              </w:rPr>
              <w:t>(I.R.S. Employer</w:t>
            </w:r>
          </w:p>
        </w:tc>
      </w:tr>
      <w:tr>
        <w:trPr>
          <w:trHeight w:val="230"/>
        </w:trPr>
        <w:tc>
          <w:tcPr>
            <w:tcW w:w="2340" w:type="dxa"/>
            <w:vAlign w:val="bottom"/>
          </w:tcPr>
          <w:p>
            <w:pPr>
              <w:spacing w:after="0"/>
              <w:rPr>
                <w:sz w:val="20"/>
                <w:szCs w:val="20"/>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incorporation or organization)</w:t>
            </w:r>
          </w:p>
        </w:tc>
        <w:tc>
          <w:tcPr>
            <w:tcW w:w="3940" w:type="dxa"/>
            <w:vAlign w:val="bottom"/>
            <w:gridSpan w:val="4"/>
          </w:tcPr>
          <w:p>
            <w:pPr>
              <w:ind w:left="100"/>
              <w:spacing w:after="0"/>
              <w:rPr>
                <w:sz w:val="20"/>
                <w:szCs w:val="20"/>
                <w:color w:val="auto"/>
              </w:rPr>
            </w:pPr>
            <w:r>
              <w:rPr>
                <w:rFonts w:ascii="Arial" w:cs="Arial" w:eastAsia="Arial" w:hAnsi="Arial"/>
                <w:sz w:val="18"/>
                <w:szCs w:val="18"/>
                <w:color w:val="auto"/>
              </w:rPr>
              <w:t>Identification No.)</w:t>
            </w:r>
          </w:p>
        </w:tc>
      </w:tr>
      <w:tr>
        <w:trPr>
          <w:trHeight w:val="418"/>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jc w:val="center"/>
              <w:ind w:left="696"/>
              <w:spacing w:after="0"/>
              <w:rPr>
                <w:sz w:val="20"/>
                <w:szCs w:val="20"/>
                <w:color w:val="auto"/>
              </w:rPr>
            </w:pPr>
            <w:r>
              <w:rPr>
                <w:rFonts w:ascii="Arial" w:cs="Arial" w:eastAsia="Arial" w:hAnsi="Arial"/>
                <w:sz w:val="18"/>
                <w:szCs w:val="18"/>
                <w:color w:val="auto"/>
                <w:w w:val="90"/>
              </w:rPr>
              <w:t>1 Monster Way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jc w:val="center"/>
              <w:ind w:left="676"/>
              <w:spacing w:after="0"/>
              <w:rPr>
                <w:sz w:val="20"/>
                <w:szCs w:val="20"/>
                <w:color w:val="auto"/>
              </w:rPr>
            </w:pPr>
            <w:r>
              <w:rPr>
                <w:rFonts w:ascii="Arial" w:cs="Arial" w:eastAsia="Arial" w:hAnsi="Arial"/>
                <w:sz w:val="18"/>
                <w:szCs w:val="18"/>
                <w:color w:val="auto"/>
                <w:w w:val="91"/>
              </w:rPr>
              <w:t>Corona, California 92879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5"/>
          </w:tcPr>
          <w:p>
            <w:pPr>
              <w:jc w:val="center"/>
              <w:ind w:right="309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40" w:type="dxa"/>
            <w:vAlign w:val="bottom"/>
          </w:tcPr>
          <w:p>
            <w:pPr>
              <w:spacing w:after="0"/>
              <w:rPr>
                <w:sz w:val="24"/>
                <w:szCs w:val="24"/>
                <w:color w:val="auto"/>
              </w:rPr>
            </w:pPr>
          </w:p>
        </w:tc>
        <w:tc>
          <w:tcPr>
            <w:tcW w:w="3640" w:type="dxa"/>
            <w:vAlign w:val="bottom"/>
            <w:gridSpan w:val="4"/>
          </w:tcPr>
          <w:p>
            <w:pPr>
              <w:jc w:val="center"/>
              <w:ind w:left="1530"/>
              <w:spacing w:after="0"/>
              <w:rPr>
                <w:sz w:val="20"/>
                <w:szCs w:val="20"/>
                <w:color w:val="auto"/>
              </w:rPr>
            </w:pPr>
            <w:r>
              <w:rPr>
                <w:rFonts w:ascii="Arial" w:cs="Arial" w:eastAsia="Arial" w:hAnsi="Arial"/>
                <w:sz w:val="18"/>
                <w:szCs w:val="18"/>
                <w:color w:val="auto"/>
                <w:w w:val="91"/>
              </w:rPr>
              <w:t>(951) 739 - 6200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40" w:type="dxa"/>
            <w:vAlign w:val="bottom"/>
            <w:gridSpan w:val="5"/>
          </w:tcPr>
          <w:p>
            <w:pPr>
              <w:jc w:val="center"/>
              <w:ind w:right="309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5980" w:type="dxa"/>
            <w:vAlign w:val="bottom"/>
            <w:gridSpan w:val="5"/>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r>
      <w:tr>
        <w:trPr>
          <w:trHeight w:val="223"/>
        </w:trPr>
        <w:tc>
          <w:tcPr>
            <w:tcW w:w="2340" w:type="dxa"/>
            <w:vAlign w:val="bottom"/>
            <w:tcBorders>
              <w:left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6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2"/>
              </w:rPr>
              <w:t>Trading Symbol(s)</w:t>
            </w:r>
          </w:p>
        </w:tc>
        <w:tc>
          <w:tcPr>
            <w:tcW w:w="1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2340" w:type="dxa"/>
            <w:vAlign w:val="bottom"/>
            <w:tcBorders>
              <w:left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Common Stock</w:t>
            </w:r>
          </w:p>
        </w:tc>
        <w:tc>
          <w:tcPr>
            <w:tcW w:w="6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color w:val="auto"/>
                <w:w w:val="97"/>
              </w:rPr>
              <w:t>MNST</w:t>
            </w:r>
          </w:p>
        </w:tc>
        <w:tc>
          <w:tcPr>
            <w:tcW w:w="1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4034790</wp:posOffset>
            </wp:positionH>
            <wp:positionV relativeFrom="paragraph">
              <wp:posOffset>-307975</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-307975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8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Arial" w:cs="Arial" w:eastAsia="Arial" w:hAnsi="Arial"/>
                <w:sz w:val="18"/>
                <w:szCs w:val="18"/>
                <w:color w:val="auto"/>
                <w:w w:val="94"/>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40" w:type="dxa"/>
            <w:vAlign w:val="bottom"/>
          </w:tcPr>
          <w:p>
            <w:pPr>
              <w:ind w:left="1480"/>
              <w:spacing w:after="0"/>
              <w:rPr>
                <w:sz w:val="20"/>
                <w:szCs w:val="20"/>
                <w:color w:val="auto"/>
              </w:rPr>
            </w:pPr>
            <w:r>
              <w:rPr>
                <w:rFonts w:ascii="Arial" w:cs="Arial" w:eastAsia="Arial" w:hAnsi="Arial"/>
                <w:sz w:val="18"/>
                <w:szCs w:val="18"/>
                <w:color w:val="auto"/>
                <w:w w:val="95"/>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center"/>
        <w:ind w:right="420"/>
        <w:spacing w:after="0" w:line="38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3321050</wp:posOffset>
            </wp:positionH>
            <wp:positionV relativeFrom="paragraph">
              <wp:posOffset>-105410</wp:posOffset>
            </wp:positionV>
            <wp:extent cx="168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7"/>
          <w:szCs w:val="17"/>
          <w:color w:val="auto"/>
        </w:rPr>
        <w:t>The registrant had 528,885,811 shares of common stock, par value $0.005 per share, outstanding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502285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60" w:type="dxa"/>
            <w:vAlign w:val="bottom"/>
            <w:gridSpan w:val="3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9"/>
          </w:tcPr>
          <w:p>
            <w:pPr>
              <w:jc w:val="center"/>
              <w:ind w:right="1640"/>
              <w:spacing w:after="0"/>
              <w:rPr>
                <w:sz w:val="20"/>
                <w:szCs w:val="20"/>
                <w:color w:val="auto"/>
              </w:rPr>
            </w:pPr>
            <w:r>
              <w:rPr>
                <w:rFonts w:ascii="Arial" w:cs="Arial" w:eastAsia="Arial" w:hAnsi="Arial"/>
                <w:sz w:val="18"/>
                <w:szCs w:val="18"/>
                <w:b w:val="1"/>
                <w:bCs w:val="1"/>
                <w:color w:val="auto"/>
                <w:w w:val="99"/>
              </w:rPr>
              <w:t>MONSTER BEVERAGE CORPORATION AND SUBSIDIARIES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2"/>
              </w:rPr>
              <w:t>JUNE 30, 2021</w:t>
            </w:r>
          </w:p>
        </w:tc>
        <w:tc>
          <w:tcPr>
            <w:tcW w:w="1980" w:type="dxa"/>
            <w:vAlign w:val="bottom"/>
            <w:tcBorders>
              <w:top w:val="single" w:sz="8" w:color="auto"/>
            </w:tcBorders>
            <w:gridSpan w:val="2"/>
          </w:tcPr>
          <w:p>
            <w:pPr>
              <w:spacing w:after="0"/>
              <w:rPr>
                <w:sz w:val="17"/>
                <w:szCs w:val="17"/>
                <w:color w:val="auto"/>
              </w:rPr>
            </w:pPr>
          </w:p>
        </w:tc>
        <w:tc>
          <w:tcPr>
            <w:tcW w:w="16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INDEX</w:t>
            </w:r>
          </w:p>
        </w:tc>
        <w:tc>
          <w:tcPr>
            <w:tcW w:w="390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8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Page No</w:t>
            </w:r>
            <w:r>
              <w:rPr>
                <w:rFonts w:ascii="Arial" w:cs="Arial" w:eastAsia="Arial" w:hAnsi="Arial"/>
                <w:sz w:val="18"/>
                <w:szCs w:val="18"/>
                <w:color w:val="auto"/>
                <w:w w:val="96"/>
              </w:rPr>
              <w:t>.</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8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and December 31, 2020</w:t>
              </w:r>
            </w:hyperlink>
          </w:p>
        </w:tc>
        <w:tc>
          <w:tcPr>
            <w:tcW w:w="1940" w:type="dxa"/>
            <w:vAlign w:val="bottom"/>
            <w:gridSpan w:val="7"/>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2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and Six-Months Ended June 30, 2021 and 2020</w:t>
              </w:r>
            </w:hyperlink>
          </w:p>
        </w:tc>
        <w:tc>
          <w:tcPr>
            <w:tcW w:w="160" w:type="dxa"/>
            <w:vAlign w:val="bottom"/>
            <w:gridSpan w:val="3"/>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for the Three- and Six-Months Ended June 30,</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8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2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Stockholders’ Equity for the Three- and Six-Months Ended June 30,</w:t>
              </w:r>
            </w:hyperlink>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8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2021 and 2020</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for the Six-Months Ended June 30, 2021 and 2020</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80" w:type="dxa"/>
            <w:vAlign w:val="bottom"/>
            <w:tcBorders>
              <w:top w:val="single" w:sz="8" w:color="0000EE"/>
            </w:tcBorders>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700" w:type="dxa"/>
            <w:vAlign w:val="bottom"/>
            <w:gridSpan w:val="4"/>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560" w:type="dxa"/>
            <w:vAlign w:val="bottom"/>
            <w:gridSpan w:val="3"/>
          </w:tcPr>
          <w:p>
            <w:pPr>
              <w:spacing w:after="0"/>
              <w:rPr>
                <w:sz w:val="24"/>
                <w:szCs w:val="24"/>
                <w:color w:val="auto"/>
              </w:rPr>
            </w:pP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1620" w:type="dxa"/>
            <w:vAlign w:val="bottom"/>
            <w:gridSpan w:val="5"/>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3720" w:type="dxa"/>
            <w:vAlign w:val="bottom"/>
            <w:gridSpan w:val="9"/>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500" w:type="dxa"/>
            <w:vAlign w:val="bottom"/>
            <w:gridSpan w:val="2"/>
          </w:tcPr>
          <w:p>
            <w:pPr>
              <w:spacing w:after="0"/>
              <w:rPr>
                <w:sz w:val="24"/>
                <w:szCs w:val="24"/>
                <w:color w:val="auto"/>
              </w:rPr>
            </w:pPr>
          </w:p>
        </w:tc>
        <w:tc>
          <w:tcPr>
            <w:tcW w:w="20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060" w:type="dxa"/>
            <w:vAlign w:val="bottom"/>
            <w:gridSpan w:val="17"/>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1.</w:t>
              </w:r>
            </w:hyperlink>
          </w:p>
        </w:tc>
        <w:tc>
          <w:tcPr>
            <w:tcW w:w="560" w:type="dxa"/>
            <w:vAlign w:val="bottom"/>
            <w:gridSpan w:val="3"/>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808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560" w:type="dxa"/>
            <w:vAlign w:val="bottom"/>
            <w:gridSpan w:val="3"/>
          </w:tcPr>
          <w:p>
            <w:pPr>
              <w:spacing w:after="0"/>
              <w:rPr>
                <w:sz w:val="24"/>
                <w:szCs w:val="24"/>
                <w:color w:val="auto"/>
              </w:rPr>
            </w:pPr>
          </w:p>
        </w:tc>
        <w:tc>
          <w:tcPr>
            <w:tcW w:w="2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6"/>
          </w:tcPr>
          <w:p>
            <w:pPr>
              <w:spacing w:after="0"/>
              <w:rPr>
                <w:sz w:val="24"/>
                <w:szCs w:val="24"/>
                <w:color w:val="auto"/>
              </w:rPr>
            </w:pPr>
          </w:p>
        </w:tc>
        <w:tc>
          <w:tcPr>
            <w:tcW w:w="3740" w:type="dxa"/>
            <w:vAlign w:val="bottom"/>
            <w:gridSpan w:val="10"/>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808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560" w:type="dxa"/>
            <w:vAlign w:val="bottom"/>
            <w:gridSpan w:val="3"/>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6320" w:type="dxa"/>
            <w:vAlign w:val="bottom"/>
            <w:gridSpan w:val="1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56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Exhibits</w:t>
              </w:r>
            </w:hyperlink>
          </w:p>
        </w:tc>
        <w:tc>
          <w:tcPr>
            <w:tcW w:w="720" w:type="dxa"/>
            <w:vAlign w:val="bottom"/>
            <w:tcBorders>
              <w:top w:val="single" w:sz="8" w:color="0000EE"/>
            </w:tcBorders>
            <w:gridSpan w:val="4"/>
          </w:tcPr>
          <w:p>
            <w:pPr>
              <w:spacing w:after="0"/>
              <w:rPr>
                <w:sz w:val="24"/>
                <w:szCs w:val="24"/>
                <w:color w:val="auto"/>
              </w:rPr>
            </w:pPr>
          </w:p>
        </w:tc>
        <w:tc>
          <w:tcPr>
            <w:tcW w:w="6760" w:type="dxa"/>
            <w:vAlign w:val="bottom"/>
            <w:gridSpan w:val="19"/>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Signatures</w:t>
              </w:r>
            </w:hyperlink>
          </w:p>
        </w:tc>
        <w:tc>
          <w:tcPr>
            <w:tcW w:w="7320" w:type="dxa"/>
            <w:vAlign w:val="bottom"/>
            <w:gridSpan w:val="22"/>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7" w:lineRule="auto"/>
        <w:rPr>
          <w:sz w:val="20"/>
          <w:szCs w:val="20"/>
          <w:color w:val="auto"/>
        </w:rPr>
      </w:pPr>
      <w:r>
        <w:rPr>
          <w:rFonts w:ascii="Arial" w:cs="Arial" w:eastAsia="Arial" w:hAnsi="Arial"/>
          <w:sz w:val="18"/>
          <w:szCs w:val="18"/>
          <w:b w:val="1"/>
          <w:bCs w:val="1"/>
          <w:color w:val="auto"/>
        </w:rPr>
        <w:t>MONSTER BEVERAGE CORPORATION AND SUBSIDIARIES CONDENSED CONSOLIDATED BALANCE SHEETS AS OF JUNE 30, 2021 AND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1,584,239</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Short-term investments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968,952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881,354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909,169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382,890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333,085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83,086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Prepaid income taxes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22,339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3,950,675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3,140,955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91,033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309,178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314,656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241,297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1,058,323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89,394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70,475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Arial" w:cs="Arial" w:eastAsia="Arial" w:hAnsi="Arial"/>
                <w:sz w:val="14"/>
                <w:szCs w:val="14"/>
                <w:b w:val="1"/>
                <w:bCs w:val="1"/>
                <w:color w:val="auto"/>
                <w:w w:val="88"/>
              </w:rPr>
              <w:t>Total Assets</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7,071,543</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6,202,716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362,900</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172,498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promotional allowances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227,414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46,656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45,429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46,770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31,289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887,527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749,988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252,056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27,432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12)</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5"/>
              </w:rPr>
              <w:t>Common stock - $0.005 par value; 1,250,000 shares authorized; 639,576 shares issued and 528,857 shares outstanding as</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Arial" w:cs="Arial" w:eastAsia="Arial" w:hAnsi="Arial"/>
                <w:sz w:val="14"/>
                <w:szCs w:val="14"/>
                <w:color w:val="auto"/>
              </w:rPr>
              <w:t>of June 30, 2021; 638,662 shares issued and 528,097 shares outstanding as of December 31, 2020</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4,597,333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4,537,982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7,151,030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6,432,074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income</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rPr>
              <w:t>Common stock in treasury, at cost; 110,719 shares and 110,565 shares as of June 30, 2021 and December 31, 2020,</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(5,829,241)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(5,815,423)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5,905,498</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5,160,860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Arial" w:cs="Arial" w:eastAsia="Arial" w:hAnsi="Arial"/>
                <w:sz w:val="14"/>
                <w:szCs w:val="14"/>
                <w:b w:val="1"/>
                <w:bCs w:val="1"/>
                <w:color w:val="auto"/>
                <w:w w:val="94"/>
              </w:rPr>
              <w:t>Total Liabilities and Stockholders’ Equity</w:t>
            </w: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7,071,543</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800"/>
        <w:spacing w:after="0" w:line="276" w:lineRule="auto"/>
        <w:rPr>
          <w:sz w:val="20"/>
          <w:szCs w:val="20"/>
          <w:color w:val="auto"/>
        </w:rPr>
      </w:pPr>
      <w:r>
        <w:rPr>
          <w:rFonts w:ascii="Arial" w:cs="Arial" w:eastAsia="Arial" w:hAnsi="Arial"/>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980"/>
        <w:spacing w:after="0" w:line="260" w:lineRule="auto"/>
        <w:rPr>
          <w:sz w:val="20"/>
          <w:szCs w:val="20"/>
          <w:color w:val="auto"/>
        </w:rPr>
      </w:pPr>
      <w:r>
        <w:rPr>
          <w:rFonts w:ascii="Arial" w:cs="Arial" w:eastAsia="Arial" w:hAnsi="Arial"/>
          <w:sz w:val="18"/>
          <w:szCs w:val="18"/>
          <w:b w:val="1"/>
          <w:bCs w:val="1"/>
          <w:color w:val="auto"/>
        </w:rPr>
        <w:t>FOR THE THREE- AND SIX- MONTHS ENDED JUNE 30, 2021 AND 2020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4"/>
              </w:rPr>
              <w:t>Three-Months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Six-Months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1,461,934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1,093,896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2,705,751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2,155,993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625,096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1,153,976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1,551,775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611,652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123,085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311,369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SHARES OF COMMON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COMMON STOCK EQUIVALENTS: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528,653</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526,911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528,425</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535,557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531,191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535,324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328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 AND SIX-MONTHS ENDED JUNE 30,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Three-Months Ended</w:t>
            </w:r>
          </w:p>
        </w:tc>
        <w:tc>
          <w:tcPr>
            <w:tcW w:w="16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8"/>
              </w:rPr>
              <w:t>Six-Months Ended</w:t>
            </w:r>
          </w:p>
        </w:tc>
      </w:tr>
      <w:tr>
        <w:trPr>
          <w:trHeight w:val="234"/>
        </w:trPr>
        <w:tc>
          <w:tcPr>
            <w:tcW w:w="6280" w:type="dxa"/>
            <w:vAlign w:val="bottom"/>
          </w:tcPr>
          <w:p>
            <w:pPr>
              <w:spacing w:after="0"/>
              <w:rPr>
                <w:sz w:val="20"/>
                <w:szCs w:val="20"/>
                <w:color w:val="auto"/>
              </w:rPr>
            </w:pPr>
          </w:p>
        </w:tc>
        <w:tc>
          <w:tcPr>
            <w:tcW w:w="19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6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6280" w:type="dxa"/>
            <w:vAlign w:val="bottom"/>
          </w:tcPr>
          <w:p>
            <w:pPr>
              <w:spacing w:after="0"/>
              <w:rPr>
                <w:sz w:val="18"/>
                <w:szCs w:val="18"/>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$ 403,762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$ 311,369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$ 718,956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$ 590,204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(21,555)</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(losses) gains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9"/>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(19,856)</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(21,051)</w:t>
            </w:r>
          </w:p>
        </w:tc>
      </w:tr>
      <w:tr>
        <w:trPr>
          <w:trHeight w:val="209"/>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$ 411,814</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$ 320,613</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$ 699,100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$ 569,153</w:t>
            </w:r>
          </w:p>
        </w:tc>
      </w:tr>
      <w:tr>
        <w:trPr>
          <w:trHeight w:val="20"/>
        </w:trPr>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38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 AND SIX-MONTHS ENDED JUNE 30,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166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66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Treasury stock</w:t>
            </w: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8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9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2020</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638,662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4,537,982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6,432,074</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3,034</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(5,815,423)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5,160,860</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6,761</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w w:val="99"/>
              </w:rPr>
              <w:t>Unrealized gain, net on available-for-sale securities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(13,419)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(13,419)</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(27,932)</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(27,932)</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c>
          <w:tcPr>
            <w:tcW w:w="0" w:type="dxa"/>
            <w:vAlign w:val="bottom"/>
          </w:tcPr>
          <w:p>
            <w:pPr>
              <w:spacing w:after="0"/>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2021</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639,154</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3,196</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4,562,689</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6,747,268</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(24,874)</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(110,715)</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(5,828,842)</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5,459,437</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16,921</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17,723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17,725</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loss, net on available-for-sale securities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(183)</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(399)</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8,235</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8,235</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403,762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403,762</w:t>
            </w:r>
          </w:p>
        </w:tc>
        <w:tc>
          <w:tcPr>
            <w:tcW w:w="0" w:type="dxa"/>
            <w:vAlign w:val="bottom"/>
          </w:tcPr>
          <w:p>
            <w:pPr>
              <w:spacing w:after="0"/>
              <w:rPr>
                <w:sz w:val="1"/>
                <w:szCs w:val="1"/>
                <w:color w:val="auto"/>
              </w:rPr>
            </w:pPr>
          </w:p>
        </w:tc>
      </w:tr>
      <w:tr>
        <w:trPr>
          <w:trHeight w:val="128"/>
        </w:trPr>
        <w:tc>
          <w:tcPr>
            <w:tcW w:w="29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June 30, 2021</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639,576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4,597,333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7,151,030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(16,822)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(110,719)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(5,829,241)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5,905,498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1660" w:type="dxa"/>
            <w:vAlign w:val="bottom"/>
            <w:gridSpan w:val="5"/>
          </w:tcPr>
          <w:p>
            <w:pPr>
              <w:ind w:left="360"/>
              <w:spacing w:after="0" w:line="131"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720" w:type="dxa"/>
            <w:vAlign w:val="bottom"/>
          </w:tcPr>
          <w:p>
            <w:pPr>
              <w:jc w:val="right"/>
              <w:ind w:right="57"/>
              <w:spacing w:after="0" w:line="131"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tcPr>
          <w:p>
            <w:pPr>
              <w:spacing w:after="0" w:line="131" w:lineRule="exact"/>
              <w:rPr>
                <w:sz w:val="20"/>
                <w:szCs w:val="20"/>
                <w:color w:val="auto"/>
              </w:rPr>
            </w:pPr>
            <w:r>
              <w:rPr>
                <w:rFonts w:ascii="Arial" w:cs="Arial" w:eastAsia="Arial" w:hAnsi="Arial"/>
                <w:sz w:val="13"/>
                <w:szCs w:val="13"/>
                <w:b w:val="1"/>
                <w:bCs w:val="1"/>
                <w:color w:val="auto"/>
              </w:rPr>
              <w:t>Comprehensive</w:t>
            </w:r>
          </w:p>
        </w:tc>
        <w:tc>
          <w:tcPr>
            <w:tcW w:w="1660" w:type="dxa"/>
            <w:vAlign w:val="bottom"/>
            <w:gridSpan w:val="5"/>
          </w:tcPr>
          <w:p>
            <w:pPr>
              <w:jc w:val="right"/>
              <w:ind w:right="500"/>
              <w:spacing w:after="0" w:line="131" w:lineRule="exact"/>
              <w:rPr>
                <w:sz w:val="20"/>
                <w:szCs w:val="20"/>
                <w:color w:val="auto"/>
              </w:rPr>
            </w:pPr>
            <w:r>
              <w:rPr>
                <w:rFonts w:ascii="Arial" w:cs="Arial" w:eastAsia="Arial" w:hAnsi="Arial"/>
                <w:sz w:val="13"/>
                <w:szCs w:val="13"/>
                <w:b w:val="1"/>
                <w:bCs w:val="1"/>
                <w:color w:val="auto"/>
              </w:rPr>
              <w:t>Treasury stock</w:t>
            </w:r>
          </w:p>
        </w:tc>
        <w:tc>
          <w:tcPr>
            <w:tcW w:w="78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3"/>
        </w:trPr>
        <w:tc>
          <w:tcPr>
            <w:tcW w:w="29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8"/>
              </w:rPr>
              <w:t>Paid-in Capital</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line="20" w:lineRule="exact"/>
              <w:rPr>
                <w:sz w:val="1"/>
                <w:szCs w:val="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2019</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636,460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4,397,511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5,022,480</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(32,387)</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(99,762)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(5,219,505)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4,171,281</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17,098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17,098</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13,971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13,975</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w w:val="99"/>
              </w:rPr>
              <w:t>Unrealized gain, net on available-for-sale securities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(10,503)</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(579,948)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(579,948)</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(30,599)</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(30,599)</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278,835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278,835</w:t>
            </w:r>
          </w:p>
        </w:tc>
        <w:tc>
          <w:tcPr>
            <w:tcW w:w="0" w:type="dxa"/>
            <w:vAlign w:val="bottom"/>
          </w:tcPr>
          <w:p>
            <w:pPr>
              <w:spacing w:after="0"/>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2020</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637,104</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3,186</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4,428,580</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5,301,315</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(62,682)</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(110,265)</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(5,799,453)</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3,870,946</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15,936</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29,863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29,867</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Unrealized gain, net on available-for-sale securities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(298)</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(15,822)</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(15,822)</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9,044</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9,044</w:t>
            </w: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311,369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311,369</w:t>
            </w:r>
          </w:p>
        </w:tc>
        <w:tc>
          <w:tcPr>
            <w:tcW w:w="0" w:type="dxa"/>
            <w:vAlign w:val="bottom"/>
          </w:tcPr>
          <w:p>
            <w:pPr>
              <w:spacing w:after="0"/>
              <w:rPr>
                <w:sz w:val="1"/>
                <w:szCs w:val="1"/>
                <w:color w:val="auto"/>
              </w:rPr>
            </w:pPr>
          </w:p>
        </w:tc>
      </w:tr>
      <w:tr>
        <w:trPr>
          <w:trHeight w:val="128"/>
        </w:trPr>
        <w:tc>
          <w:tcPr>
            <w:tcW w:w="29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June 30, 2020</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637,924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4,474,379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5,612,684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(53,438)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(5,815,275)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4,221,540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SIX-MONTHS ENDED JUNE 30, 2021 AND 2020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center"/>
              <w:ind w:left="337"/>
              <w:spacing w:after="0"/>
              <w:rPr>
                <w:sz w:val="20"/>
                <w:szCs w:val="20"/>
                <w:color w:val="auto"/>
              </w:rPr>
            </w:pPr>
            <w:r>
              <w:rPr>
                <w:rFonts w:ascii="Arial" w:cs="Arial" w:eastAsia="Arial" w:hAnsi="Arial"/>
                <w:sz w:val="13"/>
                <w:szCs w:val="13"/>
                <w:b w:val="1"/>
                <w:bCs w:val="1"/>
                <w:color w:val="auto"/>
                <w:w w:val="88"/>
              </w:rPr>
              <w:t>Six-Months Ended</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3"/>
                <w:szCs w:val="13"/>
                <w:b w:val="1"/>
                <w:bCs w:val="1"/>
                <w:color w:val="auto"/>
                <w:w w:val="88"/>
              </w:rPr>
              <w:t>June 30,</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7"/>
              <w:spacing w:after="0" w:line="129"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OPERATING ACTIVITIES: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718,956</w:t>
            </w:r>
          </w:p>
        </w:tc>
        <w:tc>
          <w:tcPr>
            <w:tcW w:w="260" w:type="dxa"/>
            <w:vAlign w:val="bottom"/>
          </w:tcPr>
          <w:p>
            <w:pPr>
              <w:spacing w:after="0"/>
              <w:rPr>
                <w:sz w:val="11"/>
                <w:szCs w:val="11"/>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590,204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27,489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32,057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Gain on disposal of property and equipment</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(822)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200"/>
              <w:spacing w:after="0" w:line="135" w:lineRule="exact"/>
              <w:rPr>
                <w:sz w:val="20"/>
                <w:szCs w:val="20"/>
                <w:color w:val="auto"/>
              </w:rPr>
            </w:pPr>
            <w:r>
              <w:rPr>
                <w:rFonts w:ascii="Arial" w:cs="Arial" w:eastAsia="Arial" w:hAnsi="Arial"/>
                <w:sz w:val="13"/>
                <w:szCs w:val="13"/>
                <w:color w:val="auto"/>
              </w:rPr>
              <w:t>Impairment of intangibles</w:t>
            </w:r>
          </w:p>
        </w:tc>
        <w:tc>
          <w:tcPr>
            <w:tcW w:w="260" w:type="dxa"/>
            <w:vAlign w:val="bottom"/>
          </w:tcPr>
          <w:p>
            <w:pPr>
              <w:spacing w:after="0"/>
              <w:rPr>
                <w:sz w:val="11"/>
                <w:szCs w:val="11"/>
                <w:color w:val="auto"/>
              </w:rPr>
            </w:pP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35,691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200"/>
              <w:spacing w:after="0" w:line="135" w:lineRule="exact"/>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353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Effect on cash of changes in operating assets and liabilities: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Accounts receivable</w:t>
            </w:r>
          </w:p>
        </w:tc>
        <w:tc>
          <w:tcPr>
            <w:tcW w:w="26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(239,700)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(231,782)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Distributor receivables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Inventories</w:t>
            </w:r>
          </w:p>
        </w:tc>
        <w:tc>
          <w:tcPr>
            <w:tcW w:w="26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(52,541)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14,181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Prepaid expenses and other assets</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(28,232)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Prepaid income taxes</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2,452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7,245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63,619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29,883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31,691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promotional allowances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42,665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Accrued distributor terminations</w:t>
            </w:r>
          </w:p>
        </w:tc>
        <w:tc>
          <w:tcPr>
            <w:tcW w:w="260" w:type="dxa"/>
            <w:vAlign w:val="bottom"/>
          </w:tcPr>
          <w:p>
            <w:pPr>
              <w:spacing w:after="0"/>
              <w:rPr>
                <w:sz w:val="11"/>
                <w:szCs w:val="11"/>
                <w:color w:val="auto"/>
              </w:rPr>
            </w:pPr>
          </w:p>
        </w:tc>
        <w:tc>
          <w:tcPr>
            <w:tcW w:w="11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compensation</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(10,782)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Income taxes payable</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7,696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8,278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Other liabilities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ind w:left="320"/>
              <w:spacing w:after="0" w:line="135" w:lineRule="exact"/>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(10,922)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(10,383)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00" w:type="dxa"/>
            <w:vAlign w:val="bottom"/>
            <w:tcBorders>
              <w:top w:val="single" w:sz="8" w:color="CCEEFF"/>
            </w:tcBorders>
            <w:shd w:val="clear" w:color="auto" w:fill="CCEEFF"/>
          </w:tcPr>
          <w:p>
            <w:pPr>
              <w:ind w:left="520"/>
              <w:spacing w:after="0" w:line="129" w:lineRule="exact"/>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586,586</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440,458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FLOWS FROM INVESTING ACTIVITIES:</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Sales of available-for-sale investments</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660,965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719,616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available-for-sale investments</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(795,467)</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(425,973)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Purchases of property and equipment</w:t>
            </w:r>
          </w:p>
        </w:tc>
        <w:tc>
          <w:tcPr>
            <w:tcW w:w="26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(15,522)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(29,116)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sale of property and equipment</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Additions to intangibles</w:t>
            </w:r>
          </w:p>
        </w:tc>
        <w:tc>
          <w:tcPr>
            <w:tcW w:w="26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(9,926)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(13,085)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Increase in other assets</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(21,236)</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ind w:left="520"/>
              <w:spacing w:after="0" w:line="129" w:lineRule="exact"/>
              <w:rPr>
                <w:sz w:val="20"/>
                <w:szCs w:val="20"/>
                <w:color w:val="auto"/>
              </w:rPr>
            </w:pPr>
            <w:r>
              <w:rPr>
                <w:rFonts w:ascii="Arial" w:cs="Arial" w:eastAsia="Arial" w:hAnsi="Arial"/>
                <w:sz w:val="13"/>
                <w:szCs w:val="13"/>
                <w:color w:val="auto"/>
              </w:rPr>
              <w:t>Net cash (used in) provided by investing activities</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(180,162)</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250,694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CASH FLOWS FROM FINANCING ACTIVITIES:</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Borrowings of (payments on) debt</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3,624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Issuance of common stock</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24,486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43,842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common stock held in treasury</w:t>
            </w:r>
          </w:p>
        </w:tc>
        <w:tc>
          <w:tcPr>
            <w:tcW w:w="2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(13,818)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(595,770)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00" w:type="dxa"/>
            <w:vAlign w:val="bottom"/>
            <w:tcBorders>
              <w:bottom w:val="single" w:sz="8" w:color="CCEEFF"/>
            </w:tcBorders>
          </w:tcPr>
          <w:p>
            <w:pPr>
              <w:ind w:left="520"/>
              <w:spacing w:after="0" w:line="129" w:lineRule="exact"/>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14,292</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(553,608)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7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(16,890)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(14,175)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NET INCREASE IN CASH AND CASH EQUIVALENTS</w:t>
            </w:r>
          </w:p>
        </w:tc>
        <w:tc>
          <w:tcPr>
            <w:tcW w:w="2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403,826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123,369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beginning of period</w:t>
            </w:r>
          </w:p>
        </w:tc>
        <w:tc>
          <w:tcPr>
            <w:tcW w:w="2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1,180,413</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797,957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CASH AND CASH EQUIVALENTS, end of period</w:t>
            </w:r>
          </w:p>
        </w:tc>
        <w:tc>
          <w:tcPr>
            <w:tcW w:w="2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1,584,239</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921,326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00" w:type="dxa"/>
            <w:vAlign w:val="bottom"/>
          </w:tcPr>
          <w:p>
            <w:pPr>
              <w:spacing w:after="0" w:line="135" w:lineRule="exact"/>
              <w:rPr>
                <w:sz w:val="20"/>
                <w:szCs w:val="20"/>
                <w:color w:val="auto"/>
              </w:rPr>
            </w:pPr>
            <w:r>
              <w:rPr>
                <w:rFonts w:ascii="Arial" w:cs="Arial" w:eastAsia="Arial" w:hAnsi="Arial"/>
                <w:sz w:val="13"/>
                <w:szCs w:val="13"/>
                <w:color w:val="auto"/>
              </w:rPr>
              <w:t>SUPPLEMENTAL INFORMATION:</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paid during the period for:</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Interest</w:t>
            </w:r>
          </w:p>
        </w:tc>
        <w:tc>
          <w:tcPr>
            <w:tcW w:w="26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00" w:type="dxa"/>
            <w:vAlign w:val="bottom"/>
            <w:tcBorders>
              <w:bottom w:val="single" w:sz="8" w:color="CCEEFF"/>
            </w:tcBorders>
            <w:shd w:val="clear" w:color="auto" w:fill="CCEEFF"/>
          </w:tcPr>
          <w:p>
            <w:pPr>
              <w:ind w:left="200"/>
              <w:spacing w:after="0" w:line="116" w:lineRule="exact"/>
              <w:rPr>
                <w:sz w:val="20"/>
                <w:szCs w:val="20"/>
                <w:color w:val="auto"/>
              </w:rPr>
            </w:pPr>
            <w:r>
              <w:rPr>
                <w:rFonts w:ascii="Arial" w:cs="Arial" w:eastAsia="Arial" w:hAnsi="Arial"/>
                <w:sz w:val="13"/>
                <w:szCs w:val="13"/>
                <w:color w:val="auto"/>
              </w:rPr>
              <w:t>Income taxes</w:t>
            </w:r>
          </w:p>
        </w:tc>
        <w:tc>
          <w:tcPr>
            <w:tcW w:w="260" w:type="dxa"/>
            <w:vAlign w:val="bottom"/>
            <w:tcBorders>
              <w:bottom w:val="single" w:sz="8" w:color="auto"/>
            </w:tcBorders>
            <w:shd w:val="clear" w:color="auto" w:fill="CCEEFF"/>
          </w:tcPr>
          <w:p>
            <w:pPr>
              <w:jc w:val="right"/>
              <w:ind w:right="117"/>
              <w:spacing w:after="0" w:line="116"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215,803</w:t>
            </w:r>
          </w:p>
        </w:tc>
        <w:tc>
          <w:tcPr>
            <w:tcW w:w="2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164,956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SIX-MONTHS ENDED JUNE 30, 2021 AND 2020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Included in accrued liabilities as of June 30, 2021 and 2020 were $1.3 million and $12.6 million, respectively, related to net additions to other intangible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the Notes to Consolidated Financial Statements, in Monster Beverage Corporation and Subsidiaries (the “Company”) Annual Report on Form 10-K for the year ended December 31, 2020 for a summary of significant accounting policies utilized by the Company and its consolidated subsidiaries and other disclosures, which should be read in conjunction with this Quarterly Report on Form 10-Q (“Form 10-Q”).</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2021 and 2020,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December 2019, the Financial Accounting Standards Board issued Accounting Standards Update (“ASU”) No. 2019-12, “Simplifying the Accounting for Income Taxes”, as part of its simplification initiative to reduce the cost and complexity in accounting for income taxes. ASU No. 2019-12 removes certain exceptions related to the approach for intra-period tax allocation, the methodology for calculating income taxes in an interim period and the recognition of deferred tax liabilities for outside basis differences. ASU No. 2019-12 also amends other aspects of the guidance to help simplify and promote consistent application of GAAP. The guidance was effective for interim and annual periods beginning after December 15, 2020, with early adoption permitted. The adoption of ASU No. 2019-12 did not have a material impact on the Company’s financial position, results of operations and liquidity.</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three operating and reportable segments: (i) Monster Energy® Drinks segment (“Monster Energy® Drinks”), which is primarily comprised of the Company’s Monster Energy® drinks and Reign Total Body Fuel® high performance energy drinks,</w:t>
      </w:r>
    </w:p>
    <w:p>
      <w:pPr>
        <w:jc w:val="both"/>
        <w:ind w:firstLine="8"/>
        <w:spacing w:after="0" w:line="253"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Brands segment (“Strategic Brands”), which is primarily comprised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Monster Energy® Drinks segment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2021 and December 31, 2020.</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slotting, shelf space allowances and other fees given directly to retailers, club stores and/or wholesalers;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jc w:val="both"/>
        <w:ind w:left="1000" w:right="20" w:hanging="317"/>
        <w:spacing w:after="0" w:line="32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commissions to TCCC based on the Company’s sales to certain wholly-owned subsidiaries of TCCC (the “TCCC Subsidiaries”) and/or to certain companies accounted for under the equity method by TCCC (the “TCCC Related Parties”).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8"/>
                <w:szCs w:val="18"/>
                <w:color w:val="auto"/>
                <w:w w:val="89"/>
              </w:rPr>
              <w:t>Three-Months Ended June 30, 2021</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1,367,094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49,388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86,935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952,655</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297,682</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125,940</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85,657</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1,461,934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140"/>
              <w:spacing w:after="0"/>
              <w:rPr>
                <w:sz w:val="20"/>
                <w:szCs w:val="20"/>
                <w:color w:val="auto"/>
              </w:rPr>
            </w:pPr>
            <w:r>
              <w:rPr>
                <w:rFonts w:ascii="Arial" w:cs="Arial" w:eastAsia="Arial" w:hAnsi="Arial"/>
                <w:sz w:val="18"/>
                <w:szCs w:val="18"/>
                <w:color w:val="auto"/>
                <w:w w:val="89"/>
              </w:rPr>
              <w:t>Three-Months Ended June 30, 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Canada</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Caribbean</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746,946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112,832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1,027,686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59,566</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794,745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gridSpan w:val="3"/>
          </w:tcPr>
          <w:p>
            <w:pPr>
              <w:jc w:val="right"/>
              <w:ind w:right="6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1,093,896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8"/>
                <w:szCs w:val="18"/>
                <w:color w:val="auto"/>
                <w:w w:val="90"/>
              </w:rPr>
              <w:t>Six-Months Ended June 30, 2021</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1,668,866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489,107</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225,681</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2,537,374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87,071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15,444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154,744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1,769,570</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536,891</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241,125</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158,165</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2,705,751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8"/>
                <w:szCs w:val="18"/>
                <w:color w:val="auto"/>
                <w:w w:val="90"/>
              </w:rPr>
              <w:t>Six-Months Ended June 30, 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1,436,964</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294,692</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89,747</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2,020,139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10,503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124,105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1,527,739</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327,833</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209,239</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91,182</w:t>
            </w:r>
          </w:p>
        </w:tc>
        <w:tc>
          <w:tcPr>
            <w:tcW w:w="4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2,155,993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Amounts received from certain bottlers/distributors at inception of their distribution contracts or at the inception of certain sales/marketing programs are accounted for as deferred revenue. As of June 30, 2021, the Company had $298.7 million of deferred revenue, which is included in current and long-term deferred revenue in the Company’s condensed consolidated balance sheet. As of December 31, 2020, the Company had $309.9 million of deferred revenue, which is included in current and long-term deferred revenue in the Company’s condensed consolidated balance sheet. During the three-months ended June 30, 2021 and 2020, $10.4 million and $10.5 million, respectively, of deferred revenue was recognized in net sales. See Note 11. During the six-months ended June 30, 2021 and 2020, $20.9 million and $21.1 million, respectively, of deferred revenue was recognized in net sales. See Note 11.</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Leases are classified as either finance leases or operating leases based on criteria in Accounting Standards Codification (“ASC”)</w:t>
      </w:r>
    </w:p>
    <w:p>
      <w:pPr>
        <w:spacing w:after="0" w:line="46" w:lineRule="exact"/>
        <w:rPr>
          <w:sz w:val="20"/>
          <w:szCs w:val="20"/>
          <w:color w:val="auto"/>
        </w:rPr>
      </w:pPr>
    </w:p>
    <w:p>
      <w:pPr>
        <w:ind w:firstLine="8"/>
        <w:spacing w:after="0" w:line="260"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operating leases are comprised of real estate and warehouse equipment, and the Company’s finance leases are comprised of vehicles.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income, net in the condensed consolidated statement of income.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leases have remaining lease terms of less than one year to 13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were comprised of the following: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4"/>
              </w:rPr>
              <w:t>Three-Months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2"/>
              </w:rPr>
              <w:t>Three-Months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Six-Months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Six-Months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8"/>
              </w:rPr>
              <w:t>Ended June 30,</w:t>
            </w: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85"/>
              </w:rPr>
              <w:t>Ended June 30,</w:t>
            </w:r>
          </w:p>
        </w:tc>
        <w:tc>
          <w:tcPr>
            <w:tcW w:w="1480" w:type="dxa"/>
            <w:vAlign w:val="bottom"/>
            <w:gridSpan w:val="4"/>
          </w:tcPr>
          <w:p>
            <w:pPr>
              <w:ind w:left="200"/>
              <w:spacing w:after="0"/>
              <w:rPr>
                <w:sz w:val="20"/>
                <w:szCs w:val="20"/>
                <w:color w:val="auto"/>
              </w:rPr>
            </w:pPr>
            <w:r>
              <w:rPr>
                <w:rFonts w:ascii="Arial" w:cs="Arial" w:eastAsia="Arial" w:hAnsi="Arial"/>
                <w:sz w:val="18"/>
                <w:szCs w:val="18"/>
                <w:color w:val="auto"/>
                <w:w w:val="99"/>
              </w:rPr>
              <w:t>Ended June 30,</w:t>
            </w:r>
          </w:p>
        </w:tc>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87"/>
              </w:rPr>
              <w:t>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80"/>
              <w:spacing w:after="0"/>
              <w:rPr>
                <w:sz w:val="20"/>
                <w:szCs w:val="20"/>
                <w:color w:val="auto"/>
              </w:rPr>
            </w:pPr>
            <w:r>
              <w:rPr>
                <w:rFonts w:ascii="Arial" w:cs="Arial" w:eastAsia="Arial" w:hAnsi="Arial"/>
                <w:sz w:val="18"/>
                <w:szCs w:val="18"/>
                <w:color w:val="auto"/>
              </w:rPr>
              <w:t>Amortization of ROU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on lease liabilities</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Finance lease cost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Supplemental cash flow information for the following periods: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Six-Months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5"/>
              </w:rPr>
              <w:t>Six-Months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8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Ended June 30,</w:t>
            </w:r>
          </w:p>
        </w:tc>
        <w:tc>
          <w:tcPr>
            <w:tcW w:w="2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Ended June 30,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ROU assets for operating and finance leases recognized in the Company’s condensed consolidated balance sheets were comprised of the following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9"/>
              </w:rPr>
              <w:t>June 30, 2021</w:t>
            </w: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2"/>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080" w:type="dxa"/>
            <w:vAlign w:val="bottom"/>
            <w:gridSpan w:val="4"/>
          </w:tcPr>
          <w:p>
            <w:pPr>
              <w:ind w:left="18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$ 21,052</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2,495</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1"/>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color w:val="auto"/>
                <w:w w:val="89"/>
              </w:rPr>
              <w:t>December 31, 2020</w:t>
            </w:r>
          </w:p>
        </w:tc>
        <w:tc>
          <w:tcPr>
            <w:tcW w:w="180" w:type="dxa"/>
            <w:vAlign w:val="bottom"/>
          </w:tcPr>
          <w:p>
            <w:pPr>
              <w:spacing w:after="0"/>
              <w:rPr>
                <w:sz w:val="24"/>
                <w:szCs w:val="24"/>
                <w:color w:val="auto"/>
              </w:rPr>
            </w:pPr>
          </w:p>
        </w:tc>
        <w:tc>
          <w:tcPr>
            <w:tcW w:w="3100" w:type="dxa"/>
            <w:vAlign w:val="bottom"/>
            <w:gridSpan w:val="2"/>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080" w:type="dxa"/>
            <w:vAlign w:val="bottom"/>
            <w:gridSpan w:val="4"/>
          </w:tcPr>
          <w:p>
            <w:pPr>
              <w:ind w:left="18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$ 22,754</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w w:val="91"/>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and finance lease liabilities recognized in the Company’s condensed consolidated balance sheets were as follows at:</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90"/>
              <w:spacing w:after="0"/>
              <w:rPr>
                <w:sz w:val="20"/>
                <w:szCs w:val="20"/>
                <w:color w:val="auto"/>
              </w:rPr>
            </w:pPr>
            <w:r>
              <w:rPr>
                <w:rFonts w:ascii="Arial" w:cs="Arial" w:eastAsia="Arial" w:hAnsi="Arial"/>
                <w:sz w:val="18"/>
                <w:szCs w:val="18"/>
                <w:color w:val="auto"/>
                <w:w w:val="87"/>
              </w:rPr>
              <w:t>June 30, 2021</w:t>
            </w:r>
          </w:p>
        </w:tc>
        <w:tc>
          <w:tcPr>
            <w:tcW w:w="54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Operating Leases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Finance Leases</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December 31, 2020</w:t>
            </w:r>
          </w:p>
        </w:tc>
        <w:tc>
          <w:tcPr>
            <w:tcW w:w="540" w:type="dxa"/>
            <w:vAlign w:val="bottom"/>
            <w:tcBorders>
              <w:bottom w:val="single" w:sz="8" w:color="auto"/>
            </w:tcBorders>
          </w:tcPr>
          <w:p>
            <w:pPr>
              <w:spacing w:after="0"/>
              <w:rPr>
                <w:sz w:val="24"/>
                <w:szCs w:val="24"/>
                <w:color w:val="auto"/>
              </w:rPr>
            </w:pPr>
          </w:p>
        </w:tc>
      </w:tr>
      <w:tr>
        <w:trPr>
          <w:trHeight w:val="209"/>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5"/>
              </w:rPr>
              <w:t>Operating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84"/>
              </w:rPr>
              <w:t>Finance Leases</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at June 30, 2021 and December 31, 2020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820" w:type="dxa"/>
            <w:vAlign w:val="bottom"/>
            <w:gridSpan w:val="4"/>
          </w:tcPr>
          <w:p>
            <w:pPr>
              <w:ind w:left="820"/>
              <w:spacing w:after="0"/>
              <w:rPr>
                <w:sz w:val="20"/>
                <w:szCs w:val="20"/>
                <w:color w:val="auto"/>
              </w:rPr>
            </w:pPr>
            <w:r>
              <w:rPr>
                <w:rFonts w:ascii="Arial" w:cs="Arial" w:eastAsia="Arial" w:hAnsi="Arial"/>
                <w:sz w:val="18"/>
                <w:szCs w:val="18"/>
                <w:color w:val="auto"/>
              </w:rPr>
              <w:t>June 30, 2021</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9.3</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1.2 %</w:t>
            </w:r>
          </w:p>
        </w:tc>
      </w:tr>
      <w:tr>
        <w:trPr>
          <w:trHeight w:val="431"/>
        </w:trPr>
        <w:tc>
          <w:tcPr>
            <w:tcW w:w="5120" w:type="dxa"/>
            <w:vAlign w:val="bottom"/>
          </w:tcPr>
          <w:p>
            <w:pPr>
              <w:spacing w:after="0"/>
              <w:rPr>
                <w:sz w:val="24"/>
                <w:szCs w:val="24"/>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color w:val="auto"/>
              </w:rPr>
              <w:t>December 31, 2020</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1.9 %</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Company’s condensed consolidated balance sheet at June 30,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Undiscounted Future Lease Payments</w:t>
            </w:r>
          </w:p>
        </w:tc>
      </w:tr>
      <w:tr>
        <w:trPr>
          <w:trHeight w:val="210"/>
        </w:trPr>
        <w:tc>
          <w:tcPr>
            <w:tcW w:w="45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Finance Leases</w:t>
            </w: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six-months ended June 30, 2021)</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6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4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6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0"/>
        </w:trPr>
        <w:tc>
          <w:tcPr>
            <w:tcW w:w="4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2021,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Continuous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center"/>
              <w:ind w:right="34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800" w:type="dxa"/>
            <w:vAlign w:val="bottom"/>
            <w:gridSpan w:val="4"/>
          </w:tcPr>
          <w:p>
            <w:pPr>
              <w:jc w:val="center"/>
              <w:ind w:right="34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Unrealized</w:t>
            </w:r>
          </w:p>
        </w:tc>
        <w:tc>
          <w:tcPr>
            <w:tcW w:w="96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color w:val="auto"/>
                <w:w w:val="91"/>
              </w:rPr>
              <w:t>Loss Position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5"/>
          </w:tcPr>
          <w:p>
            <w:pPr>
              <w:ind w:left="60"/>
              <w:spacing w:after="0"/>
              <w:rPr>
                <w:sz w:val="20"/>
                <w:szCs w:val="20"/>
                <w:color w:val="auto"/>
              </w:rPr>
            </w:pPr>
            <w:r>
              <w:rPr>
                <w:rFonts w:ascii="Arial" w:cs="Arial" w:eastAsia="Arial" w:hAnsi="Arial"/>
                <w:sz w:val="18"/>
                <w:szCs w:val="18"/>
                <w:color w:val="auto"/>
              </w:rPr>
              <w:t>Amortized</w:t>
            </w:r>
          </w:p>
        </w:tc>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w w:val="94"/>
              </w:rPr>
              <w:t>Holding</w:t>
            </w:r>
          </w:p>
        </w:tc>
        <w:tc>
          <w:tcPr>
            <w:tcW w:w="960" w:type="dxa"/>
            <w:vAlign w:val="bottom"/>
            <w:gridSpan w:val="5"/>
          </w:tcPr>
          <w:p>
            <w:pPr>
              <w:jc w:val="center"/>
              <w:ind w:right="200"/>
              <w:spacing w:after="0"/>
              <w:rPr>
                <w:sz w:val="20"/>
                <w:szCs w:val="20"/>
                <w:color w:val="auto"/>
              </w:rPr>
            </w:pPr>
            <w:r>
              <w:rPr>
                <w:rFonts w:ascii="Arial" w:cs="Arial" w:eastAsia="Arial" w:hAnsi="Arial"/>
                <w:sz w:val="18"/>
                <w:szCs w:val="18"/>
                <w:color w:val="auto"/>
                <w:w w:val="98"/>
              </w:rPr>
              <w:t>Holding</w:t>
            </w:r>
          </w:p>
        </w:tc>
        <w:tc>
          <w:tcPr>
            <w:tcW w:w="180" w:type="dxa"/>
            <w:vAlign w:val="bottom"/>
          </w:tcPr>
          <w:p>
            <w:pPr>
              <w:spacing w:after="0"/>
              <w:rPr>
                <w:sz w:val="18"/>
                <w:szCs w:val="18"/>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Fair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86"/>
              </w:rPr>
              <w:t>less than 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6"/>
              </w:rPr>
              <w:t>greater than 12</w:t>
            </w: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June 30, 2021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840" w:type="dxa"/>
            <w:vAlign w:val="bottom"/>
            <w:gridSpan w:val="4"/>
          </w:tcPr>
          <w:p>
            <w:pPr>
              <w:jc w:val="center"/>
              <w:ind w:right="340"/>
              <w:spacing w:after="0"/>
              <w:rPr>
                <w:sz w:val="20"/>
                <w:szCs w:val="20"/>
                <w:color w:val="auto"/>
              </w:rPr>
            </w:pPr>
            <w:r>
              <w:rPr>
                <w:rFonts w:ascii="Arial" w:cs="Arial" w:eastAsia="Arial" w:hAnsi="Arial"/>
                <w:sz w:val="18"/>
                <w:szCs w:val="18"/>
                <w:color w:val="auto"/>
                <w:w w:val="89"/>
              </w:rPr>
              <w:t>Gains</w:t>
            </w:r>
          </w:p>
        </w:tc>
        <w:tc>
          <w:tcPr>
            <w:tcW w:w="960" w:type="dxa"/>
            <w:vAlign w:val="bottom"/>
            <w:gridSpan w:val="5"/>
          </w:tcPr>
          <w:p>
            <w:pPr>
              <w:jc w:val="center"/>
              <w:ind w:right="20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Months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r>
      <w:tr>
        <w:trPr>
          <w:trHeight w:val="209"/>
        </w:trPr>
        <w:tc>
          <w:tcPr>
            <w:tcW w:w="3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Short-term: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186,912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186,912</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Certificates of deposit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43,240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43,242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64,914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U.S. treasuries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673,912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673,876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U.S. government agency securities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29,659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29,651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treasuries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61,423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$ 1,060,060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$ 1,059,985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Continuous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5"/>
          </w:tcPr>
          <w:p>
            <w:pPr>
              <w:jc w:val="center"/>
              <w:ind w:left="16"/>
              <w:spacing w:after="0"/>
              <w:rPr>
                <w:sz w:val="20"/>
                <w:szCs w:val="20"/>
                <w:color w:val="auto"/>
              </w:rPr>
            </w:pPr>
            <w:r>
              <w:rPr>
                <w:rFonts w:ascii="Arial" w:cs="Arial" w:eastAsia="Arial" w:hAnsi="Arial"/>
                <w:sz w:val="18"/>
                <w:szCs w:val="18"/>
                <w:color w:val="auto"/>
                <w:w w:val="92"/>
              </w:rPr>
              <w:t>Unrealized</w:t>
            </w:r>
          </w:p>
        </w:tc>
        <w:tc>
          <w:tcPr>
            <w:tcW w:w="960" w:type="dxa"/>
            <w:vAlign w:val="bottom"/>
            <w:gridSpan w:val="5"/>
          </w:tcPr>
          <w:p>
            <w:pPr>
              <w:jc w:val="center"/>
              <w:ind w:left="35"/>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color w:val="auto"/>
                <w:w w:val="91"/>
              </w:rPr>
              <w:t>Loss Position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ind w:left="20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Holding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Holding</w:t>
            </w:r>
          </w:p>
        </w:tc>
        <w:tc>
          <w:tcPr>
            <w:tcW w:w="1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Fair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less than 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6"/>
              </w:rPr>
              <w:t>greater than 12</w:t>
            </w:r>
          </w:p>
        </w:tc>
      </w:tr>
      <w:tr>
        <w:trPr>
          <w:trHeight w:val="230"/>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December 31, 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Months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$ 119,886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$ 119,886</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Certificates of deposit</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20,387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Municipal securities</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9,083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U.S. government agency securities</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81,521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81,531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treasuries</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650,386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650,467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U.S. treasuries</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33,946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33,940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$ 925,559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$ 925,645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six-months ended June 30, 2021 and 2020, realized gains or losses recognized on the sale of investments were not significant.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at June 30, 2021 and December 31, 2020 carried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40"/>
              <w:spacing w:after="0"/>
              <w:rPr>
                <w:sz w:val="20"/>
                <w:szCs w:val="20"/>
                <w:color w:val="auto"/>
              </w:rPr>
            </w:pPr>
            <w:r>
              <w:rPr>
                <w:rFonts w:ascii="Arial" w:cs="Arial" w:eastAsia="Arial" w:hAnsi="Arial"/>
                <w:sz w:val="18"/>
                <w:szCs w:val="18"/>
                <w:color w:val="auto"/>
              </w:rPr>
              <w:t>June 30, 2021</w:t>
            </w:r>
          </w:p>
        </w:tc>
        <w:tc>
          <w:tcPr>
            <w:tcW w:w="280" w:type="dxa"/>
            <w:vAlign w:val="bottom"/>
          </w:tcPr>
          <w:p>
            <w:pPr>
              <w:spacing w:after="0"/>
              <w:rPr>
                <w:sz w:val="20"/>
                <w:szCs w:val="20"/>
                <w:color w:val="auto"/>
              </w:rPr>
            </w:pPr>
          </w:p>
        </w:tc>
        <w:tc>
          <w:tcPr>
            <w:tcW w:w="2080" w:type="dxa"/>
            <w:vAlign w:val="bottom"/>
            <w:gridSpan w:val="4"/>
          </w:tcPr>
          <w:p>
            <w:pPr>
              <w:jc w:val="right"/>
              <w:ind w:right="390"/>
              <w:spacing w:after="0"/>
              <w:rPr>
                <w:sz w:val="20"/>
                <w:szCs w:val="20"/>
                <w:color w:val="auto"/>
              </w:rPr>
            </w:pPr>
            <w:r>
              <w:rPr>
                <w:rFonts w:ascii="Arial" w:cs="Arial" w:eastAsia="Arial" w:hAnsi="Arial"/>
                <w:sz w:val="18"/>
                <w:szCs w:val="18"/>
                <w:color w:val="auto"/>
                <w:w w:val="99"/>
              </w:rPr>
              <w:t>December 31, 2020</w:t>
            </w:r>
          </w:p>
        </w:tc>
      </w:tr>
      <w:tr>
        <w:trPr>
          <w:trHeight w:val="210"/>
        </w:trPr>
        <w:tc>
          <w:tcPr>
            <w:tcW w:w="50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Fair Value</w:t>
            </w:r>
          </w:p>
        </w:tc>
        <w:tc>
          <w:tcPr>
            <w:tcW w:w="20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0"/>
              </w:rPr>
              <w:t>Fair Value</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186,912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186,912</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119,886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119,886</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81,531</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673,912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673,876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650,386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650,467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Due 1 - 10 years: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61,382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33,940</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10,351</w:t>
            </w:r>
          </w:p>
        </w:tc>
      </w:tr>
      <w:tr>
        <w:trPr>
          <w:trHeight w:val="209"/>
        </w:trPr>
        <w:tc>
          <w:tcPr>
            <w:tcW w:w="502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1,060,060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1,059,985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925,559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925,645</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4"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right="2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related assets or liabilities.</w:t>
      </w:r>
    </w:p>
    <w:p>
      <w:pPr>
        <w:spacing w:after="0" w:line="175" w:lineRule="exact"/>
        <w:rPr>
          <w:rFonts w:ascii="Arial" w:cs="Arial" w:eastAsia="Arial" w:hAnsi="Arial"/>
          <w:sz w:val="18"/>
          <w:szCs w:val="18"/>
          <w:color w:val="auto"/>
        </w:rPr>
      </w:pPr>
    </w:p>
    <w:p>
      <w:pPr>
        <w:ind w:left="680" w:right="20" w:hanging="321"/>
        <w:spacing w:after="0" w:line="28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760,217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809,022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186,912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750,258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1,569,239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1,075,276</w:t>
            </w: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2,644,515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Amounts included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1,569,239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968,952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91,033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1,569,239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1,075,276</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2,644,515</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130,883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91,882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(2,578)</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1,149,151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31,262</w:t>
            </w:r>
          </w:p>
        </w:tc>
        <w:tc>
          <w:tcPr>
            <w:tcW w:w="18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1,180,413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(2,647)</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six-months ended June 30, 2021, or during the year-ended December 31, 2020, and there were no changes in the Company’s valuation techniques.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currency exchange rate risks related primarily to its foreign business operations. During the six-months ended June 30, 2021 and the year-ended December 31, 2020,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2021 have terms of one month or less. The Company does not enter into forward currency exchange contracts for speculation or trading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Company’s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60" w:type="dxa"/>
            <w:vAlign w:val="bottom"/>
            <w:tcBorders>
              <w:top w:val="single" w:sz="8" w:color="auto"/>
            </w:tcBorders>
          </w:tcPr>
          <w:p>
            <w:pPr>
              <w:jc w:val="center"/>
              <w:ind w:left="890"/>
              <w:spacing w:after="0" w:line="195" w:lineRule="exact"/>
              <w:rPr>
                <w:sz w:val="20"/>
                <w:szCs w:val="20"/>
                <w:color w:val="auto"/>
              </w:rPr>
            </w:pPr>
            <w:r>
              <w:rPr>
                <w:rFonts w:ascii="Arial" w:cs="Arial" w:eastAsia="Arial" w:hAnsi="Arial"/>
                <w:sz w:val="18"/>
                <w:szCs w:val="18"/>
                <w:color w:val="auto"/>
                <w:w w:val="89"/>
              </w:rPr>
              <w:t>Derivatives not designated as</w:t>
            </w: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jc w:val="center"/>
              <w:ind w:left="890"/>
              <w:spacing w:after="0"/>
              <w:rPr>
                <w:sz w:val="20"/>
                <w:szCs w:val="20"/>
                <w:color w:val="auto"/>
              </w:rPr>
            </w:pPr>
            <w:r>
              <w:rPr>
                <w:rFonts w:ascii="Arial" w:cs="Arial" w:eastAsia="Arial" w:hAnsi="Arial"/>
                <w:sz w:val="18"/>
                <w:szCs w:val="18"/>
                <w:color w:val="auto"/>
                <w:w w:val="90"/>
              </w:rPr>
              <w:t>hedging instruments under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9"/>
              </w:rPr>
              <w:t>Notional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Fair</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jc w:val="center"/>
              <w:ind w:left="890"/>
              <w:spacing w:after="0"/>
              <w:rPr>
                <w:sz w:val="20"/>
                <w:szCs w:val="20"/>
                <w:color w:val="auto"/>
              </w:rPr>
            </w:pPr>
            <w:r>
              <w:rPr>
                <w:rFonts w:ascii="Arial" w:cs="Arial" w:eastAsia="Arial" w:hAnsi="Arial"/>
                <w:sz w:val="18"/>
                <w:szCs w:val="18"/>
                <w:color w:val="auto"/>
                <w:w w:val="93"/>
              </w:rPr>
              <w:t>ASC 815-20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w w:val="91"/>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GBP</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Receive USD/pay EUR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COP</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NZD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DKK</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Receive USD/pay ZAR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CNY</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NOK/pay USD</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SEK/pay USD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Receive SGD/pay USD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Derivatives not designated as</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hedging instruments under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FASB ASC 815-20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w w:val="92"/>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SGD/pay USD</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EUR/pay USD</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1,298,899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(1,768)</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GBP</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ZAR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CNY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NOK/pay USD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SEK/pay USD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(losses) gains on derivative instruments in the condensed consolidated statements of income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Amount of (loss) gain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Derivatives not designated as</w:t>
            </w: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(loss) gain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89"/>
              </w:rPr>
              <w:t>Three-months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6"/>
                <w:szCs w:val="16"/>
                <w:color w:val="auto"/>
              </w:rPr>
            </w:pPr>
          </w:p>
        </w:tc>
        <w:tc>
          <w:tcPr>
            <w:tcW w:w="9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ASC 815-20</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and other income (expense),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Amount of (loss) gain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Derivatives not designated as</w:t>
            </w: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(loss) gain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89"/>
              </w:rPr>
              <w:t>Six-months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6"/>
                <w:szCs w:val="16"/>
                <w:color w:val="auto"/>
              </w:rPr>
            </w:pPr>
          </w:p>
        </w:tc>
        <w:tc>
          <w:tcPr>
            <w:tcW w:w="9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ASC 815-20</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and other income (expense),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r>
      <w:tr>
        <w:trPr>
          <w:trHeight w:val="230"/>
        </w:trPr>
        <w:tc>
          <w:tcPr>
            <w:tcW w:w="336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155,166</w:t>
            </w:r>
          </w:p>
        </w:tc>
      </w:tr>
      <w:tr>
        <w:trPr>
          <w:trHeight w:val="216"/>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177,919</w:t>
            </w:r>
          </w:p>
        </w:tc>
      </w:tr>
      <w:tr>
        <w:trPr>
          <w:trHeight w:val="209"/>
        </w:trPr>
        <w:tc>
          <w:tcPr>
            <w:tcW w:w="33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382,890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333,085</w:t>
            </w:r>
          </w:p>
        </w:tc>
      </w:tr>
      <w:tr>
        <w:trPr>
          <w:trHeight w:val="20"/>
        </w:trPr>
        <w:tc>
          <w:tcPr>
            <w:tcW w:w="3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9.</w:t>
            </w: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consist of the following at: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3"/>
              </w:rPr>
              <w:t>December 31,</w:t>
            </w: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11,524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21,657</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196,155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185,348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43,173</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519,410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(224,906)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(204,754)</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309,178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314,656</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depreciation and amortization expense recorded was $11.6 million and $12.3 million for the three-months ended June 30, 2021 and 2020, respectively. Total depreciation and amortization expense recorded was $23.3 million and $24.7 million for the six-months ended June 30, 2021 and 2020, respectively.</w:t>
      </w:r>
    </w:p>
    <w:p>
      <w:pPr>
        <w:spacing w:after="0" w:line="18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is a roll-forward of goodwill for the six-months ended June 30, 2021 and 2020 by reportable segment: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Energy®</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Strategic</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3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Drinks</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Brands</w:t>
            </w: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r>
      <w:tr>
        <w:trPr>
          <w:trHeight w:val="20"/>
        </w:trPr>
        <w:tc>
          <w:tcPr>
            <w:tcW w:w="4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43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Energy®</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Strategic</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3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Drinks</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Brands</w:t>
            </w: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r>
      <w:tr>
        <w:trPr>
          <w:trHeight w:val="20"/>
        </w:trPr>
        <w:tc>
          <w:tcPr>
            <w:tcW w:w="4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Intangible assets consist of the following at:</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1"/>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3"/>
              </w:rPr>
              <w:t>December 31,</w:t>
            </w:r>
          </w:p>
        </w:tc>
      </w:tr>
      <w:tr>
        <w:trPr>
          <w:trHeight w:val="230"/>
        </w:trPr>
        <w:tc>
          <w:tcPr>
            <w:tcW w:w="340" w:type="dxa"/>
            <w:vAlign w:val="bottom"/>
          </w:tcPr>
          <w:p>
            <w:pPr>
              <w:spacing w:after="0"/>
              <w:rPr>
                <w:sz w:val="20"/>
                <w:szCs w:val="20"/>
                <w:color w:val="auto"/>
              </w:rPr>
            </w:pPr>
          </w:p>
        </w:tc>
        <w:tc>
          <w:tcPr>
            <w:tcW w:w="42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09"/>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r>
      <w:tr>
        <w:trPr>
          <w:trHeight w:val="216"/>
        </w:trPr>
        <w:tc>
          <w:tcPr>
            <w:tcW w:w="34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(56,801)</w:t>
            </w:r>
          </w:p>
        </w:tc>
      </w:tr>
      <w:tr>
        <w:trPr>
          <w:trHeight w:val="210"/>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r>
      <w:tr>
        <w:trPr>
          <w:trHeight w:val="216"/>
        </w:trPr>
        <w:tc>
          <w:tcPr>
            <w:tcW w:w="34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Non-amortizing intangibles</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1,050,473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1,048,972</w:t>
            </w:r>
          </w:p>
        </w:tc>
      </w:tr>
      <w:tr>
        <w:trPr>
          <w:trHeight w:val="210"/>
        </w:trPr>
        <w:tc>
          <w:tcPr>
            <w:tcW w:w="34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1,058,323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1,059,046</w:t>
            </w:r>
          </w:p>
        </w:tc>
      </w:tr>
      <w:tr>
        <w:trPr>
          <w:trHeight w:val="20"/>
        </w:trPr>
        <w:tc>
          <w:tcPr>
            <w:tcW w:w="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$1.1 million and $2.5 million for the three-months ended June 30, 2021 and 2020, respectively. Total amortization expense recorded was $2.2 million and $5.4 million for the six-months ended June 30, 2021 and 2020, respectively. The Company recorded an impairment charge of $1.0 million and $4.0 million on a Strategic Brand trademark in the three- and six-months ended June 30, 2020,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June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six-months ended June 30, 2021)</w:t>
            </w:r>
          </w:p>
        </w:tc>
        <w:tc>
          <w:tcPr>
            <w:tcW w:w="1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1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color w:val="auto"/>
                <w:w w:val="81"/>
              </w:rPr>
              <w:t>11</w:t>
            </w:r>
            <w:r>
              <w:rPr>
                <w:rFonts w:ascii="Arial" w:cs="Arial" w:eastAsia="Arial" w:hAnsi="Arial"/>
                <w:sz w:val="17"/>
                <w:szCs w:val="17"/>
                <w:color w:val="auto"/>
                <w:w w:val="81"/>
              </w:rPr>
              <w:t>.</w:t>
            </w:r>
          </w:p>
        </w:tc>
        <w:tc>
          <w:tcPr>
            <w:tcW w:w="60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DISTRIBUTION AGREEMENTS</w:t>
            </w: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60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as the case may be. Revenue recognized was $10.4 million and $10.5 million for the three-months ended June 30, 2021 and 2020, respectively. Revenue recognized was $20.9 million and $21.1 million for the six-months ended June 30, 2021 and 2020, respectively.</w:t>
      </w:r>
    </w:p>
    <w:p>
      <w:pPr>
        <w:spacing w:after="0" w:line="17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had purchase commitments aggregating approximately $67.3 million at June 30, 2021, which represented commitments made by the Company and its subsidiaries to various suppliers of raw materials for the production of its products. These obligations vary in terms, but are generally satisfied within one year.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$219.2 million at June 30, 2021, which related primarily to sponsorships and other marketing activities.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 credit facility with HSBC Bank (China) Company Limited, Shanghai Branch, of $15.0 million. At June 30, 2021, the interest rate on borrowings under the line of credit was 5.5%. As of June 30, 2021, $5.0 million was outstanding on this line of credit.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From time to time in the normal course of business, the Company is named in litigation, including labor and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and any related insurance reimbursements. During the three-months ended June 30, 2021, the Company reversed amounts previously accrued in connection with an intellectual property claim brought by the descendants of Hubert Hansen, in relation to the Company’s use of the Hubert Hansen name prior to the transaction with The Coca-Cola Company, that closed in 2015. The prior adverse jury verdict was reversed on appeal during the three-months ended June 30, 2021 and remanded for new trial. As of June 30, 2021, no loss contingencies were included in the Company’s condensed consolidated balance sheet.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OTHER COMPREHENSIVE (LOSS)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accumulated other comprehensive (loss) income by component, after tax, for the six-months ended June 30, 2021 and 2020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Translation</w:t>
            </w: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(53,438)</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TREASURY STOCK</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new share repurchase program for the purchase of up to $500.0 million of the Company’s outstanding common stock (the “March 2020 Repurchase Plan”). During the three-months ended June 30, 2021, no shares were repurchased under the March 2020 Repurchase Plan. As of August 6, 2021, $441.5 million remained available for repurchase under the March 2020 Repurchase Plan.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June 30, 2021, 4,265 shares of common stock were purchased from employees in lieu of cash payments for options exercised or withholding taxes due for a total amount of $0.4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2021.</w:t>
      </w:r>
    </w:p>
    <w:p>
      <w:pPr>
        <w:spacing w:after="0" w:line="15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two stock-based compensation plans under which shares were available for grant at June 30, 2021: (i) the Monster Beverage Corporation 2020 Omnibus Incentive Plan, including the Monster Beverage Corporation Deferred Compensation Plan as a sub-plan thereunder, and (ii) the Monster Beverage Corporation 2017 Compensation Plan for Non-Employee Directors, including the Monster Beverage Corporation Deferred Compensation Plan for Non-Employee Directors as a sub-plan thereunder.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recorded $17.3 million and $15.9 million of compensation expense relating to outstanding options, restricted stock units, performance share units and other share-based awards during the three-months ended June 30, 2021 and 2020, respectively. The Company recorded $35.7 million and $33.0 million of compensation expense relating to outstanding options, restricted stock units, performance share units and other share-based awards during the six-months ended June 30, 2021 and 2020, respectively.</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and performance share units for the three-months ended June 30, 2021 and 2020 was $2.7 million and $4.0 million, respectively. The tax benefit for tax deductions from non-qualified stock option exercises, disqualifying dispositions of incentive stock options and vesting of restricted stock units and performance share units for the six-months ended June 30, 2021 and 2020 was $4.1 million and $5.7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stock-based compensation plans, all stock options granted as of June 30, 2021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2600" w:type="dxa"/>
            <w:vAlign w:val="bottom"/>
            <w:gridSpan w:val="4"/>
          </w:tcPr>
          <w:p>
            <w:pPr>
              <w:ind w:left="120"/>
              <w:spacing w:after="0"/>
              <w:rPr>
                <w:sz w:val="20"/>
                <w:szCs w:val="20"/>
                <w:color w:val="auto"/>
              </w:rPr>
            </w:pPr>
            <w:r>
              <w:rPr>
                <w:rFonts w:ascii="Arial" w:cs="Arial" w:eastAsia="Arial" w:hAnsi="Arial"/>
                <w:sz w:val="18"/>
                <w:szCs w:val="18"/>
                <w:color w:val="auto"/>
              </w:rPr>
              <w:t>Three-Months Ended June 30,</w:t>
            </w:r>
          </w:p>
        </w:tc>
        <w:tc>
          <w:tcPr>
            <w:tcW w:w="2620" w:type="dxa"/>
            <w:vAlign w:val="bottom"/>
            <w:gridSpan w:val="4"/>
          </w:tcPr>
          <w:p>
            <w:pPr>
              <w:jc w:val="right"/>
              <w:ind w:right="430"/>
              <w:spacing w:after="0"/>
              <w:rPr>
                <w:sz w:val="20"/>
                <w:szCs w:val="20"/>
                <w:color w:val="auto"/>
              </w:rPr>
            </w:pPr>
            <w:r>
              <w:rPr>
                <w:rFonts w:ascii="Arial" w:cs="Arial" w:eastAsia="Arial" w:hAnsi="Arial"/>
                <w:sz w:val="18"/>
                <w:szCs w:val="18"/>
                <w:color w:val="auto"/>
                <w:w w:val="94"/>
              </w:rPr>
              <w:t>Six-Months Ended June 30,</w:t>
            </w:r>
          </w:p>
        </w:tc>
      </w:tr>
      <w:tr>
        <w:trPr>
          <w:trHeight w:val="210"/>
        </w:trPr>
        <w:tc>
          <w:tcPr>
            <w:tcW w:w="27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4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8"/>
                <w:szCs w:val="18"/>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29.0 %</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28.9 %</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30.5 %</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0.9 %</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0.8 %</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0.7 %</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Expected term</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 years</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options were granted during the three-months ended June 30,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is based on the most recent volatility of the stock price over a period of time equivalent to the expected term of the option.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Shares (in</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Price Per</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Term (in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6"/>
              </w:rPr>
              <w:t>Intrinsic</w:t>
            </w:r>
          </w:p>
        </w:tc>
      </w:tr>
      <w:tr>
        <w:trPr>
          <w:trHeight w:val="230"/>
        </w:trPr>
        <w:tc>
          <w:tcPr>
            <w:tcW w:w="5740" w:type="dxa"/>
            <w:vAlign w:val="bottom"/>
            <w:gridSpan w:val="2"/>
          </w:tcPr>
          <w:p>
            <w:pPr>
              <w:ind w:left="2480"/>
              <w:spacing w:after="0"/>
              <w:rPr>
                <w:sz w:val="20"/>
                <w:szCs w:val="20"/>
                <w:color w:val="auto"/>
              </w:rPr>
            </w:pPr>
            <w:r>
              <w:rPr>
                <w:rFonts w:ascii="Arial" w:cs="Arial" w:eastAsia="Arial" w:hAnsi="Arial"/>
                <w:sz w:val="18"/>
                <w:szCs w:val="18"/>
                <w:color w:val="auto"/>
              </w:rPr>
              <w:t>Options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thousands)</w:t>
            </w:r>
          </w:p>
        </w:tc>
        <w:tc>
          <w:tcPr>
            <w:tcW w:w="1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Share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Value</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664,432</w:t>
            </w: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Granted 01/01/21 - 03/31/21</w:t>
            </w:r>
          </w:p>
        </w:tc>
        <w:tc>
          <w:tcPr>
            <w:tcW w:w="78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88.95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Granted 04/01/21 - 06/30/21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Cancelled or forfeited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Outstanding at June 30,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621,788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in the future at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614,822</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Exercisable at June 30, 2021</w:t>
            </w:r>
          </w:p>
        </w:tc>
        <w:tc>
          <w:tcPr>
            <w:tcW w:w="780" w:type="dxa"/>
            <w:vAlign w:val="bottom"/>
          </w:tcPr>
          <w:p>
            <w:pPr>
              <w:jc w:val="right"/>
              <w:spacing w:after="0"/>
              <w:rPr>
                <w:sz w:val="20"/>
                <w:szCs w:val="20"/>
                <w:color w:val="auto"/>
              </w:rPr>
            </w:pPr>
            <w:r>
              <w:rPr>
                <w:rFonts w:ascii="Arial" w:cs="Arial" w:eastAsia="Arial" w:hAnsi="Arial"/>
                <w:sz w:val="18"/>
                <w:szCs w:val="18"/>
                <w:color w:val="auto"/>
              </w:rPr>
              <w:t>9,682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40.31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494,110</w:t>
            </w: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weighted-average grant-date fair value of options granted during the three-months ended June 30, 2021 was $26.89 per share. No options were granted during the three-months ended June 30, 2020. The weighted-average grant-date fair value of options granted during the six-months ended June 30, 2021 and 2020 was $25.79 per share and $18.78 per share, respectively.</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total intrinsic value of options exercised during the three-months ended June 30, 2021 and 2020 was $21.0 million and $25.3 million, respectively. The total intrinsic value of options exercised during the six-months ended June 30, 2021 and 2020 was $28.2 million and $36.2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received from option exercises under all plans for the three-months ended June 30, 2021 and 2020 was $17.7 million and $29.9 million, respectively. Cash received from option exercises under all plans for the six-months ended June 30, 2021 and 2020 was $24.5 million and $43.8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2021, there was $68.0 million of total unrecognized compensation expense related to non-vested options granted to employees under the Company’s stock-based compensation plans. That cost is expected to be recognized over a weighted-average period of 2.4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 and Performance Share Units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activities with respect to non-vested restricted stock units and performance share units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4180" w:type="dxa"/>
            <w:vAlign w:val="bottom"/>
          </w:tcPr>
          <w:p>
            <w:pPr>
              <w:spacing w:after="0"/>
              <w:rPr>
                <w:sz w:val="18"/>
                <w:szCs w:val="18"/>
                <w:color w:val="auto"/>
              </w:rPr>
            </w:pPr>
          </w:p>
        </w:tc>
        <w:tc>
          <w:tcPr>
            <w:tcW w:w="2740" w:type="dxa"/>
            <w:vAlign w:val="bottom"/>
            <w:gridSpan w:val="2"/>
          </w:tcPr>
          <w:p>
            <w:pPr>
              <w:jc w:val="center"/>
              <w:ind w:left="183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r>
      <w:tr>
        <w:trPr>
          <w:trHeight w:val="216"/>
        </w:trPr>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9"/>
              </w:rPr>
              <w:t>Grant-Date</w:t>
            </w:r>
          </w:p>
        </w:tc>
      </w:tr>
      <w:tr>
        <w:trPr>
          <w:trHeight w:val="230"/>
        </w:trPr>
        <w:tc>
          <w:tcPr>
            <w:tcW w:w="41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Fair Value</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2021</w:t>
            </w:r>
          </w:p>
        </w:tc>
        <w:tc>
          <w:tcPr>
            <w:tcW w:w="1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16"/>
        </w:trPr>
        <w:tc>
          <w:tcPr>
            <w:tcW w:w="4180" w:type="dxa"/>
            <w:vAlign w:val="bottom"/>
          </w:tcPr>
          <w:p>
            <w:pPr>
              <w:ind w:left="100"/>
              <w:spacing w:after="0" w:line="216" w:lineRule="exact"/>
              <w:rPr>
                <w:sz w:val="20"/>
                <w:szCs w:val="20"/>
                <w:color w:val="auto"/>
              </w:rPr>
            </w:pPr>
            <w:r>
              <w:rPr>
                <w:rFonts w:ascii="Arial" w:cs="Arial" w:eastAsia="Arial" w:hAnsi="Arial"/>
                <w:sz w:val="17"/>
                <w:szCs w:val="17"/>
                <w:color w:val="auto"/>
              </w:rPr>
              <w:t>Granted 01/01/21 - 03/31/21</w:t>
            </w:r>
            <w:r>
              <w:rPr>
                <w:rFonts w:ascii="Arial" w:cs="Arial" w:eastAsia="Arial" w:hAnsi="Arial"/>
                <w:sz w:val="25"/>
                <w:szCs w:val="25"/>
                <w:color w:val="auto"/>
                <w:vertAlign w:val="superscript"/>
              </w:rPr>
              <w:t>1</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86.28</w:t>
            </w:r>
          </w:p>
        </w:tc>
      </w:tr>
      <w:tr>
        <w:trPr>
          <w:trHeight w:val="216"/>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Granted 04/01/21 - 06/30/21</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16"/>
        </w:trPr>
        <w:tc>
          <w:tcPr>
            <w:tcW w:w="4180" w:type="dxa"/>
            <w:vAlign w:val="bottom"/>
          </w:tcPr>
          <w:p>
            <w:pPr>
              <w:ind w:left="100"/>
              <w:spacing w:after="0"/>
              <w:rPr>
                <w:sz w:val="20"/>
                <w:szCs w:val="20"/>
                <w:color w:val="auto"/>
              </w:rPr>
            </w:pPr>
            <w:r>
              <w:rPr>
                <w:rFonts w:ascii="Arial" w:cs="Arial" w:eastAsia="Arial" w:hAnsi="Arial"/>
                <w:sz w:val="18"/>
                <w:szCs w:val="18"/>
                <w:color w:val="auto"/>
              </w:rPr>
              <w:t>Vested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62.27</w:t>
            </w:r>
          </w:p>
        </w:tc>
      </w:tr>
      <w:tr>
        <w:trPr>
          <w:trHeight w:val="216"/>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Forfeited/cancelled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Non-vested at June 30, 2021</w:t>
            </w:r>
          </w:p>
        </w:tc>
        <w:tc>
          <w:tcPr>
            <w:tcW w:w="19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68.89</w:t>
            </w:r>
          </w:p>
        </w:tc>
      </w:tr>
      <w:tr>
        <w:trPr>
          <w:trHeight w:val="20"/>
        </w:trPr>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line="218" w:lineRule="auto"/>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3"/>
          <w:szCs w:val="13"/>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weighted-average grant-date fair value of restricted stock units and/or performance share units granted during the three-months ended June 30, 2021 and 2020 was $92.14 and $71.72 per share, respectively. The weighted-average grant-date fair value of restricted stock units and/or performance share units granted during the six-months ended June 30, 2021 and 2020 was $89.12 and $62.78 per share,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2021, 0.9 million of restricted stock units and performance share units are expected to vest over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2021, total unrecognized compensation expense relating to non-vested restricted stock units and performance share units was $46.4 million, which is expected to be recognized over a weighted-average period of 2.2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Share-Based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June 30, 2021, other share-based awards outstanding included grants that vest over three years payable in the first quarters of 2022, 2023 and 2024.</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2021, there was $1.6 million of total unrecognized compensation expense related to nonvested other share-based awards granted to employees under the Company’s stock-based compensation plans. That cost is expected to be recognized over a weighted-average period of 1.1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roll-forward of the Company’s total gross unrecognized tax benefits, not including interest and penalties, for the six-months ended June 30,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-121920</wp:posOffset>
            </wp:positionV>
            <wp:extent cx="503174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3" w:lineRule="exact"/>
        <w:rPr>
          <w:sz w:val="20"/>
          <w:szCs w:val="20"/>
          <w:color w:val="auto"/>
        </w:rPr>
      </w:pPr>
    </w:p>
    <w:p>
      <w:pPr>
        <w:ind w:left="1000" w:right="1560"/>
        <w:spacing w:after="0" w:line="259" w:lineRule="auto"/>
        <w:rPr>
          <w:sz w:val="20"/>
          <w:szCs w:val="20"/>
          <w:color w:val="auto"/>
        </w:rPr>
      </w:pPr>
      <w:r>
        <w:rPr>
          <w:rFonts w:ascii="Arial" w:cs="Arial" w:eastAsia="Arial" w:hAnsi="Arial"/>
          <w:sz w:val="18"/>
          <w:szCs w:val="18"/>
          <w:color w:val="auto"/>
        </w:rPr>
        <w:t>Additions for tax positions related to the current year Additions for tax positions related to the prior years Decreases for tax positions related to the prior years Balance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-421005</wp:posOffset>
            </wp:positionV>
            <wp:extent cx="503174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-146685</wp:posOffset>
            </wp:positionV>
            <wp:extent cx="503174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Gross Unrecognized Tax</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top w:val="single" w:sz="8" w:color="auto"/>
            </w:tcBorders>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742</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10"/>
        </w:trPr>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2820"/>
          </w:cols>
          <w:pgMar w:left="980" w:top="665" w:right="999" w:bottom="1440" w:gutter="0" w:footer="0" w:header="0"/>
          <w:type w:val="continuous"/>
        </w:sectPr>
      </w:pP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condensed consolidated financial statements. As of June 30, 2021, the Company had approximately $0.1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income tax as well as to income tax in multiple state and foreign jurisdictions.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2017 through 2020 U.S. federal income tax returns are subject to examination by the IRS. The Company’s state income tax returns are subject to examination for the 2016 through 2020 tax years.</w:t>
      </w:r>
    </w:p>
    <w:p>
      <w:pPr>
        <w:spacing w:after="0" w:line="18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Three-Months Ended</w:t>
            </w: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w w:val="97"/>
              </w:rPr>
              <w:t>Six-Months Ended</w:t>
            </w:r>
          </w:p>
        </w:tc>
      </w:tr>
      <w:tr>
        <w:trPr>
          <w:trHeight w:val="230"/>
        </w:trPr>
        <w:tc>
          <w:tcPr>
            <w:tcW w:w="460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8"/>
                <w:szCs w:val="18"/>
                <w:color w:val="auto"/>
                <w:w w:val="86"/>
              </w:rPr>
              <w:t>June 30,</w:t>
            </w:r>
          </w:p>
        </w:tc>
        <w:tc>
          <w:tcPr>
            <w:tcW w:w="1580" w:type="dxa"/>
            <w:vAlign w:val="bottom"/>
            <w:gridSpan w:val="3"/>
          </w:tcPr>
          <w:p>
            <w:pPr>
              <w:jc w:val="right"/>
              <w:ind w:right="430"/>
              <w:spacing w:after="0"/>
              <w:rPr>
                <w:sz w:val="20"/>
                <w:szCs w:val="20"/>
                <w:color w:val="auto"/>
              </w:rPr>
            </w:pPr>
            <w:r>
              <w:rPr>
                <w:rFonts w:ascii="Arial" w:cs="Arial" w:eastAsia="Arial" w:hAnsi="Arial"/>
                <w:sz w:val="18"/>
                <w:szCs w:val="18"/>
                <w:color w:val="auto"/>
              </w:rPr>
              <w:t>June 30,</w:t>
            </w:r>
          </w:p>
        </w:tc>
      </w:tr>
      <w:tr>
        <w:trPr>
          <w:trHeight w:val="210"/>
        </w:trPr>
        <w:tc>
          <w:tcPr>
            <w:tcW w:w="46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528,653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526,911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528,425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531,486</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r>
      <w:tr>
        <w:trPr>
          <w:trHeight w:val="209"/>
        </w:trPr>
        <w:tc>
          <w:tcPr>
            <w:tcW w:w="4600" w:type="dxa"/>
            <w:vAlign w:val="bottom"/>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535,557</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531,191</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535,324</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535,897</w:t>
            </w: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three-months ended June 30, 2021 and 2020, options and awards outstanding totaling 1.0 million shares and 4.7 million shares, respectively, were excluded from the calculations as their effect would have been antidilutive. For the six-months ended June 30, 2021 and 2020, options and awards outstanding totaling 0.6 million shares and 4.9 million shares, respectively, were excluded from the calculations as their effect would have been antidilutive.</w:t>
      </w:r>
    </w:p>
    <w:p>
      <w:pPr>
        <w:spacing w:after="0" w:line="187"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three operating and reportable segments: (i) Monster Energy® Drinks segment, which is primarily comprised of the Company’s Monster Energy® drinks and Reign Total Body Fuel® high performance energy drinks, (ii) Strategic Brands segment, which is primarily comprised of the various energy drink brands acquired from TCCC in 2015 as well as the Company’s affordable energy brands, and (iii) Other segment, which is comprised of the AFF Third-Party Products.</w:t>
      </w:r>
    </w:p>
    <w:p>
      <w:pPr>
        <w:sectPr>
          <w:pgSz w:w="11900" w:h="16838" w:orient="portrait"/>
          <w:cols w:equalWidth="0" w:num="1">
            <w:col w:w="9920"/>
          </w:cols>
          <w:pgMar w:left="980" w:top="66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three-and six-months ended June 30, 2021 and 2020 are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8"/>
          </w:tcPr>
          <w:p>
            <w:pPr>
              <w:jc w:val="right"/>
              <w:ind w:right="340"/>
              <w:spacing w:after="0"/>
              <w:rPr>
                <w:sz w:val="20"/>
                <w:szCs w:val="20"/>
                <w:color w:val="auto"/>
              </w:rPr>
            </w:pPr>
            <w:r>
              <w:rPr>
                <w:rFonts w:ascii="Arial" w:cs="Arial" w:eastAsia="Arial" w:hAnsi="Arial"/>
                <w:sz w:val="18"/>
                <w:szCs w:val="18"/>
                <w:color w:val="auto"/>
                <w:w w:val="94"/>
              </w:rPr>
              <w:t>Three-Months Ended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8"/>
          </w:tcPr>
          <w:p>
            <w:pPr>
              <w:jc w:val="center"/>
              <w:ind w:right="10"/>
              <w:spacing w:after="0"/>
              <w:rPr>
                <w:sz w:val="20"/>
                <w:szCs w:val="20"/>
                <w:color w:val="auto"/>
              </w:rPr>
            </w:pPr>
            <w:r>
              <w:rPr>
                <w:rFonts w:ascii="Arial" w:cs="Arial" w:eastAsia="Arial" w:hAnsi="Arial"/>
                <w:sz w:val="18"/>
                <w:szCs w:val="18"/>
                <w:color w:val="auto"/>
                <w:w w:val="92"/>
              </w:rPr>
              <w:t>Six-Months Ended</w:t>
            </w:r>
          </w:p>
        </w:tc>
      </w:tr>
      <w:tr>
        <w:trPr>
          <w:trHeight w:val="230"/>
        </w:trPr>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jc w:val="center"/>
              <w:ind w:right="50"/>
              <w:spacing w:after="0"/>
              <w:rPr>
                <w:sz w:val="20"/>
                <w:szCs w:val="20"/>
                <w:color w:val="auto"/>
              </w:rPr>
            </w:pPr>
            <w:r>
              <w:rPr>
                <w:rFonts w:ascii="Arial" w:cs="Arial" w:eastAsia="Arial" w:hAnsi="Arial"/>
                <w:sz w:val="18"/>
                <w:szCs w:val="18"/>
                <w:color w:val="auto"/>
                <w:w w:val="86"/>
              </w:rPr>
              <w:t>June 30,</w:t>
            </w:r>
          </w:p>
        </w:tc>
      </w:tr>
      <w:tr>
        <w:trPr>
          <w:trHeight w:val="209"/>
        </w:trPr>
        <w:tc>
          <w:tcPr>
            <w:tcW w:w="28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88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$ 1,367,094</w:t>
            </w: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w w:val="96"/>
              </w:rPr>
              <w:t>$ 1,027,686</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8"/>
              </w:rPr>
              <w:t>$ 2,537,374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4"/>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2,020,140</w:t>
            </w:r>
          </w:p>
        </w:tc>
      </w:tr>
      <w:tr>
        <w:trPr>
          <w:trHeight w:val="216"/>
        </w:trPr>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59,566</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154,744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124,104</w:t>
            </w:r>
          </w:p>
        </w:tc>
      </w:tr>
      <w:tr>
        <w:trPr>
          <w:trHeight w:val="216"/>
        </w:trPr>
        <w:tc>
          <w:tcPr>
            <w:tcW w:w="2880" w:type="dxa"/>
            <w:vAlign w:val="bottom"/>
          </w:tcPr>
          <w:p>
            <w:pPr>
              <w:ind w:left="10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6,644</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11,749</w:t>
            </w:r>
          </w:p>
        </w:tc>
      </w:tr>
      <w:tr>
        <w:trPr>
          <w:trHeight w:val="216"/>
        </w:trPr>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$ 1,461,934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$ 1,093,896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$ 2,705,751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gridSpan w:val="3"/>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2,155,993</w:t>
            </w:r>
          </w:p>
        </w:tc>
      </w:tr>
      <w:tr>
        <w:trPr>
          <w:trHeight w:val="20"/>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r>
      <w:tr>
        <w:trPr>
          <w:trHeight w:val="412"/>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7"/>
          </w:tcPr>
          <w:p>
            <w:pPr>
              <w:jc w:val="right"/>
              <w:ind w:right="220"/>
              <w:spacing w:after="0"/>
              <w:rPr>
                <w:sz w:val="20"/>
                <w:szCs w:val="20"/>
                <w:color w:val="auto"/>
              </w:rPr>
            </w:pPr>
            <w:r>
              <w:rPr>
                <w:rFonts w:ascii="Arial" w:cs="Arial" w:eastAsia="Arial" w:hAnsi="Arial"/>
                <w:sz w:val="18"/>
                <w:szCs w:val="18"/>
                <w:color w:val="auto"/>
                <w:w w:val="95"/>
              </w:rPr>
              <w:t>Three-Months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8"/>
          </w:tcPr>
          <w:p>
            <w:pPr>
              <w:jc w:val="right"/>
              <w:ind w:right="230"/>
              <w:spacing w:after="0"/>
              <w:rPr>
                <w:sz w:val="20"/>
                <w:szCs w:val="20"/>
                <w:color w:val="auto"/>
              </w:rPr>
            </w:pPr>
            <w:r>
              <w:rPr>
                <w:rFonts w:ascii="Arial" w:cs="Arial" w:eastAsia="Arial" w:hAnsi="Arial"/>
                <w:sz w:val="18"/>
                <w:szCs w:val="18"/>
                <w:color w:val="auto"/>
              </w:rPr>
              <w:t>Six-Months Ended</w:t>
            </w:r>
          </w:p>
        </w:tc>
      </w:tr>
      <w:tr>
        <w:trPr>
          <w:trHeight w:val="230"/>
        </w:trPr>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86"/>
              </w:rPr>
              <w:t>June 30,</w:t>
            </w:r>
          </w:p>
        </w:tc>
      </w:tr>
      <w:tr>
        <w:trPr>
          <w:trHeight w:val="210"/>
        </w:trPr>
        <w:tc>
          <w:tcPr>
            <w:tcW w:w="28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88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547,269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453,388</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$ 1,012,088</w:t>
            </w:r>
          </w:p>
        </w:tc>
        <w:tc>
          <w:tcPr>
            <w:tcW w:w="100" w:type="dxa"/>
            <w:vAlign w:val="bottom"/>
          </w:tcPr>
          <w:p>
            <w:pPr>
              <w:spacing w:after="0"/>
              <w:rPr>
                <w:sz w:val="18"/>
                <w:szCs w:val="18"/>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864,528</w:t>
            </w:r>
          </w:p>
        </w:tc>
      </w:tr>
      <w:tr>
        <w:trPr>
          <w:trHeight w:val="216"/>
        </w:trPr>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37,692</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99,214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74,411</w:t>
            </w:r>
          </w:p>
        </w:tc>
      </w:tr>
      <w:tr>
        <w:trPr>
          <w:trHeight w:val="216"/>
        </w:trPr>
        <w:tc>
          <w:tcPr>
            <w:tcW w:w="2880" w:type="dxa"/>
            <w:vAlign w:val="bottom"/>
          </w:tcPr>
          <w:p>
            <w:pPr>
              <w:ind w:left="10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1,626</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16"/>
        </w:trPr>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(85,442)</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(175,203)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(169,099)</w:t>
            </w:r>
          </w:p>
        </w:tc>
      </w:tr>
      <w:tr>
        <w:trPr>
          <w:trHeight w:val="210"/>
        </w:trPr>
        <w:tc>
          <w:tcPr>
            <w:tcW w:w="28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525,975</w:t>
            </w:r>
          </w:p>
        </w:tc>
        <w:tc>
          <w:tcPr>
            <w:tcW w:w="2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407,264</w:t>
            </w:r>
          </w:p>
        </w:tc>
        <w:tc>
          <w:tcPr>
            <w:tcW w:w="180" w:type="dxa"/>
            <w:vAlign w:val="bottom"/>
            <w:gridSpan w:val="2"/>
          </w:tcPr>
          <w:p>
            <w:pPr>
              <w:spacing w:after="0"/>
              <w:rPr>
                <w:sz w:val="18"/>
                <w:szCs w:val="18"/>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3"/>
              </w:rPr>
              <w:t>$   940,123</w:t>
            </w:r>
          </w:p>
        </w:tc>
        <w:tc>
          <w:tcPr>
            <w:tcW w:w="10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772,252</w:t>
            </w:r>
          </w:p>
        </w:tc>
      </w:tr>
      <w:tr>
        <w:trPr>
          <w:trHeight w:val="20"/>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130"/>
              <w:spacing w:after="0"/>
              <w:rPr>
                <w:sz w:val="20"/>
                <w:szCs w:val="20"/>
                <w:color w:val="auto"/>
              </w:rPr>
            </w:pPr>
            <w:r>
              <w:rPr>
                <w:rFonts w:ascii="Arial" w:cs="Arial" w:eastAsia="Arial" w:hAnsi="Arial"/>
                <w:sz w:val="18"/>
                <w:szCs w:val="18"/>
                <w:color w:val="auto"/>
                <w:w w:val="93"/>
              </w:rPr>
              <w:t>Three-Months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5"/>
          </w:tcPr>
          <w:p>
            <w:pPr>
              <w:jc w:val="right"/>
              <w:ind w:right="230"/>
              <w:spacing w:after="0"/>
              <w:rPr>
                <w:sz w:val="20"/>
                <w:szCs w:val="20"/>
                <w:color w:val="auto"/>
              </w:rPr>
            </w:pPr>
            <w:r>
              <w:rPr>
                <w:rFonts w:ascii="Arial" w:cs="Arial" w:eastAsia="Arial" w:hAnsi="Arial"/>
                <w:sz w:val="18"/>
                <w:szCs w:val="18"/>
                <w:color w:val="auto"/>
              </w:rPr>
              <w:t>Six-Months Ended</w:t>
            </w:r>
          </w:p>
        </w:tc>
      </w:tr>
      <w:tr>
        <w:trPr>
          <w:trHeight w:val="230"/>
        </w:trPr>
        <w:tc>
          <w:tcPr>
            <w:tcW w:w="2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r>
      <w:tr>
        <w:trPr>
          <w:trHeight w:val="209"/>
        </w:trPr>
        <w:tc>
          <w:tcPr>
            <w:tcW w:w="29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96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547,619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453,418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1,012,587</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864,596</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74,411</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(87,268)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(170,090)</w:t>
            </w:r>
          </w:p>
        </w:tc>
      </w:tr>
      <w:tr>
        <w:trPr>
          <w:trHeight w:val="210"/>
        </w:trPr>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526,847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405,468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771,329</w:t>
            </w:r>
          </w:p>
        </w:tc>
      </w:tr>
      <w:tr>
        <w:trPr>
          <w:trHeight w:val="20"/>
        </w:trPr>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80" w:right="380" w:hanging="321"/>
        <w:spacing w:after="0" w:line="290" w:lineRule="auto"/>
        <w:tabs>
          <w:tab w:leader="none" w:pos="68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$10.4 million and $10.5 million for the three- months ended June 30, 2021 and 2020, respectively, related to the recognition of deferred revenue. Includes $20.9 million and $21.1 million for the six-months ended June 30, 2021 and 2020, respectively, related to the recognition of deferred revenue.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4"/>
          </w:tcPr>
          <w:p>
            <w:pPr>
              <w:jc w:val="right"/>
              <w:ind w:right="110"/>
              <w:spacing w:after="0"/>
              <w:rPr>
                <w:sz w:val="20"/>
                <w:szCs w:val="20"/>
                <w:color w:val="auto"/>
              </w:rPr>
            </w:pPr>
            <w:r>
              <w:rPr>
                <w:rFonts w:ascii="Arial" w:cs="Arial" w:eastAsia="Arial" w:hAnsi="Arial"/>
                <w:sz w:val="18"/>
                <w:szCs w:val="18"/>
                <w:color w:val="auto"/>
                <w:w w:val="93"/>
              </w:rPr>
              <w:t>Three-Months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5"/>
          </w:tcPr>
          <w:p>
            <w:pPr>
              <w:jc w:val="right"/>
              <w:ind w:right="230"/>
              <w:spacing w:after="0"/>
              <w:rPr>
                <w:sz w:val="20"/>
                <w:szCs w:val="20"/>
                <w:color w:val="auto"/>
              </w:rPr>
            </w:pPr>
            <w:r>
              <w:rPr>
                <w:rFonts w:ascii="Arial" w:cs="Arial" w:eastAsia="Arial" w:hAnsi="Arial"/>
                <w:sz w:val="18"/>
                <w:szCs w:val="18"/>
                <w:color w:val="auto"/>
                <w:w w:val="99"/>
              </w:rPr>
              <w:t>Six-Months Ended</w:t>
            </w:r>
          </w:p>
        </w:tc>
      </w:tr>
      <w:tr>
        <w:trPr>
          <w:trHeight w:val="230"/>
        </w:trPr>
        <w:tc>
          <w:tcPr>
            <w:tcW w:w="3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2020</w:t>
            </w: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8,816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9,322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17,838</w:t>
            </w:r>
          </w:p>
        </w:tc>
        <w:tc>
          <w:tcPr>
            <w:tcW w:w="18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18,974</w:t>
            </w: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r>
      <w:tr>
        <w:trPr>
          <w:trHeight w:val="216"/>
        </w:trPr>
        <w:tc>
          <w:tcPr>
            <w:tcW w:w="3040" w:type="dxa"/>
            <w:vAlign w:val="bottom"/>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r>
      <w:tr>
        <w:trPr>
          <w:trHeight w:val="210"/>
        </w:trPr>
        <w:tc>
          <w:tcPr>
            <w:tcW w:w="3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30,090</w:t>
            </w:r>
          </w:p>
        </w:tc>
      </w:tr>
      <w:tr>
        <w:trPr>
          <w:trHeight w:val="20"/>
        </w:trPr>
        <w:tc>
          <w:tcPr>
            <w:tcW w:w="3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Corporate and unallocated expenses for the three-months ended June 30, 2021 include $61.2 million of payroll costs, of which $17.3 million was attributable to stock-based compensation expenses (see Note 15 “Stock-Based Compensation”), as well as $21.0 million attributable to professional service expenses, including accounting and legal costs, and $12.3 million of other operating expenses. Corporate and unallocated expenses for the three- months ended June 30, 2021 were partially offset by $16.9 million due to the reversal of amounts previously accrued in connection with an intellectual property claim. Corporate and unallocated expenses for the three-months ended June 30, 2020 include $56.5 million of payroll costs, of which $15.9 million was attributable to stock-based compensation expenses (see Note 15 “Stock-Based Compensation”), as well as $17.1 million attributable to professional service expenses, including accounting and legal costs, and $11.8 million of other operating expenses.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Corporate and unallocated expenses for the six-months ended June 30, 2021 include $126.3 million of payroll costs, of which $35.6 million was attributable to stock-based compensation expenses (see Note 15 “Stock-Based Compensation”), as well as $41.4 million attributable to professional service expenses, including accounting and legal costs, and $24.4 million of other operating expenses. Corporate and unallocated expenses for the six-months ended June 30, 2021, were partially offset by $16.9 million due to the reversal of amounts previously accrued in connection with an intellectual property claim. Corporate and unallocated expenses for the six-months ended June 30, 2020 include $111.8 million of payroll costs, of which $33.0 million was attributable to stock-based compensation expenses (see Note 15 “Stock-Based Compensation”), as well as $33.5 million attributable to professional service expenses, including accounting and legal costs, and $23.8 million of other operating expenses.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Consolidated, Inc. accounted for approximately 11% and 13% of the Company’s net sales for the three-months ended June 30, 2021 and 2020, respectively. Coca-Cola Consolidated, Inc. accounted for approximately 11% and 12% of the Company’s net sales for the six-months ended June 30, 2021 and 2020,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Reyes Coca-Cola Bottling, LLC accounted for approximately 11% of the Company’s net sales for both the three-months ended June 30, 2021 and 2020. Reyes Coca-Cola Bottling, LLC accounted for approximately 10% and 11% of the Company’s net sales for the six-months ended June 30, 2021 and 2020, respectively.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Coca-Cola Europacific Partners (formerly Coca-Cola European Partners) accounted for approximately 12% and 8% of the Company’s net sales for the three-months ended June 30, 2021 and 2020, respectively. Coca-Cola Europacific Partners accounted for approximately 12% and 9% of the Company’s net sales for the six-months ended June 30, 2021 and 2020, respectively.</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to customers outside the United States amounted to $546.3 million and $328.3 million for the three-months ended June 30, 2021 and 2020, respectively. Such sales were approximately 37% and 30% of net sales for the three-months ended June 30, 2021 and 2020, respectively. Net sales to customers outside the United States amounted to $1.0 billion and $685.1 million for the six-months ended June 30, 2021 and 2020, respectively. Such sales were approximately 37% and 32% of net sales for the six-months ended June 30, 2021 and 2020,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Goodwill and other intangible assets for the Company’s reportable segments as of June 30, 2021 and December 31, 2020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June 30,</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80" w:type="dxa"/>
            <w:vAlign w:val="bottom"/>
            <w:gridSpan w:val="2"/>
          </w:tcPr>
          <w:p>
            <w:pPr>
              <w:jc w:val="right"/>
              <w:ind w:right="21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5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$ 1,406,319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1,406,646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975,957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974,132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Other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7,690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$ 2,389,966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2,390,689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19.</w:t>
            </w:r>
          </w:p>
        </w:tc>
        <w:tc>
          <w:tcPr>
            <w:tcW w:w="4780" w:type="dxa"/>
            <w:vAlign w:val="bottom"/>
            <w:gridSpan w:val="2"/>
            <w:vMerge w:val="restart"/>
          </w:tcPr>
          <w:p>
            <w:pPr>
              <w:ind w:left="200"/>
              <w:spacing w:after="0"/>
              <w:rPr>
                <w:sz w:val="20"/>
                <w:szCs w:val="20"/>
                <w:color w:val="auto"/>
              </w:rPr>
            </w:pPr>
            <w:r>
              <w:rPr>
                <w:rFonts w:ascii="Arial" w:cs="Arial" w:eastAsia="Arial" w:hAnsi="Arial"/>
                <w:sz w:val="18"/>
                <w:szCs w:val="18"/>
                <w:color w:val="auto"/>
              </w:rPr>
              <w:t>RELATED PARTY TRANSACTIONS</w:t>
            </w:r>
          </w:p>
        </w:tc>
        <w:tc>
          <w:tcPr>
            <w:tcW w:w="1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7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TCCC controls approximately 19.3%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TCCC commissions, based on sales to the TCCC Subsidiaries and the TCCC Related Parties, were $20.1 million and $10.7 million for the three-months ended June 30, 2021 and 2020, respectively, and are included as a reduction to net sales. TCCC commissions, based on sales to the TCCC Subsidiaries and the TCCC Related Parties, were $36.2 million and $22.1 million for the six-months ended June 30, 2021 and 2020, respectively, and are included as a reduction to net sales.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TCCC commissions, based on sales to certain TCCC independent bottlers/distributors, were $8.1 million and $5.4 million for the three-months ended June 30, 2021 and 2020, respectively, and are included in operating expenses. TCCC commissions, based on sales to certain TCCC independent bottlers/distributors, were $13.6 million and $9.8 million for the six-months ended June 30, 2021 and 2020, respectively, and are included in operating expenses.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to the TCCC Subsidiaries for the three-months ended June 30, 2021 and 2020 were $27.0 million and $14.2 million, respectively. Net sales to the TCCC Subsidiaries for the six-months ended June 30, 2021 and 2020 were $54.1 million and $33.6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also purchases concentrates from TCCC which are then sold to certain of the Company’s bottlers/distributors.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Concentrate purchases from TCCC were $7.7 million and $6.5 million for the three-months ended June 30, 2021 and 2020,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Concentrate purchases from TCCC were $14.1 million and $10.8 million for the six-months ended June 30, 2021 and 2020, respectively.</w:t>
      </w:r>
    </w:p>
    <w:p>
      <w:pPr>
        <w:spacing w:after="0" w:line="23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Certain TCCC Subsidiaries also contract manufacture certain of the Company’s energy drinks. Such contract manufacturing expenses were $6.6 million and $2.2 million for the three-months ended June 30, 2021 and 2020, respectively. Such contract manufacturing expenses were $14.0 million and $6.2 million for the six-months ended June 30, 2021 and 2020,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accrued promotional allowances and accrued liabilities related to the TCCC Subsidiaries are as follows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3"/>
              </w:rPr>
              <w:t>December 31,</w:t>
            </w:r>
          </w:p>
        </w:tc>
      </w:tr>
      <w:tr>
        <w:trPr>
          <w:trHeight w:val="230"/>
        </w:trPr>
        <w:tc>
          <w:tcPr>
            <w:tcW w:w="40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Accounts payable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(36,687)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(30,792)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Accrued liabilities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(25,578)</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(15,446)</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three-months ended June 30, 2021 and 2020 were $1.4 million and $0.8 million, respectively. Expenses incurred with such company in connection with promotional materials purchased during the six-months ended June 30, 2021 and 2020 were $1.8 million and $1.5 million, respectively.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three-months ended June 30, 2021, the Company recorded an equity loss of $0.08 million. During the six-months ended June 30, 2021, the Company recorded an equity loss of $0.12 million. As of June 30, 2021, the Company’s equity investment is $1.4 million and is included in other assets (non-current)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 – 19 Pandemic</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“Part I, Item 1A – Risk Factors” in our Form 10-K.”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address the COVID-19 pandemic with a global task force team working to mitigate the potential impacts on our people and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incredibly proud of the teamwork exhibited by our employees, co-packers and bottlers/distributors around the world who are ensuring the integrity of our supply chain. Despite the ongoing impact of the COVID-19 pandemic, we achieved record second quarter net sales.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recently seen a resurgence of the COVID-19 pandemic, including new variants, in many of the countries and territories in which we operate, which could impact customer demand.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filing, we do not foresee a material impact on the ability of our co-packers to manufacture and our bottlers/distributors to distribute our products as a result of the COVID-19 pandemic. Our supply chain remains largely intact. Depending on the duration of any COVID-19 pandemic related issues, we may experience material disruptions in our supply chain as the pandemic continues.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experiencing shortages in our aluminum can requirements in North America and Europe, given our volume growth and the current supply constraints in the aluminum can industry. As a result, we have not been able to fully satisfy demand in the United States and EMEA in the 2021 second quarter. We have taken steps to source additional quantities of aluminum cans from the United States, South America and Asia, however, logistical issues, including shortages of shipping containers and port of entry congestion could delay the ongoing international supply of aluminum cans. Logistical issues in relation to the importation of certain other raw materials and ingredients continue to impact supply. To meet increased consumer demand, we experienced freight inefficiencies in the United States and in Europe, which resulted in increased cost of sales as well as increased operating expenses in the 2021 first and second quarters. Furthermore, we are continuing to experience freight inefficiencies as well as significant increases in domestic and international freight costs, and like other beverage companies, are incurring increased aluminum can and other costs in the current environment.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we expect to maintain substantial liquidity as we manage through the current environment as described in the “Liquidity and Capital Resources” section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Energy®</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Energy Ultra®</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Rehab®</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Burn®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MAXX®</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Java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Muscle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Espresso Monster®</w:t>
            </w:r>
          </w:p>
        </w:tc>
        <w:tc>
          <w:tcPr>
            <w:tcW w:w="3540" w:type="dxa"/>
            <w:vAlign w:val="bottom"/>
            <w:gridSpan w:val="2"/>
          </w:tcPr>
          <w:p>
            <w:pPr>
              <w:ind w:left="760"/>
              <w:spacing w:after="0"/>
              <w:rPr>
                <w:sz w:val="20"/>
                <w:szCs w:val="20"/>
                <w:color w:val="auto"/>
              </w:rPr>
            </w:pPr>
            <w:r>
              <w:rPr>
                <w:rFonts w:ascii="Arial" w:cs="Arial" w:eastAsia="Arial" w:hAnsi="Arial"/>
                <w:sz w:val="18"/>
                <w:szCs w:val="18"/>
                <w:color w:val="auto"/>
                <w:w w:val="93"/>
              </w:rPr>
              <w:t>●   Play® and Power Play® (stylized)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Punch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Juice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BPM®</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 Energy Water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 Super Sport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Gladiator®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HydroSport Super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Samurai®</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Super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Live+®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Dragon Tea®</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Predator®</w:t>
            </w:r>
          </w:p>
        </w:tc>
      </w:tr>
      <w:tr>
        <w:trPr>
          <w:trHeight w:val="206"/>
        </w:trPr>
        <w:tc>
          <w:tcPr>
            <w:tcW w:w="3540" w:type="dxa"/>
            <w:vAlign w:val="bottom"/>
            <w:gridSpan w:val="2"/>
          </w:tcPr>
          <w:p>
            <w:pPr>
              <w:spacing w:after="0"/>
              <w:rPr>
                <w:sz w:val="20"/>
                <w:szCs w:val="20"/>
                <w:color w:val="auto"/>
              </w:rPr>
            </w:pPr>
            <w:r>
              <w:rPr>
                <w:rFonts w:ascii="Arial" w:cs="Arial" w:eastAsia="Arial" w:hAnsi="Arial"/>
                <w:sz w:val="18"/>
                <w:szCs w:val="18"/>
                <w:color w:val="auto"/>
              </w:rPr>
              <w:t>●   Reign Total Body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Fury®</w:t>
            </w:r>
          </w:p>
        </w:tc>
      </w:tr>
      <w:tr>
        <w:trPr>
          <w:trHeight w:val="353"/>
        </w:trPr>
        <w:tc>
          <w:tcPr>
            <w:tcW w:w="3540" w:type="dxa"/>
            <w:vAlign w:val="bottom"/>
            <w:gridSpan w:val="2"/>
          </w:tcPr>
          <w:p>
            <w:pPr>
              <w:spacing w:after="0"/>
              <w:rPr>
                <w:sz w:val="20"/>
                <w:szCs w:val="20"/>
                <w:color w:val="auto"/>
              </w:rPr>
            </w:pPr>
            <w:r>
              <w:rPr>
                <w:rFonts w:ascii="Arial" w:cs="Arial" w:eastAsia="Arial" w:hAnsi="Arial"/>
                <w:sz w:val="18"/>
                <w:szCs w:val="18"/>
                <w:color w:val="auto"/>
              </w:rPr>
              <w:t>●   Reign Inferno® Thermogenic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True North</w:t>
            </w:r>
            <w:r>
              <w:rPr>
                <w:rFonts w:ascii="Arial" w:cs="Arial" w:eastAsia="Arial" w:hAnsi="Arial"/>
                <w:sz w:val="26"/>
                <w:szCs w:val="26"/>
                <w:color w:val="auto"/>
                <w:vertAlign w:val="superscript"/>
              </w:rPr>
              <w:t>TM</w:t>
            </w:r>
          </w:p>
        </w:tc>
      </w:tr>
    </w:tbl>
    <w:p>
      <w:pPr>
        <w:spacing w:after="0" w:line="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primarily comprised of our Monster Energy® drinks and Reign Total Body Fuel®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three-months ended June 30, 2021, we continued to expand our existing energy drink portfolio by adding additional products to our portfolio in a number of countries and further developed our distribution markets. During the three-months ended June 30, 2021, we sold the following new products to our bottlers/distributors:</w:t>
      </w:r>
    </w:p>
    <w:p>
      <w:pPr>
        <w:spacing w:after="0" w:line="184"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BPM® Mango</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Nalu® Hibiscus Rooibos</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Play® Zero Raspberry</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Predator® Mango Mayhem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June 30, 2021, either individually or in aggregate, did not have a material adverse impact on our financial position, results of operations or liquidity.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sales of $1.46 billion for the three-months ended June 30, 2021 represented record sales for our second fiscal quarter. Net changes in foreign currency exchange rates had a favorable impact on net sales of approximately $38.6 million for the three-months ended June 30, 2021. The adverse impact of the COVID-19 pandemic on our net sales was more pronounced in the comparative 2020 second quarter.</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vast majority of our net sales are derived from our Monster Energy® Drinks segment. Net sales of our Monster Energy® Drinks segment were $1.37 billion for the three-months ended June 30, 2021. Net sales of our Strategic Brands segment were $86.9 million for the three-months ended June 30, 2021. Our Monster Energy® Drinks segment represented 93.5% and 93.9% of our net sales for the three-months ended June 30, 2021 and 2020, respectively. Our Strategic Brands segment represented 5.9% and 5.4% of our net sales for the three-months ended June 30, 2021 and 2020, respectively. Our Other segment represented 0.6% and 0.7% of our net sales for the three-months ended June 30, 2021 and 2020,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growth strategy includes expanding our international business. Net sales to customers outside the United States were $546.3 million for the three-months ended June 30, 2021, an increase of approximately $217.9 million, or 66.4% higher than net sales to customers outside of the United States of $328.3 million for the three-months ended June 30, 2020. Such sales were approximately 37% and 30% of net sales for the three-months ended June 30, 2021 and 2020, respectively.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three-months ended June 30, 2021 and 2020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840" w:type="dxa"/>
            <w:vAlign w:val="bottom"/>
            <w:gridSpan w:val="5"/>
          </w:tcPr>
          <w:p>
            <w:pPr>
              <w:jc w:val="center"/>
              <w:ind w:right="110"/>
              <w:spacing w:after="0"/>
              <w:rPr>
                <w:sz w:val="20"/>
                <w:szCs w:val="20"/>
                <w:color w:val="auto"/>
              </w:rPr>
            </w:pPr>
            <w:r>
              <w:rPr>
                <w:rFonts w:ascii="Arial" w:cs="Arial" w:eastAsia="Arial" w:hAnsi="Arial"/>
                <w:sz w:val="18"/>
                <w:szCs w:val="18"/>
                <w:color w:val="auto"/>
                <w:w w:val="89"/>
              </w:rPr>
              <w:t>Three-Months Ended</w:t>
            </w:r>
          </w:p>
        </w:tc>
        <w:tc>
          <w:tcPr>
            <w:tcW w:w="1880" w:type="dxa"/>
            <w:vAlign w:val="bottom"/>
            <w:gridSpan w:val="5"/>
          </w:tcPr>
          <w:p>
            <w:pPr>
              <w:jc w:val="center"/>
              <w:ind w:right="110"/>
              <w:spacing w:after="0"/>
              <w:rPr>
                <w:sz w:val="20"/>
                <w:szCs w:val="20"/>
                <w:color w:val="auto"/>
              </w:rPr>
            </w:pPr>
            <w:r>
              <w:rPr>
                <w:rFonts w:ascii="Arial" w:cs="Arial" w:eastAsia="Arial" w:hAnsi="Arial"/>
                <w:sz w:val="18"/>
                <w:szCs w:val="18"/>
                <w:color w:val="auto"/>
                <w:w w:val="92"/>
              </w:rPr>
              <w:t>Six-Months Ended</w:t>
            </w:r>
          </w:p>
        </w:tc>
      </w:tr>
      <w:tr>
        <w:trPr>
          <w:trHeight w:val="230"/>
        </w:trPr>
        <w:tc>
          <w:tcPr>
            <w:tcW w:w="6200" w:type="dxa"/>
            <w:vAlign w:val="bottom"/>
          </w:tcPr>
          <w:p>
            <w:pPr>
              <w:spacing w:after="0"/>
              <w:rPr>
                <w:sz w:val="20"/>
                <w:szCs w:val="20"/>
                <w:color w:val="auto"/>
              </w:rPr>
            </w:pPr>
          </w:p>
        </w:tc>
        <w:tc>
          <w:tcPr>
            <w:tcW w:w="11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6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4"/>
              </w:rPr>
              <w:t>2020</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4"/>
              </w:rPr>
              <w:t>2020</w:t>
            </w:r>
          </w:p>
        </w:tc>
        <w:tc>
          <w:tcPr>
            <w:tcW w:w="20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U.S. full service bottlers/distributors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Club stores and e-commerce retailers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Retail grocery, direct convenience, specialty chains and wholesalers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Direct value stores and other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Coca-Cola Consolidated, Inc. accounted for approximately 11% and 13% of our net sales for the three-months ended June 30, 2021 and 2020, respectively. Coca-Cola Consolidated, Inc. accounted for approximately 11% and 12% of our net sales for the six-months ended June 30, 2021 and 2020,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Reyes Coca-Cola Bottling, LLC accounted for approximately 11% of our net sales for both the three-months ended June 30, 2021 and 2020. Reyes Coca-Cola Bottling, LLC accounted for approximately 10% and 11% of our net sales for the six-months ended June 30, 2021 and 2020,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Coca-Cola Europacific Partners accounted for approximately 12% and 8% of our net sales for the three-months ended June 30, 2021 and 2020, respectively. Coca-Cola Europacific Partners accounted for approximately 12% and 9% of our net sales for the six-months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three- and six-months ended June 30,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right"/>
              <w:ind w:right="430"/>
              <w:spacing w:after="0"/>
              <w:rPr>
                <w:sz w:val="20"/>
                <w:szCs w:val="20"/>
                <w:color w:val="auto"/>
              </w:rPr>
            </w:pPr>
            <w:r>
              <w:rPr>
                <w:rFonts w:ascii="Arial" w:cs="Arial" w:eastAsia="Arial" w:hAnsi="Arial"/>
                <w:sz w:val="18"/>
                <w:szCs w:val="18"/>
                <w:color w:val="auto"/>
                <w:w w:val="91"/>
              </w:rPr>
              <w:t>Three-Months Ended</w:t>
            </w:r>
          </w:p>
        </w:tc>
        <w:tc>
          <w:tcPr>
            <w:tcW w:w="1080" w:type="dxa"/>
            <w:vAlign w:val="bottom"/>
            <w:gridSpan w:val="3"/>
          </w:tcPr>
          <w:p>
            <w:pPr>
              <w:jc w:val="center"/>
              <w:ind w:right="227"/>
              <w:spacing w:after="0"/>
              <w:rPr>
                <w:sz w:val="20"/>
                <w:szCs w:val="20"/>
                <w:color w:val="auto"/>
              </w:rPr>
            </w:pPr>
            <w:r>
              <w:rPr>
                <w:rFonts w:ascii="Arial" w:cs="Arial" w:eastAsia="Arial" w:hAnsi="Arial"/>
                <w:sz w:val="18"/>
                <w:szCs w:val="18"/>
                <w:color w:val="auto"/>
                <w:w w:val="84"/>
              </w:rPr>
              <w:t>Percentage</w:t>
            </w:r>
          </w:p>
        </w:tc>
        <w:tc>
          <w:tcPr>
            <w:tcW w:w="2060" w:type="dxa"/>
            <w:vAlign w:val="bottom"/>
            <w:gridSpan w:val="5"/>
          </w:tcPr>
          <w:p>
            <w:pPr>
              <w:jc w:val="center"/>
              <w:ind w:right="210"/>
              <w:spacing w:after="0"/>
              <w:rPr>
                <w:sz w:val="20"/>
                <w:szCs w:val="20"/>
                <w:color w:val="auto"/>
              </w:rPr>
            </w:pPr>
            <w:r>
              <w:rPr>
                <w:rFonts w:ascii="Arial" w:cs="Arial" w:eastAsia="Arial" w:hAnsi="Arial"/>
                <w:sz w:val="18"/>
                <w:szCs w:val="18"/>
                <w:color w:val="auto"/>
                <w:w w:val="92"/>
              </w:rPr>
              <w:t>Six-Months Ended</w:t>
            </w:r>
          </w:p>
        </w:tc>
        <w:tc>
          <w:tcPr>
            <w:tcW w:w="960" w:type="dxa"/>
            <w:vAlign w:val="bottom"/>
            <w:gridSpan w:val="2"/>
          </w:tcPr>
          <w:p>
            <w:pPr>
              <w:jc w:val="center"/>
              <w:ind w:right="7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right"/>
              <w:ind w:right="830"/>
              <w:spacing w:after="0"/>
              <w:rPr>
                <w:sz w:val="20"/>
                <w:szCs w:val="20"/>
                <w:color w:val="auto"/>
              </w:rPr>
            </w:pPr>
            <w:r>
              <w:rPr>
                <w:rFonts w:ascii="Arial" w:cs="Arial" w:eastAsia="Arial" w:hAnsi="Arial"/>
                <w:sz w:val="18"/>
                <w:szCs w:val="18"/>
                <w:color w:val="auto"/>
              </w:rPr>
              <w:t>June 30,</w:t>
            </w:r>
          </w:p>
        </w:tc>
        <w:tc>
          <w:tcPr>
            <w:tcW w:w="1080" w:type="dxa"/>
            <w:vAlign w:val="bottom"/>
            <w:gridSpan w:val="3"/>
          </w:tcPr>
          <w:p>
            <w:pPr>
              <w:jc w:val="center"/>
              <w:ind w:right="227"/>
              <w:spacing w:after="0"/>
              <w:rPr>
                <w:sz w:val="20"/>
                <w:szCs w:val="20"/>
                <w:color w:val="auto"/>
              </w:rPr>
            </w:pPr>
            <w:r>
              <w:rPr>
                <w:rFonts w:ascii="Arial" w:cs="Arial" w:eastAsia="Arial" w:hAnsi="Arial"/>
                <w:sz w:val="18"/>
                <w:szCs w:val="18"/>
                <w:color w:val="auto"/>
                <w:w w:val="85"/>
              </w:rPr>
              <w:t>Change</w:t>
            </w:r>
          </w:p>
        </w:tc>
        <w:tc>
          <w:tcPr>
            <w:tcW w:w="2060" w:type="dxa"/>
            <w:vAlign w:val="bottom"/>
            <w:gridSpan w:val="5"/>
          </w:tcPr>
          <w:p>
            <w:pPr>
              <w:jc w:val="center"/>
              <w:ind w:right="250"/>
              <w:spacing w:after="0"/>
              <w:rPr>
                <w:sz w:val="20"/>
                <w:szCs w:val="20"/>
                <w:color w:val="auto"/>
              </w:rPr>
            </w:pPr>
            <w:r>
              <w:rPr>
                <w:rFonts w:ascii="Arial" w:cs="Arial" w:eastAsia="Arial" w:hAnsi="Arial"/>
                <w:sz w:val="18"/>
                <w:szCs w:val="18"/>
                <w:color w:val="auto"/>
                <w:w w:val="86"/>
              </w:rPr>
              <w:t>June 30,</w:t>
            </w:r>
          </w:p>
        </w:tc>
        <w:tc>
          <w:tcPr>
            <w:tcW w:w="960" w:type="dxa"/>
            <w:vAlign w:val="bottom"/>
            <w:gridSpan w:val="2"/>
          </w:tcPr>
          <w:p>
            <w:pPr>
              <w:jc w:val="center"/>
              <w:ind w:right="7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21 vs. 20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Net sales</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1,461,934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1,093,896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2,705,751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2,155,993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434,427</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43.9 %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1,153,976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859,329</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Gross profit*</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1,551,775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1,296,664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57.2 %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60.3 %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57.4 %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60.1 %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252,205</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524,412</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88"/>
              </w:rPr>
              <w:t>Operating expenses as a percentage of net sales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income</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772,252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3"/>
              </w:rPr>
              <w:t>Operating income as a percentage of net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36.0 %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37.2 %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34.7 %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(1,796)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(923)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line="216" w:lineRule="exact"/>
              <w:rPr>
                <w:sz w:val="20"/>
                <w:szCs w:val="20"/>
                <w:color w:val="auto"/>
              </w:rPr>
            </w:pPr>
            <w:r>
              <w:rPr>
                <w:rFonts w:ascii="Arial" w:cs="Arial" w:eastAsia="Arial" w:hAnsi="Arial"/>
                <w:sz w:val="17"/>
                <w:szCs w:val="17"/>
                <w:color w:val="auto"/>
              </w:rPr>
              <w:t>Income before provision for income taxes</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405,468</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771,329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30.8 %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181,125</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w w:val="91"/>
              </w:rPr>
              <w:t>Income taxes as a percentage of income before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12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23.2 %</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403,762</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311,369</w:t>
            </w:r>
          </w:p>
        </w:tc>
        <w:tc>
          <w:tcPr>
            <w:tcW w:w="2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29.7 %$</w:t>
            </w:r>
          </w:p>
        </w:tc>
        <w:tc>
          <w:tcPr>
            <w:tcW w:w="800" w:type="dxa"/>
            <w:vAlign w:val="bottom"/>
          </w:tcPr>
          <w:p>
            <w:pPr>
              <w:jc w:val="right"/>
              <w:spacing w:after="0"/>
              <w:rPr>
                <w:sz w:val="20"/>
                <w:szCs w:val="20"/>
                <w:color w:val="auto"/>
              </w:rPr>
            </w:pPr>
            <w:r>
              <w:rPr>
                <w:rFonts w:ascii="Arial" w:cs="Arial" w:eastAsia="Arial" w:hAnsi="Arial"/>
                <w:sz w:val="18"/>
                <w:szCs w:val="18"/>
                <w:color w:val="auto"/>
              </w:rPr>
              <w:t>718,956</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590,204</w:t>
            </w: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as a percentage of net sales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29.2 %$</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Case sales (in thousands) (in 192</w:t>
            </w:r>
            <w:r>
              <w:rPr>
                <w:rFonts w:ascii="MS PGothic" w:cs="MS PGothic" w:eastAsia="MS PGothic" w:hAnsi="MS PGothic"/>
                <w:sz w:val="18"/>
                <w:szCs w:val="18"/>
                <w:color w:val="auto"/>
                <w:w w:val="95"/>
              </w:rPr>
              <w:t>‑</w:t>
            </w:r>
            <w:r>
              <w:rPr>
                <w:rFonts w:ascii="Arial" w:cs="Arial" w:eastAsia="Arial" w:hAnsi="Arial"/>
                <w:sz w:val="18"/>
                <w:szCs w:val="18"/>
                <w:color w:val="auto"/>
                <w:w w:val="95"/>
              </w:rPr>
              <w:t>ounce case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116,960</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232,559</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i w:val="1"/>
          <w:iCs w:val="1"/>
          <w:color w:val="auto"/>
        </w:rPr>
        <w:t>¹Includes $10.4 million and $10.5 million for the three-months ended June 30, 2021 and 2020, respectively, related to the recognition of deferred revenue. Includes $20.9 million and $21.1 million for the six-months ended June 30, 2021 and 2020, respectively, related to the recognition of deferred revenue.</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Three-Months Ended June 30, 2021 Compared to the Three-Months Ended June 30, 2020.</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$1.46 billion for the three-months ended June 30, 2021, an increase of approximately $368.0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33.6% higher than net sales of $1.09 billion for the three-months ended June 30, 2020. Net changes in foreign currency exchange rates had a favorable impact on net sales of approximately $38.6 million for the three-months ended June 30, 2021.</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sales for the Monster Energy® Drinks segment were $1.37 billion for the three-months ended June 30, 2021, an increase of approximately $339.4 million, or 33.0% higher than net sales of $1.03 billion for the three-months ended June 30, 2020. Net sales for the Monster Energy® Drinks segment increased primarily due to increased worldwide sales by volume of our Monster Energy® brand energy drinks as a result of increased consumer demand. Net changes in foreign currency exchange rates had a favorable impact on net sales for the Monster Energy® Drinks segment of approximately $35.5 million for the three-months ended June 30, 2021.</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sales for the Strategic Brands segment were $86.9 million for the three-months ended June 30, 2021, an increase of approximately $27.4 million, or 45.9% higher than net sales of $59.6 million for the three-months ended June 30, 2020. Net sales for the Strategic Brands segment increased primarily due to increased worldwide sales by volume of our NOS®, Burn® and Predator® energy drinks as a result of increased consumer demand. Net changes in foreign currency exchange rates had a favorable impact on net sales of approximately $3.1 million for the Strategic Brands segment for the three-months ended June 30, 2021.</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Other segment were $7.9 million for the three-months ended June 30, 2021, an increase of approximately $1.3 million, or 19.0% higher than net sales of $6.6 million for the three-months ended June 30, 2020.</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Case sales, in 192-ounce case equivalents, were 161.5 million cases for the three-months ended June 30, 2021, an increase of approximately 44.5 million cases or 38.0% higher than case sales of 117.0 million cases for the three-months ended June 30, 2020. The overall average net sales per case (excluding net sales of AFF Third-Party Products of $7.9 million and $6.6 million for the three-months ended June 30, 2021 and 2020, respectively, as these sales do not have unit case equivalents) decreased to $9.01 for the three-months ended June 30, 2021, which was 3.1% lower than the average net sales per case of $9.30 for the three-months ended June 30, 2020. The decrease in the average net sales per case was primarily the result of geographical sales mix.</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$836.8 million for the three-months ended June 30, 2021, an increase of approximately $177.4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26.9% higher than the gross profit of $659.5 million for the three-months ended June 30, 2020. The increase in gross profit dollars was primarily the result of the $368.0 million increase in net sales for the three-months ended June 30, 2021.</w:t>
      </w:r>
    </w:p>
    <w:p>
      <w:pPr>
        <w:spacing w:after="0" w:line="16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Gross profit as a percentage of net sales decreased to 57.2% for the three-months ended June 30, 2021 from 60.3% for the three-months ended June 30, 2020. The decrease for the three-months ended June 30, 2021 was primarily the result of geographical sales mix and increased input costs (mainly increased raw material freight-in costs and aluminum can costs).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$310.9 million for the three-months ended June 30,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$58.7 million, or 23.3% higher than total operating expenses of $252.2 million for the three-months ended June 30, 2020. As a percentage of net sales, operating expenses for the three-months ended June 30, 2021 were 21.3% as compared to 23.1% for the three-months ended June 30, 2020. The increase in operating expenses was primarily due to increased out-bound freight and warehouse costs of $25.7 million, increased payroll expenses of $10.5 million (of which $1.3 million was related to an increase in stock-based compensation), increased expenditures of $4.0 million for professional service expenses, including accounting and legal costs and increased costs of $3.1 million for travel and entertainment. In addition, largely due to a significant reduction in the comparative operating expenses for the three-months ended June 30, 2020 due to the COVID-19 pandemic, we experienced increased expenditures of $13.6 million for sponsorships and endorsements, as well as increased expenditures of $13.8 million for other marketing expenses, including social media and digital marketing, point of sale, sampling, premiums and merchandise displays during the three-months ended June 30, 2021. The increase in operating expenses for the three-months ended June 30, 2021, was partially offset by $16.9 million due to the reversal of amounts previously accrued in connection with an intellectual property claim.</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was $526.0 million for the three-months ended June 30, 2021,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$118.7 million, or 29.1% higher than operating income of $407.3 million for the three-months ended June 30, 2020. Operating income as a percentage of net sales decreased to 36.0% for the three-months ended June 30, 2021 from 37.2% for the three-months ended June 30, 2020. Operating income was $123.1 million and $64.3 million for the three-months ended June 30, 2021 and 2020, respectively, for our operations in EMEA, Asia Pacific, Latin America and the Caribbean.</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income for the Monster Energy® Drinks segment, exclusive of corporate and unallocated expenses, was $547.3 million for the three-months ended June 30, 2021, an increase of approximately $93.9 million, or 20.7% higher than operating income of $453.4 million for the three-months ended June 30, 2020. The increase in operating income for the Monster Energy® Drinks segment was primarily the result of the $339.4 million increase in net sales for the three-months ended June 30, 2021.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$54.1 million for the three-months ended June 30, 2021, an increase of approximately $16.4 million, or 43.5% higher than operating income of $37.7 million for the three-months ended June 30, 2020. The increase in operating income for the Strategic Brands segment was primarily the result of the $27.4 million increase in net sales.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$2.2 million for the three-months ended June 30, 2021, an increase of approximately $0.6 million, or 37.2% higher than operating income of $1.6 million for the three-months ended June 30,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and other non-operating (expense) income, net, was $0.9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three-months ended June 30, 2021, as compared to interest and other non-operating (expense) income, net, of ($1.8) million for the three-months ended June 30, 2020. Foreign currency transaction losses were $1.8 million and $1.5 million for the three-months ended June 30, 2021 and 2020, respectively. Interest income was $1.1 million and $0.9 million for the three-months ended June 30, 2021 and 2020, respectively.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$123.1 million for the three-months ended June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$29.0 million, or 30.8% higher than the provision for income taxes of $94.1 million for the three-months ended June 30, 2020. The effective combined federal, state and foreign tax rate increased to 23.4% from 23.2% for the three-months ended June 30, 2021 and 2020, respectively.</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was $403.8 million for the three-months ended June 30, 2021, an increase of 92.4 million, or 29.7%</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net income of $311.4 million for the three-months ended June 30, 2020. The increase in net income for the three-months ended June 30, 2021 was primarily due to the $177.4 million increase in gross profit for the three-months ended June 30, 2021, partially offset by the $58.7 million increase in operating expenses and the $29.0 million increase in the provision for incomes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Six-Months Ended June 30, 2021 Compared to the Six-Months Ended June 30, 2020.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$2.71 billion for the six-months ended June 30, 2021, an increase of approximately $549.8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25.5% higher than net sales of $2.16 billion for the six-months ended June 30, 2020. Net changes in foreign currency exchange rates had a favorable impact on net sales of approximately $47.9 million for the six-months ended June 30, 2021.</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sales for the Monster Energy® Drinks segment were $2.54 billion for the six-months ended June 30, 2021, an increase of approximately $517.2 million, or 25.6% higher than net sales of $2.02 billion for the six-months ended June 30, 2020. Net sales for the Monster Energy® Drinks segment increased primarily due to increased worldwide sales by volume of our Monster Energy® brand energy drinks as a result of increased consumer demand. Net changes in foreign currency exchange rates had a favorable impact on net sales for the Monster Energy® Drinks segment of approximately $44.8 million for the six-months ended June 30, 2021.</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sales for the Strategic Brands segment were $154.7 million for the six-months ended June 30, 2021, an increase of approximately $30.6 million, or 24.7% higher than net sales of $124.1 million for the six-months ended June 30, 2020. Net sales for the Strategic Brands segment increased primarily due to increased worldwide sales by volume of our NOS®, Predator® and Mother® brand energy drinks as a result of increased consumer demand. Net changes in foreign currency exchange rates had a favorable impact on net sales of approximately $3.1 million for the Strategic Brands segment for the six-months ended June 30, 2021.</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sales for the Other segment were $13.6 million for the six-months ended June 30, 2021, an increase of approximately $1.9 million, or 16.0% higher than net sales of $11.7 million for the six-months ended June 30, 2020.</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Case sales, in 192-ounce case equivalents, were 300.0 million cases for the six-months ended June 30, 2021, an increase of approximately 67.5 million cases or 29.0% higher than case sales of 232.6 million cases for the six-months ended June 30, 2020. The overall average net sales per case (excluding net sales of AFF Third-Party Products of $13.6 million and $11.7 million for the six-months ended June 30, 2021 and 2020, respectively, as these sales do not have unit case equivalents) decreased to $8.97 for the six-months ended June 30, 2021, which was 2.7% lower than the average net sales per case of $9.22 for the six-months ended June 30, 2020. The decrease in the average net sales per case was primarily the result of geographical sales mix.</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$1.55 billion for the six-months ended June 30, 2021, an increase of approximately $255.1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19.7% higher than the gross profit of $1.30 billion for the six-months ended June 30, 2020. The increase in gross profit dollars was primarily the result of the $549.8 million increase in net sales for the six-months ended June 30, 2021.</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as a percentage of net sales decreased to 57.4% for the six-months ended June 30, 2021 from 60.1% for the six-months ended June 30, 2020. The decrease for the six-months ended June 30, 2021 was primarily the result of geographical sales mix and increased input costs (mainly increased raw material freight-in costs and aluminum can costs).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$611.7 million for the six-months ended June 30,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$87.2 million, or 16.6% higher than total operating expenses of $524.4 million for the six-months ended June 30, 2020. As a percentage of net sales, operating expenses for the six-months ended June 30, 2021 were 22.6% as compared to 24.3% for the six-months ended June 30, 2020. The increase in operating expenses was primarily due to increased out-bound freight and warehouse costs of $41.3 million, increased payroll expenses of $24.2 million (of which $2.2 million was related to an increase in stock-based compensation), increased expenditures of $15.8 million for sponsorships and endorsements, increased expenditures of $8.4 million for social media and digital marketing, and increased expenditures of $8.2 million for professional service expenses, including accounting and legal costs. The increase in operating expenses for the six-months ended June 30, 2021, was partially offset by $16.9 million due to the reversal of amounts previously accrued in connection with an intellectual property claim.</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$940.1 million for the six-months ended June 30, 2021,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$167.9 million, or 21.7% higher than operating income of $772.3 million for the six-months ended June 30, 2020. Operating income as a percentage of net sales decreased to 34.7% for the six-months ended June 30, 2021 from 35.8% for the six-months ended June 30, 2020. Operating income was $219.9 million and $137.5 million for the six-months ended June 30, 2021 and 2020, respectively, for our operations in EMEA, Asia Pacific, Latin America and the Caribbean.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income for the Monster Energy® Drinks segment, exclusive of corporate and unallocated expenses, was $1.01 billion for the six-months ended June 30, 2021, an increase of approximately $147.6 million, or 17.1% higher than operating income of $864.5 million for the six-months ended June 30, 2020. The increase in operating income for the Monster Energy® Drinks segment was primarily the result of the $517.2 million increase in net sales for the six-months ended June 30, 2021.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$99.2 million for the six-months ended June 30, 2021, an increase of approximately $24.8 million, or 33.3% higher than operating income of $74.4 million for the six-months ended June 30, 2020. The increase in operating income for the Strategic Brands segment was primarily the result of the $30.6 million increase in net sales.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$4.0 million for the six-months ended June 30, 2021, an increase of approximately $1.6 million, or 66.8% higher than operating income of $2.4 million for the six-months ended June 30, 2020.</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Interest and Other (Expense) Income, net</w:t>
      </w:r>
      <w:r>
        <w:rPr>
          <w:rFonts w:ascii="Arial" w:cs="Arial" w:eastAsia="Arial" w:hAnsi="Arial"/>
          <w:sz w:val="16"/>
          <w:szCs w:val="16"/>
          <w:color w:val="auto"/>
        </w:rPr>
        <w:t>. Interest and other non-operating (expense) income, net, was $0.1 million for the six-months ended June 30, 2021, as compared to interest and other non-operating (expense) income, net, of ($0.9) million for the six-months ended June 30, 2020. Foreign currency transaction losses were $2.6 million and $4.4 million for the six-months ended June 30, 2021 and 2020, respectively. Interest income was $2.2 million and $5.7 million for the six-months ended June 30, 2021 and 2020, respectively.</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Provision for income taxes was $221.3 million for the six-months ended June 30, 2021,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$40.2 million, or 22.2% higher than the provision for income taxes of $181.1 million for the six-months ended June 30, 2020. The effective combined federal, state and foreign tax rate was 23.5% for both the six-months ended June 30, 2021 and 2020.</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was $719.0 million for the six-months ended June 30, 2021, an increase of $128.8 million, or 21.8%</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net income of $590.2 million for the six-months ended June 30, 2020. The increase in net income for the six-months ended June 30, 2021 was primarily due to the $255.1 million increase in gross profit for the six-months ended June 30, 2021, partially offset by the $87.2 million increase in operating expenses and the $40.2 million increase in the provision for incomes taxes.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Key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Three-Months Ended June 30, 2021 Compared to the Three-Months Ended June 30,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Billings**. </w:t>
      </w:r>
      <w:r>
        <w:rPr>
          <w:rFonts w:ascii="Arial" w:cs="Arial" w:eastAsia="Arial" w:hAnsi="Arial"/>
          <w:sz w:val="18"/>
          <w:szCs w:val="18"/>
          <w:color w:val="auto"/>
        </w:rPr>
        <w:t>Gross billings were $1.69 billion for the three-months ended June 30, 2021,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$430.9 million, or 34.1% higher than gross billings of $1.26 billion for the three-months ended June 30, 2020. Net changes in foreign currency exchange rates had a favorable impact on gross billings of approximately $48.8 million for the three-months ended June 30, 2021.</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billings for the Monster Energy® Drinks segment were $1.59 billion for the three-months ended June 30, 2021, an increase of approximately $398.8 million, or 33.5% higher than gross billings of $1.19 billion for the three-months ended June 30, 2020. Gross billings for the Monster Energy® Drinks segment increased primarily due to increased worldwide sales by volume of our Monster Energy® brand energy drinks as a result of increased consumer demand. Net changes in foreign currency exchange rates had a favorable impact on gross billings for the Monster Energy® Drinks segment of approximately $45.7 million for the three-months ended June 30, 2021.</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billings for the Strategic Brands segment were $98.7 million for the three-months ended June 30, 2021, an increase of $30.8 million, or 45.5% higher than gross billings of $67.8 million for the three-months ended June 30, 2020. Net changes in foreign currency exchange rates had an favorable impact on gross billings in the Strategic Brands segment of approximately $3.1 million for the three-months ended June 30, 2021.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billings for the Other segment were $7.9 million for the three-months ended June 30, 2021, an increase of $1.3 million, or 19.1% higher than gross billings of $6.6 million for the three-months ended June 30, 2020.</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Promotional allowances, commissions and other expenses, as described in the footnote below, were $243.1 million for the three-months ended June 30, 2021, an increase of $62.8 million, or 34.8% higher than promotional allowances, commissions and other expenses of $180.4 million for the three-months ended June 30, 2020. Promotional allowances as a percentage of gross billings decreased to 12.8% from 13.0% for the three-months ended June 30,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Six-Months Ended June 30, 2021 Compared to the Six-Months Ended June 30, 2020.</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Gross Billings**. </w:t>
      </w:r>
      <w:r>
        <w:rPr>
          <w:rFonts w:ascii="Arial" w:cs="Arial" w:eastAsia="Arial" w:hAnsi="Arial"/>
          <w:sz w:val="16"/>
          <w:szCs w:val="16"/>
          <w:color w:val="auto"/>
        </w:rPr>
        <w:t>Gross billings were $3.14 billion for the six-months ended June 30, 2021, an increase of approximately $655.4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26.3% higher than gross billings of $2.49 billion for the six-months ended June 30, 2020. Net changes in foreign currency exchange rates had a favorable impact on gross billings of approximately $62.6 million for the six-months ended June 30, 2021.</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billings for the Monster Energy® Drinks segment were $2.95 billion for the six-months ended June 30, 2021, an increase of approximately $617.7 million, or 26.4% higher than gross billings of $2.34 billion for the six-months ended June 30, 2020. Gross billings for the Monster Energy® Drinks segment increased primarily due to increased worldwide sales by volume of our Monster Energy® brand energy drinks as a result of increased consumer demand. Net changes in foreign currency exchange rates had a favorable impact on gross billings for the Monster Energy® Drinks segment of approximately $59.5 million for the six-months ended June 30, 2021.</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billings for the Strategic Brands segment were $177.0 million for the six-months ended June 30, 2021, an increase of $35.8 million, or 25.4% higher than gross billings of $141.2 million for the six-months ended June 30, 2020. Net changes in foreign currency exchange rates had a favorable impact on gross billings in the Strategic Brands segment of approximately $3.1 million for the six-months ended June 30, 2021.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billings for the Other segment were $13.6 million for the six-months ended June 30, 2021, an increase of $1.9 million, or 16.1% higher than gross billings of $11.7 million for the six-months ended June 30, 2020.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Promotional allowances, commissions and other expenses, as described in the footnote below, were $459.8 million for the six-months ended June 30, 2021, an increase of $105.4 million, or 29.8% higher than promotional allowances, commissions and other expenses of $354.3 million for the six-months ended June 30, 2020. Promotional allowances as a percentage of gross billings increased to 13.1% from 13.0% for the six-months ended June 30, 2021 and 2020,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color w:val="auto"/>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r>
        <w:rPr>
          <w:rFonts w:ascii="Arial" w:cs="Arial" w:eastAsia="Arial" w:hAnsi="Arial"/>
          <w:sz w:val="16"/>
          <w:szCs w:val="16"/>
          <w:i w:val="1"/>
          <w:iCs w:val="1"/>
          <w:color w:val="auto"/>
        </w:rPr>
        <w: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non-GAAP financial measure of gross billings with the most directly comparable GAAP financial measure of net sales: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17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2020" w:type="dxa"/>
            <w:vAlign w:val="bottom"/>
            <w:gridSpan w:val="3"/>
          </w:tcPr>
          <w:p>
            <w:pPr>
              <w:jc w:val="right"/>
              <w:ind w:right="190"/>
              <w:spacing w:after="0"/>
              <w:rPr>
                <w:sz w:val="20"/>
                <w:szCs w:val="20"/>
                <w:color w:val="auto"/>
              </w:rPr>
            </w:pPr>
            <w:r>
              <w:rPr>
                <w:rFonts w:ascii="Arial" w:cs="Arial" w:eastAsia="Arial" w:hAnsi="Arial"/>
                <w:sz w:val="18"/>
                <w:szCs w:val="18"/>
                <w:color w:val="auto"/>
              </w:rPr>
              <w:t>Six-Months Ended</w:t>
            </w:r>
          </w:p>
        </w:tc>
        <w:tc>
          <w:tcPr>
            <w:tcW w:w="20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04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04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202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12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 vs. 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Billings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$ 1,694,644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$ 1,263,756</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$ 3,144,680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$ 2,489,259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10,521</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(0.8)%</w:t>
            </w:r>
          </w:p>
        </w:tc>
        <w:tc>
          <w:tcPr>
            <w:tcW w:w="920" w:type="dxa"/>
            <w:vAlign w:val="bottom"/>
          </w:tcPr>
          <w:p>
            <w:pPr>
              <w:jc w:val="right"/>
              <w:spacing w:after="0"/>
              <w:rPr>
                <w:sz w:val="20"/>
                <w:szCs w:val="20"/>
                <w:color w:val="auto"/>
              </w:rPr>
            </w:pPr>
            <w:r>
              <w:rPr>
                <w:rFonts w:ascii="Arial" w:cs="Arial" w:eastAsia="Arial" w:hAnsi="Arial"/>
                <w:sz w:val="18"/>
                <w:szCs w:val="18"/>
                <w:color w:val="auto"/>
              </w:rPr>
              <w:t>20,879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21,078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Less: Promotional allowances, commissions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other expenses***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180,381</w:t>
            </w:r>
          </w:p>
        </w:tc>
        <w:tc>
          <w:tcPr>
            <w:tcW w:w="1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34.8 %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459,808</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354,344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$ 1,461,934</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$ 1,093,896</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33.6 %</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$ 2,705,751</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$ 2,155,993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June 30, 2021 and 2020 were (i) to increase sales volume and trial, (ii) to address market conditions, and (iii) to secure shelf and display space at retail.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6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below discloses selected quarterly data regarding sales for the three- and six-months ended June 30, 2021 and 2020, respectively. Data from any one or more quarters or periods is not necessarily indicative of annual results or continuing trends.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including new variants may also have an impact on consumer behavior and change the seasonal fluctuation of our business.</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right"/>
              <w:ind w:right="150"/>
              <w:spacing w:after="0"/>
              <w:rPr>
                <w:sz w:val="20"/>
                <w:szCs w:val="20"/>
                <w:color w:val="auto"/>
              </w:rPr>
            </w:pPr>
            <w:r>
              <w:rPr>
                <w:rFonts w:ascii="Arial" w:cs="Arial" w:eastAsia="Arial" w:hAnsi="Arial"/>
                <w:sz w:val="18"/>
                <w:szCs w:val="18"/>
                <w:color w:val="auto"/>
                <w:w w:val="96"/>
              </w:rPr>
              <w:t>Three-Months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jc w:val="right"/>
              <w:ind w:right="25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w w:val="90"/>
              </w:rPr>
              <w:t>(In thousands, except average net sales per case)</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9"/>
        </w:trPr>
        <w:tc>
          <w:tcPr>
            <w:tcW w:w="3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1,461,934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1,093,896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2,705,751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2,155,993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AFF third-party sales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1,454,029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1,087,252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2,692,118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2,144,244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Case sales by segment: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Monster Energy® Drinks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255,038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Strategic Brands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case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300,017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232,559</w:t>
            </w:r>
          </w:p>
        </w:tc>
        <w:tc>
          <w:tcPr>
            <w:tcW w:w="0" w:type="dxa"/>
            <w:vAlign w:val="bottom"/>
          </w:tcPr>
          <w:p>
            <w:pPr>
              <w:spacing w:after="0"/>
              <w:rPr>
                <w:sz w:val="1"/>
                <w:szCs w:val="1"/>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8"/>
                <w:szCs w:val="18"/>
                <w:color w:val="auto"/>
              </w:rPr>
              <w:t>Average net sales per case</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24"/>
          <w:szCs w:val="24"/>
          <w:i w:val="1"/>
          <w:iCs w:val="1"/>
          <w:color w:val="auto"/>
          <w:vertAlign w:val="superscript"/>
        </w:rPr>
        <w:t>1</w:t>
      </w:r>
      <w:r>
        <w:rPr>
          <w:rFonts w:ascii="Arial" w:cs="Arial" w:eastAsia="Arial" w:hAnsi="Arial"/>
          <w:sz w:val="16"/>
          <w:szCs w:val="16"/>
          <w:i w:val="1"/>
          <w:iCs w:val="1"/>
          <w:color w:val="auto"/>
        </w:rPr>
        <w:t>Excludes Other segment net sales of $7.9 million and $6.6 million for the three-months ended June 30, 2021 and 2020, respectively, comprised of net sales of AFF Third-Party Products to independent third-party customers, as these sales do not have unit case equivalents. Excludes Other segment net sales of $13.6 million and $11.7 million for the six-months ended June 30, 2021 and 2020, respectively, comprised of net sales of AFF Third-Party Products to independent third-party customers, as these sales do not have unit case equivalents.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Results of Operations”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We believe that cash available from operations,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Our sources and uses of cash were not materially impacted by the COVID-19 pandemic in the six-months ended June 30, 2021 and, to date, we have not identified any material liquidity deficiencies as a result of the COVID-19 pandemic. Based on the information currently available to us, we do not expect the impact of the COVID-19 pandemic to have a material impact on our liquidity. We will continue to monitor and assess the impact the COVID-19 pandemic may have on our business, financial condition and/or operating results.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June 30, 2021, we had $1.58 billion in cash and cash equivalents, $969.0 million in short-term investments and $91.0 million in long-term investments, including certificates of deposit, commercial paper, U.S. government agency securities and U.S. treasuries.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Based on our current plans, at this time we estimate that capital expenditures (exclusive of common stock repurchases) are likely to be less than $200.0 million through June 30, 2022. However, future business opportunities may cause a change in this estimate.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Cash flows provided by operating activities. </w:t>
      </w:r>
      <w:r>
        <w:rPr>
          <w:rFonts w:ascii="Arial" w:cs="Arial" w:eastAsia="Arial" w:hAnsi="Arial"/>
          <w:sz w:val="16"/>
          <w:szCs w:val="16"/>
          <w:color w:val="auto"/>
        </w:rPr>
        <w:t>Cash provided by operating activities was $586.6 million for the six-months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2021, as compared with cash provided by operating activities of $440.5 million for the six-months ended June 30, 2020.</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six-months ended June 30, 2021, cash provided by operating activities was primarily attributable to net income earned of $719.0 million and adjustments for certain non-cash expenses, consisting of $35.7 million of stock-based compensation and $27.5 million of depreciation and amortization. For the six-months ended June 30, 2021, cash provided by operating activities also increased due to a $63.6 million increase in accounts payable, a $42.7 million increase in accrued promotional allowances, a $29.9 million increase in accrued liabilities, a $7.7 million increase in income taxes payable and a $2.5 million decrease in prepaid income taxes. For the six-months ended June 30, 2021, cash used in operating activities was primarily attributable to a $239.7 million increase in accounts receivable, a $52.5 million increase in inventories, a $28.2 million increase in prepaid expenses and other assets, a $10.9 million decrease in deferred revenue and a $10.8 million decrease in accrued compensation.</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six-months ended June 30, 2020, cash provided by operating activities was primarily attributable to net income earned of $590.2 million and adjustments for certain non-cash expenses, consisting of $33.0 million of stock-based compensation, $32.1 million of depreciation and amortization and $4.0 million of intangible asset impairment. For the six-months ended June 30, 2020, cash provided by operating activities also increased due to a $31.7 million increase in accrued liabilities, a $14.2 million decrease in inventories, an $8.3 million increase in income tax payable, a $7.2 million decrease in prepaid income taxes and a $3.1 million increase in accrued promotional allowance. For the six-months ended June 30, 2020, cash used in operating activities was primarily attributable to a $231.8 million increase in accounts receivable, a $23.4 million increase in prepaid expenses and other assets, a $10.9 million decrease in accrued compensation, a $10.4 million decrease in deferred revenue and a $6.8 million decrease in accounts payable.</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Cash flows (used in) provided by investing activities. </w:t>
      </w:r>
      <w:r>
        <w:rPr>
          <w:rFonts w:ascii="Arial" w:cs="Arial" w:eastAsia="Arial" w:hAnsi="Arial"/>
          <w:sz w:val="16"/>
          <w:szCs w:val="16"/>
          <w:color w:val="auto"/>
        </w:rPr>
        <w:t>Cash used in investing activities was $180.2 million for the six-months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as compared to cash provided by investing activities of $250.7 million for the six-months ended June 30, 2020.</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both the six-months ended June 30, 2021 and 2020, cash provided by investing activities was primarily attributable to sales of available-for-sale investments. For both the six-months ended June 30, 2021 and 2020, cash used in investing activities was primarily attributable to purchases of available-for-sale investments. For both the six-months ended June 30, 2021 and 2020,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Cash flow provided by (used in) financing activities. </w:t>
      </w:r>
      <w:r>
        <w:rPr>
          <w:rFonts w:ascii="Arial" w:cs="Arial" w:eastAsia="Arial" w:hAnsi="Arial"/>
          <w:sz w:val="17"/>
          <w:szCs w:val="17"/>
          <w:color w:val="auto"/>
        </w:rPr>
        <w:t>Cash provided by financing activities was $14.3 million for the six-months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as compared to cash used in financing activities of $553.6 million for the six-months ended June 30, 2020. The cash used in financing activities for both the six-months ended June 30, 2021 and 2020 was primarily the result of the repurchases of our common stock. The cash provided by financing activities for both the six-months ended June 30, 2021, and 2020 was primarily attributable to the issuance of our common stock under our stock-based compensation plans.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Of our $1.58 billion of cash and cash equivalents held at June 30, 2021, $539.7 million was held by our foreign subsidiaries. No short-term or long-term investments were held by our foreign subsidiaries at June 30,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represents a summary of the Company’s contractual commitments and related scheduled maturities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color w:val="auto"/>
              </w:rPr>
              <w:t>Payments due by period (in thousands)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89"/>
              </w:rPr>
              <w:t>Less than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3"/>
              </w:rPr>
              <w:t>3</w:t>
            </w:r>
            <w:r>
              <w:rPr>
                <w:rFonts w:ascii="MS PGothic" w:cs="MS PGothic" w:eastAsia="MS PGothic" w:hAnsi="MS PGothic"/>
                <w:sz w:val="18"/>
                <w:szCs w:val="18"/>
                <w:color w:val="auto"/>
                <w:w w:val="93"/>
              </w:rPr>
              <w:t>‑</w:t>
            </w:r>
            <w:r>
              <w:rPr>
                <w:rFonts w:ascii="Arial" w:cs="Arial" w:eastAsia="Arial" w:hAnsi="Arial"/>
                <w:sz w:val="18"/>
                <w:szCs w:val="18"/>
                <w:color w:val="auto"/>
                <w:w w:val="93"/>
              </w:rPr>
              <w:t>5</w:t>
            </w:r>
          </w:p>
        </w:tc>
        <w:tc>
          <w:tcPr>
            <w:tcW w:w="100" w:type="dxa"/>
            <w:vAlign w:val="bottom"/>
          </w:tcPr>
          <w:p>
            <w:pPr>
              <w:spacing w:after="0"/>
              <w:rPr>
                <w:sz w:val="16"/>
                <w:szCs w:val="16"/>
                <w:color w:val="auto"/>
              </w:rPr>
            </w:pPr>
          </w:p>
        </w:tc>
        <w:tc>
          <w:tcPr>
            <w:tcW w:w="88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1"/>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years</w:t>
            </w:r>
          </w:p>
        </w:tc>
        <w:tc>
          <w:tcPr>
            <w:tcW w:w="1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w:t>
            </w:r>
            <w:r>
              <w:rPr>
                <w:rFonts w:ascii="Arial" w:cs="Arial" w:eastAsia="Arial" w:hAnsi="Arial"/>
                <w:sz w:val="25"/>
                <w:szCs w:val="25"/>
                <w:color w:val="auto"/>
                <w:vertAlign w:val="superscript"/>
              </w:rPr>
              <w:t>1</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156,735</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61,224</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Contractual obligations include our obligations related to sponsorships and other commitments.</w:t>
      </w:r>
    </w:p>
    <w:p>
      <w:pPr>
        <w:spacing w:after="0" w:line="8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approximately $0.4 million of unrecognized tax benefits have been recorded as liabilities as of June 30, 2021. It is expected that the amount of unrecognized tax benefits will not significantly change within the next 12 months. As of June 30, 2021, we had $0.1 million of accrued interest and penalties related to unrecognized tax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2020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inflation did not have a significant impact on our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4" w:lineRule="exact"/>
        <w:rPr>
          <w:sz w:val="20"/>
          <w:szCs w:val="20"/>
          <w:color w:val="auto"/>
        </w:rPr>
      </w:pPr>
    </w:p>
    <w:p>
      <w:pPr>
        <w:jc w:val="both"/>
        <w:ind w:left="680" w:hanging="321"/>
        <w:spacing w:after="0" w:line="287"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human and economic consequences of the COVID-19 pandemic, including new variants,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spacing w:after="0" w:line="2" w:lineRule="exact"/>
        <w:rPr>
          <w:rFonts w:ascii="Arial" w:cs="Arial" w:eastAsia="Arial" w:hAnsi="Arial"/>
          <w:sz w:val="16"/>
          <w:szCs w:val="16"/>
          <w:color w:val="auto"/>
        </w:rPr>
      </w:pPr>
    </w:p>
    <w:p>
      <w:pPr>
        <w:jc w:val="both"/>
        <w:ind w:left="680" w:hanging="321"/>
        <w:spacing w:after="0" w:line="265"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Fluctuations in growth and/or growth rates and/or decline in sales of the domestic and international energy drink categories generally, including in the convenience and gas channel (which is our largest channel) and the impact on demand for our products resulting from deteriorating economic conditions and/or financial uncertainties due to the COVID-19 pandemic;</w:t>
      </w:r>
    </w:p>
    <w:p>
      <w:pPr>
        <w:jc w:val="both"/>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reduction in our sponsorship and endorsement activities as well as our sampling activities as a result of COVID-19 on our future sales and market share;</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on consumer demand of the recent resurgence of the COVID-19 pandemic, including new variants, in many of the countries and territories in which we operate;</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countries being in lockdown due to the COVID-19 pandemic at various times;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availability and/or administration and/or acceptance of vaccines may prolong the COVID-19 pandemic;</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our product sampling programs;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introduce new products and the impact of the COVID-19 pandemic on our innovation activities;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effects of the COVID-19 pandemic on our employees, such as mental health challenges that employees may face;</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any reductions in productivity and disruptions to our business routines while most office-based employees of the Company are working remotely;</w:t>
      </w:r>
    </w:p>
    <w:p>
      <w:pPr>
        <w:ind w:left="680" w:hanging="321"/>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of logistical issues, including shortages of shipping containers, port of entry congestion and increased freight costs;</w:t>
      </w:r>
    </w:p>
    <w:p>
      <w:pPr>
        <w:spacing w:after="0" w:line="32" w:lineRule="exact"/>
        <w:rPr>
          <w:rFonts w:ascii="Arial" w:cs="Arial" w:eastAsia="Arial" w:hAnsi="Arial"/>
          <w:sz w:val="16"/>
          <w:szCs w:val="16"/>
          <w:color w:val="auto"/>
        </w:rPr>
      </w:pP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TCCC being one of our significant stockholders and the potential divergence of TCCC’s interests from those of our other stockholders;</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the inventory levels of our bottlers/distributors, planned or otherwise, and the resultant impact on our revenues;</w:t>
      </w:r>
    </w:p>
    <w:p>
      <w:pPr>
        <w:spacing w:after="0" w:line="32" w:lineRule="exact"/>
        <w:rPr>
          <w:rFonts w:ascii="Arial" w:cs="Arial" w:eastAsia="Arial" w:hAnsi="Arial"/>
          <w:sz w:val="16"/>
          <w:szCs w:val="16"/>
          <w:color w:val="auto"/>
        </w:rPr>
      </w:pPr>
    </w:p>
    <w:p>
      <w:pPr>
        <w:jc w:val="both"/>
        <w:ind w:left="680" w:hanging="321"/>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3"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1" w:lineRule="exact"/>
        <w:rPr>
          <w:rFonts w:ascii="Arial" w:cs="Arial" w:eastAsia="Arial" w:hAnsi="Arial"/>
          <w:sz w:val="18"/>
          <w:szCs w:val="18"/>
          <w:color w:val="auto"/>
        </w:rPr>
      </w:pPr>
    </w:p>
    <w:p>
      <w:pPr>
        <w:ind w:left="680" w:hanging="321"/>
        <w:spacing w:after="0" w:line="281"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profitability and/or repatriate cash from certain of our operations outside the United States;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absorb, reduce or pass on to our bottlers/distributors increases in commodity costs generally as well as increases in freight costs;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long-term impact of the United Kingdom’s departure from the European Union (or “Brexit”);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Implications of the Organization for Economic Cooperation and Development’s base erosion and profit shifting project;</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ind w:left="680" w:right="20" w:hanging="321"/>
        <w:spacing w:after="0" w:line="265"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Intellectual property injunctions;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and volatility in the domestic and global economies, including risk of counterparty default or failure;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address any significant deficiencies or material weakness in our internal controls over financial reporting;</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continue to generate sufficient cash flows to support our expansion plans and general operating activities;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Arial" w:cs="Arial" w:eastAsia="Arial" w:hAnsi="Arial"/>
          <w:sz w:val="18"/>
          <w:szCs w:val="18"/>
          <w:color w:val="auto"/>
        </w:rPr>
      </w:pPr>
    </w:p>
    <w:p>
      <w:pPr>
        <w:jc w:val="both"/>
        <w:ind w:left="680" w:hanging="321"/>
        <w:spacing w:after="0" w:line="255"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71"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our Strategic Brands;</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comply with and/or resulting lower consumer demand and/or lower profit margins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in the timely import or export of our products and/or ingredients due to port strikes and related labor issues;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aluminum cans,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shortages that may be experienced in the procurement of containers and/or other raw materials including, without limitation, aluminum cans generally, PET containers used for our Monster Hydro® energy drinks, 24-ounce aluminum cap cans and 550ml BRE aluminum cans with resealable ends;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limitations being experienced in securing the supply of sufficient quantities of aluminum cans, we are currently, and may continue, focusing on producing higher volume products. As a result, certain of our lower volume products may be temporarily discontinued by our bottlers/distributors and/or their retail customers, and we may not be able to reinstate all, or any, of such lower volume products in the future;</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6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bottlers/distributors of our products, most of whom distribute products that may be regarded as competitive with our products;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9"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devote less resources to the sale of our products;</w:t>
      </w:r>
    </w:p>
    <w:p>
      <w:pPr>
        <w:spacing w:after="0" w:line="1" w:lineRule="exact"/>
        <w:rPr>
          <w:rFonts w:ascii="Arial" w:cs="Arial" w:eastAsia="Arial" w:hAnsi="Arial"/>
          <w:sz w:val="17"/>
          <w:szCs w:val="17"/>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adapt to the changing retail landscape with the rapid growth in e-commerce retailers;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bottler/distributor consolidation on our business;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our sports marketing, social media and other general marketing endeavors both domestically and internationally;</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product recalls and/or reformulations of certain of our products and/or market withdrawals of certain of our products due to defective and/or non-compliant formulas or production in one or more jurisdictions;</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our bottlers and/or co-packers to manufacture our products on a timely basis or at all;</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in our market risks during the three-months ended June 30, 2021 compared with the disclosures in Part II, Item 7A of our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 Under the supervision and with the participation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quarter ended June 30,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12. Commitments and Contingencies: Litigation in Part I, Item 1, of this Quarterly Report on Form 10-Q.</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There have been no material changes with respect to the risk factors disclosed in our Form 10-K.</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June 30, 2021, 4,265 shares of common stock were purchased from employees in lieu of cash payments for options exercised or withholding taxes due for a total amount of $0.4 million. While such purchases are considered common stock repurchases, they are not counted as purchases against our authorized share repurchase programs. Such shares are included in common stock in treasury in the accompanying condensed consolidated balance sheet at June 30, 2021.</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new share repurchase program for the purchase of up to $500.0 million of the Company’s outstanding common stock (the “March 2020 Repurchase Plan”). During the three-months ended June 30, 2021, no shares were purchased by the Company under the March 2020 Repurchase Plan. As of August 6, 2021, $441.5 million remained available for repurchase under the March 2020 Repurchase Plan.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1">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2">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53">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4">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5">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32.3*</w:t>
      </w:r>
      <w:r>
        <w:rPr>
          <w:sz w:val="20"/>
          <w:szCs w:val="20"/>
          <w:color w:val="auto"/>
        </w:rPr>
        <w:tab/>
      </w:r>
      <w:hyperlink w:anchor="page56">
        <w:r>
          <w:rPr>
            <w:rFonts w:ascii="Arial" w:cs="Arial" w:eastAsia="Arial" w:hAnsi="Arial"/>
            <w:sz w:val="16"/>
            <w:szCs w:val="16"/>
            <w:u w:val="single" w:color="auto"/>
            <w:color w:val="0000EE"/>
          </w:rPr>
          <w:t>Certification by Chief Financial Officer Pursuant to 18 U.S.C. Section 1350, as Adopted</w:t>
        </w:r>
      </w:hyperlink>
    </w:p>
    <w:p>
      <w:pPr>
        <w:spacing w:after="0" w:line="225" w:lineRule="exact"/>
        <w:rPr>
          <w:sz w:val="20"/>
          <w:szCs w:val="20"/>
          <w:color w:val="auto"/>
        </w:rPr>
      </w:pPr>
    </w:p>
    <w:p>
      <w:pPr>
        <w:jc w:val="both"/>
        <w:ind w:left="840" w:hanging="836"/>
        <w:spacing w:after="0" w:line="291"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following financial information from Monster Beverage Corporation’s Quarterly Report on Form 10-Q for the quarter ended June 30, 2021, formatted in iXBRL (Inline eXtensible Business Reporting Language): (i) Condensed Consolidated Balance Sheets as of June 30, 2021 and December 31, 2020, (ii) Condensed Consolidated Statements of Income for the three-and six-months ended June 30, 2021 and 2020, (iii) Condensed Consolidated Statements of Comprehensive Income for the three- and six-months ended June 30, 2021 and 2020, (iv) Condensed Consolidated Statements of Stockholders’ Equity for the three- and six-months ended June 30, 2021 and 2020, (v) Condensed Consolidated Statements of Cash Flows for the six-months ended June 30, 2021 and 2020, and (vi) the Notes to Condensed Consolidated Financial Statements.</w:t>
      </w:r>
    </w:p>
    <w:p>
      <w:pPr>
        <w:spacing w:after="0" w:line="166" w:lineRule="exact"/>
        <w:rPr>
          <w:sz w:val="20"/>
          <w:szCs w:val="20"/>
          <w:color w:val="auto"/>
        </w:rPr>
      </w:pPr>
    </w:p>
    <w:p>
      <w:pPr>
        <w:jc w:val="both"/>
        <w:ind w:left="840" w:hanging="839"/>
        <w:spacing w:after="0" w:line="277" w:lineRule="auto"/>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Monster Beverage Corporation’s Quarterly Report on Form 10-Q for the quarter ended June 30, 2021, formatted in iXBRL (Inline eXtensible Business Reporting Language) and contained in Exhibit 101.</w:t>
      </w:r>
    </w:p>
    <w:p>
      <w:pPr>
        <w:spacing w:after="0" w:line="170"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4"/>
              </w:rPr>
              <w:t>MONSTER BEVERAGE CORPORATION</w:t>
            </w:r>
          </w:p>
        </w:tc>
      </w:tr>
      <w:tr>
        <w:trPr>
          <w:trHeight w:val="230"/>
        </w:trPr>
        <w:tc>
          <w:tcPr>
            <w:tcW w:w="49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608"/>
        </w:trPr>
        <w:tc>
          <w:tcPr>
            <w:tcW w:w="4960" w:type="dxa"/>
            <w:vAlign w:val="bottom"/>
          </w:tcPr>
          <w:p>
            <w:pPr>
              <w:spacing w:after="0"/>
              <w:rPr>
                <w:sz w:val="20"/>
                <w:szCs w:val="20"/>
                <w:color w:val="auto"/>
              </w:rPr>
            </w:pPr>
            <w:r>
              <w:rPr>
                <w:rFonts w:ascii="Arial" w:cs="Arial" w:eastAsia="Arial" w:hAnsi="Arial"/>
                <w:sz w:val="18"/>
                <w:szCs w:val="18"/>
                <w:color w:val="auto"/>
              </w:rPr>
              <w:t>Date:  August 6, 2021</w:t>
            </w:r>
          </w:p>
        </w:tc>
        <w:tc>
          <w:tcPr>
            <w:tcW w:w="3180" w:type="dxa"/>
            <w:vAlign w:val="bottom"/>
            <w:gridSpan w:val="3"/>
          </w:tcPr>
          <w:p>
            <w:pPr>
              <w:spacing w:after="0"/>
              <w:rPr>
                <w:sz w:val="20"/>
                <w:szCs w:val="20"/>
                <w:color w:val="auto"/>
              </w:rPr>
            </w:pPr>
            <w:r>
              <w:rPr>
                <w:rFonts w:ascii="Arial" w:cs="Arial" w:eastAsia="Arial" w:hAnsi="Arial"/>
                <w:sz w:val="18"/>
                <w:szCs w:val="18"/>
                <w:color w:val="auto"/>
              </w:rPr>
              <w:t>/s/ RODNEY C. SACKS</w:t>
            </w:r>
          </w:p>
        </w:tc>
      </w:tr>
      <w:tr>
        <w:trPr>
          <w:trHeight w:val="222"/>
        </w:trPr>
        <w:tc>
          <w:tcPr>
            <w:tcW w:w="496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Rodney C. Sacks</w:t>
            </w:r>
          </w:p>
        </w:tc>
        <w:tc>
          <w:tcPr>
            <w:tcW w:w="1380" w:type="dxa"/>
            <w:vAlign w:val="bottom"/>
            <w:gridSpan w:val="2"/>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and Co-Chief Executive Officer</w:t>
            </w:r>
          </w:p>
        </w:tc>
      </w:tr>
      <w:tr>
        <w:trPr>
          <w:trHeight w:val="392"/>
        </w:trPr>
        <w:tc>
          <w:tcPr>
            <w:tcW w:w="4960" w:type="dxa"/>
            <w:vAlign w:val="bottom"/>
          </w:tcPr>
          <w:p>
            <w:pPr>
              <w:spacing w:after="0"/>
              <w:rPr>
                <w:sz w:val="20"/>
                <w:szCs w:val="20"/>
                <w:color w:val="auto"/>
              </w:rPr>
            </w:pPr>
            <w:r>
              <w:rPr>
                <w:rFonts w:ascii="Arial" w:cs="Arial" w:eastAsia="Arial" w:hAnsi="Arial"/>
                <w:sz w:val="18"/>
                <w:szCs w:val="18"/>
                <w:color w:val="auto"/>
              </w:rPr>
              <w:t>Date:  August 6, 2021</w:t>
            </w:r>
          </w:p>
        </w:tc>
        <w:tc>
          <w:tcPr>
            <w:tcW w:w="3180" w:type="dxa"/>
            <w:vAlign w:val="bottom"/>
            <w:gridSpan w:val="3"/>
          </w:tcPr>
          <w:p>
            <w:pPr>
              <w:spacing w:after="0"/>
              <w:rPr>
                <w:sz w:val="20"/>
                <w:szCs w:val="20"/>
                <w:color w:val="auto"/>
              </w:rPr>
            </w:pPr>
            <w:r>
              <w:rPr>
                <w:rFonts w:ascii="Arial" w:cs="Arial" w:eastAsia="Arial" w:hAnsi="Arial"/>
                <w:sz w:val="18"/>
                <w:szCs w:val="18"/>
                <w:color w:val="auto"/>
              </w:rPr>
              <w:t>/s/ HILTON H. SCHLOSBERG</w:t>
            </w:r>
          </w:p>
        </w:tc>
      </w:tr>
      <w:tr>
        <w:trPr>
          <w:trHeight w:val="222"/>
        </w:trPr>
        <w:tc>
          <w:tcPr>
            <w:tcW w:w="4960" w:type="dxa"/>
            <w:vAlign w:val="bottom"/>
          </w:tcPr>
          <w:p>
            <w:pPr>
              <w:spacing w:after="0"/>
              <w:rPr>
                <w:sz w:val="19"/>
                <w:szCs w:val="19"/>
                <w:color w:val="auto"/>
              </w:rPr>
            </w:pPr>
          </w:p>
        </w:tc>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Hilton H. Schlosberg</w:t>
            </w:r>
          </w:p>
        </w:tc>
        <w:tc>
          <w:tcPr>
            <w:tcW w:w="880" w:type="dxa"/>
            <w:vAlign w:val="bottom"/>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Vice Chairman of the Board of Directors</w:t>
            </w:r>
          </w:p>
        </w:tc>
      </w:tr>
      <w:tr>
        <w:trPr>
          <w:trHeight w:val="230"/>
        </w:trPr>
        <w:tc>
          <w:tcPr>
            <w:tcW w:w="49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31.1</w:t>
      </w:r>
    </w:p>
    <w:p>
      <w:pPr>
        <w:spacing w:after="0" w:line="221"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1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5"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620" w:right="20" w:hanging="316"/>
        <w:spacing w:after="0" w:line="260" w:lineRule="auto"/>
        <w:tabs>
          <w:tab w:leader="none" w:pos="16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80" w:type="dxa"/>
            <w:vAlign w:val="bottom"/>
          </w:tcPr>
          <w:p>
            <w:pPr>
              <w:ind w:left="100"/>
              <w:spacing w:after="0"/>
              <w:rPr>
                <w:sz w:val="20"/>
                <w:szCs w:val="20"/>
                <w:color w:val="auto"/>
              </w:rPr>
            </w:pPr>
            <w:r>
              <w:rPr>
                <w:rFonts w:ascii="Arial" w:cs="Arial" w:eastAsia="Arial" w:hAnsi="Arial"/>
                <w:sz w:val="20"/>
                <w:szCs w:val="20"/>
                <w:color w:val="auto"/>
              </w:rPr>
              <w:t>Date:   August 6, 2021</w:t>
            </w:r>
          </w:p>
        </w:tc>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r>
      <w:tr>
        <w:trPr>
          <w:trHeight w:val="206"/>
        </w:trPr>
        <w:tc>
          <w:tcPr>
            <w:tcW w:w="4980" w:type="dxa"/>
            <w:vAlign w:val="bottom"/>
          </w:tcPr>
          <w:p>
            <w:pPr>
              <w:spacing w:after="0"/>
              <w:rPr>
                <w:sz w:val="17"/>
                <w:szCs w:val="17"/>
                <w:color w:val="auto"/>
              </w:rPr>
            </w:pPr>
          </w:p>
        </w:tc>
        <w:tc>
          <w:tcPr>
            <w:tcW w:w="494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498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4980" w:type="dxa"/>
            <w:vAlign w:val="bottom"/>
          </w:tcPr>
          <w:p>
            <w:pPr>
              <w:spacing w:after="0"/>
              <w:rPr>
                <w:sz w:val="21"/>
                <w:szCs w:val="21"/>
                <w:color w:val="auto"/>
              </w:rPr>
            </w:pPr>
          </w:p>
        </w:tc>
        <w:tc>
          <w:tcPr>
            <w:tcW w:w="4940" w:type="dxa"/>
            <w:vAlign w:val="bottom"/>
          </w:tcPr>
          <w:p>
            <w:pPr>
              <w:ind w:left="100"/>
              <w:spacing w:after="0"/>
              <w:rPr>
                <w:sz w:val="20"/>
                <w:szCs w:val="20"/>
                <w:color w:val="auto"/>
              </w:rPr>
            </w:pPr>
            <w:r>
              <w:rPr>
                <w:rFonts w:ascii="Arial" w:cs="Arial" w:eastAsia="Arial" w:hAnsi="Arial"/>
                <w:sz w:val="20"/>
                <w:szCs w:val="20"/>
                <w:color w:val="auto"/>
              </w:rPr>
              <w:t>and Co-Chief Executive Officer</w:t>
            </w:r>
          </w:p>
        </w:tc>
      </w:tr>
      <w:tr>
        <w:trPr>
          <w:trHeight w:val="773"/>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31.2</w:t>
      </w:r>
    </w:p>
    <w:p>
      <w:pPr>
        <w:spacing w:after="0" w:line="221"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1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5"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620" w:right="20" w:hanging="316"/>
        <w:spacing w:after="0" w:line="260" w:lineRule="auto"/>
        <w:tabs>
          <w:tab w:leader="none" w:pos="16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80" w:type="dxa"/>
            <w:vAlign w:val="bottom"/>
          </w:tcPr>
          <w:p>
            <w:pPr>
              <w:ind w:left="100"/>
              <w:spacing w:after="0"/>
              <w:rPr>
                <w:sz w:val="20"/>
                <w:szCs w:val="20"/>
                <w:color w:val="auto"/>
              </w:rPr>
            </w:pPr>
            <w:r>
              <w:rPr>
                <w:rFonts w:ascii="Arial" w:cs="Arial" w:eastAsia="Arial" w:hAnsi="Arial"/>
                <w:sz w:val="20"/>
                <w:szCs w:val="20"/>
                <w:color w:val="auto"/>
              </w:rPr>
              <w:t>Date:   August 6, 2021</w:t>
            </w:r>
          </w:p>
        </w:tc>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r>
      <w:tr>
        <w:trPr>
          <w:trHeight w:val="206"/>
        </w:trPr>
        <w:tc>
          <w:tcPr>
            <w:tcW w:w="4980" w:type="dxa"/>
            <w:vAlign w:val="bottom"/>
          </w:tcPr>
          <w:p>
            <w:pPr>
              <w:spacing w:after="0"/>
              <w:rPr>
                <w:sz w:val="17"/>
                <w:szCs w:val="17"/>
                <w:color w:val="auto"/>
              </w:rPr>
            </w:pPr>
          </w:p>
        </w:tc>
        <w:tc>
          <w:tcPr>
            <w:tcW w:w="494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r>
      <w:tr>
        <w:trPr>
          <w:trHeight w:val="230"/>
        </w:trPr>
        <w:tc>
          <w:tcPr>
            <w:tcW w:w="498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 and</w:t>
            </w:r>
          </w:p>
        </w:tc>
      </w:tr>
      <w:tr>
        <w:trPr>
          <w:trHeight w:val="250"/>
        </w:trPr>
        <w:tc>
          <w:tcPr>
            <w:tcW w:w="4980" w:type="dxa"/>
            <w:vAlign w:val="bottom"/>
          </w:tcPr>
          <w:p>
            <w:pPr>
              <w:spacing w:after="0"/>
              <w:rPr>
                <w:sz w:val="21"/>
                <w:szCs w:val="21"/>
                <w:color w:val="auto"/>
              </w:rPr>
            </w:pPr>
          </w:p>
        </w:tc>
        <w:tc>
          <w:tcPr>
            <w:tcW w:w="4940" w:type="dxa"/>
            <w:vAlign w:val="bottom"/>
          </w:tcPr>
          <w:p>
            <w:pPr>
              <w:ind w:left="100"/>
              <w:spacing w:after="0"/>
              <w:rPr>
                <w:sz w:val="20"/>
                <w:szCs w:val="20"/>
                <w:color w:val="auto"/>
              </w:rPr>
            </w:pPr>
            <w:r>
              <w:rPr>
                <w:rFonts w:ascii="Arial" w:cs="Arial" w:eastAsia="Arial" w:hAnsi="Arial"/>
                <w:sz w:val="20"/>
                <w:szCs w:val="20"/>
                <w:color w:val="auto"/>
              </w:rPr>
              <w:t>Co-Chief Executive Officer</w:t>
            </w:r>
          </w:p>
        </w:tc>
      </w:tr>
      <w:tr>
        <w:trPr>
          <w:trHeight w:val="773"/>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31.3</w:t>
      </w:r>
    </w:p>
    <w:p>
      <w:pPr>
        <w:spacing w:after="0" w:line="221"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Thomas Kelly, certify that:</w:t>
      </w:r>
    </w:p>
    <w:p>
      <w:pPr>
        <w:spacing w:after="0" w:line="21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9"/>
          <w:szCs w:val="19"/>
          <w:color w:val="auto"/>
        </w:rPr>
      </w:pPr>
    </w:p>
    <w:p>
      <w:pPr>
        <w:jc w:val="both"/>
        <w:ind w:left="1620" w:hanging="316"/>
        <w:spacing w:after="0" w:line="246"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1620" w:hanging="316"/>
        <w:spacing w:after="0" w:line="246"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5" w:lineRule="exact"/>
        <w:rPr>
          <w:rFonts w:ascii="Arial" w:cs="Arial" w:eastAsia="Arial" w:hAnsi="Arial"/>
          <w:sz w:val="20"/>
          <w:szCs w:val="20"/>
          <w:color w:val="auto"/>
        </w:rPr>
      </w:pPr>
    </w:p>
    <w:p>
      <w:pPr>
        <w:jc w:val="both"/>
        <w:ind w:left="1620" w:hanging="316"/>
        <w:spacing w:after="0" w:line="250"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620" w:right="20" w:hanging="316"/>
        <w:spacing w:after="0" w:line="260"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ind w:left="100"/>
              <w:spacing w:after="0"/>
              <w:rPr>
                <w:sz w:val="20"/>
                <w:szCs w:val="20"/>
                <w:color w:val="auto"/>
              </w:rPr>
            </w:pPr>
            <w:r>
              <w:rPr>
                <w:rFonts w:ascii="Arial" w:cs="Arial" w:eastAsia="Arial" w:hAnsi="Arial"/>
                <w:sz w:val="20"/>
                <w:szCs w:val="20"/>
                <w:color w:val="auto"/>
              </w:rPr>
              <w:t>Date:   August 6, 2021</w:t>
            </w:r>
          </w:p>
        </w:tc>
        <w:tc>
          <w:tcPr>
            <w:tcW w:w="49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Thomas J. Kelly</w:t>
            </w:r>
          </w:p>
        </w:tc>
      </w:tr>
      <w:tr>
        <w:trPr>
          <w:trHeight w:val="206"/>
        </w:trPr>
        <w:tc>
          <w:tcPr>
            <w:tcW w:w="5000" w:type="dxa"/>
            <w:vAlign w:val="bottom"/>
          </w:tcPr>
          <w:p>
            <w:pPr>
              <w:spacing w:after="0"/>
              <w:rPr>
                <w:sz w:val="17"/>
                <w:szCs w:val="17"/>
                <w:color w:val="auto"/>
              </w:rPr>
            </w:pPr>
          </w:p>
        </w:tc>
        <w:tc>
          <w:tcPr>
            <w:tcW w:w="4920" w:type="dxa"/>
            <w:vAlign w:val="bottom"/>
          </w:tcPr>
          <w:p>
            <w:pPr>
              <w:ind w:left="80"/>
              <w:spacing w:after="0" w:line="207" w:lineRule="exact"/>
              <w:rPr>
                <w:sz w:val="20"/>
                <w:szCs w:val="20"/>
                <w:color w:val="auto"/>
              </w:rPr>
            </w:pPr>
            <w:r>
              <w:rPr>
                <w:rFonts w:ascii="Arial" w:cs="Arial" w:eastAsia="Arial" w:hAnsi="Arial"/>
                <w:sz w:val="20"/>
                <w:szCs w:val="20"/>
                <w:color w:val="auto"/>
              </w:rPr>
              <w:t>Thomas J. Kelly</w:t>
            </w:r>
          </w:p>
        </w:tc>
      </w:tr>
      <w:tr>
        <w:trPr>
          <w:trHeight w:val="250"/>
        </w:trPr>
        <w:tc>
          <w:tcPr>
            <w:tcW w:w="5000" w:type="dxa"/>
            <w:vAlign w:val="bottom"/>
          </w:tcPr>
          <w:p>
            <w:pPr>
              <w:spacing w:after="0"/>
              <w:rPr>
                <w:sz w:val="21"/>
                <w:szCs w:val="21"/>
                <w:color w:val="auto"/>
              </w:rPr>
            </w:pPr>
          </w:p>
        </w:tc>
        <w:tc>
          <w:tcPr>
            <w:tcW w:w="4920" w:type="dxa"/>
            <w:vAlign w:val="bottom"/>
          </w:tcPr>
          <w:p>
            <w:pPr>
              <w:ind w:left="80"/>
              <w:spacing w:after="0"/>
              <w:rPr>
                <w:sz w:val="20"/>
                <w:szCs w:val="20"/>
                <w:color w:val="auto"/>
              </w:rPr>
            </w:pPr>
            <w:r>
              <w:rPr>
                <w:rFonts w:ascii="Arial" w:cs="Arial" w:eastAsia="Arial" w:hAnsi="Arial"/>
                <w:sz w:val="20"/>
                <w:szCs w:val="20"/>
                <w:color w:val="auto"/>
              </w:rPr>
              <w:t>Chief Financial Officer</w:t>
            </w:r>
          </w:p>
        </w:tc>
      </w:tr>
      <w:tr>
        <w:trPr>
          <w:trHeight w:val="773"/>
        </w:trPr>
        <w:tc>
          <w:tcPr>
            <w:tcW w:w="50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Monster Beverage Corporation (the "Company") on Form 10-Q for the quarter ended June 30, 2021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60" w:hanging="324"/>
        <w:spacing w:after="0" w:line="260"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80" w:hanging="324"/>
        <w:spacing w:after="0" w:line="260"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4300" w:type="dxa"/>
            <w:vAlign w:val="bottom"/>
          </w:tcPr>
          <w:p>
            <w:pPr>
              <w:ind w:left="160"/>
              <w:spacing w:after="0"/>
              <w:rPr>
                <w:sz w:val="20"/>
                <w:szCs w:val="20"/>
                <w:color w:val="auto"/>
              </w:rPr>
            </w:pPr>
            <w:r>
              <w:rPr>
                <w:rFonts w:ascii="Arial" w:cs="Arial" w:eastAsia="Arial" w:hAnsi="Arial"/>
                <w:sz w:val="20"/>
                <w:szCs w:val="20"/>
                <w:color w:val="auto"/>
              </w:rPr>
              <w:t>August 6, 2021</w:t>
            </w:r>
          </w:p>
        </w:tc>
        <w:tc>
          <w:tcPr>
            <w:tcW w:w="5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r>
      <w:tr>
        <w:trPr>
          <w:trHeight w:val="206"/>
        </w:trPr>
        <w:tc>
          <w:tcPr>
            <w:tcW w:w="6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02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29"/>
        </w:trPr>
        <w:tc>
          <w:tcPr>
            <w:tcW w:w="6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60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20"/>
                <w:szCs w:val="20"/>
                <w:color w:val="auto"/>
              </w:rPr>
              <w:t>and Co-Chief Executive Officer</w:t>
            </w:r>
          </w:p>
        </w:tc>
      </w:tr>
      <w:tr>
        <w:trPr>
          <w:trHeight w:val="773"/>
        </w:trPr>
        <w:tc>
          <w:tcPr>
            <w:tcW w:w="6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Monster Beverage Corporation (the "Company") on Form 10-Q for the quarter ended June 30, 2021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60" w:hanging="324"/>
        <w:spacing w:after="0" w:line="260"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80" w:hanging="324"/>
        <w:spacing w:after="0" w:line="260" w:lineRule="auto"/>
        <w:tabs>
          <w:tab w:leader="none" w:pos="9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4300" w:type="dxa"/>
            <w:vAlign w:val="bottom"/>
          </w:tcPr>
          <w:p>
            <w:pPr>
              <w:ind w:left="160"/>
              <w:spacing w:after="0"/>
              <w:rPr>
                <w:sz w:val="20"/>
                <w:szCs w:val="20"/>
                <w:color w:val="auto"/>
              </w:rPr>
            </w:pPr>
            <w:r>
              <w:rPr>
                <w:rFonts w:ascii="Arial" w:cs="Arial" w:eastAsia="Arial" w:hAnsi="Arial"/>
                <w:sz w:val="20"/>
                <w:szCs w:val="20"/>
                <w:color w:val="auto"/>
              </w:rPr>
              <w:t>August 6, 2021</w:t>
            </w:r>
          </w:p>
        </w:tc>
        <w:tc>
          <w:tcPr>
            <w:tcW w:w="5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6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02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29"/>
        </w:trPr>
        <w:tc>
          <w:tcPr>
            <w:tcW w:w="6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20"/>
                <w:szCs w:val="20"/>
                <w:color w:val="auto"/>
              </w:rPr>
              <w:t>Vice Chairman of the Board of Directors and</w:t>
            </w:r>
          </w:p>
        </w:tc>
      </w:tr>
      <w:tr>
        <w:trPr>
          <w:trHeight w:val="250"/>
        </w:trPr>
        <w:tc>
          <w:tcPr>
            <w:tcW w:w="60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20"/>
                <w:szCs w:val="20"/>
                <w:color w:val="auto"/>
              </w:rPr>
              <w:t>Co-Chief Executive Officer</w:t>
            </w:r>
          </w:p>
        </w:tc>
      </w:tr>
      <w:tr>
        <w:trPr>
          <w:trHeight w:val="773"/>
        </w:trPr>
        <w:tc>
          <w:tcPr>
            <w:tcW w:w="6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2021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205" w:lineRule="exact"/>
        <w:rPr>
          <w:sz w:val="20"/>
          <w:szCs w:val="20"/>
          <w:color w:val="auto"/>
        </w:rPr>
      </w:pPr>
    </w:p>
    <w:p>
      <w:pPr>
        <w:ind w:left="980" w:right="360" w:hanging="324"/>
        <w:spacing w:after="0" w:line="260"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80" w:hanging="324"/>
        <w:spacing w:after="0" w:line="260" w:lineRule="auto"/>
        <w:tabs>
          <w:tab w:leader="none" w:pos="9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0"/>
                <w:szCs w:val="20"/>
                <w:color w:val="auto"/>
              </w:rPr>
            </w:pPr>
            <w:r>
              <w:rPr>
                <w:rFonts w:ascii="Arial" w:cs="Arial" w:eastAsia="Arial" w:hAnsi="Arial"/>
                <w:sz w:val="20"/>
                <w:szCs w:val="20"/>
                <w:color w:val="auto"/>
                <w:w w:val="89"/>
              </w:rPr>
              <w:t>Date:August 6, 2021</w:t>
            </w:r>
          </w:p>
        </w:tc>
        <w:tc>
          <w:tcPr>
            <w:tcW w:w="5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J. Kelly</w:t>
            </w:r>
          </w:p>
        </w:tc>
      </w:tr>
      <w:tr>
        <w:trPr>
          <w:trHeight w:val="206"/>
        </w:trPr>
        <w:tc>
          <w:tcPr>
            <w:tcW w:w="4900" w:type="dxa"/>
            <w:vAlign w:val="bottom"/>
          </w:tcPr>
          <w:p>
            <w:pPr>
              <w:spacing w:after="0"/>
              <w:rPr>
                <w:sz w:val="17"/>
                <w:szCs w:val="17"/>
                <w:color w:val="auto"/>
              </w:rPr>
            </w:pPr>
          </w:p>
        </w:tc>
        <w:tc>
          <w:tcPr>
            <w:tcW w:w="5020" w:type="dxa"/>
            <w:vAlign w:val="bottom"/>
          </w:tcPr>
          <w:p>
            <w:pPr>
              <w:spacing w:after="0" w:line="207" w:lineRule="exact"/>
              <w:rPr>
                <w:sz w:val="20"/>
                <w:szCs w:val="20"/>
                <w:color w:val="auto"/>
              </w:rPr>
            </w:pPr>
            <w:r>
              <w:rPr>
                <w:rFonts w:ascii="Arial" w:cs="Arial" w:eastAsia="Arial" w:hAnsi="Arial"/>
                <w:sz w:val="20"/>
                <w:szCs w:val="20"/>
                <w:color w:val="auto"/>
              </w:rPr>
              <w:t>Thomas J. Kelly</w:t>
            </w:r>
          </w:p>
        </w:tc>
      </w:tr>
      <w:tr>
        <w:trPr>
          <w:trHeight w:val="250"/>
        </w:trPr>
        <w:tc>
          <w:tcPr>
            <w:tcW w:w="490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773"/>
        </w:trPr>
        <w:tc>
          <w:tcPr>
            <w:tcW w:w="49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842"/>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3"/>
    </w:lvl>
  </w:abstractNum>
  <w:abstractNum w:abstractNumId="15">
    <w:nsid w:val="75A2A8D4"/>
    <w:multiLevelType w:val="hybridMultilevel"/>
    <w:lvl w:ilvl="0">
      <w:lvlJc w:val="left"/>
      <w:lvlText w:val="%1."/>
      <w:numFmt w:val="decimal"/>
      <w:start w:val="15"/>
    </w:lvl>
  </w:abstractNum>
  <w:abstractNum w:abstractNumId="16">
    <w:nsid w:val="8EDBDAB"/>
    <w:multiLevelType w:val="hybridMultilevel"/>
    <w:lvl w:ilvl="0">
      <w:lvlJc w:val="left"/>
      <w:lvlText w:val="%1."/>
      <w:numFmt w:val="decimal"/>
      <w:start w:val="16"/>
    </w:lvl>
  </w:abstractNum>
  <w:abstractNum w:abstractNumId="17">
    <w:nsid w:val="79838CB2"/>
    <w:multiLevelType w:val="hybridMultilevel"/>
    <w:lvl w:ilvl="0">
      <w:lvlJc w:val="left"/>
      <w:lvlText w:val="%1."/>
      <w:numFmt w:val="decimal"/>
      <w:start w:val="17"/>
    </w:lvl>
  </w:abstractNum>
  <w:abstractNum w:abstractNumId="18">
    <w:nsid w:val="4353D0CD"/>
    <w:multiLevelType w:val="hybridMultilevel"/>
    <w:lvl w:ilvl="0">
      <w:lvlJc w:val="left"/>
      <w:lvlText w:val="%1."/>
      <w:numFmt w:val="decimal"/>
      <w:start w:val="18"/>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2021-08-09T05:04:41Z</dcterms:created>
  <dcterms:modified xsi:type="dcterms:W3CDTF">2021-08-09T05:04:41Z</dcterms:modified>
</cp:coreProperties>
</file>