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805d1_8k.htm"/>
      <w:bookmarkStart w:id="1" w:name="kstm2624805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5_edei--DocumentType_c202609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Monster Beverage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210"/>
        <w:gridCol w:w="60"/>
        <w:gridCol w:w="276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903"/>
            <w:bookmarkEnd w:id="6"/>
            <w:r>
              <w:rPr>
                <w:rFonts w:ascii="Times New Roman;Times;Serif" w:hAnsi="Times New Roman;Times;Serif"/>
                <w:b/>
                <w:sz w:val="20"/>
              </w:rPr>
              <w:t>001-18761</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47-1809393</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 Monster Way</w:t>
      </w:r>
    </w:p>
    <w:p>
      <w:pPr>
        <w:pStyle w:val="TextBody"/>
        <w:bidi w:val="0"/>
        <w:spacing w:before="0" w:after="0"/>
        <w:ind w:left="0" w:right="0" w:hanging="0"/>
        <w:jc w:val="center"/>
        <w:rPr>
          <w:sz w:val="20"/>
        </w:rPr>
      </w:pPr>
      <w:bookmarkStart w:id="9" w:name="xdx_900_edei--EntityAddressCityOrTown_c2"/>
      <w:bookmarkEnd w:id="9"/>
      <w:r>
        <w:rPr>
          <w:rFonts w:ascii="Times New Roman;Times;Serif" w:hAnsi="Times New Roman;Times;Serif"/>
          <w:b/>
          <w:sz w:val="20"/>
        </w:rPr>
        <w:t xml:space="preserve">Corona, </w:t>
      </w:r>
      <w:bookmarkStart w:id="10" w:name="xdx_900_edei--EntityAddressStateOrProvin"/>
      <w:bookmarkEnd w:id="10"/>
      <w:r>
        <w:rPr>
          <w:rFonts w:ascii="Times New Roman;Times;Serif" w:hAnsi="Times New Roman;Times;Serif"/>
          <w:b/>
          <w:sz w:val="20"/>
        </w:rPr>
        <w:t xml:space="preserve">California </w:t>
      </w:r>
      <w:bookmarkStart w:id="11" w:name="xdx_90F_edei--EntityAddressPostalZipCode"/>
      <w:bookmarkEnd w:id="11"/>
      <w:r>
        <w:rPr>
          <w:rFonts w:ascii="Times New Roman;Times;Serif" w:hAnsi="Times New Roman;Times;Serif"/>
          <w:b/>
          <w:sz w:val="20"/>
        </w:rPr>
        <w:t>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rPr>
      </w:pPr>
      <w:r>
        <w:rPr>
          <w:rFonts w:ascii="Times New Roman;Times;Serif" w:hAnsi="Times New Roman;Times;Serif"/>
          <w:b/>
          <w:sz w:val="20"/>
        </w:rPr>
        <w:t>(</w:t>
      </w:r>
      <w:bookmarkStart w:id="12" w:name="xdx_90C_edei--CityAreaCode_c20260903__20"/>
      <w:bookmarkEnd w:id="12"/>
      <w:r>
        <w:rPr>
          <w:rFonts w:ascii="Times New Roman;Times;Serif" w:hAnsi="Times New Roman;Times;Serif"/>
          <w:b/>
          <w:sz w:val="20"/>
        </w:rPr>
        <w:t xml:space="preserve">951) </w:t>
      </w:r>
      <w:bookmarkStart w:id="13" w:name="xdx_90A_edei--LocalPhoneNumber_c20260903"/>
      <w:bookmarkEnd w:id="13"/>
      <w:r>
        <w:rPr>
          <w:rFonts w:ascii="Times New Roman;Times;Serif" w:hAnsi="Times New Roman;Times;Serif"/>
          <w:b/>
          <w:sz w:val="20"/>
        </w:rPr>
        <w:t>739 - 6200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283"/>
              <w:ind w:left="0" w:right="0" w:hanging="200"/>
              <w:jc w:val="left"/>
              <w:rPr/>
            </w:pPr>
            <w:bookmarkStart w:id="14" w:name="xdx_90F_edei--WrittenCommunications_c202"/>
            <w:bookmarkEnd w:id="14"/>
            <w:r>
              <w:rPr/>
              <w:t>☐</w:t>
            </w:r>
          </w:p>
        </w:tc>
        <w:tc>
          <w:tcPr>
            <w:tcW w:w="8510"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283"/>
              <w:ind w:left="0" w:right="0" w:hanging="200"/>
              <w:jc w:val="left"/>
              <w:rPr/>
            </w:pPr>
            <w:bookmarkStart w:id="15" w:name="xdx_903_edei--SolicitingMaterial_c202609"/>
            <w:bookmarkEnd w:id="15"/>
            <w:r>
              <w:rPr/>
              <w:t>☐</w:t>
            </w:r>
          </w:p>
        </w:tc>
        <w:tc>
          <w:tcPr>
            <w:tcW w:w="854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ind w:left="0" w:right="0" w:hanging="200"/>
              <w:jc w:val="left"/>
              <w:rPr/>
            </w:pPr>
            <w:bookmarkStart w:id="16" w:name="xdx_906_edei--PreCommencementTenderOffer"/>
            <w:bookmarkEnd w:id="16"/>
            <w:r>
              <w:rPr/>
              <w:t>☐</w:t>
            </w:r>
          </w:p>
        </w:tc>
        <w:tc>
          <w:tcPr>
            <w:tcW w:w="999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ind w:left="0" w:right="0" w:hanging="200"/>
              <w:jc w:val="left"/>
              <w:rPr/>
            </w:pPr>
            <w:bookmarkStart w:id="17" w:name="xdx_90F_edei--PreCommencementIssuerTende"/>
            <w:bookmarkEnd w:id="17"/>
            <w:r>
              <w:rPr/>
              <w:t>☐</w:t>
            </w:r>
          </w:p>
        </w:tc>
        <w:tc>
          <w:tcPr>
            <w:tcW w:w="9989"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6690" w:type="dxa"/>
        <w:jc w:val="left"/>
        <w:tblInd w:w="0" w:type="dxa"/>
        <w:tblLayout w:type="fixed"/>
        <w:tblCellMar>
          <w:top w:w="40" w:type="dxa"/>
          <w:left w:w="0" w:type="dxa"/>
          <w:bottom w:w="40" w:type="dxa"/>
          <w:right w:w="28" w:type="dxa"/>
        </w:tblCellMar>
      </w:tblPr>
      <w:tblGrid>
        <w:gridCol w:w="1475"/>
        <w:gridCol w:w="60"/>
        <w:gridCol w:w="1535"/>
        <w:gridCol w:w="60"/>
        <w:gridCol w:w="3560"/>
      </w:tblGrid>
      <w:tr>
        <w:trPr/>
        <w:tc>
          <w:tcPr>
            <w:tcW w:w="147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35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7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0903"/>
            <w:bookmarkEnd w:id="18"/>
            <w:r>
              <w:rPr>
                <w:rFonts w:ascii="Times New Roman;Times;Serif" w:hAnsi="Times New Roman;Times;Serif"/>
                <w:sz w:val="20"/>
              </w:rPr>
              <w:t>Common Stock</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C_edei--TradingSymbol_c20260903__2"/>
            <w:bookmarkEnd w:id="19"/>
            <w:r>
              <w:rPr>
                <w:rFonts w:ascii="Times New Roman;Times;Serif" w:hAnsi="Times New Roman;Times;Serif"/>
                <w:sz w:val="20"/>
              </w:rPr>
              <w:t>MNST</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3560"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0" w:name="xdx_90A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sz w:val="20"/>
        </w:rPr>
        <w:t xml:space="preserve">Emerging growth company </w:t>
      </w:r>
      <w:bookmarkStart w:id="21" w:name="xdx_907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Board of Directors (the “Board”) of Monster Beverage Corporation (the “Company”) elected Matthew S. Burroughs as Chief Accounting Officer and Deputy Chief Financial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Burroughs, age 57, joined the Company in October 2006. Over his almost 20-year career with the Company, Mr. Burroughs has held various corporate finance positions, each with increasing levels of responsibility, including Deputy CFO, Senior Vice President of Corporate Finance, Senior Vice President Corporate Controller, Vice President Senior Corporate Controller, Vice President Corporate Controller, Corporate Controller and Financial Controller. These roles included participation in and/or responsibility for Global Accounting, SEC Reporting, Global Tax, Treasury, and Investor Relations, among others. Mr. Burroughs holds a Bachelor of Arts degree in Economics and Accounting from Claremont McKenna College. No arrangement or understanding exists between Mr. Burroughs and any other person pursuant to which Mr. Burroughs was selected to serve as Chief Accounting Officer and Deputy Chief Financial Officer of the Company. There have been no related party transactions between the Company or any of its subsidiaries and Mr. Burroughs reportable under Item 404(a) of Regulation S-K. Mr. Burroughs does not have a family relationship with any of the Company’s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2090"/>
        <w:gridCol w:w="6635"/>
      </w:tblGrid>
      <w:tr>
        <w:trPr/>
        <w:tc>
          <w:tcPr>
            <w:tcW w:w="209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sz w:val="20"/>
              </w:rPr>
            </w:pPr>
            <w:r>
              <w:rPr>
                <w:sz w:val="20"/>
              </w:rPr>
              <w:t>Monster Beverage Corporation</w:t>
            </w:r>
          </w:p>
        </w:tc>
      </w:tr>
      <w:tr>
        <w:trPr/>
        <w:tc>
          <w:tcPr>
            <w:tcW w:w="209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r>
              <w:rPr>
                <w:sz w:val="20"/>
              </w:rPr>
              <w:t>Date: September 4, 2026</w:t>
            </w:r>
          </w:p>
        </w:tc>
        <w:tc>
          <w:tcPr>
            <w:tcW w:w="6635" w:type="dxa"/>
            <w:tcBorders>
              <w:bottom w:val="single" w:sz="8" w:space="0" w:color="000000"/>
            </w:tcBorders>
            <w:tcMar>
              <w:bottom w:w="28" w:type="dxa"/>
            </w:tcMar>
            <w:vAlign w:val="center"/>
          </w:tcPr>
          <w:p>
            <w:pPr>
              <w:pStyle w:val="TableContents"/>
              <w:bidi w:val="0"/>
              <w:spacing w:before="0" w:after="283"/>
              <w:jc w:val="left"/>
              <w:rPr/>
            </w:pPr>
            <w:r>
              <w:rPr/>
              <w:t>/s/ Hilton H. Schlosberg</w:t>
            </w:r>
          </w:p>
        </w:tc>
      </w:tr>
      <w:tr>
        <w:trPr/>
        <w:tc>
          <w:tcPr>
            <w:tcW w:w="209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xml:space="preserve">Hilton H. Schlosberg </w:t>
              <w:br/>
              <w:t>Vice 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575</Words>
  <Characters>3289</Characters>
  <CharactersWithSpaces>3863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