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0" w:lineRule="exact"/>
        <w:rPr>
          <w:sz w:val="24"/>
          <w:szCs w:val="24"/>
          <w:color w:val="auto"/>
        </w:rPr>
      </w:pPr>
    </w:p>
    <w:p>
      <w:pPr>
        <w:spacing w:after="0"/>
        <w:tabs>
          <w:tab w:leader="none" w:pos="6660" w:val="left"/>
        </w:tabs>
        <w:rPr>
          <w:sz w:val="20"/>
          <w:szCs w:val="20"/>
          <w:color w:val="auto"/>
        </w:rPr>
      </w:pPr>
      <w:r>
        <w:rPr>
          <w:rFonts w:ascii="Times New Roman" w:cs="Times New Roman" w:eastAsia="Times New Roman" w:hAnsi="Times New Roman"/>
          <w:sz w:val="18"/>
          <w:szCs w:val="18"/>
          <w:color w:val="auto"/>
        </w:rPr>
        <w:t>For the quarterly period ended September 30, 2024</w:t>
      </w:r>
      <w:r>
        <w:rPr>
          <w:sz w:val="20"/>
          <w:szCs w:val="20"/>
          <w:color w:val="auto"/>
        </w:rPr>
        <w:tab/>
      </w:r>
      <w:r>
        <w:rPr>
          <w:rFonts w:ascii="Times New Roman" w:cs="Times New Roman" w:eastAsia="Times New Roman" w:hAnsi="Times New Roman"/>
          <w:sz w:val="18"/>
          <w:szCs w:val="18"/>
          <w:color w:val="auto"/>
        </w:rPr>
        <w:t>Commission File Number 001-18761</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MONSTER BEVERAGE CORPORATION</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24"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3340" w:type="dxa"/>
            <w:vAlign w:val="bottom"/>
          </w:tcPr>
          <w:p>
            <w:pPr>
              <w:jc w:val="center"/>
              <w:ind w:left="2376"/>
              <w:spacing w:after="0"/>
              <w:rPr>
                <w:sz w:val="20"/>
                <w:szCs w:val="20"/>
                <w:color w:val="auto"/>
              </w:rPr>
            </w:pPr>
            <w:r>
              <w:rPr>
                <w:rFonts w:ascii="Times New Roman" w:cs="Times New Roman" w:eastAsia="Times New Roman" w:hAnsi="Times New Roman"/>
                <w:sz w:val="18"/>
                <w:szCs w:val="18"/>
                <w:color w:val="auto"/>
                <w:w w:val="98"/>
              </w:rPr>
              <w:t>Delaware</w:t>
            </w:r>
          </w:p>
        </w:tc>
        <w:tc>
          <w:tcPr>
            <w:tcW w:w="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20" w:type="dxa"/>
            <w:vAlign w:val="bottom"/>
          </w:tcPr>
          <w:p>
            <w:pPr>
              <w:jc w:val="center"/>
              <w:ind w:right="2356"/>
              <w:spacing w:after="0"/>
              <w:rPr>
                <w:sz w:val="20"/>
                <w:szCs w:val="20"/>
                <w:color w:val="auto"/>
              </w:rPr>
            </w:pPr>
            <w:r>
              <w:rPr>
                <w:rFonts w:ascii="Times New Roman" w:cs="Times New Roman" w:eastAsia="Times New Roman" w:hAnsi="Times New Roman"/>
                <w:sz w:val="18"/>
                <w:szCs w:val="18"/>
                <w:color w:val="auto"/>
              </w:rPr>
              <w:t>47-1809393</w:t>
            </w:r>
          </w:p>
        </w:tc>
      </w:tr>
      <w:tr>
        <w:trPr>
          <w:trHeight w:val="149"/>
        </w:trPr>
        <w:tc>
          <w:tcPr>
            <w:tcW w:w="6420" w:type="dxa"/>
            <w:vAlign w:val="bottom"/>
            <w:gridSpan w:val="4"/>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520" w:type="dxa"/>
            <w:vAlign w:val="bottom"/>
          </w:tcPr>
          <w:p>
            <w:pPr>
              <w:jc w:val="center"/>
              <w:ind w:right="2336"/>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6420" w:type="dxa"/>
            <w:vAlign w:val="bottom"/>
            <w:gridSpan w:val="4"/>
          </w:tcPr>
          <w:p>
            <w:pPr>
              <w:jc w:val="center"/>
              <w:ind w:right="6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520" w:type="dxa"/>
            <w:vAlign w:val="bottom"/>
          </w:tcPr>
          <w:p>
            <w:pPr>
              <w:jc w:val="center"/>
              <w:ind w:right="2356"/>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16"/>
        </w:trPr>
        <w:tc>
          <w:tcPr>
            <w:tcW w:w="3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1 Monster Way</w:t>
            </w:r>
          </w:p>
        </w:tc>
        <w:tc>
          <w:tcPr>
            <w:tcW w:w="3520" w:type="dxa"/>
            <w:vAlign w:val="bottom"/>
          </w:tcPr>
          <w:p>
            <w:pPr>
              <w:spacing w:after="0"/>
              <w:rPr>
                <w:sz w:val="24"/>
                <w:szCs w:val="24"/>
                <w:color w:val="auto"/>
              </w:rPr>
            </w:pPr>
          </w:p>
        </w:tc>
      </w:tr>
      <w:tr>
        <w:trPr>
          <w:trHeight w:val="212"/>
        </w:trPr>
        <w:tc>
          <w:tcPr>
            <w:tcW w:w="3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Corona, California 92879</w:t>
            </w:r>
          </w:p>
        </w:tc>
        <w:tc>
          <w:tcPr>
            <w:tcW w:w="3520" w:type="dxa"/>
            <w:vAlign w:val="bottom"/>
          </w:tcPr>
          <w:p>
            <w:pPr>
              <w:spacing w:after="0"/>
              <w:rPr>
                <w:sz w:val="18"/>
                <w:szCs w:val="18"/>
                <w:color w:val="auto"/>
              </w:rPr>
            </w:pPr>
          </w:p>
        </w:tc>
      </w:tr>
      <w:tr>
        <w:trPr>
          <w:trHeight w:val="188"/>
        </w:trPr>
        <w:tc>
          <w:tcPr>
            <w:tcW w:w="3340" w:type="dxa"/>
            <w:vAlign w:val="bottom"/>
          </w:tcPr>
          <w:p>
            <w:pPr>
              <w:spacing w:after="0"/>
              <w:rPr>
                <w:sz w:val="16"/>
                <w:szCs w:val="16"/>
                <w:color w:val="auto"/>
              </w:rPr>
            </w:pPr>
          </w:p>
        </w:tc>
        <w:tc>
          <w:tcPr>
            <w:tcW w:w="3080" w:type="dxa"/>
            <w:vAlign w:val="bottom"/>
            <w:gridSpan w:val="3"/>
          </w:tcPr>
          <w:p>
            <w:pPr>
              <w:jc w:val="center"/>
              <w:ind w:left="82"/>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3520" w:type="dxa"/>
            <w:vAlign w:val="bottom"/>
          </w:tcPr>
          <w:p>
            <w:pPr>
              <w:spacing w:after="0"/>
              <w:rPr>
                <w:sz w:val="16"/>
                <w:szCs w:val="16"/>
                <w:color w:val="auto"/>
              </w:rPr>
            </w:pPr>
          </w:p>
        </w:tc>
      </w:tr>
      <w:tr>
        <w:trPr>
          <w:trHeight w:val="311"/>
        </w:trPr>
        <w:tc>
          <w:tcPr>
            <w:tcW w:w="3340" w:type="dxa"/>
            <w:vAlign w:val="bottom"/>
          </w:tcPr>
          <w:p>
            <w:pPr>
              <w:spacing w:after="0"/>
              <w:rPr>
                <w:sz w:val="24"/>
                <w:szCs w:val="24"/>
                <w:color w:val="auto"/>
              </w:rPr>
            </w:pPr>
          </w:p>
        </w:tc>
        <w:tc>
          <w:tcPr>
            <w:tcW w:w="2740" w:type="dxa"/>
            <w:vAlign w:val="bottom"/>
            <w:gridSpan w:val="2"/>
          </w:tcPr>
          <w:p>
            <w:pPr>
              <w:jc w:val="center"/>
              <w:ind w:left="442"/>
              <w:spacing w:after="0"/>
              <w:rPr>
                <w:sz w:val="20"/>
                <w:szCs w:val="20"/>
                <w:color w:val="auto"/>
              </w:rPr>
            </w:pPr>
            <w:r>
              <w:rPr>
                <w:rFonts w:ascii="Times New Roman" w:cs="Times New Roman" w:eastAsia="Times New Roman" w:hAnsi="Times New Roman"/>
                <w:sz w:val="18"/>
                <w:szCs w:val="18"/>
                <w:color w:val="auto"/>
              </w:rPr>
              <w:t>(951) 739 - 6200</w:t>
            </w: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188"/>
        </w:trPr>
        <w:tc>
          <w:tcPr>
            <w:tcW w:w="3340" w:type="dxa"/>
            <w:vAlign w:val="bottom"/>
          </w:tcPr>
          <w:p>
            <w:pPr>
              <w:spacing w:after="0"/>
              <w:rPr>
                <w:sz w:val="16"/>
                <w:szCs w:val="16"/>
                <w:color w:val="auto"/>
              </w:rPr>
            </w:pPr>
          </w:p>
        </w:tc>
        <w:tc>
          <w:tcPr>
            <w:tcW w:w="6600" w:type="dxa"/>
            <w:vAlign w:val="bottom"/>
            <w:gridSpan w:val="4"/>
          </w:tcPr>
          <w:p>
            <w:pPr>
              <w:jc w:val="center"/>
              <w:ind w:right="3276"/>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334"/>
        </w:trPr>
        <w:tc>
          <w:tcPr>
            <w:tcW w:w="6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520" w:type="dxa"/>
            <w:vAlign w:val="bottom"/>
          </w:tcPr>
          <w:p>
            <w:pPr>
              <w:spacing w:after="0"/>
              <w:rPr>
                <w:sz w:val="24"/>
                <w:szCs w:val="24"/>
                <w:color w:val="auto"/>
              </w:rPr>
            </w:pPr>
          </w:p>
        </w:tc>
      </w:tr>
      <w:tr>
        <w:trPr>
          <w:trHeight w:val="148"/>
        </w:trPr>
        <w:tc>
          <w:tcPr>
            <w:tcW w:w="33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tcPr>
          <w:p>
            <w:pPr>
              <w:spacing w:after="0"/>
              <w:rPr>
                <w:sz w:val="12"/>
                <w:szCs w:val="12"/>
                <w:color w:val="auto"/>
              </w:rPr>
            </w:pPr>
          </w:p>
        </w:tc>
      </w:tr>
      <w:tr>
        <w:trPr>
          <w:trHeight w:val="191"/>
        </w:trPr>
        <w:tc>
          <w:tcPr>
            <w:tcW w:w="3340" w:type="dxa"/>
            <w:vAlign w:val="bottom"/>
            <w:tcBorders>
              <w:left w:val="single" w:sz="8" w:color="auto"/>
            </w:tcBorders>
          </w:tcPr>
          <w:p>
            <w:pPr>
              <w:jc w:val="center"/>
              <w:ind w:left="436"/>
              <w:spacing w:after="0" w:line="191"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52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Trading Symbol(s)</w:t>
            </w:r>
          </w:p>
        </w:tc>
        <w:tc>
          <w:tcPr>
            <w:tcW w:w="340" w:type="dxa"/>
            <w:vAlign w:val="bottom"/>
          </w:tcPr>
          <w:p>
            <w:pPr>
              <w:spacing w:after="0"/>
              <w:rPr>
                <w:sz w:val="16"/>
                <w:szCs w:val="16"/>
                <w:color w:val="auto"/>
              </w:rPr>
            </w:pPr>
          </w:p>
        </w:tc>
        <w:tc>
          <w:tcPr>
            <w:tcW w:w="3520" w:type="dxa"/>
            <w:vAlign w:val="bottom"/>
            <w:tcBorders>
              <w:right w:val="single" w:sz="8" w:color="auto"/>
            </w:tcBorders>
          </w:tcPr>
          <w:p>
            <w:pPr>
              <w:jc w:val="center"/>
              <w:ind w:right="296"/>
              <w:spacing w:after="0" w:line="191" w:lineRule="exact"/>
              <w:rPr>
                <w:sz w:val="20"/>
                <w:szCs w:val="20"/>
                <w:color w:val="auto"/>
              </w:rPr>
            </w:pPr>
            <w:r>
              <w:rPr>
                <w:rFonts w:ascii="Times New Roman" w:cs="Times New Roman" w:eastAsia="Times New Roman" w:hAnsi="Times New Roman"/>
                <w:sz w:val="18"/>
                <w:szCs w:val="18"/>
                <w:color w:val="auto"/>
                <w:w w:val="99"/>
              </w:rPr>
              <w:t>Name of each exchange on</w:t>
            </w:r>
          </w:p>
        </w:tc>
      </w:tr>
      <w:tr>
        <w:trPr>
          <w:trHeight w:val="234"/>
        </w:trPr>
        <w:tc>
          <w:tcPr>
            <w:tcW w:w="3340" w:type="dxa"/>
            <w:vAlign w:val="bottom"/>
            <w:tcBorders>
              <w:left w:val="single" w:sz="8" w:color="auto"/>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20" w:type="dxa"/>
            <w:vAlign w:val="bottom"/>
            <w:tcBorders>
              <w:bottom w:val="single" w:sz="8" w:color="auto"/>
              <w:right w:val="single" w:sz="8" w:color="auto"/>
            </w:tcBorders>
          </w:tcPr>
          <w:p>
            <w:pPr>
              <w:jc w:val="center"/>
              <w:ind w:right="296"/>
              <w:spacing w:after="0"/>
              <w:rPr>
                <w:sz w:val="20"/>
                <w:szCs w:val="20"/>
                <w:color w:val="auto"/>
              </w:rPr>
            </w:pPr>
            <w:r>
              <w:rPr>
                <w:rFonts w:ascii="Times New Roman" w:cs="Times New Roman" w:eastAsia="Times New Roman" w:hAnsi="Times New Roman"/>
                <w:sz w:val="18"/>
                <w:szCs w:val="18"/>
                <w:color w:val="auto"/>
                <w:w w:val="98"/>
              </w:rPr>
              <w:t>which registered</w:t>
            </w:r>
          </w:p>
        </w:tc>
      </w:tr>
      <w:tr>
        <w:trPr>
          <w:trHeight w:val="209"/>
        </w:trPr>
        <w:tc>
          <w:tcPr>
            <w:tcW w:w="3340" w:type="dxa"/>
            <w:vAlign w:val="bottom"/>
            <w:tcBorders>
              <w:left w:val="single" w:sz="8" w:color="auto"/>
              <w:bottom w:val="single" w:sz="8" w:color="auto"/>
            </w:tcBorders>
          </w:tcPr>
          <w:p>
            <w:pPr>
              <w:jc w:val="center"/>
              <w:ind w:left="416"/>
              <w:spacing w:after="0"/>
              <w:rPr>
                <w:sz w:val="20"/>
                <w:szCs w:val="20"/>
                <w:color w:val="auto"/>
              </w:rPr>
            </w:pPr>
            <w:r>
              <w:rPr>
                <w:rFonts w:ascii="Times New Roman" w:cs="Times New Roman" w:eastAsia="Times New Roman" w:hAnsi="Times New Roman"/>
                <w:sz w:val="18"/>
                <w:szCs w:val="18"/>
                <w:color w:val="auto"/>
                <w:w w:val="99"/>
              </w:rPr>
              <w:t>Common Stock</w:t>
            </w:r>
          </w:p>
        </w:tc>
        <w:tc>
          <w:tcPr>
            <w:tcW w:w="52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MNST</w:t>
            </w:r>
          </w:p>
        </w:tc>
        <w:tc>
          <w:tcPr>
            <w:tcW w:w="340" w:type="dxa"/>
            <w:vAlign w:val="bottom"/>
            <w:tcBorders>
              <w:bottom w:val="single" w:sz="8" w:color="auto"/>
            </w:tcBorders>
          </w:tcPr>
          <w:p>
            <w:pPr>
              <w:spacing w:after="0"/>
              <w:rPr>
                <w:sz w:val="18"/>
                <w:szCs w:val="18"/>
                <w:color w:val="auto"/>
              </w:rPr>
            </w:pPr>
          </w:p>
        </w:tc>
        <w:tc>
          <w:tcPr>
            <w:tcW w:w="3520" w:type="dxa"/>
            <w:vAlign w:val="bottom"/>
            <w:tcBorders>
              <w:bottom w:val="single" w:sz="8" w:color="auto"/>
              <w:right w:val="single" w:sz="8" w:color="auto"/>
            </w:tcBorders>
          </w:tcPr>
          <w:p>
            <w:pPr>
              <w:jc w:val="center"/>
              <w:ind w:right="296"/>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17" w:lineRule="exact"/>
        <w:rPr>
          <w:sz w:val="24"/>
          <w:szCs w:val="24"/>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5"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18"/>
          <w:szCs w:val="18"/>
          <w:u w:val="single" w:color="auto"/>
          <w:color w:val="auto"/>
        </w:rPr>
        <w:t>X</w:t>
      </w:r>
      <w:r>
        <w:rPr>
          <w:sz w:val="20"/>
          <w:szCs w:val="20"/>
          <w:color w:val="auto"/>
        </w:rPr>
        <w:tab/>
      </w:r>
      <w:r>
        <w:rPr>
          <w:rFonts w:ascii="Times New Roman" w:cs="Times New Roman" w:eastAsia="Times New Roman" w:hAnsi="Times New Roman"/>
          <w:sz w:val="17"/>
          <w:szCs w:val="17"/>
          <w:color w:val="auto"/>
        </w:rPr>
        <w:t>No __</w:t>
      </w:r>
    </w:p>
    <w:p>
      <w:pPr>
        <w:spacing w:after="0" w:line="144" w:lineRule="exact"/>
        <w:rPr>
          <w:sz w:val="24"/>
          <w:szCs w:val="24"/>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5"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18"/>
          <w:szCs w:val="18"/>
          <w:u w:val="single" w:color="auto"/>
          <w:color w:val="auto"/>
        </w:rPr>
        <w:t>X</w:t>
      </w:r>
      <w:r>
        <w:rPr>
          <w:sz w:val="20"/>
          <w:szCs w:val="20"/>
          <w:color w:val="auto"/>
        </w:rPr>
        <w:tab/>
      </w:r>
      <w:r>
        <w:rPr>
          <w:rFonts w:ascii="Times New Roman" w:cs="Times New Roman" w:eastAsia="Times New Roman" w:hAnsi="Times New Roman"/>
          <w:sz w:val="17"/>
          <w:szCs w:val="17"/>
          <w:color w:val="auto"/>
        </w:rPr>
        <w:t>No __</w:t>
      </w:r>
    </w:p>
    <w:p>
      <w:pPr>
        <w:spacing w:after="0" w:line="144" w:lineRule="exact"/>
        <w:rPr>
          <w:sz w:val="24"/>
          <w:szCs w:val="24"/>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spacing w:after="0" w:line="6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36" w:lineRule="exact"/>
        <w:rPr>
          <w:sz w:val="24"/>
          <w:szCs w:val="24"/>
          <w:color w:val="auto"/>
        </w:rPr>
      </w:pPr>
    </w:p>
    <w:p>
      <w:pPr>
        <w:sectPr>
          <w:pgSz w:w="11900" w:h="16838" w:orient="portrait"/>
          <w:cols w:equalWidth="0" w:num="2">
            <w:col w:w="4320" w:space="720"/>
            <w:col w:w="4900"/>
          </w:cols>
          <w:pgMar w:left="980" w:top="661" w:right="979" w:bottom="1440" w:gutter="0" w:footer="0" w:header="0"/>
          <w:type w:val="continuous"/>
        </w:sectPr>
      </w:pPr>
    </w:p>
    <w:p>
      <w:pPr>
        <w:ind w:right="4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44"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Yes __</w:t>
        <w:tab/>
        <w:t xml:space="preserve">No </w:t>
      </w:r>
      <w:r>
        <w:rPr>
          <w:rFonts w:ascii="Times New Roman" w:cs="Times New Roman" w:eastAsia="Times New Roman" w:hAnsi="Times New Roman"/>
          <w:sz w:val="18"/>
          <w:szCs w:val="18"/>
          <w:u w:val="single" w:color="auto"/>
          <w:color w:val="auto"/>
        </w:rPr>
        <w:t>X</w:t>
      </w:r>
    </w:p>
    <w:p>
      <w:pPr>
        <w:spacing w:after="0" w:line="1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registrant had 972,519,659 shares of common stock, par value $0.005 per share, outstanding as of October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77470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111760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1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80" w:type="dxa"/>
            <w:vAlign w:val="bottom"/>
            <w:gridSpan w:val="21"/>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9"/>
              </w:rPr>
              <w:t>MONSTER BEVERAGE CORPORATION AND SUBSIDIARIES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780" w:type="dxa"/>
            <w:vAlign w:val="bottom"/>
            <w:tcBorders>
              <w:top w:val="single" w:sz="8" w:color="auto"/>
              <w:bottom w:val="single" w:sz="8" w:color="auto"/>
            </w:tcBorders>
            <w:gridSpan w:val="7"/>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660" w:type="dxa"/>
            <w:vAlign w:val="bottom"/>
            <w:tcBorders>
              <w:top w:val="single" w:sz="8" w:color="auto"/>
            </w:tcBorders>
            <w:gridSpan w:val="2"/>
          </w:tcPr>
          <w:p>
            <w:pPr>
              <w:spacing w:after="0"/>
              <w:rPr>
                <w:sz w:val="17"/>
                <w:szCs w:val="17"/>
                <w:color w:val="auto"/>
              </w:rPr>
            </w:pPr>
          </w:p>
        </w:tc>
        <w:tc>
          <w:tcPr>
            <w:tcW w:w="166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920" w:type="dxa"/>
            <w:vAlign w:val="bottom"/>
            <w:gridSpan w:val="12"/>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816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520" w:type="dxa"/>
            <w:vAlign w:val="bottom"/>
            <w:gridSpan w:val="3"/>
            <w:vMerge w:val="restart"/>
          </w:tcPr>
          <w:p>
            <w:pPr>
              <w:spacing w:after="0" w:line="20" w:lineRule="exact"/>
              <w:rPr>
                <w:sz w:val="1"/>
                <w:szCs w:val="1"/>
                <w:color w:val="auto"/>
              </w:rPr>
            </w:pPr>
          </w:p>
        </w:tc>
        <w:tc>
          <w:tcPr>
            <w:tcW w:w="42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Financial Statements (Unaudited)</w:t>
            </w:r>
          </w:p>
        </w:tc>
        <w:tc>
          <w:tcPr>
            <w:tcW w:w="3900" w:type="dxa"/>
            <w:vAlign w:val="bottom"/>
            <w:gridSpan w:val="11"/>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500" w:type="dxa"/>
            <w:vAlign w:val="bottom"/>
            <w:tcBorders>
              <w:bottom w:val="single" w:sz="8" w:color="0000EE"/>
            </w:tcBorders>
            <w:vMerge w:val="continue"/>
          </w:tcPr>
          <w:p>
            <w:pPr>
              <w:spacing w:after="0"/>
              <w:rPr>
                <w:sz w:val="24"/>
                <w:szCs w:val="24"/>
                <w:color w:val="auto"/>
              </w:rPr>
            </w:pPr>
          </w:p>
        </w:tc>
        <w:tc>
          <w:tcPr>
            <w:tcW w:w="520" w:type="dxa"/>
            <w:vAlign w:val="bottom"/>
            <w:gridSpan w:val="3"/>
            <w:vMerge w:val="continue"/>
          </w:tcPr>
          <w:p>
            <w:pPr>
              <w:spacing w:after="0"/>
              <w:rPr>
                <w:sz w:val="24"/>
                <w:szCs w:val="24"/>
                <w:color w:val="auto"/>
              </w:rPr>
            </w:pPr>
          </w:p>
        </w:tc>
        <w:tc>
          <w:tcPr>
            <w:tcW w:w="4260" w:type="dxa"/>
            <w:vAlign w:val="bottom"/>
            <w:tcBorders>
              <w:bottom w:val="single" w:sz="8" w:color="0000EE"/>
            </w:tcBorders>
            <w:gridSpan w:val="19"/>
            <w:vMerge w:val="continue"/>
          </w:tcPr>
          <w:p>
            <w:pPr>
              <w:spacing w:after="0"/>
              <w:rPr>
                <w:sz w:val="24"/>
                <w:szCs w:val="24"/>
                <w:color w:val="auto"/>
              </w:rPr>
            </w:pPr>
          </w:p>
        </w:tc>
        <w:tc>
          <w:tcPr>
            <w:tcW w:w="3900" w:type="dxa"/>
            <w:vAlign w:val="bottom"/>
            <w:gridSpan w:val="11"/>
            <w:vMerge w:val="continue"/>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September 30, 2024 and December 31, 2023</w:t>
            </w:r>
          </w:p>
        </w:tc>
        <w:tc>
          <w:tcPr>
            <w:tcW w:w="158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Condensed Consolidated Statements of Income for the Three-and Nine-Months Ended September 30, 2024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and 2023</w:t>
            </w:r>
          </w:p>
        </w:tc>
        <w:tc>
          <w:tcPr>
            <w:tcW w:w="7160" w:type="dxa"/>
            <w:vAlign w:val="bottom"/>
            <w:tcBorders>
              <w:top w:val="single" w:sz="8" w:color="0000EE"/>
            </w:tcBorders>
            <w:gridSpan w:val="22"/>
          </w:tcPr>
          <w:p>
            <w:pPr>
              <w:spacing w:after="0"/>
              <w:rPr>
                <w:sz w:val="17"/>
                <w:szCs w:val="17"/>
                <w:color w:val="auto"/>
              </w:rPr>
            </w:pPr>
          </w:p>
        </w:tc>
        <w:tc>
          <w:tcPr>
            <w:tcW w:w="200" w:type="dxa"/>
            <w:vAlign w:val="bottom"/>
            <w:gridSpan w:val="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for  the  Three-and  Nine-Months  Ended</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2024 and 2023</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98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for  the  Three-and  Nine-Months  Ended</w:t>
            </w:r>
          </w:p>
        </w:tc>
        <w:tc>
          <w:tcPr>
            <w:tcW w:w="18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2024 and 2023</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Nine-Months Ended September 30, 2024 and 2023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940" w:type="dxa"/>
            <w:vAlign w:val="bottom"/>
            <w:tcBorders>
              <w:top w:val="single" w:sz="8" w:color="0000EE"/>
            </w:tcBorders>
            <w:gridSpan w:val="9"/>
          </w:tcPr>
          <w:p>
            <w:pPr>
              <w:spacing w:after="0"/>
              <w:rPr>
                <w:sz w:val="24"/>
                <w:szCs w:val="24"/>
                <w:color w:val="auto"/>
              </w:rPr>
            </w:pPr>
          </w:p>
        </w:tc>
        <w:tc>
          <w:tcPr>
            <w:tcW w:w="22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2.</w:t>
            </w:r>
          </w:p>
        </w:tc>
        <w:tc>
          <w:tcPr>
            <w:tcW w:w="520" w:type="dxa"/>
            <w:vAlign w:val="bottom"/>
            <w:gridSpan w:val="3"/>
          </w:tcPr>
          <w:p>
            <w:pPr>
              <w:spacing w:after="0"/>
              <w:rPr>
                <w:sz w:val="24"/>
                <w:szCs w:val="24"/>
                <w:color w:val="auto"/>
              </w:rPr>
            </w:pPr>
          </w:p>
        </w:tc>
        <w:tc>
          <w:tcPr>
            <w:tcW w:w="646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70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3.</w:t>
            </w:r>
          </w:p>
        </w:tc>
        <w:tc>
          <w:tcPr>
            <w:tcW w:w="520" w:type="dxa"/>
            <w:vAlign w:val="bottom"/>
            <w:gridSpan w:val="3"/>
          </w:tcPr>
          <w:p>
            <w:pPr>
              <w:spacing w:after="0"/>
              <w:rPr>
                <w:sz w:val="24"/>
                <w:szCs w:val="24"/>
                <w:color w:val="auto"/>
              </w:rPr>
            </w:pPr>
          </w:p>
        </w:tc>
        <w:tc>
          <w:tcPr>
            <w:tcW w:w="43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800" w:type="dxa"/>
            <w:vAlign w:val="bottom"/>
            <w:gridSpan w:val="9"/>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4.</w:t>
            </w:r>
          </w:p>
        </w:tc>
        <w:tc>
          <w:tcPr>
            <w:tcW w:w="520" w:type="dxa"/>
            <w:vAlign w:val="bottom"/>
            <w:gridSpan w:val="3"/>
          </w:tcPr>
          <w:p>
            <w:pPr>
              <w:spacing w:after="0"/>
              <w:rPr>
                <w:sz w:val="24"/>
                <w:szCs w:val="24"/>
                <w:color w:val="auto"/>
              </w:rPr>
            </w:pPr>
          </w:p>
        </w:tc>
        <w:tc>
          <w:tcPr>
            <w:tcW w:w="17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638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8"/>
              </w:rPr>
              <w:t>Part II.</w:t>
            </w:r>
          </w:p>
        </w:tc>
        <w:tc>
          <w:tcPr>
            <w:tcW w:w="440" w:type="dxa"/>
            <w:vAlign w:val="bottom"/>
            <w:gridSpan w:val="2"/>
          </w:tcPr>
          <w:p>
            <w:pPr>
              <w:spacing w:after="0"/>
              <w:rPr>
                <w:sz w:val="24"/>
                <w:szCs w:val="24"/>
                <w:color w:val="auto"/>
              </w:rPr>
            </w:pPr>
          </w:p>
        </w:tc>
        <w:tc>
          <w:tcPr>
            <w:tcW w:w="816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80" w:type="dxa"/>
            <w:vAlign w:val="bottom"/>
            <w:tcBorders>
              <w:top w:val="single" w:sz="8" w:color="0000EE"/>
            </w:tcBorders>
          </w:tcPr>
          <w:p>
            <w:pPr>
              <w:spacing w:after="0"/>
              <w:rPr>
                <w:sz w:val="24"/>
                <w:szCs w:val="24"/>
                <w:color w:val="auto"/>
              </w:rPr>
            </w:pPr>
          </w:p>
        </w:tc>
        <w:tc>
          <w:tcPr>
            <w:tcW w:w="440" w:type="dxa"/>
            <w:vAlign w:val="bottom"/>
            <w:gridSpan w:val="2"/>
          </w:tcPr>
          <w:p>
            <w:pPr>
              <w:spacing w:after="0"/>
              <w:rPr>
                <w:sz w:val="24"/>
                <w:szCs w:val="24"/>
                <w:color w:val="auto"/>
              </w:rPr>
            </w:pPr>
          </w:p>
        </w:tc>
        <w:tc>
          <w:tcPr>
            <w:tcW w:w="13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80" w:type="dxa"/>
            <w:vAlign w:val="bottom"/>
            <w:tcBorders>
              <w:top w:val="single" w:sz="8" w:color="0000EE"/>
            </w:tcBorders>
            <w:gridSpan w:val="3"/>
          </w:tcPr>
          <w:p>
            <w:pPr>
              <w:spacing w:after="0"/>
              <w:rPr>
                <w:sz w:val="24"/>
                <w:szCs w:val="24"/>
                <w:color w:val="auto"/>
              </w:rPr>
            </w:pPr>
          </w:p>
        </w:tc>
        <w:tc>
          <w:tcPr>
            <w:tcW w:w="6140" w:type="dxa"/>
            <w:vAlign w:val="bottom"/>
            <w:gridSpan w:val="19"/>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81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82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 2.</w:t>
            </w:r>
          </w:p>
        </w:tc>
        <w:tc>
          <w:tcPr>
            <w:tcW w:w="14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81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3.</w:t>
            </w:r>
          </w:p>
        </w:tc>
        <w:tc>
          <w:tcPr>
            <w:tcW w:w="520" w:type="dxa"/>
            <w:vAlign w:val="bottom"/>
            <w:gridSpan w:val="3"/>
          </w:tcPr>
          <w:p>
            <w:pPr>
              <w:spacing w:after="0"/>
              <w:rPr>
                <w:sz w:val="24"/>
                <w:szCs w:val="24"/>
                <w:color w:val="auto"/>
              </w:rPr>
            </w:pPr>
          </w:p>
        </w:tc>
        <w:tc>
          <w:tcPr>
            <w:tcW w:w="434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382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4.</w:t>
            </w:r>
          </w:p>
        </w:tc>
        <w:tc>
          <w:tcPr>
            <w:tcW w:w="520" w:type="dxa"/>
            <w:vAlign w:val="bottom"/>
            <w:gridSpan w:val="3"/>
          </w:tcPr>
          <w:p>
            <w:pPr>
              <w:spacing w:after="0"/>
              <w:rPr>
                <w:sz w:val="24"/>
                <w:szCs w:val="24"/>
                <w:color w:val="auto"/>
              </w:rPr>
            </w:pPr>
          </w:p>
        </w:tc>
        <w:tc>
          <w:tcPr>
            <w:tcW w:w="178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3"/>
          </w:tcPr>
          <w:p>
            <w:pPr>
              <w:spacing w:after="0"/>
              <w:rPr>
                <w:sz w:val="24"/>
                <w:szCs w:val="24"/>
                <w:color w:val="auto"/>
              </w:rPr>
            </w:pPr>
          </w:p>
        </w:tc>
        <w:tc>
          <w:tcPr>
            <w:tcW w:w="5840" w:type="dxa"/>
            <w:vAlign w:val="bottom"/>
            <w:gridSpan w:val="1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5.</w:t>
            </w:r>
          </w:p>
        </w:tc>
        <w:tc>
          <w:tcPr>
            <w:tcW w:w="520" w:type="dxa"/>
            <w:vAlign w:val="bottom"/>
            <w:gridSpan w:val="3"/>
          </w:tcPr>
          <w:p>
            <w:pPr>
              <w:spacing w:after="0"/>
              <w:rPr>
                <w:sz w:val="24"/>
                <w:szCs w:val="24"/>
                <w:color w:val="auto"/>
              </w:rPr>
            </w:pPr>
          </w:p>
        </w:tc>
        <w:tc>
          <w:tcPr>
            <w:tcW w:w="13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840" w:type="dxa"/>
            <w:vAlign w:val="bottom"/>
            <w:gridSpan w:val="23"/>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 6.</w:t>
            </w:r>
          </w:p>
        </w:tc>
        <w:tc>
          <w:tcPr>
            <w:tcW w:w="520" w:type="dxa"/>
            <w:vAlign w:val="bottom"/>
            <w:gridSpan w:val="3"/>
          </w:tcPr>
          <w:p>
            <w:pPr>
              <w:spacing w:after="0"/>
              <w:rPr>
                <w:sz w:val="24"/>
                <w:szCs w:val="24"/>
                <w:color w:val="auto"/>
              </w:rPr>
            </w:pPr>
          </w:p>
        </w:tc>
        <w:tc>
          <w:tcPr>
            <w:tcW w:w="81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Exhibits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0" w:type="dxa"/>
            <w:vAlign w:val="bottom"/>
            <w:gridSpan w:val="2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25" w:lineRule="exact"/>
        <w:rPr>
          <w:sz w:val="20"/>
          <w:szCs w:val="20"/>
          <w:color w:val="auto"/>
        </w:rPr>
      </w:pPr>
    </w:p>
    <w:p>
      <w:pPr>
        <w:ind w:right="4800"/>
        <w:spacing w:after="0" w:line="274" w:lineRule="auto"/>
        <w:rPr>
          <w:sz w:val="20"/>
          <w:szCs w:val="20"/>
          <w:color w:val="auto"/>
        </w:rPr>
      </w:pPr>
      <w:r>
        <w:rPr>
          <w:rFonts w:ascii="Times New Roman" w:cs="Times New Roman" w:eastAsia="Times New Roman" w:hAnsi="Times New Roman"/>
          <w:sz w:val="17"/>
          <w:szCs w:val="17"/>
          <w:b w:val="1"/>
          <w:bCs w:val="1"/>
          <w:color w:val="auto"/>
        </w:rPr>
        <w:t>MONSTER BEVERAGE CORPORATION AND SUBSIDIARIES CONDENSED CONSOLIDATED BALANCE SHEETS AS OF SEPTEMBER 30, 2024 AND DECEMBER 31,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8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20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080" w:type="dxa"/>
            <w:vAlign w:val="bottom"/>
            <w:gridSpan w:val="3"/>
            <w:shd w:val="clear" w:color="auto" w:fill="CCEEFF"/>
          </w:tcPr>
          <w:p>
            <w:pPr>
              <w:jc w:val="center"/>
              <w:ind w:right="3480"/>
              <w:spacing w:after="0" w:line="155" w:lineRule="exact"/>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0" w:type="dxa"/>
            <w:vAlign w:val="bottom"/>
            <w:tcBorders>
              <w:top w:val="single" w:sz="8" w:color="auto"/>
            </w:tcBorders>
          </w:tcPr>
          <w:p>
            <w:pPr>
              <w:spacing w:after="0"/>
              <w:rPr>
                <w:sz w:val="17"/>
                <w:szCs w:val="17"/>
                <w:color w:val="auto"/>
              </w:rPr>
            </w:pPr>
          </w:p>
        </w:tc>
        <w:tc>
          <w:tcPr>
            <w:tcW w:w="348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1,625,339</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2,297,675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1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955,605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1,285,397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1,193,964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770,338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971,406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Prepaid income taxes</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92,028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3,897,758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5,588,996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1,006,788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890,796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1,417,941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1,417,941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1,442,426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1,427,139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104,958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5540" w:type="dxa"/>
            <w:vAlign w:val="bottom"/>
            <w:tcBorders>
              <w:bottom w:val="single" w:sz="8" w:color="CCEEFF"/>
            </w:tcBorders>
            <w:gridSpan w:val="4"/>
            <w:shd w:val="clear" w:color="auto" w:fill="CCEEFF"/>
          </w:tcPr>
          <w:p>
            <w:pPr>
              <w:jc w:val="center"/>
              <w:ind w:right="2000"/>
              <w:spacing w:after="0"/>
              <w:rPr>
                <w:sz w:val="20"/>
                <w:szCs w:val="20"/>
                <w:color w:val="auto"/>
              </w:rPr>
            </w:pPr>
            <w:r>
              <w:rPr>
                <w:rFonts w:ascii="Times New Roman" w:cs="Times New Roman" w:eastAsia="Times New Roman" w:hAnsi="Times New Roman"/>
                <w:sz w:val="16"/>
                <w:szCs w:val="16"/>
                <w:b w:val="1"/>
                <w:bCs w:val="1"/>
                <w:color w:val="auto"/>
                <w:w w:val="98"/>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8,053,301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9,686,522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5540" w:type="dxa"/>
            <w:vAlign w:val="bottom"/>
            <w:gridSpan w:val="4"/>
            <w:shd w:val="clear" w:color="auto" w:fill="CCEEFF"/>
          </w:tcPr>
          <w:p>
            <w:pPr>
              <w:jc w:val="center"/>
              <w:ind w:right="20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520" w:type="dxa"/>
            <w:vAlign w:val="bottom"/>
            <w:tcBorders>
              <w:top w:val="single" w:sz="8" w:color="auto"/>
            </w:tcBorders>
            <w:gridSpan w:val="3"/>
          </w:tcPr>
          <w:p>
            <w:pPr>
              <w:spacing w:after="0"/>
              <w:rPr>
                <w:sz w:val="17"/>
                <w:szCs w:val="17"/>
                <w:color w:val="auto"/>
              </w:rPr>
            </w:pPr>
          </w:p>
        </w:tc>
        <w:tc>
          <w:tcPr>
            <w:tcW w:w="2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549,028</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564,379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promotional allowances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301,973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1,245,144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1,161,689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748,842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 $0.005 par value; 5,000,000 shares authorized; 1,125,699 shares issued and 972,450 shares</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outstanding as of September 30, 2024; 1,122,592 shares issued and 1,041,571 shares outstanding as of</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December 31, 2023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5,105,957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7,178,073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5,939,736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(137,842)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in treasury, at cost; 153,249 shares and 81,021 shares as of September 30, 2024 and</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(6,372,416)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(2,566,383)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bottom w:val="single" w:sz="8" w:color="CCEEFF"/>
            </w:tcBorders>
            <w:gridSpan w:val="5"/>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5,779,400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8,228,744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5540" w:type="dxa"/>
            <w:vAlign w:val="bottom"/>
            <w:tcBorders>
              <w:bottom w:val="single" w:sz="8" w:color="CCEEFF"/>
            </w:tcBorders>
            <w:gridSpan w:val="4"/>
            <w:shd w:val="clear" w:color="auto" w:fill="CCEEFF"/>
          </w:tcPr>
          <w:p>
            <w:pPr>
              <w:jc w:val="center"/>
              <w:ind w:right="20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8,053,301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9,686,522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800"/>
        <w:spacing w:after="0" w:line="278" w:lineRule="auto"/>
        <w:rPr>
          <w:sz w:val="20"/>
          <w:szCs w:val="20"/>
          <w:color w:val="auto"/>
        </w:rPr>
      </w:pPr>
      <w:r>
        <w:rPr>
          <w:rFonts w:ascii="Times New Roman" w:cs="Times New Roman" w:eastAsia="Times New Roman" w:hAnsi="Times New Roman"/>
          <w:sz w:val="17"/>
          <w:szCs w:val="17"/>
          <w:b w:val="1"/>
          <w:bCs w:val="1"/>
          <w:color w:val="auto"/>
        </w:rPr>
        <w:t>MONSTER BEVERAGE CORPORATION AND SUBSIDIARIES CONDENSED CONSOLIDATED STATEMENTS OF INCOME</w:t>
      </w:r>
    </w:p>
    <w:p>
      <w:pPr>
        <w:spacing w:after="0" w:line="1" w:lineRule="exact"/>
        <w:rPr>
          <w:sz w:val="20"/>
          <w:szCs w:val="20"/>
          <w:color w:val="auto"/>
        </w:rPr>
      </w:pPr>
    </w:p>
    <w:p>
      <w:pPr>
        <w:ind w:right="3240"/>
        <w:spacing w:after="0" w:line="260" w:lineRule="auto"/>
        <w:rPr>
          <w:sz w:val="20"/>
          <w:szCs w:val="20"/>
          <w:color w:val="auto"/>
        </w:rPr>
      </w:pPr>
      <w:r>
        <w:rPr>
          <w:rFonts w:ascii="Times New Roman" w:cs="Times New Roman" w:eastAsia="Times New Roman" w:hAnsi="Times New Roman"/>
          <w:sz w:val="18"/>
          <w:szCs w:val="18"/>
          <w:b w:val="1"/>
          <w:bCs w:val="1"/>
          <w:color w:val="auto"/>
        </w:rPr>
        <w:t>FOR THE THREE- AND NINE-MONTHS ENDED SEPTEMBER 30, 2024 AND 2023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Three-Months Ended</w:t>
            </w:r>
          </w:p>
        </w:tc>
        <w:tc>
          <w:tcPr>
            <w:tcW w:w="120" w:type="dxa"/>
            <w:vAlign w:val="bottom"/>
          </w:tcPr>
          <w:p>
            <w:pPr>
              <w:spacing w:after="0"/>
              <w:rPr>
                <w:sz w:val="13"/>
                <w:szCs w:val="13"/>
                <w:color w:val="auto"/>
              </w:rPr>
            </w:pPr>
          </w:p>
        </w:tc>
        <w:tc>
          <w:tcPr>
            <w:tcW w:w="192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Nine-Months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92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1,880,973</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1,856,028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5,680,668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5,409,919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881,174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872,265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2,634,235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2,554,086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3,046,433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2,855,833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473,236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1,497,363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1,336,437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1,549,070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OTHER INCOME (EXPENSE),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1,603,381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1,618,406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365,044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354,397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370,919</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452,694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1,238,337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SHARES OF COMMON STOCK AND</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EQUIVALENTS: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975,841</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1,047,015</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1,015,252</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1,046,337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983,171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1,059,966</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1,023,912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1,059,809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MONSTER BEVERAGE CORPORATION AND SUBSIDIARIES</w:t>
      </w:r>
    </w:p>
    <w:p>
      <w:pPr>
        <w:spacing w:after="0" w:line="31" w:lineRule="exact"/>
        <w:rPr>
          <w:sz w:val="20"/>
          <w:szCs w:val="20"/>
          <w:color w:val="auto"/>
        </w:rPr>
      </w:pPr>
    </w:p>
    <w:p>
      <w:pPr>
        <w:jc w:val="both"/>
        <w:ind w:right="3240"/>
        <w:spacing w:after="0" w:line="255" w:lineRule="auto"/>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FOR THE THREE- AND NINE-MONTHS ENDED SEPTEMBER 30, 2024 AND 2023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Three-Months Ended</w:t>
            </w:r>
          </w:p>
        </w:tc>
        <w:tc>
          <w:tcPr>
            <w:tcW w:w="206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Nine-Months Ended</w:t>
            </w:r>
          </w:p>
        </w:tc>
      </w:tr>
      <w:tr>
        <w:trPr>
          <w:trHeight w:val="173"/>
        </w:trPr>
        <w:tc>
          <w:tcPr>
            <w:tcW w:w="5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6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7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452,694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$ 1,238,337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1,264,009</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(48,280)</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(13,953)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(46,074)</w:t>
            </w:r>
          </w:p>
        </w:tc>
      </w:tr>
      <w:tr>
        <w:trPr>
          <w:trHeight w:val="216"/>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net unrealized gain (loss) on available-for-sale investments</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r>
      <w:tr>
        <w:trPr>
          <w:trHeight w:val="216"/>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net gain (loss) on commodity derivatives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r>
      <w:tr>
        <w:trPr>
          <w:trHeight w:val="209"/>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44,462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(42,308)</w:t>
            </w:r>
          </w:p>
        </w:tc>
        <w:tc>
          <w:tcPr>
            <w:tcW w:w="1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(38,960)</w:t>
            </w:r>
          </w:p>
        </w:tc>
      </w:tr>
      <w:tr>
        <w:trPr>
          <w:trHeight w:val="210"/>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415,381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410,386</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$ 1,225,832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1,225,049</w:t>
            </w: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MONSTER BEVERAGE CORPORATION AND SUBSIDIARIES</w:t>
      </w:r>
    </w:p>
    <w:p>
      <w:pPr>
        <w:spacing w:after="0" w:line="20" w:lineRule="exact"/>
        <w:rPr>
          <w:sz w:val="20"/>
          <w:szCs w:val="20"/>
          <w:color w:val="auto"/>
        </w:rPr>
      </w:pPr>
    </w:p>
    <w:p>
      <w:pPr>
        <w:ind w:right="3240"/>
        <w:spacing w:after="0" w:line="234"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FOR THE THREE- AND NINE-MONTHS ENDED SEPTEMBER 30, 2024 AND 2023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34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72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7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720" w:type="dxa"/>
            <w:vAlign w:val="bottom"/>
            <w:gridSpan w:val="6"/>
            <w:vMerge w:val="continue"/>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1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7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68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1,122,592</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$ 5,613</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4,975,115</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$ 5,939,736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(125,337)</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(81,021)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(2,566,383)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8,228,744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21,452</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options/awards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2,278</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38,381</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38,392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gain (loss), net on</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4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82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(2,151)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(120,245)</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(30,695)</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(30,695)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gain (loss) on commodity</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(2,131)</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derivatives</w:t>
            </w:r>
          </w:p>
        </w:tc>
        <w:tc>
          <w:tcPr>
            <w:tcW w:w="8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442,049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442,049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2024</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1,124,870</w:t>
            </w:r>
          </w:p>
        </w:tc>
        <w:tc>
          <w:tcPr>
            <w:tcW w:w="14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$ 5,624</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5,034,948</w:t>
            </w:r>
          </w:p>
        </w:tc>
        <w:tc>
          <w:tcPr>
            <w:tcW w:w="14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$ 6,381,785</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(157,940)</w:t>
            </w:r>
          </w:p>
        </w:tc>
        <w:tc>
          <w:tcPr>
            <w:tcW w:w="1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(83,172)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(2,686,628)</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8,577,789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19,645</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options/awards</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13,698</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13,701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gain (loss), net on</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4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8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(58,778)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(3,145,817)</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(3,145,817)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(31,104)</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(31,104)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gain (loss) on commodity</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6,205</w:t>
            </w:r>
          </w:p>
        </w:tc>
        <w:tc>
          <w:tcPr>
            <w:tcW w:w="14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derivatives</w:t>
            </w:r>
          </w:p>
        </w:tc>
        <w:tc>
          <w:tcPr>
            <w:tcW w:w="82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425,369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425,369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June 30, 2024</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1,125,330</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$ 5,627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5,068,291</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$ 6,807,154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(182,304)</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(141,950)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(5,832,445)</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5,866,323</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27,659</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options/awards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10,007</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(11,299)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(539,971)</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(539,971)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47,846</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47,846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gain (loss) on commodity</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(3,384)</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derivatives</w:t>
            </w:r>
          </w:p>
        </w:tc>
        <w:tc>
          <w:tcPr>
            <w:tcW w:w="82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370,919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370,919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1,125,699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$ 5,628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5,105,957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$ 7,178,073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(137,842)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(153,249)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(6,372,416)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5,779,400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MONSTER BEVERAGE CORPORATION AND SUBSIDIARIES</w:t>
      </w:r>
    </w:p>
    <w:p>
      <w:pPr>
        <w:spacing w:after="0" w:line="31" w:lineRule="exact"/>
        <w:rPr>
          <w:sz w:val="20"/>
          <w:szCs w:val="20"/>
          <w:color w:val="auto"/>
        </w:rPr>
      </w:pPr>
    </w:p>
    <w:p>
      <w:pPr>
        <w:ind w:right="3240"/>
        <w:spacing w:after="0" w:line="255"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FOR THE THREE- AND NINE-MONTHS ENDED SEPTEMBER 30, 2024 AND 2023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480" w:type="dxa"/>
            <w:vAlign w:val="bottom"/>
            <w:gridSpan w:val="5"/>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8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72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3"/>
                <w:szCs w:val="13"/>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8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720" w:type="dxa"/>
            <w:vAlign w:val="bottom"/>
            <w:gridSpan w:val="6"/>
            <w:vMerge w:val="continue"/>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9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68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1,283,688</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$ 6,418</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4,776,804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9,001,173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(159,073)</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(239,088)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(6,600,281)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7,025,041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options/awards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3,704</w:t>
            </w: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36,348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gain (loss), net on</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14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(90,378)</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(90,378)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Retirement of treasury stock</w:t>
            </w: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(170,000)</w:t>
            </w:r>
          </w:p>
        </w:tc>
        <w:tc>
          <w:tcPr>
            <w:tcW w:w="72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(850)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(4,692,425)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4,692,850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7,981</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397,444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397,444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2023</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1,117,392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$ 5,587</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4,829,301</w:t>
            </w:r>
          </w:p>
        </w:tc>
        <w:tc>
          <w:tcPr>
            <w:tcW w:w="14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4,706,192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(147,911)</w:t>
            </w:r>
          </w:p>
        </w:tc>
        <w:tc>
          <w:tcPr>
            <w:tcW w:w="1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(70,776)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(1,997,809)</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7,395,360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17,176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options/awards</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23,314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23,318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gain (loss), net on</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(773)</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(447)</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(5,775)</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(5,775)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gain (loss) on commodity</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(1,266)</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derivatives</w:t>
            </w: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413,871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413,871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June 30, 2023</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1,118,269</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$ 5,591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4,869,791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5,120,063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(155,725)</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(70,784)</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(1,998,256)</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7,841,464</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17,605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options/awards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5,894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gain (loss), net on</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14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(7,294)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(402,200)</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(402,200)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(48,280)</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(48,280)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gain (loss) on commodity</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14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derivatives</w:t>
            </w: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452,694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452,694</w:t>
            </w:r>
          </w:p>
        </w:tc>
        <w:tc>
          <w:tcPr>
            <w:tcW w:w="0" w:type="dxa"/>
            <w:vAlign w:val="bottom"/>
          </w:tcPr>
          <w:p>
            <w:pPr>
              <w:spacing w:after="0"/>
              <w:rPr>
                <w:sz w:val="1"/>
                <w:szCs w:val="1"/>
                <w:color w:val="auto"/>
              </w:rPr>
            </w:pPr>
          </w:p>
        </w:tc>
      </w:tr>
      <w:tr>
        <w:trPr>
          <w:trHeight w:val="142"/>
        </w:trPr>
        <w:tc>
          <w:tcPr>
            <w:tcW w:w="22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September 30, 2023</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1,118,498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$ 5,592</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4,893,289</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5,572,757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(198,033)</w:t>
            </w: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(78,078)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(2,400,456)</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7,873,149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400"/>
        <w:spacing w:after="0" w:line="241" w:lineRule="auto"/>
        <w:rPr>
          <w:sz w:val="20"/>
          <w:szCs w:val="20"/>
          <w:color w:val="auto"/>
        </w:rPr>
      </w:pPr>
      <w:r>
        <w:rPr>
          <w:rFonts w:ascii="Times New Roman" w:cs="Times New Roman" w:eastAsia="Times New Roman" w:hAnsi="Times New Roman"/>
          <w:sz w:val="18"/>
          <w:szCs w:val="18"/>
          <w:b w:val="1"/>
          <w:bCs w:val="1"/>
          <w:color w:val="auto"/>
        </w:rPr>
        <w:t>MONSTER BEVERAGE CORPORATION AND SUBSIDIARIES CONDENSED CONSOLIDATED STATEMENTS OF CASH FLOWS FOR THE NINE-MONTHS ENDED SEPTEMBER 30, 2024 AND 2023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Nine-Months Ended</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1,238,337</w:t>
            </w:r>
          </w:p>
        </w:tc>
        <w:tc>
          <w:tcPr>
            <w:tcW w:w="120" w:type="dxa"/>
            <w:vAlign w:val="bottom"/>
          </w:tcPr>
          <w:p>
            <w:pPr>
              <w:spacing w:after="0"/>
              <w:rPr>
                <w:sz w:val="12"/>
                <w:szCs w:val="12"/>
                <w:color w:val="auto"/>
              </w:rPr>
            </w:pPr>
          </w:p>
        </w:tc>
        <w:tc>
          <w:tcPr>
            <w:tcW w:w="560" w:type="dxa"/>
            <w:vAlign w:val="bottom"/>
            <w:gridSpan w:val="2"/>
          </w:tcPr>
          <w:p>
            <w:pPr>
              <w:jc w:val="right"/>
              <w:ind w:right="3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1,264,009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59,822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50,364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9,801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(gain) on disposal of property and equipment</w:t>
            </w: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Bang Transaction</w:t>
            </w:r>
          </w:p>
        </w:tc>
        <w:tc>
          <w:tcPr>
            <w:tcW w:w="3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on impairment of intangibles</w:t>
            </w:r>
          </w:p>
        </w:tc>
        <w:tc>
          <w:tcPr>
            <w:tcW w:w="32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on impairment of property and equipment</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6,067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68,793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52,465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(10,242)</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 net of acquisition:</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(106,404)</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(218,804)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197,107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69,796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3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(5,861)</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(67,368)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income taxes</w:t>
            </w:r>
          </w:p>
        </w:tc>
        <w:tc>
          <w:tcPr>
            <w:tcW w:w="32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(39,668)</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(14,346)</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46,749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promotional allowances</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31,492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42,425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32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(6,043)</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4,213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(2,403)</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(12,652)</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1,466,832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1,283,426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of available-for-sale investments</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1,377,915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1,546,038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available-for-sale investments</w:t>
            </w:r>
          </w:p>
        </w:tc>
        <w:tc>
          <w:tcPr>
            <w:tcW w:w="32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(342,121)</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(1,405,233)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Bang Energy</w:t>
            </w:r>
          </w:p>
        </w:tc>
        <w:tc>
          <w:tcPr>
            <w:tcW w:w="3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(363,385)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32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(172,795)</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(110,224)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Additions to intangibles</w:t>
            </w:r>
          </w:p>
        </w:tc>
        <w:tc>
          <w:tcPr>
            <w:tcW w:w="32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(21,473)</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 in other assets</w:t>
            </w:r>
          </w:p>
        </w:tc>
        <w:tc>
          <w:tcPr>
            <w:tcW w:w="3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843,018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(360,023)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on short-term debt</w:t>
            </w:r>
          </w:p>
        </w:tc>
        <w:tc>
          <w:tcPr>
            <w:tcW w:w="3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(6,717)</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Borrowings on credit facilities</w:t>
            </w: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for debt issuance costs</w:t>
            </w:r>
          </w:p>
        </w:tc>
        <w:tc>
          <w:tcPr>
            <w:tcW w:w="3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(2,904)</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62,101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65,560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common stock held in treasury</w:t>
            </w:r>
          </w:p>
        </w:tc>
        <w:tc>
          <w:tcPr>
            <w:tcW w:w="3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(3,770,184)</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(488,080)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Borders>
              <w:bottom w:val="single" w:sz="8" w:color="CCEEFF"/>
            </w:tcBorders>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(2,967,704)</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(433,793)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2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(14,482)</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(22,902)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32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(672,336)</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466,708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3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2,297,675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1,307,141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1,625,339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1,773,849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0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SUPPLEMENTAL INFORMATION:</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during the period for:</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13,808</w:t>
            </w:r>
          </w:p>
        </w:tc>
        <w:tc>
          <w:tcPr>
            <w:tcW w:w="120" w:type="dxa"/>
            <w:vAlign w:val="bottom"/>
          </w:tcPr>
          <w:p>
            <w:pPr>
              <w:spacing w:after="0"/>
              <w:rPr>
                <w:sz w:val="16"/>
                <w:szCs w:val="16"/>
                <w:color w:val="auto"/>
              </w:rPr>
            </w:pPr>
          </w:p>
        </w:tc>
        <w:tc>
          <w:tcPr>
            <w:tcW w:w="560" w:type="dxa"/>
            <w:vAlign w:val="bottom"/>
            <w:gridSpan w:val="2"/>
          </w:tcPr>
          <w:p>
            <w:pPr>
              <w:jc w:val="right"/>
              <w:ind w:right="3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0" w:type="dxa"/>
            <w:vAlign w:val="bottom"/>
            <w:tcBorders>
              <w:top w:val="single" w:sz="8" w:color="CCEEFF"/>
              <w:bottom w:val="single" w:sz="8" w:color="CCEEFF"/>
            </w:tcBorders>
            <w:shd w:val="clear" w:color="auto" w:fill="CCEEFF"/>
          </w:tcPr>
          <w:p>
            <w:pPr>
              <w:ind w:left="200"/>
              <w:spacing w:after="0" w:line="129" w:lineRule="exact"/>
              <w:rPr>
                <w:sz w:val="20"/>
                <w:szCs w:val="20"/>
                <w:color w:val="auto"/>
              </w:rPr>
            </w:pPr>
            <w:r>
              <w:rPr>
                <w:rFonts w:ascii="Times New Roman" w:cs="Times New Roman" w:eastAsia="Times New Roman" w:hAnsi="Times New Roman"/>
                <w:sz w:val="14"/>
                <w:szCs w:val="14"/>
                <w:color w:val="auto"/>
              </w:rPr>
              <w:t>Income taxes</w:t>
            </w: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411,884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348,948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400"/>
        <w:spacing w:after="0" w:line="262" w:lineRule="auto"/>
        <w:rPr>
          <w:sz w:val="20"/>
          <w:szCs w:val="20"/>
          <w:color w:val="auto"/>
        </w:rPr>
      </w:pPr>
      <w:r>
        <w:rPr>
          <w:rFonts w:ascii="Times New Roman" w:cs="Times New Roman" w:eastAsia="Times New Roman" w:hAnsi="Times New Roman"/>
          <w:sz w:val="18"/>
          <w:szCs w:val="18"/>
          <w:b w:val="1"/>
          <w:bCs w:val="1"/>
          <w:color w:val="auto"/>
        </w:rPr>
        <w:t>MONSTER BEVERAGE CORPORATION AND SUBSIDIARIES CONDENSED CONSOLIDATED STATEMENTS OF CASH FLOWS FOR THE NINE-MONTHS ENDED SEPTEMBER 30, 2024 AND 2023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 OF NON-CASH ITEMS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Included in accrued liabilities as of September 30, 2024 and 2023 were additions to other intangible assets of $10.9 million and $14.3 million, respectively.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Included in accounts payable as of September 30, 2024 and 2023 were property and equipment purchases of $20.3 million and $2.0 million,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Included in accounts payable as of September 30, 2023 were treasury stock repurchases of $2.6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Included in accounts payable as of September 30, 2023 were available-for-sale short-term investment purchases of $8.7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Included in accounts receivable as of September 30, 2023 were available-for-sale short-term investment sales of $5.9 million.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the Notes to Consolidated Financial Statements, in Monster Beverage Corporation and Subsidiaries (the “Company”) Annual Report on Form 10-K for the year ended December 31, 2023 for a summary of significant accounting policies utilized by the Company and its consolidated subsidiaries and other disclosures, which should be read in conjunction with this Quarterly Report on Form 10-Q (“Form 10-Q”).</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three-and nine-months ended September 30, 2024 and 2023,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in this update improve reportable segment disclosure requirements, primarily through enhanced disclosures about significant segment expenses. The amendments in ASU No. 2023-07 are effective for fiscal years beginning after December 15, 2023. Early adoption is permitted. The Company is currently evaluating the impact ASU No. 2023-07 will have on its consolidated financial statements.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amendments in this update primarily require more detailed disclosures related to the rate reconciliation and income taxes paid. The amendments in ASU No. 2023-09 are effective for fiscal years beginning after December 15, 2024. Early adoption is permitted. The Company is currently evaluating the impact ASU No. 2023-09 will have on its consolidated financial statements.</w:t>
      </w:r>
    </w:p>
    <w:p>
      <w:pPr>
        <w:spacing w:after="0" w:line="182"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Revenues are accounted for in accordance with FASB Accounting Standards Codification (“ASC”) 606, “Revenue from Contracts with Customers”. The Company has four operating and reportable segments: (i) Monster Energy® Drinks segment (“Monster Energy® Drinks”), which is primarily comprised of the Company’s Monster Energy® drinks, Reign Total Body Fuel® high performance energy drinks, Reign Storm® total wellness energy drinks and Bang Energy® drinks, (ii) Strategic Brands segment (“Strategic Brands”), which is primarily comprised of the various energy drink brands acquired from The Coca-Cola Company (“TCCC”) in 2015 as well as the Company’s affordable energy brands, Predator® and Fury®, (iii) Alcohol Brands segment (“Alcohol Brands”), which is comprised of various craft beers, hard seltzers and flavored malt beverages (“FMBs”) and (iv) Other segment (“Other”), which is comprised of certain products sold by American Fruits and Flavors, LLC, a wholly-owned subsidiary of the Company, to independent third-party customers (the “AFF Third-Party Products”).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Monster Energy® Drinks segment primarily generates net operating revenues by selling ready-to-drink packaged drinks primarily to bottlers and full service beverage distributors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Alcohol Brands segment primarily generates operating revenues by selling kegged and ready-to-drink canned beers, hard seltzers and FMBs primarily to beer distributors in the United States.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September 30, 2024 and December 31, 2023.</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excludes from revenues all taxes assessed by a governmental authority that are imposed on the sale of its products and collected from customers.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Distribution expenses to transport the Company’s products, where applicable, and warehousing expenses after manufacture are accounted for within operating expenses.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Promotional and other allowances (variable consideration) recorded as a reduction to net sales for the Company’s energy drink products primarily include consideration given to the Company’s non-alcohol bottlers/distributors or retail customers, including, but not limited to, the following:</w:t>
      </w:r>
    </w:p>
    <w:p>
      <w:pPr>
        <w:spacing w:after="0" w:line="176" w:lineRule="exact"/>
        <w:rPr>
          <w:sz w:val="20"/>
          <w:szCs w:val="20"/>
          <w:color w:val="auto"/>
        </w:rPr>
      </w:pPr>
    </w:p>
    <w:p>
      <w:pPr>
        <w:ind w:left="1340" w:hanging="33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granted off list prices to support price promotions to end-consumers by retailers;</w:t>
      </w:r>
    </w:p>
    <w:p>
      <w:pPr>
        <w:spacing w:after="0" w:line="27" w:lineRule="exact"/>
        <w:rPr>
          <w:rFonts w:ascii="Times New Roman" w:cs="Times New Roman" w:eastAsia="Times New Roman" w:hAnsi="Times New Roman"/>
          <w:sz w:val="18"/>
          <w:szCs w:val="18"/>
          <w:color w:val="auto"/>
        </w:rPr>
      </w:pPr>
    </w:p>
    <w:p>
      <w:pPr>
        <w:ind w:left="1340" w:right="20" w:hanging="333"/>
        <w:spacing w:after="0" w:line="250" w:lineRule="auto"/>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reimbursements given to the Company’s bottlers/distributors for agreed portions of their promotional spend with retailers, including slotting, shelf space allowances and other fees for both new and existing products;</w:t>
      </w:r>
    </w:p>
    <w:p>
      <w:pPr>
        <w:ind w:left="1340" w:right="20" w:hanging="333"/>
        <w:spacing w:after="0" w:line="250" w:lineRule="auto"/>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agreed share of fees given to bottlers/distributors and/or directly to retailers for advertising, in-store marketing and promotional activities;</w:t>
      </w:r>
    </w:p>
    <w:p>
      <w:pPr>
        <w:ind w:left="1340" w:hanging="333"/>
        <w:spacing w:after="0" w:line="250" w:lineRule="auto"/>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agreed share of slotting, shelf space allowances and other fees given directly to retailers, club stores and/or wholesalers;</w:t>
      </w:r>
    </w:p>
    <w:p>
      <w:pPr>
        <w:ind w:left="1340" w:right="20" w:hanging="333"/>
        <w:spacing w:after="0" w:line="250" w:lineRule="auto"/>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incentives given to the Company’s bottlers/distributors and/or retailers for achieving or exceeding certain predetermined sales goals;</w:t>
      </w:r>
    </w:p>
    <w:p>
      <w:pPr>
        <w:ind w:left="1340" w:hanging="33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discounted or free products;</w:t>
      </w:r>
    </w:p>
    <w:p>
      <w:pPr>
        <w:spacing w:after="0" w:line="9" w:lineRule="exact"/>
        <w:rPr>
          <w:rFonts w:ascii="Times New Roman" w:cs="Times New Roman" w:eastAsia="Times New Roman" w:hAnsi="Times New Roman"/>
          <w:sz w:val="18"/>
          <w:szCs w:val="18"/>
          <w:color w:val="auto"/>
        </w:rPr>
      </w:pPr>
    </w:p>
    <w:p>
      <w:pPr>
        <w:ind w:left="1340" w:hanging="333"/>
        <w:spacing w:after="0" w:line="250" w:lineRule="auto"/>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fees given to the Company’s bottlers/distributors related to sales made directly by the Company to certain customers that fall within the bottlers’/distributors’ sales territories; and</w:t>
      </w:r>
    </w:p>
    <w:p>
      <w:pPr>
        <w:jc w:val="both"/>
        <w:ind w:left="1340" w:hanging="333"/>
        <w:spacing w:after="0" w:line="255" w:lineRule="auto"/>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to TCCC based on the Company’s sales to wholly-owned subsidiaries of TCCC (the “TCCC Subsidiaries”) and/or to TCCC bottlers/distributors accounted for under the equity method by TCCC (the “TCCC Related Parties”).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promotional allowance programs for its energy drink products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for its energy drink products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 Promotional and other allowances for our Alcohol Brands segment primarily include price promotions where permitted.</w:t>
      </w:r>
    </w:p>
    <w:p>
      <w:pPr>
        <w:spacing w:after="0" w:line="15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also enters into license agreements that generate revenues associated with third-party sales of non-beverage products bearing the Company’s trademarks including, but not limited to, clothing, hats, t-shirts, jackets, helmets and automotive wheels.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that adequate provision has been made for cash discounts, returns and spoilage based on the Company’s historical experience.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disaggregate the Company’s revenue by geographical markets and reportable segments: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8"/>
                <w:szCs w:val="18"/>
                <w:color w:val="auto"/>
              </w:rPr>
              <w:t>Three-Months Ended September 30, 2024</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U.S. and</w:t>
            </w:r>
          </w:p>
        </w:tc>
        <w:tc>
          <w:tcPr>
            <w:tcW w:w="180" w:type="dxa"/>
            <w:vAlign w:val="bottom"/>
          </w:tcPr>
          <w:p>
            <w:pPr>
              <w:spacing w:after="0"/>
              <w:rPr>
                <w:sz w:val="18"/>
                <w:szCs w:val="18"/>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8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(including</w:t>
            </w:r>
          </w:p>
        </w:tc>
        <w:tc>
          <w:tcPr>
            <w:tcW w:w="20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America and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Oceania)</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Caribbean</w:t>
            </w: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1,071,923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371,026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155,608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1,722,693</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112,566</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Alcohol Brands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39,784</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1,172,161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417,588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132,046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159,178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1,880,973</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8"/>
                <w:szCs w:val="18"/>
                <w:color w:val="auto"/>
              </w:rPr>
              <w:t>Three-Months Ended September 30, 2023</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U.S. and</w:t>
            </w:r>
          </w:p>
        </w:tc>
        <w:tc>
          <w:tcPr>
            <w:tcW w:w="180" w:type="dxa"/>
            <w:vAlign w:val="bottom"/>
          </w:tcPr>
          <w:p>
            <w:pPr>
              <w:spacing w:after="0"/>
              <w:rPr>
                <w:sz w:val="18"/>
                <w:szCs w:val="18"/>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8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(including</w:t>
            </w:r>
          </w:p>
        </w:tc>
        <w:tc>
          <w:tcPr>
            <w:tcW w:w="20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America and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Oceania)</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Caribbean</w:t>
            </w: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1,069,856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355,898</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163,618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1,708,241</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Alcohol Brands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42,326</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1,168,964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391,883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127,267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167,914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1,856,028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6"/>
          <w:szCs w:val="16"/>
          <w:i w:val="1"/>
          <w:iCs w:val="1"/>
          <w:color w:val="auto"/>
        </w:rPr>
        <w:t>Europe, Middle East and Africa (“EMEA”)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8"/>
                <w:szCs w:val="18"/>
                <w:color w:val="auto"/>
              </w:rPr>
              <w:t>Nine-Months Ended September 30, 2024</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U.S. and</w:t>
            </w:r>
          </w:p>
        </w:tc>
        <w:tc>
          <w:tcPr>
            <w:tcW w:w="180" w:type="dxa"/>
            <w:vAlign w:val="bottom"/>
          </w:tcPr>
          <w:p>
            <w:pPr>
              <w:spacing w:after="0"/>
              <w:rPr>
                <w:sz w:val="18"/>
                <w:szCs w:val="18"/>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8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(including</w:t>
            </w:r>
          </w:p>
        </w:tc>
        <w:tc>
          <w:tcPr>
            <w:tcW w:w="20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America and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Oceania)</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Caribbean</w:t>
            </w: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3,266,832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1,075,240</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378,232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474,248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5,194,552</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330,232</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Alcohol Brands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137,417</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18,467</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3,576,461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1,207,077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408,349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488,781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5,680,668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8"/>
                <w:szCs w:val="18"/>
                <w:color w:val="auto"/>
              </w:rPr>
              <w:t>Nine-Months Ended September 30, 2023</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U.S. and</w:t>
            </w:r>
          </w:p>
        </w:tc>
        <w:tc>
          <w:tcPr>
            <w:tcW w:w="180" w:type="dxa"/>
            <w:vAlign w:val="bottom"/>
          </w:tcPr>
          <w:p>
            <w:pPr>
              <w:spacing w:after="0"/>
              <w:rPr>
                <w:sz w:val="18"/>
                <w:szCs w:val="18"/>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8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(including</w:t>
            </w:r>
          </w:p>
        </w:tc>
        <w:tc>
          <w:tcPr>
            <w:tcW w:w="20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America and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Oceania)</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Caribbean</w:t>
            </w: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3,160,071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972,531</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379,342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444,854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4,956,798</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284,811</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Alcohol Brands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149,692</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18,618</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3,468,734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1,081,517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404,551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455,117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5,409,919</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6"/>
          <w:szCs w:val="16"/>
          <w:i w:val="1"/>
          <w:iCs w:val="1"/>
          <w:color w:val="auto"/>
        </w:rPr>
        <w:t>Europe, Middle East and Africa (“EMEA”)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Liabilities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Amounts received from certain bottlers/distributors at inception of their distribution contracts or at the inception of certain sales/marketing programs are accounted for as deferred revenue. As of September 30, 2024 and December 31, 2023, the Company had $231.8 million and $246.2 million, respectively, of deferred revenue, which is included in current and long-term deferred revenue in the Company’s condensed consolidated balance sheets. During both the three-months ended September 30, 2024 and 2023, $10.0 million of deferred revenue was recognized in net sales. During the nine-months ended September 30, 2024 and 2023, $29.9 million and $30.0 million, respectively, of deferred revenue was recognized in net sales. See Note 10.</w:t>
      </w:r>
    </w:p>
    <w:p>
      <w:pPr>
        <w:spacing w:after="0" w:line="187"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leases identified assets consisting primarily of office and warehouse space, warehouse equipment and vehicles. Leases are classified as either finance leases or operating leases based on criteria in ASC 842, “Leases”. The Company’s leases have remaining lease terms of less than one year to 10 years, some of which include options to extend the leases for up to five years, and some of which include options to terminate the leases within one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components of lease cost were as follows: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Three-Months Ended September 30,</w:t>
            </w:r>
          </w:p>
        </w:tc>
        <w:tc>
          <w:tcPr>
            <w:tcW w:w="180" w:type="dxa"/>
            <w:vAlign w:val="bottom"/>
          </w:tcPr>
          <w:p>
            <w:pPr>
              <w:spacing w:after="0"/>
              <w:rPr>
                <w:sz w:val="24"/>
                <w:szCs w:val="24"/>
                <w:color w:val="auto"/>
              </w:rPr>
            </w:pPr>
          </w:p>
        </w:tc>
        <w:tc>
          <w:tcPr>
            <w:tcW w:w="26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Nine-Months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cost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lease cost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Nine-Months Ended 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50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outflows from finance leases</w:t>
            </w:r>
          </w:p>
        </w:tc>
        <w:tc>
          <w:tcPr>
            <w:tcW w:w="10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gridSpan w:val="2"/>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10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15,944</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2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Supplemental balance sheet information was as follows: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260" w:type="dxa"/>
            <w:vAlign w:val="bottom"/>
          </w:tcPr>
          <w:p>
            <w:pPr>
              <w:spacing w:after="0"/>
              <w:rPr>
                <w:sz w:val="24"/>
                <w:szCs w:val="24"/>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Balance Sheet Location</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3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55,808</w:t>
            </w:r>
          </w:p>
        </w:tc>
        <w:tc>
          <w:tcPr>
            <w:tcW w:w="50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11,331</w:t>
            </w:r>
          </w:p>
        </w:tc>
        <w:tc>
          <w:tcPr>
            <w:tcW w:w="50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7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45,380</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0" w:type="dxa"/>
            <w:vAlign w:val="bottom"/>
            <w:tcBorders>
              <w:bottom w:val="single" w:sz="8" w:color="CCEEFF"/>
            </w:tcBorders>
          </w:tcPr>
          <w:p>
            <w:pPr>
              <w:spacing w:after="0"/>
              <w:rPr>
                <w:sz w:val="21"/>
                <w:szCs w:val="21"/>
                <w:color w:val="auto"/>
              </w:rPr>
            </w:pPr>
          </w:p>
        </w:tc>
        <w:tc>
          <w:tcPr>
            <w:tcW w:w="34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56,711</w:t>
            </w:r>
          </w:p>
        </w:tc>
        <w:tc>
          <w:tcPr>
            <w:tcW w:w="2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37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5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7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5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72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3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50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5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Weighted-average remaining lease term and weighted-average discount rate for the Company’s leases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8"/>
                <w:szCs w:val="18"/>
                <w:color w:val="auto"/>
              </w:rPr>
            </w:pPr>
          </w:p>
        </w:tc>
        <w:tc>
          <w:tcPr>
            <w:tcW w:w="1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12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4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4.8 %</w:t>
            </w: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w w:val="99"/>
              </w:rPr>
              <w:t>4.7 %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14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6.1 %</w:t>
            </w: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6.3 %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outlines maturities of the Company’s lease liabilities as of September 30,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28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Undiscounted Future Lease Payments</w:t>
            </w:r>
          </w:p>
        </w:tc>
      </w:tr>
      <w:tr>
        <w:trPr>
          <w:trHeight w:val="209"/>
        </w:trPr>
        <w:tc>
          <w:tcPr>
            <w:tcW w:w="7100" w:type="dxa"/>
            <w:vAlign w:val="bottom"/>
          </w:tcPr>
          <w:p>
            <w:pPr>
              <w:spacing w:after="0"/>
              <w:rPr>
                <w:sz w:val="18"/>
                <w:szCs w:val="18"/>
                <w:color w:val="auto"/>
              </w:rPr>
            </w:pPr>
          </w:p>
        </w:tc>
        <w:tc>
          <w:tcPr>
            <w:tcW w:w="150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Finance Leases</w:t>
            </w:r>
          </w:p>
        </w:tc>
        <w:tc>
          <w:tcPr>
            <w:tcW w:w="20" w:type="dxa"/>
            <w:vAlign w:val="bottom"/>
          </w:tcPr>
          <w:p>
            <w:pPr>
              <w:spacing w:after="0"/>
              <w:rPr>
                <w:sz w:val="18"/>
                <w:szCs w:val="18"/>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(from October 1, 2024 to December 31, 2024)</w:t>
            </w:r>
          </w:p>
        </w:tc>
        <w:tc>
          <w:tcPr>
            <w:tcW w:w="420" w:type="dxa"/>
            <w:vAlign w:val="bottom"/>
            <w:tcBorders>
              <w:top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0" w:type="dxa"/>
            <w:vAlign w:val="bottom"/>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r>
        <w:trPr>
          <w:trHeight w:val="216"/>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r>
      <w:tr>
        <w:trPr>
          <w:trHeight w:val="210"/>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20" w:type="dxa"/>
            <w:vAlign w:val="bottom"/>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imputed interest</w:t>
            </w:r>
          </w:p>
        </w:tc>
        <w:tc>
          <w:tcPr>
            <w:tcW w:w="4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(8,468)</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r>
      <w:tr>
        <w:trPr>
          <w:trHeight w:val="210"/>
        </w:trPr>
        <w:tc>
          <w:tcPr>
            <w:tcW w:w="7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2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the Company did not have any significant leases that had not yet commenced.</w:t>
      </w:r>
    </w:p>
    <w:p>
      <w:pPr>
        <w:spacing w:after="0" w:line="22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investments at December 31, 2023. The Company held no short-term or long-term investments at September 30,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Continuous</w:t>
            </w:r>
          </w:p>
        </w:tc>
        <w:tc>
          <w:tcPr>
            <w:tcW w:w="1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Continuous</w:t>
            </w: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Unrealized</w:t>
            </w: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Unrealized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Loss Position</w:t>
            </w:r>
          </w:p>
        </w:tc>
        <w:tc>
          <w:tcPr>
            <w:tcW w:w="1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Loss Position</w:t>
            </w: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Holding</w:t>
            </w: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Holding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less than</w:t>
            </w:r>
          </w:p>
        </w:tc>
        <w:tc>
          <w:tcPr>
            <w:tcW w:w="1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greater than</w:t>
            </w: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Losses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12 Months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12 Months</w:t>
            </w:r>
          </w:p>
        </w:tc>
      </w:tr>
      <w:tr>
        <w:trPr>
          <w:trHeight w:val="210"/>
        </w:trPr>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412,057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1,032,810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1,032,036</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three-and nine-months ended September 30, 2024 and 2023, realized gains or losses recognized on the sale of investments were not significant.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investments at December 31, 2023 carried investment grade credit ratings.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underlying contractual maturities of the Company’s investments at December 31, 2023. The Company held no short-term or long-term investments at September 30, 2024.</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09"/>
        </w:trPr>
        <w:tc>
          <w:tcPr>
            <w:tcW w:w="4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Fair Value</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year:</w:t>
            </w:r>
          </w:p>
        </w:tc>
        <w:tc>
          <w:tcPr>
            <w:tcW w:w="1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58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163,775</w:t>
            </w:r>
          </w:p>
        </w:tc>
        <w:tc>
          <w:tcPr>
            <w:tcW w:w="200" w:type="dxa"/>
            <w:vAlign w:val="bottom"/>
          </w:tcPr>
          <w:p>
            <w:pPr>
              <w:spacing w:after="0"/>
              <w:rPr>
                <w:sz w:val="18"/>
                <w:szCs w:val="18"/>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163,774</w:t>
            </w: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securities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116,548</w:t>
            </w: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412,057</w:t>
            </w: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247,275</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Due 1 - 10 years: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35,967</w:t>
            </w: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23,531</w:t>
            </w: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16,933</w:t>
            </w:r>
          </w:p>
        </w:tc>
      </w:tr>
      <w:tr>
        <w:trPr>
          <w:trHeight w:val="210"/>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8"/>
                <w:szCs w:val="18"/>
                <w:color w:val="auto"/>
              </w:rPr>
            </w:pP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1,032,810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1,032,036</w:t>
            </w:r>
          </w:p>
        </w:tc>
      </w:tr>
      <w:tr>
        <w:trPr>
          <w:trHeight w:val="20"/>
        </w:trPr>
        <w:tc>
          <w:tcPr>
            <w:tcW w:w="4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CERTAIN FINANCIAL ASSETS AND LIABILITIES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ASC 820, “Fair Value Measurement”,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p>
      <w:pPr>
        <w:spacing w:after="0" w:line="179" w:lineRule="exact"/>
        <w:rPr>
          <w:sz w:val="20"/>
          <w:szCs w:val="20"/>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680" w:right="20" w:hanging="321"/>
        <w:spacing w:after="0" w:line="268"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inputs other than Level 1 prices, such as quoted prices for similar assets or liabilities, quoted prices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 for substantially the full term of the related assets or liabilities.</w:t>
      </w:r>
    </w:p>
    <w:p>
      <w:pPr>
        <w:spacing w:after="0" w:line="170" w:lineRule="exact"/>
        <w:rPr>
          <w:rFonts w:ascii="Times New Roman" w:cs="Times New Roman" w:eastAsia="Times New Roman" w:hAnsi="Times New Roman"/>
          <w:sz w:val="18"/>
          <w:szCs w:val="18"/>
          <w:color w:val="auto"/>
        </w:rPr>
      </w:pPr>
    </w:p>
    <w:p>
      <w:pPr>
        <w:ind w:left="680" w:right="20" w:hanging="321"/>
        <w:spacing w:after="0" w:line="28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or liabilities.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ASC 820 requires the use of observable market inputs (quoted market prices) when measuring fair value and requires a Level 1 quoted price to be used to measure fair value whenever possible.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Company’s financial assets and liabilities that are recorded at fair value on a recurring basis, segregated among the appropriate levels within the fair value hierarchy at: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24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1,173,863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derivatives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1,582,928</w:t>
            </w:r>
          </w:p>
        </w:tc>
        <w:tc>
          <w:tcPr>
            <w:tcW w:w="2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1,629,035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included in:</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1,582,928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1,582,928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1,629,035</w:t>
            </w: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24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1,105,701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960,873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derivatives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2,066,574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included in:</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2,066,574</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231,101</w:t>
            </w:r>
          </w:p>
        </w:tc>
        <w:tc>
          <w:tcPr>
            <w:tcW w:w="120" w:type="dxa"/>
            <w:vAlign w:val="bottom"/>
          </w:tcPr>
          <w:p>
            <w:pPr>
              <w:spacing w:after="0"/>
              <w:rPr>
                <w:sz w:val="18"/>
                <w:szCs w:val="18"/>
                <w:color w:val="auto"/>
              </w:rPr>
            </w:pPr>
          </w:p>
        </w:tc>
        <w:tc>
          <w:tcPr>
            <w:tcW w:w="1120" w:type="dxa"/>
            <w:vAlign w:val="bottom"/>
            <w:gridSpan w:val="2"/>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2,066,574</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1,266,464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December 31, 2023, all of the Company’s short-term and long-term investments were classified within Level 1 or Level 2 of the fair value hierarchy. At September 30, 2024, the Company held no short-term or long-term investments. 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three- and nine-months ended September 30, 2024, or during the year-ended December 31, 2023, and there were no changes in the Company’s valuation techniques.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AND HEDGING ACTIVITIES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accounts for its derivative instruments and hedging activities under ASC 815, “Derivatives and Hedging.” The following table presents the fair values of the Company’s derivative instruments: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Derivatives designated as</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ind w:right="34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160" w:type="dxa"/>
            <w:vAlign w:val="bottom"/>
            <w:gridSpan w:val="2"/>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hedging instruments</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Balance Sheet location</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40" w:type="dxa"/>
            <w:vAlign w:val="bottom"/>
          </w:tcPr>
          <w:p>
            <w:pPr>
              <w:spacing w:after="0"/>
              <w:rPr>
                <w:sz w:val="18"/>
                <w:szCs w:val="18"/>
                <w:color w:val="auto"/>
              </w:rPr>
            </w:pPr>
          </w:p>
        </w:tc>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5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5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2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34"/>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0" w:type="dxa"/>
            <w:vAlign w:val="bottom"/>
          </w:tcPr>
          <w:p>
            <w:pPr>
              <w:spacing w:after="0"/>
              <w:rPr>
                <w:sz w:val="1"/>
                <w:szCs w:val="1"/>
                <w:color w:val="auto"/>
              </w:rPr>
            </w:pPr>
          </w:p>
        </w:tc>
      </w:tr>
      <w:tr>
        <w:trPr>
          <w:trHeight w:val="427"/>
        </w:trPr>
        <w:tc>
          <w:tcPr>
            <w:tcW w:w="4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Derivatives not designated as</w:t>
            </w: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8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ind w:right="34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160" w:type="dxa"/>
            <w:vAlign w:val="bottom"/>
            <w:gridSpan w:val="2"/>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hedging instruments</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Balance Sheet location</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(1,221)</w:t>
            </w:r>
          </w:p>
        </w:tc>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 Hedging Strategy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uses cash flow hedges to minimize the variability in cash flows of forecasted transactions caused by fluctuations in commodity prices. The changes in the fair values of derivatives designated as cash flow hedges are recorded in accumulated other comprehensive income (loss) (“AOCI”) and are reclassified into the line item in our condensed consolidated statement of income in which the hedged items are recorded in the same period that the hedged items affect earnings. The changes in the fair values of hedges that are determined to be ineffective are immediately reclassified from AOCI into earnings. The maximum length of time for which the Company hedges its exposure to the variability in future cash flows is currently less than two years.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entered into commodity hedge contracts to mitigate the price risk associated with a portion of its forecasted aluminum purchases. These derivative instruments were designated as part of the Company’s commodity cash flow hedging program. The objective of this hedging program is to reduce the variability of cash flows associated with future purchases of aluminum. The total notional values of derivatives that were designated and qualified for this program were $106.2 million and $98.3 million as of September 30, 2024 and December 31, 2023, respectively.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impact that changes in the fair values of derivatives designated as cash flow hedges had on other comprehensive income, AOCI and earnings: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Three-Months Ended September 30,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Gain (loss)</w:t>
            </w:r>
          </w:p>
        </w:tc>
      </w:tr>
      <w:tr>
        <w:trPr>
          <w:trHeight w:val="216"/>
        </w:trPr>
        <w:tc>
          <w:tcPr>
            <w:tcW w:w="4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Derivatives designated as</w:t>
            </w:r>
          </w:p>
        </w:tc>
        <w:tc>
          <w:tcPr>
            <w:tcW w:w="1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Gain (loss)</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Location of gain (loss)</w:t>
            </w:r>
          </w:p>
        </w:tc>
        <w:tc>
          <w:tcPr>
            <w:tcW w:w="140" w:type="dxa"/>
            <w:vAlign w:val="bottom"/>
          </w:tcPr>
          <w:p>
            <w:pPr>
              <w:spacing w:after="0"/>
              <w:rPr>
                <w:sz w:val="18"/>
                <w:szCs w:val="18"/>
                <w:color w:val="auto"/>
              </w:rPr>
            </w:pPr>
          </w:p>
        </w:tc>
        <w:tc>
          <w:tcPr>
            <w:tcW w:w="1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reclassified from</w:t>
            </w:r>
          </w:p>
        </w:tc>
      </w:tr>
      <w:tr>
        <w:trPr>
          <w:trHeight w:val="234"/>
        </w:trPr>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hedging instruments</w:t>
            </w:r>
          </w:p>
        </w:tc>
        <w:tc>
          <w:tcPr>
            <w:tcW w:w="120" w:type="dxa"/>
            <w:vAlign w:val="bottom"/>
          </w:tcPr>
          <w:p>
            <w:pPr>
              <w:spacing w:after="0"/>
              <w:rPr>
                <w:sz w:val="20"/>
                <w:szCs w:val="20"/>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recognized in AOCI</w:t>
            </w: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recognized in income</w:t>
            </w:r>
          </w:p>
        </w:tc>
        <w:tc>
          <w:tcPr>
            <w:tcW w:w="140" w:type="dxa"/>
            <w:vAlign w:val="bottom"/>
          </w:tcPr>
          <w:p>
            <w:pPr>
              <w:spacing w:after="0"/>
              <w:rPr>
                <w:sz w:val="20"/>
                <w:szCs w:val="20"/>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AOCI into income</w:t>
            </w:r>
          </w:p>
        </w:tc>
      </w:tr>
      <w:tr>
        <w:trPr>
          <w:trHeight w:val="210"/>
        </w:trPr>
        <w:tc>
          <w:tcPr>
            <w:tcW w:w="41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r>
      <w:tr>
        <w:trPr>
          <w:trHeight w:val="20"/>
        </w:trPr>
        <w:tc>
          <w:tcPr>
            <w:tcW w:w="4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844"/>
        </w:trPr>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60"/>
        </w:trPr>
        <w:tc>
          <w:tcPr>
            <w:tcW w:w="4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Three-Months Ended September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8"/>
              </w:rPr>
              <w:t>Gain (loss)</w:t>
            </w:r>
          </w:p>
        </w:tc>
      </w:tr>
      <w:tr>
        <w:trPr>
          <w:trHeight w:val="216"/>
        </w:trPr>
        <w:tc>
          <w:tcPr>
            <w:tcW w:w="32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Derivatives designated as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(loss) recognized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Location of gain (loss)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reclassified from</w:t>
            </w:r>
          </w:p>
        </w:tc>
      </w:tr>
      <w:tr>
        <w:trPr>
          <w:trHeight w:val="234"/>
        </w:trPr>
        <w:tc>
          <w:tcPr>
            <w:tcW w:w="324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rPr>
              <w:t>hedging instruments</w:t>
            </w: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in AOCI</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recognized in income</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AOCI into income</w:t>
            </w:r>
          </w:p>
        </w:tc>
      </w:tr>
      <w:tr>
        <w:trPr>
          <w:trHeight w:val="209"/>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8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426"/>
        </w:trPr>
        <w:tc>
          <w:tcPr>
            <w:tcW w:w="324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gridSpan w:val="11"/>
          </w:tcPr>
          <w:p>
            <w:pPr>
              <w:ind w:left="240"/>
              <w:spacing w:after="0"/>
              <w:rPr>
                <w:sz w:val="20"/>
                <w:szCs w:val="20"/>
                <w:color w:val="auto"/>
              </w:rPr>
            </w:pPr>
            <w:r>
              <w:rPr>
                <w:rFonts w:ascii="Times New Roman" w:cs="Times New Roman" w:eastAsia="Times New Roman" w:hAnsi="Times New Roman"/>
                <w:sz w:val="18"/>
                <w:szCs w:val="18"/>
                <w:color w:val="auto"/>
              </w:rPr>
              <w:t>Nine-Months Ended September 30, 2024</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191"/>
        </w:trPr>
        <w:tc>
          <w:tcPr>
            <w:tcW w:w="3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Gain (loss)</w:t>
            </w:r>
          </w:p>
        </w:tc>
      </w:tr>
      <w:tr>
        <w:trPr>
          <w:trHeight w:val="216"/>
        </w:trPr>
        <w:tc>
          <w:tcPr>
            <w:tcW w:w="32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Derivatives designated as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Gain (loss)</w:t>
            </w:r>
          </w:p>
        </w:tc>
        <w:tc>
          <w:tcPr>
            <w:tcW w:w="18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Location of gain (loss)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reclassified from</w:t>
            </w:r>
          </w:p>
        </w:tc>
      </w:tr>
      <w:tr>
        <w:trPr>
          <w:trHeight w:val="234"/>
        </w:trPr>
        <w:tc>
          <w:tcPr>
            <w:tcW w:w="32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hedging instruments</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recognized in AOCI</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recognized in income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AOCI into income</w:t>
            </w:r>
          </w:p>
        </w:tc>
      </w:tr>
      <w:tr>
        <w:trPr>
          <w:trHeight w:val="210"/>
        </w:trPr>
        <w:tc>
          <w:tcPr>
            <w:tcW w:w="32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900" w:type="dxa"/>
            <w:vAlign w:val="bottom"/>
            <w:tcBorders>
              <w:top w:val="single" w:sz="8" w:color="auto"/>
              <w:bottom w:val="single" w:sz="8" w:color="CCEEFF"/>
            </w:tcBorders>
            <w:gridSpan w:val="2"/>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r>
      <w:tr>
        <w:trPr>
          <w:trHeight w:val="20"/>
        </w:trPr>
        <w:tc>
          <w:tcPr>
            <w:tcW w:w="3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426"/>
        </w:trPr>
        <w:tc>
          <w:tcPr>
            <w:tcW w:w="324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gridSpan w:val="11"/>
          </w:tcPr>
          <w:p>
            <w:pPr>
              <w:ind w:left="240"/>
              <w:spacing w:after="0"/>
              <w:rPr>
                <w:sz w:val="20"/>
                <w:szCs w:val="20"/>
                <w:color w:val="auto"/>
              </w:rPr>
            </w:pPr>
            <w:r>
              <w:rPr>
                <w:rFonts w:ascii="Times New Roman" w:cs="Times New Roman" w:eastAsia="Times New Roman" w:hAnsi="Times New Roman"/>
                <w:sz w:val="18"/>
                <w:szCs w:val="18"/>
                <w:color w:val="auto"/>
              </w:rPr>
              <w:t>Nine-Months Ended September 30, 2023</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191"/>
        </w:trPr>
        <w:tc>
          <w:tcPr>
            <w:tcW w:w="3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Gain (loss)</w:t>
            </w:r>
          </w:p>
        </w:tc>
      </w:tr>
      <w:tr>
        <w:trPr>
          <w:trHeight w:val="216"/>
        </w:trPr>
        <w:tc>
          <w:tcPr>
            <w:tcW w:w="32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Derivatives designated as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Gain (loss)</w:t>
            </w:r>
          </w:p>
        </w:tc>
        <w:tc>
          <w:tcPr>
            <w:tcW w:w="18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Location of gain (loss)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reclassified from</w:t>
            </w:r>
          </w:p>
        </w:tc>
      </w:tr>
      <w:tr>
        <w:trPr>
          <w:trHeight w:val="234"/>
        </w:trPr>
        <w:tc>
          <w:tcPr>
            <w:tcW w:w="32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hedging instruments</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recognized in AOCI</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recognized in income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AOCI into income</w:t>
            </w:r>
          </w:p>
        </w:tc>
      </w:tr>
      <w:tr>
        <w:trPr>
          <w:trHeight w:val="209"/>
        </w:trPr>
        <w:tc>
          <w:tcPr>
            <w:tcW w:w="32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900" w:type="dxa"/>
            <w:vAlign w:val="bottom"/>
            <w:tcBorders>
              <w:top w:val="single" w:sz="8" w:color="auto"/>
              <w:bottom w:val="single" w:sz="8" w:color="CCEEFF"/>
            </w:tcBorders>
            <w:gridSpan w:val="2"/>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estimates that it will reclassify into earnings net gains (losses) of $5.1 million from the amount recorded in AOCI as the anticipated cash flows occur during the next 12 months.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Economic (Non-Designated) Hedging Strategy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exposed to foreign currency exchange rate risks related primarily to its foreign business operations. During the three- and nine-months ended September 30, 2024 and 2023,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September 30, 2024 have terms of approximately one month or less. The Company does not enter into forward currency exchange contracts for speculation or trading purposes.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not designated its foreign currency exchange contracts as hedge transactions. Therefore, gains and losses on the Company’s foreign currency exchange contracts are recognized in interest and other income (expense), net, in the condensed consolidated statements of income, and are largely offset by the changes in the fair value of the underlying economically hedged item. The total notional values of derivatives related to our foreign currency economic hedges were $354.1 million and $282.7 million as of September 30, 2024 and December 31, 2023, respectively.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net gains (losses) on derivatives not designated as hedging instruments in the condensed consolidated statements of income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Gain (loss) recognized</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color w:val="auto"/>
              </w:rPr>
              <w:t>in income on derivatives</w:t>
            </w:r>
          </w:p>
        </w:tc>
        <w:tc>
          <w:tcPr>
            <w:tcW w:w="0" w:type="dxa"/>
            <w:vAlign w:val="bottom"/>
          </w:tcPr>
          <w:p>
            <w:pPr>
              <w:spacing w:after="0"/>
              <w:rPr>
                <w:sz w:val="1"/>
                <w:szCs w:val="1"/>
                <w:color w:val="auto"/>
              </w:rPr>
            </w:pPr>
          </w:p>
        </w:tc>
      </w:tr>
      <w:tr>
        <w:trPr>
          <w:trHeight w:val="209"/>
        </w:trPr>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Derivatives not designated as</w:t>
            </w:r>
          </w:p>
        </w:tc>
        <w:tc>
          <w:tcPr>
            <w:tcW w:w="240" w:type="dxa"/>
            <w:vAlign w:val="bottom"/>
          </w:tcPr>
          <w:p>
            <w:pPr>
              <w:spacing w:after="0"/>
              <w:rPr>
                <w:sz w:val="18"/>
                <w:szCs w:val="18"/>
                <w:color w:val="auto"/>
              </w:rPr>
            </w:pP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Location of gain (loss)</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color w:val="auto"/>
              </w:rPr>
              <w:t>Three-Months Ended</w:t>
            </w:r>
          </w:p>
        </w:tc>
        <w:tc>
          <w:tcPr>
            <w:tcW w:w="0" w:type="dxa"/>
            <w:vAlign w:val="bottom"/>
          </w:tcPr>
          <w:p>
            <w:pPr>
              <w:spacing w:after="0"/>
              <w:rPr>
                <w:sz w:val="1"/>
                <w:szCs w:val="1"/>
                <w:color w:val="auto"/>
              </w:rPr>
            </w:pPr>
          </w:p>
        </w:tc>
      </w:tr>
      <w:tr>
        <w:trPr>
          <w:trHeight w:val="191"/>
        </w:trPr>
        <w:tc>
          <w:tcPr>
            <w:tcW w:w="3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center"/>
              <w:ind w:right="300"/>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116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hedging instruments</w:t>
            </w:r>
          </w:p>
        </w:tc>
        <w:tc>
          <w:tcPr>
            <w:tcW w:w="240" w:type="dxa"/>
            <w:vAlign w:val="bottom"/>
            <w:tcBorders>
              <w:bottom w:val="single" w:sz="8" w:color="CCEEFF"/>
            </w:tcBorders>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recognized in income on derivatives</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40" w:type="dxa"/>
            <w:vAlign w:val="bottom"/>
            <w:tcBorders>
              <w:bottom w:val="single" w:sz="8" w:color="CCEEFF"/>
            </w:tcBorders>
            <w:shd w:val="clear" w:color="auto" w:fill="CCEEFF"/>
          </w:tcPr>
          <w:p>
            <w:pPr>
              <w:spacing w:after="0"/>
              <w:rPr>
                <w:sz w:val="18"/>
                <w:szCs w:val="18"/>
                <w:color w:val="auto"/>
              </w:rPr>
            </w:pPr>
          </w:p>
        </w:tc>
        <w:tc>
          <w:tcPr>
            <w:tcW w:w="30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Interest and other income (expense), net</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320" w:type="dxa"/>
            <w:vAlign w:val="bottom"/>
            <w:gridSpan w:val="2"/>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820" w:type="dxa"/>
            <w:vAlign w:val="bottom"/>
          </w:tcPr>
          <w:p>
            <w:pPr>
              <w:spacing w:after="0"/>
              <w:rPr>
                <w:sz w:val="24"/>
                <w:szCs w:val="24"/>
                <w:color w:val="auto"/>
              </w:rPr>
            </w:pPr>
          </w:p>
        </w:tc>
        <w:tc>
          <w:tcPr>
            <w:tcW w:w="33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Gain (loss) recognized</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rPr>
              <w:t>in income on derivatives</w:t>
            </w:r>
          </w:p>
        </w:tc>
        <w:tc>
          <w:tcPr>
            <w:tcW w:w="0" w:type="dxa"/>
            <w:vAlign w:val="bottom"/>
          </w:tcPr>
          <w:p>
            <w:pPr>
              <w:spacing w:after="0"/>
              <w:rPr>
                <w:sz w:val="1"/>
                <w:szCs w:val="1"/>
                <w:color w:val="auto"/>
              </w:rPr>
            </w:pPr>
          </w:p>
        </w:tc>
      </w:tr>
      <w:tr>
        <w:trPr>
          <w:trHeight w:val="210"/>
        </w:trPr>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Derivatives not designated as</w:t>
            </w:r>
          </w:p>
        </w:tc>
        <w:tc>
          <w:tcPr>
            <w:tcW w:w="240" w:type="dxa"/>
            <w:vAlign w:val="bottom"/>
          </w:tcPr>
          <w:p>
            <w:pPr>
              <w:spacing w:after="0"/>
              <w:rPr>
                <w:sz w:val="18"/>
                <w:szCs w:val="18"/>
                <w:color w:val="auto"/>
              </w:rPr>
            </w:pP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Location of gain (loss)</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Nine-Months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16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hedging instruments</w:t>
            </w:r>
          </w:p>
        </w:tc>
        <w:tc>
          <w:tcPr>
            <w:tcW w:w="240" w:type="dxa"/>
            <w:vAlign w:val="bottom"/>
            <w:tcBorders>
              <w:bottom w:val="single" w:sz="8" w:color="CCEEFF"/>
            </w:tcBorders>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recognized in income on derivatives</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40" w:type="dxa"/>
            <w:vAlign w:val="bottom"/>
            <w:tcBorders>
              <w:bottom w:val="single" w:sz="8" w:color="CCEEFF"/>
            </w:tcBorders>
            <w:shd w:val="clear" w:color="auto" w:fill="CCEEFF"/>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of the Company’s counterparty agreements contain provisions that require the Company to post collateral on derivative instruments in a net liability position. As of September 30, 2024, $1.9 million was held as collateral and $2.8 million was posted as collateral.</w:t>
      </w:r>
    </w:p>
    <w:p>
      <w:pPr>
        <w:spacing w:after="0" w:line="176"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w:t>
      </w:r>
    </w:p>
    <w:p>
      <w:pPr>
        <w:spacing w:after="0" w:line="18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consist of the following at: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1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September 30,</w:t>
            </w: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330,021</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511,766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639,982</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770,338</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971,406</w:t>
            </w: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8.</w:t>
            </w:r>
          </w:p>
        </w:tc>
        <w:tc>
          <w:tcPr>
            <w:tcW w:w="5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0" w:type="dxa"/>
            <w:vAlign w:val="bottom"/>
            <w:vMerge w:val="continue"/>
          </w:tcPr>
          <w:p>
            <w:pPr>
              <w:spacing w:after="0"/>
              <w:rPr>
                <w:sz w:val="24"/>
                <w:szCs w:val="24"/>
                <w:color w:val="auto"/>
              </w:rPr>
            </w:pPr>
          </w:p>
        </w:tc>
        <w:tc>
          <w:tcPr>
            <w:tcW w:w="516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5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Property and equipment consist of the following at:</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1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September 30,</w:t>
            </w: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152,253</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37,946</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30,904</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426,466</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211,951</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69,527</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Assets under construction</w:t>
            </w:r>
          </w:p>
        </w:tc>
        <w:tc>
          <w:tcPr>
            <w:tcW w:w="1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307,724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211,562</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1,312,783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1,152,031</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(305,995)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(261,235)</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1,006,788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890,796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depreciation and amortization expense was $17.7 million and $16.7 million for the three-months ended September 30, 2024 and 2023, respectively. Total depreciation and amortization expense was $54.6 million and $46.1 million for the nine-months ended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 ASSETS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roll-forward of goodwill for the nine-months ended September 30, 2024 and 2023 by reportable segment: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Monster</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Energy®</w:t>
            </w:r>
          </w:p>
        </w:tc>
        <w:tc>
          <w:tcPr>
            <w:tcW w:w="12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Strategic</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Alcohol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Drinks</w:t>
            </w:r>
          </w:p>
        </w:tc>
        <w:tc>
          <w:tcPr>
            <w:tcW w:w="12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Brands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Brands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$ 1,417,941</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$ 1,417,941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Monster</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Energy®</w:t>
            </w:r>
          </w:p>
        </w:tc>
        <w:tc>
          <w:tcPr>
            <w:tcW w:w="12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Strategic</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Alcohol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Drinks</w:t>
            </w:r>
          </w:p>
        </w:tc>
        <w:tc>
          <w:tcPr>
            <w:tcW w:w="12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Brands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Brands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$ 1,417,941</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$ 1,417,941</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Intangible assets consist of the following at:</w:t>
            </w: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September 30,</w:t>
            </w: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Amortizing intangibles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151,344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144,582</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(79,904)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(74,699)</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69,883</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Non-amortizing intangibles</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1,370,986</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1,357,256</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1,442,426</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1,427,139</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ten to fifteen years. Total amortization expense was $2.2 million and $1.3 million for the three-months ended September 30, 2024 and 2023, respectively. Total amortization expense was $5.2 million and $4.2 million for the nine-months ended September 30, 2024 and 2023, respectively. For the three- and nine-months ended September 30, 2024, no impairment charges were recorded to intangible assets. For the three-months ended September 30, 2023, no intangible impairment charges were recorded to intangible assets. For the nine-months ended September 30, 2023, impairment charges of $2.8 million were recorded to non-amortizing intangibles.</w:t>
      </w:r>
    </w:p>
    <w:p>
      <w:pPr>
        <w:spacing w:after="0" w:line="1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is the future estimated amortization expense related to amortizing intangibles as of September 30, 2024:</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(from October 1, 2024 to December 31, 2024)</w:t>
            </w:r>
          </w:p>
        </w:tc>
        <w:tc>
          <w:tcPr>
            <w:tcW w:w="33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30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2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AGREEMENTS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amounts received pursuant to new and/or amended distribution agreements entered into with certain bottlers/distributors, relating to the costs associated with terminating agreements with the Company’s prior distributors, or at the inception of certain sales/marketing programs are accounted for as deferred revenue and are recognized as revenue ratably over the anticipated life of the respective agreement, generally 20 years or program duration, as the case may be. Revenue recognized was $10.0 million for both the three-months ended September 30, 2024 and 2023. Revenue recognized was $29.9 million and $30.0 million for the nine-months ended September 30, 2024 and 2023, respectively.</w:t>
      </w:r>
    </w:p>
    <w:p>
      <w:pPr>
        <w:spacing w:after="0" w:line="18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long-term debt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7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2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 net of unamortized debt issuance costs</w:t>
            </w: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748,842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2024, the Company entered into a credit agreement with JPMorgan Chase Bank, N.A., as administrative agent, and certain other lenders, which provides for senior unsecured credit facilities in an aggregate principal amount of $1.50 billion (collectively, the “Credit Facilities”). The Credit Facilities consist of a $750.0 million term loan (the “Term Loan”) and up to $750.0 million in multicurrency revolving loan commitments (the “Revolving Credit Facility”). The Term Loan matures May 2027 and the Revolving Credit Facility matures May 2029. As of September 30, 2024, the Company was in compliance with all covenants under the Credit Facilities.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Borrowings under the Credit Facilities bear interest at a variable rate per annum equal to the applicable rate plus margin (as defined in the Credit Facilities). The interest rate in effect on the Term Loan was 6.09% as of September 30, 2024. No borrowings were outstanding under the Revolving Credit Facility as of September 30, 2024.</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Borrowings under the Credit Facilities are due on the respective maturity date. Borrowings may be repaid at any time during the term of the Credit Facilities and, in the case of the Revolving Credit Facility, may be reborrowed prior to the maturity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the Company has a line of credit of up to $15.0 million with HSBC Bank (China) Company Limited, Shanghai Branch. At September 30, 2024, the interest rate on borrowings under the line of credit was 5.5%. As of September 30, 2024, no amount was outstanding on this line of credit.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Level 2 inputs, the carrying value of the Company’s debt approximates fair value, as borrowings are subject to variable interest rates that adjust with changes in market rates and market conditions and the current interest rate approximates that which would be available under similar financial arrangements.</w:t>
      </w:r>
    </w:p>
    <w:p>
      <w:pPr>
        <w:spacing w:after="0" w:line="176"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CONTINGENCIES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purchase commitments aggregating approximately $238.1 million at September 30, 2024, which represented commitments made by the Company and its subsidiaries to various suppliers of raw materials for the production of its products. These obligations vary in terms but are generally satisfied within one year.</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contractual obligations aggregating approximately $400.6 million at September 30, 2024, which related primarily to sponsorships and other marketing activities.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Litigation — </w:t>
      </w:r>
      <w:r>
        <w:rPr>
          <w:rFonts w:ascii="Times New Roman" w:cs="Times New Roman" w:eastAsia="Times New Roman" w:hAnsi="Times New Roman"/>
          <w:sz w:val="18"/>
          <w:szCs w:val="18"/>
          <w:color w:val="auto"/>
        </w:rPr>
        <w:t>From time to time in the normal course of business, the Company is named in litigation, including labor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evaluates, on a quarterly basis, developments in legal proceedings and other matters that could cause an increase or decrease in the amount of the liability that is accrued, if any, and any related insurance reimbursements. As of September 30, 2024 and December 31, 2023, $16.8 million and $0.3 million, respectively, of loss contingencies were included in the Company’s accompanying condensed consolidated balance sheets.</w:t>
      </w:r>
    </w:p>
    <w:p>
      <w:pPr>
        <w:spacing w:after="0" w:line="193"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OTHER COMPREHENSIVE LOSS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by component, after tax, for the nine-months ended September 30, 2024 and 2023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Net Gains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Currency</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(Losses) on</w:t>
            </w:r>
          </w:p>
        </w:tc>
        <w:tc>
          <w:tcPr>
            <w:tcW w:w="20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Translation</w:t>
            </w: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7"/>
              </w:rPr>
              <w:t>on Available-</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Commodity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for-Sale</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(Losses)</w:t>
            </w:r>
          </w:p>
        </w:tc>
        <w:tc>
          <w:tcPr>
            <w:tcW w:w="1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Securities</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(125,337)</w:t>
            </w:r>
          </w:p>
        </w:tc>
        <w:tc>
          <w:tcPr>
            <w:tcW w:w="0" w:type="dxa"/>
            <w:vAlign w:val="bottom"/>
          </w:tcPr>
          <w:p>
            <w:pPr>
              <w:spacing w:after="0"/>
              <w:rPr>
                <w:sz w:val="1"/>
                <w:szCs w:val="1"/>
                <w:color w:val="auto"/>
              </w:rPr>
            </w:pPr>
          </w:p>
        </w:tc>
      </w:tr>
      <w:tr>
        <w:trPr>
          <w:trHeight w:val="216"/>
        </w:trPr>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(13,953)</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0" w:type="dxa"/>
            <w:vAlign w:val="bottom"/>
          </w:tcPr>
          <w:p>
            <w:pPr>
              <w:spacing w:after="0"/>
              <w:rPr>
                <w:sz w:val="1"/>
                <w:szCs w:val="1"/>
                <w:color w:val="auto"/>
              </w:rPr>
            </w:pPr>
          </w:p>
        </w:tc>
      </w:tr>
      <w:tr>
        <w:trPr>
          <w:trHeight w:val="21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(142,942)</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(137,842)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Net Gains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Currency</w:t>
            </w: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Gains (Losses)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(Losses) on</w:t>
            </w:r>
          </w:p>
        </w:tc>
        <w:tc>
          <w:tcPr>
            <w:tcW w:w="20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Translation</w:t>
            </w: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7"/>
              </w:rPr>
              <w:t>on Available-</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Commodity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for-Sale</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(Losses)</w:t>
            </w:r>
          </w:p>
        </w:tc>
        <w:tc>
          <w:tcPr>
            <w:tcW w:w="1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Securities</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(159,073)</w:t>
            </w:r>
          </w:p>
        </w:tc>
        <w:tc>
          <w:tcPr>
            <w:tcW w:w="0" w:type="dxa"/>
            <w:vAlign w:val="bottom"/>
          </w:tcPr>
          <w:p>
            <w:pPr>
              <w:spacing w:after="0"/>
              <w:rPr>
                <w:sz w:val="1"/>
                <w:szCs w:val="1"/>
                <w:color w:val="auto"/>
              </w:rPr>
            </w:pPr>
          </w:p>
        </w:tc>
      </w:tr>
      <w:tr>
        <w:trPr>
          <w:trHeight w:val="216"/>
        </w:trPr>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(46,074)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(38,960)</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(38,960)</w:t>
            </w:r>
          </w:p>
        </w:tc>
        <w:tc>
          <w:tcPr>
            <w:tcW w:w="0" w:type="dxa"/>
            <w:vAlign w:val="bottom"/>
          </w:tcPr>
          <w:p>
            <w:pPr>
              <w:spacing w:after="0"/>
              <w:rPr>
                <w:sz w:val="1"/>
                <w:szCs w:val="1"/>
                <w:color w:val="auto"/>
              </w:rPr>
            </w:pPr>
          </w:p>
        </w:tc>
      </w:tr>
      <w:tr>
        <w:trPr>
          <w:trHeight w:val="209"/>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(199,304)</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(198,033)</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14.</w:t>
            </w:r>
          </w:p>
        </w:tc>
        <w:tc>
          <w:tcPr>
            <w:tcW w:w="47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TREASURY STOCK</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vMerge w:val="continue"/>
          </w:tcPr>
          <w:p>
            <w:pPr>
              <w:spacing w:after="0"/>
              <w:rPr>
                <w:sz w:val="24"/>
                <w:szCs w:val="24"/>
                <w:color w:val="auto"/>
              </w:rPr>
            </w:pPr>
          </w:p>
        </w:tc>
        <w:tc>
          <w:tcPr>
            <w:tcW w:w="4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2, 2022, the Company’s Board of Directors authorized a share repurchase program for the purchase of up to an additional $500.0 million of the Company’s outstanding common stock (the “November 2022 Repurchase Plan”). During the three-months ended September 30, 2024, the Company repurchased approximately 0.7 million shares of its common stock at an average purchase price of $49.83 per share, for a total amount of approximately $34.7 million, which exhausted the availability under the November 2022 Repurchase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7, 2023, the Company’s Board of Directors authorized a share repurchase program for the purchase of up to an additional $500.0 million of the Company’s outstanding common stock (the “November 2023 Repurchase Plan”). During the three-months ended September 30, 2024, the Company repurchased approximately 10.6 million shares of its common stock at an average purchase price of $47.16 per share, for a total amount of approximately $500.0 million, which exhausted the availability under the November 2023 Repurchase Plan.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19, 2024, the Company’s Board of Directors authorized a share repurchase program for the purchase of up to an additional $500.0 million of the Company’s outstanding common stock (the “August 2024 Repurchase Plan”). During the three-months ended September 30, 2024, no shares were repurchased under the August 2024 Repurchase Plan. As of November 6, 2024, $500.0 million remained available for repurchase under the August 2024 Repurchase Plan.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aggregate amount of the Company’s outstanding common stock that remains available for repurchase under all previously authorized repurchase plans is $500.0 million as of November 6,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Tender Offer</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1, 2024, the Board of Directors authorized the Company to execute a modified “Dutch auction” tender offer to repurchase up to $3.0 billion of its outstanding shares of common stock. On May 8, 2024, the Company commenced the tender offer, with such offer expiring on June 5, 2024. On June 10, 2024, the Company accepted for purchase a total of approximately 56.6 million shares of common stock at a purchase price of $53.00 per share, for an aggregate purchase price of approximately $3.0 billion. The repurchase was funded with approximately $2.25 billion of cash on hand and approximately $750 million in borrowings. The cost of these shares and the fees relating to the tender offer are included in common stock in treasury in the accompanying condensed consolidated balance sheet at September 30, 2024.</w:t>
      </w:r>
    </w:p>
    <w:p>
      <w:pPr>
        <w:spacing w:after="0" w:line="189"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two stock-based compensation plans under which shares were available for grant at September 30, 2024: (i) the Monster Beverage Corporation 2020 Omnibus Incentive Plan, including the Monster Beverage Corporation Deferred Compensation Plan as a sub-plan thereunder, and (ii) the Monster Beverage Corporation 2017 Compensation Plan for Non-Employee Directors as Amended and Restated on February 23, 2022, including the Monster Beverage Corporation Deferred Compensation Plan for Non-Employee Directors as a sub-plan thereunder.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$27.5 million and $17.9 million of compensation expense relating to outstanding options, restricted stock units, performance share units and other share-based awards during the three-months ended September 30, 2024 and 2023, respectively. The Company recorded $68.8 million and $52.5 million of compensation expense relating to outstanding options, restricted stock units, performance share units and other share-based awards during the nine-months ended September 30, 2024 and 2023, respectively.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tax benefit for tax deductions from non-qualified stock option exercises, disqualifying dispositions of incentive stock options and vesting of restricted stock units and performance share units for the three-months ended September 30, 2024 and 2023 was $1.3 million and $(0.2) million, respectively. The tax benefit for tax deductions from non-qualified stock option exercises, disqualifying dispositions of incentive stock options and vesting of restricted stock units and performance share units for the nine-months ended September 30, 2024 and 2023 was $10.3 million and $29.9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Company’s stock-based compensation plans, all stock options granted as of September 30, 2024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options granted during: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20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color w:val="auto"/>
              </w:rPr>
              <w:t>Three-Months Ended September 30,</w:t>
            </w:r>
          </w:p>
        </w:tc>
        <w:tc>
          <w:tcPr>
            <w:tcW w:w="31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Nine-Months Ended September 30,</w:t>
            </w:r>
          </w:p>
        </w:tc>
      </w:tr>
      <w:tr>
        <w:trPr>
          <w:trHeight w:val="209"/>
        </w:trPr>
        <w:tc>
          <w:tcPr>
            <w:tcW w:w="35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CCEEFF"/>
            </w:tcBorders>
          </w:tcPr>
          <w:p>
            <w:pPr>
              <w:spacing w:after="0"/>
              <w:rPr>
                <w:sz w:val="18"/>
                <w:szCs w:val="18"/>
                <w:color w:val="auto"/>
              </w:rPr>
            </w:pP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26.9 %</w:t>
            </w:r>
          </w:p>
        </w:tc>
        <w:tc>
          <w:tcPr>
            <w:tcW w:w="1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27.0 %</w:t>
            </w:r>
          </w:p>
        </w:tc>
        <w:tc>
          <w:tcPr>
            <w:tcW w:w="1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27.4 %</w:t>
            </w:r>
          </w:p>
        </w:tc>
        <w:tc>
          <w:tcPr>
            <w:tcW w:w="1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27.6 %</w:t>
            </w:r>
          </w:p>
        </w:tc>
      </w:tr>
      <w:tr>
        <w:trPr>
          <w:trHeight w:val="229"/>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3.7 %</w:t>
            </w:r>
          </w:p>
        </w:tc>
        <w:tc>
          <w:tcPr>
            <w:tcW w:w="16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4.2 %</w:t>
            </w:r>
          </w:p>
        </w:tc>
        <w:tc>
          <w:tcPr>
            <w:tcW w:w="15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4.2 %</w:t>
            </w:r>
          </w:p>
        </w:tc>
        <w:tc>
          <w:tcPr>
            <w:tcW w:w="16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3.7 %</w:t>
            </w:r>
          </w:p>
        </w:tc>
      </w:t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years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years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 years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years</w:t>
            </w:r>
          </w:p>
        </w:tc>
      </w:tr>
    </w:tbl>
    <w:p>
      <w:pPr>
        <w:spacing w:after="0" w:line="17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Company uses historical volatility as it provides a reasonable estimate of the 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volatility is based on the most recent volatility of the stock price over a period of time equivalent to the expected term of the option.</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based on the U.S. treasury zero-coupon yield curve in effect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for the expected term of the option.</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Company’s expected term represents the weighted-average period that the Company’s stock options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activities with respect to its stock option plans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Weighted-</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Remaining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Average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Contractual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Shares</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Term</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Aggregate</w:t>
            </w:r>
          </w:p>
        </w:tc>
      </w:tr>
      <w:tr>
        <w:trPr>
          <w:trHeight w:val="234"/>
        </w:trPr>
        <w:tc>
          <w:tcPr>
            <w:tcW w:w="520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Options</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 thousands)</w:t>
            </w:r>
          </w:p>
        </w:tc>
        <w:tc>
          <w:tcPr>
            <w:tcW w:w="12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Per Share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years)</w:t>
            </w: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Intrinsic Value</w:t>
            </w:r>
          </w:p>
        </w:tc>
      </w:tr>
      <w:tr>
        <w:trPr>
          <w:trHeight w:val="210"/>
        </w:trPr>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598,866</w:t>
            </w:r>
          </w:p>
        </w:tc>
      </w:tr>
      <w:tr>
        <w:trPr>
          <w:trHeight w:val="216"/>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 01/01/24 - 03/31/24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Granted 04/01/24 - 06/30/24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 07/01/24 - 09/30/24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Cancelled or forfeited</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5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407,665</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and expected to vest in the future at September 30,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26,723</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403,609</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338,040</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three-months ended September 30, 2024 and 2023 was $17.01 per share and $21.01 per share, respectively. The weighted-average grant-date fair value of options granted during the nine-months ended September 30, 2024 and 2023 was $21.41 per share and $18.27 per share,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three-months ended September 30, 2024 and 2023 was $8.2 million and $7.1 million, respectively. The total intrinsic value of options exercised during the nine-months ended September 30, 2024 and 2023 was $66.0 million and $164.9 million,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received from option exercises under all plans for the three-months ended September 30, 2024 and 2023 was $10.0 million and $5.9 million, respectively. Cash received from option exercises under all plans for the nine-months ended September 30, 2024 and 2023 was $62.1 million and $65.6 million, respectively.</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2024, there was $165.2 million of total unrecognized compensation expense related to non-vested options granted to employees under the Company’s stock-based compensation plans. That cost is expected to be recognized over a weighted-average period of 3.3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 and Performance Share Units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activities with respect to non-vested restricted stock units and performance share units as follows:</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Number of Shares</w:t>
            </w:r>
          </w:p>
        </w:tc>
        <w:tc>
          <w:tcPr>
            <w:tcW w:w="18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Weighted-Average Grant-</w:t>
            </w:r>
          </w:p>
        </w:tc>
      </w:tr>
      <w:tr>
        <w:trPr>
          <w:trHeight w:val="234"/>
        </w:trPr>
        <w:tc>
          <w:tcPr>
            <w:tcW w:w="45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Date Fair Value</w:t>
            </w: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r>
      <w:tr>
        <w:trPr>
          <w:trHeight w:val="216"/>
        </w:trPr>
        <w:tc>
          <w:tcPr>
            <w:tcW w:w="45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Granted 01/01/24 - 03/31/24</w:t>
            </w:r>
            <w:r>
              <w:rPr>
                <w:rFonts w:ascii="Times New Roman" w:cs="Times New Roman" w:eastAsia="Times New Roman" w:hAnsi="Times New Roman"/>
                <w:sz w:val="25"/>
                <w:szCs w:val="25"/>
                <w:color w:val="auto"/>
                <w:vertAlign w:val="superscript"/>
              </w:rPr>
              <w:t>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42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w:t>
            </w:r>
          </w:p>
        </w:tc>
      </w:tr>
      <w:tr>
        <w:trPr>
          <w:trHeight w:val="216"/>
        </w:trPr>
        <w:tc>
          <w:tcPr>
            <w:tcW w:w="4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Granted 04/01/24 - 06/30/24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w:t>
            </w:r>
          </w:p>
        </w:tc>
      </w:tr>
      <w:tr>
        <w:trPr>
          <w:trHeight w:val="216"/>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 07/01/24 - 09/30/24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w:t>
            </w:r>
          </w:p>
        </w:tc>
      </w:tr>
      <w:tr>
        <w:trPr>
          <w:trHeight w:val="216"/>
        </w:trPr>
        <w:tc>
          <w:tcPr>
            <w:tcW w:w="4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42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r>
      <w:tr>
        <w:trPr>
          <w:trHeight w:val="216"/>
        </w:trPr>
        <w:tc>
          <w:tcPr>
            <w:tcW w:w="4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Forfeited/cancelled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Borders>
              <w:bottom w:val="single" w:sz="8" w:color="CCEEFF"/>
            </w:tcBorders>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37.77</w:t>
            </w:r>
          </w:p>
        </w:tc>
      </w:tr>
      <w:tr>
        <w:trPr>
          <w:trHeight w:val="209"/>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September 30, 2024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420" w:type="dxa"/>
            <w:vAlign w:val="bottom"/>
            <w:tcBorders>
              <w:bottom w:val="single" w:sz="8" w:color="CCEEFF"/>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r>
      <w:tr>
        <w:trPr>
          <w:trHeight w:val="20"/>
        </w:trPr>
        <w:tc>
          <w:tcPr>
            <w:tcW w:w="4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left="980"/>
        <w:spacing w:after="0" w:line="235" w:lineRule="auto"/>
        <w:rPr>
          <w:sz w:val="20"/>
          <w:szCs w:val="20"/>
          <w:color w:val="auto"/>
        </w:rPr>
      </w:pP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6"/>
          <w:szCs w:val="16"/>
          <w:i w:val="1"/>
          <w:iCs w:val="1"/>
          <w:color w:val="auto"/>
        </w:rPr>
        <w:t>The grant activity for performance share units is recorded based on the target performance level earning 100% of target performance share units. The actual number of performance share units earned could range from 0% to 200% of target depending on the achievement of pre-established performance goals.</w:t>
      </w:r>
    </w:p>
    <w:p>
      <w:pPr>
        <w:spacing w:after="0" w:line="20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restricted stock units and/or performance share units granted during the three-months ended September 30, 2024 and 2023 was $48.40 and $56.38 per share, respectively. The weighted-average grant-date fair value of restricted stock units and/or performance share units granted during the nine-months ended September 30, 2024 and 2023 was $58.80 and $51.22 per share, respectively.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1.6 million of restricted stock units and performance share units are expected to vest over their respective terms.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2024, total unrecognized compensation expense relating to non-vested restricted stock units and performance share units was $44.9 million, which is expected to be recognized over a weighted-average period of 1.4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Share-Based Awards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September 30, 2024, other share-based awards outstanding included grants that vest over three years payable in the first quarters of 2025, 2026 and 2027.</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2024, there was $0.1 million of total unrecognized compensation expense related to nonvested other share-based awards granted to employees under the Company’s stock-based compensation plans. That cost is expected to be recognized over a weighted-average period of 0.3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roll-forward of the Company’s total gross unrecognized tax benefits, not including interest and penalties, for the nine-months ended September 30, 2024:</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Unrecognized</w:t>
            </w:r>
          </w:p>
        </w:tc>
      </w:tr>
      <w:tr>
        <w:trPr>
          <w:trHeight w:val="234"/>
        </w:trPr>
        <w:tc>
          <w:tcPr>
            <w:tcW w:w="63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Tax Benefits</w:t>
            </w:r>
          </w:p>
        </w:tc>
      </w:tr>
      <w:tr>
        <w:trPr>
          <w:trHeight w:val="20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prior years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Decreases for tax positions related to the prior years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in the provision for income taxes in the Company’s condensed consolidated financial statements. As of September 30, 2024, the Company had approximately $0.9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subject to U.S. federal income tax as well as to income tax in multiple state and foreign jurisdictions.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in various stages of examination with certain states and certain foreign jurisdictions. The Company’s 2020 through 2023 U.S. federal income tax returns are subject to examination by the IRS. The Company’s state income tax returns are subject to examination for the 2019 through 2023 tax years. The United Kingdom and Ireland income tax returns are subject to examination for the 2019 through 2023 tax years.</w:t>
      </w:r>
    </w:p>
    <w:p>
      <w:pPr>
        <w:spacing w:after="0" w:line="180"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weighted-average shares used in the basic and diluted earnings per common share computations is presented below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08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rPr>
              <w:t>Three-Months Ended</w:t>
            </w:r>
          </w:p>
        </w:tc>
        <w:tc>
          <w:tcPr>
            <w:tcW w:w="19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Nine-Months Ended</w:t>
            </w:r>
          </w:p>
        </w:tc>
      </w:tr>
      <w:tr>
        <w:trPr>
          <w:trHeight w:val="234"/>
        </w:trPr>
        <w:tc>
          <w:tcPr>
            <w:tcW w:w="5940" w:type="dxa"/>
            <w:vAlign w:val="bottom"/>
          </w:tcPr>
          <w:p>
            <w:pPr>
              <w:spacing w:after="0"/>
              <w:rPr>
                <w:sz w:val="20"/>
                <w:szCs w:val="20"/>
                <w:color w:val="auto"/>
              </w:rPr>
            </w:pPr>
          </w:p>
        </w:tc>
        <w:tc>
          <w:tcPr>
            <w:tcW w:w="20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w:t>
            </w:r>
          </w:p>
        </w:tc>
        <w:tc>
          <w:tcPr>
            <w:tcW w:w="19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10"/>
        </w:trPr>
        <w:tc>
          <w:tcPr>
            <w:tcW w:w="594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975,841</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1,047,015</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1,015,252</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1,046,337</w:t>
            </w: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1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1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w:t>
            </w:r>
          </w:p>
        </w:tc>
      </w:tr>
      <w:tr>
        <w:trPr>
          <w:trHeight w:val="210"/>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983,171</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1,059,966</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1,023,912</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1,059,809</w:t>
            </w:r>
          </w:p>
        </w:tc>
      </w:tr>
      <w:tr>
        <w:trPr>
          <w:trHeight w:val="20"/>
        </w:trPr>
        <w:tc>
          <w:tcPr>
            <w:tcW w:w="5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three-months ended September 30, 2024 and 2023, options and awards outstanding totaling 9.2 million shares and 4.1 million shares, respectively, were excluded from the calculations as their effect would have been antidilutive. For the nine-months ended September 30, 2024 and 2023, options and awards outstanding totaling 7.6 million shares and 3.1 million shares, respectively, were excluded from the calculations as their effect would have been antidilutive.</w:t>
      </w:r>
    </w:p>
    <w:p>
      <w:pPr>
        <w:spacing w:after="0" w:line="180"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INFORMATION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four operating and reportable segments: (i) Monster Energy® Drinks segment, which is primarily comprised of the Company’s Monster Energy® drinks, Reign Total Body Fuel® high performance energy drinks, Reign Storm® total wellness energy drinks and Bang Energy® drinks, (ii) Strategic Brands segment, which is primarily comprised of the various energy drink brands acquired from TCCC in 2015 as well as the Company’s affordable energy brands, Predator® and Fury®, (iii) Alcohol Brands segment, which is comprised of various craft beers, hard seltzers and FMBs and (iv) Other segment, which is comprised of the AFF Third-Party Products.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Generally, the Monster Energy® Drinks segment generates higher per case net operating revenues, but lower per case gross profit margin percentages than the Strategic Brands segment.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Alcohol Brands segment primarily generates operating revenues by selling kegged and ready-to-drink canned beers, hard seltzers and FMBs primarily to beer distributors in the United States.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Generally, the Alcohol Brands segment has lower gross profit margin percentages than the Monster Energy® Drinks segment.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net revenues derived from the Company’s reportable segments and other financial information related thereto for the three-and nine-months ended September 30, 2024 and 2023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Three-Months Ended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Nine-Months Ended</w:t>
            </w:r>
          </w:p>
        </w:tc>
      </w:tr>
      <w:tr>
        <w:trPr>
          <w:trHeight w:val="234"/>
        </w:trPr>
        <w:tc>
          <w:tcPr>
            <w:tcW w:w="3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09"/>
        </w:trPr>
        <w:tc>
          <w:tcPr>
            <w:tcW w:w="34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40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Monster Energy® Drinks</w:t>
            </w:r>
            <w:r>
              <w:rPr>
                <w:rFonts w:ascii="Times New Roman" w:cs="Times New Roman" w:eastAsia="Times New Roman" w:hAnsi="Times New Roman"/>
                <w:sz w:val="25"/>
                <w:szCs w:val="25"/>
                <w:color w:val="auto"/>
                <w:vertAlign w:val="superscript"/>
              </w:rPr>
              <w:t>1</w:t>
            </w:r>
          </w:p>
        </w:tc>
        <w:tc>
          <w:tcPr>
            <w:tcW w:w="1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1,722,693</w:t>
            </w:r>
          </w:p>
        </w:tc>
        <w:tc>
          <w:tcPr>
            <w:tcW w:w="2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1,708,242</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5,194,552</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4,956,797</w:t>
            </w:r>
          </w:p>
        </w:tc>
      </w:t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Brands</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330,232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284,810</w:t>
            </w:r>
          </w:p>
        </w:tc>
      </w:tr>
      <w:tr>
        <w:trPr>
          <w:trHeight w:val="216"/>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Alcohol Brands</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137,417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149,692</w:t>
            </w:r>
          </w:p>
        </w:tc>
      </w:t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18,620</w:t>
            </w:r>
          </w:p>
        </w:tc>
      </w:tr>
      <w:tr>
        <w:trPr>
          <w:trHeight w:val="216"/>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1,880,973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1,856,028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5,680,668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5,409,919</w:t>
            </w:r>
          </w:p>
        </w:tc>
      </w:tr>
      <w:tr>
        <w:trPr>
          <w:trHeight w:val="20"/>
        </w:trPr>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45"/>
        </w:trPr>
        <w:tc>
          <w:tcPr>
            <w:tcW w:w="340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60"/>
        </w:trPr>
        <w:tc>
          <w:tcPr>
            <w:tcW w:w="3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color w:val="auto"/>
              </w:rPr>
              <w:t>Three-Months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5"/>
          </w:tcPr>
          <w:p>
            <w:pPr>
              <w:jc w:val="center"/>
              <w:ind w:right="150"/>
              <w:spacing w:after="0"/>
              <w:rPr>
                <w:sz w:val="20"/>
                <w:szCs w:val="20"/>
                <w:color w:val="auto"/>
              </w:rPr>
            </w:pPr>
            <w:r>
              <w:rPr>
                <w:rFonts w:ascii="Times New Roman" w:cs="Times New Roman" w:eastAsia="Times New Roman" w:hAnsi="Times New Roman"/>
                <w:sz w:val="18"/>
                <w:szCs w:val="18"/>
                <w:color w:val="auto"/>
                <w:w w:val="99"/>
              </w:rPr>
              <w:t>Nine-Months Ended</w:t>
            </w:r>
          </w:p>
        </w:tc>
      </w:tr>
      <w:tr>
        <w:trPr>
          <w:trHeight w:val="234"/>
        </w:trPr>
        <w:tc>
          <w:tcPr>
            <w:tcW w:w="3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09"/>
        </w:trPr>
        <w:tc>
          <w:tcPr>
            <w:tcW w:w="34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40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Monster Energy® Drinks</w:t>
            </w:r>
            <w:r>
              <w:rPr>
                <w:rFonts w:ascii="Times New Roman" w:cs="Times New Roman" w:eastAsia="Times New Roman" w:hAnsi="Times New Roman"/>
                <w:sz w:val="25"/>
                <w:szCs w:val="25"/>
                <w:color w:val="auto"/>
                <w:vertAlign w:val="superscript"/>
              </w:rPr>
              <w:t>1</w:t>
            </w: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601,688</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603,670</w:t>
            </w:r>
          </w:p>
        </w:tc>
        <w:tc>
          <w:tcPr>
            <w:tcW w:w="10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1,842,066</w:t>
            </w:r>
          </w:p>
        </w:tc>
        <w:tc>
          <w:tcPr>
            <w:tcW w:w="100" w:type="dxa"/>
            <w:vAlign w:val="bottom"/>
          </w:tcPr>
          <w:p>
            <w:pPr>
              <w:spacing w:after="0"/>
              <w:rPr>
                <w:sz w:val="18"/>
                <w:szCs w:val="18"/>
                <w:color w:val="auto"/>
              </w:rPr>
            </w:pP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1,762,410</w:t>
            </w:r>
          </w:p>
        </w:tc>
      </w:t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Brands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159,639</w:t>
            </w:r>
          </w:p>
        </w:tc>
      </w:tr>
      <w:tr>
        <w:trPr>
          <w:trHeight w:val="216"/>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Alcohol Brands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(22,609)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(25,193)</w:t>
            </w:r>
          </w:p>
        </w:tc>
      </w:t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r>
      <w:tr>
        <w:trPr>
          <w:trHeight w:val="216"/>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(160,764)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(135,435)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(429,506)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(380,114)</w:t>
            </w:r>
          </w:p>
        </w:tc>
      </w:tr>
      <w:tr>
        <w:trPr>
          <w:trHeight w:val="210"/>
        </w:trPr>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479,916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1,549,070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1,519,396</w:t>
            </w:r>
          </w:p>
        </w:tc>
      </w:tr>
      <w:tr>
        <w:trPr>
          <w:trHeight w:val="20"/>
        </w:trPr>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r>
      <w:tr>
        <w:trPr>
          <w:trHeight w:val="408"/>
        </w:trPr>
        <w:tc>
          <w:tcPr>
            <w:tcW w:w="3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color w:val="auto"/>
              </w:rPr>
              <w:t>Three-Months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jc w:val="center"/>
              <w:ind w:right="150"/>
              <w:spacing w:after="0"/>
              <w:rPr>
                <w:sz w:val="20"/>
                <w:szCs w:val="20"/>
                <w:color w:val="auto"/>
              </w:rPr>
            </w:pPr>
            <w:r>
              <w:rPr>
                <w:rFonts w:ascii="Times New Roman" w:cs="Times New Roman" w:eastAsia="Times New Roman" w:hAnsi="Times New Roman"/>
                <w:sz w:val="18"/>
                <w:szCs w:val="18"/>
                <w:color w:val="auto"/>
                <w:w w:val="99"/>
              </w:rPr>
              <w:t>Nine-Months Ended</w:t>
            </w:r>
          </w:p>
        </w:tc>
      </w:tr>
      <w:tr>
        <w:trPr>
          <w:trHeight w:val="234"/>
        </w:trPr>
        <w:tc>
          <w:tcPr>
            <w:tcW w:w="3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10"/>
        </w:trPr>
        <w:tc>
          <w:tcPr>
            <w:tcW w:w="34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40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Monster Energy® Drinks</w:t>
            </w:r>
            <w:r>
              <w:rPr>
                <w:rFonts w:ascii="Times New Roman" w:cs="Times New Roman" w:eastAsia="Times New Roman" w:hAnsi="Times New Roman"/>
                <w:sz w:val="25"/>
                <w:szCs w:val="25"/>
                <w:color w:val="auto"/>
                <w:vertAlign w:val="superscript"/>
              </w:rPr>
              <w:t>1</w:t>
            </w: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603,442</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604,688</w:t>
            </w:r>
          </w:p>
        </w:tc>
        <w:tc>
          <w:tcPr>
            <w:tcW w:w="10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1,846,003</w:t>
            </w:r>
          </w:p>
        </w:tc>
        <w:tc>
          <w:tcPr>
            <w:tcW w:w="100" w:type="dxa"/>
            <w:vAlign w:val="bottom"/>
          </w:tcPr>
          <w:p>
            <w:pPr>
              <w:spacing w:after="0"/>
              <w:rPr>
                <w:sz w:val="18"/>
                <w:szCs w:val="18"/>
                <w:color w:val="auto"/>
              </w:rPr>
            </w:pP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1,765,018</w:t>
            </w:r>
          </w:p>
        </w:tc>
      </w:t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Brands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159,683</w:t>
            </w:r>
          </w:p>
        </w:tc>
      </w:tr>
      <w:tr>
        <w:trPr>
          <w:trHeight w:val="216"/>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Alcohol Brands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(22,636)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(25,208)</w:t>
            </w:r>
          </w:p>
        </w:tc>
      </w:t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16"/>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(168,317)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(379,075)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(283,766)</w:t>
            </w:r>
          </w:p>
        </w:tc>
      </w:tr>
      <w:tr>
        <w:trPr>
          <w:trHeight w:val="209"/>
        </w:trPr>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474,096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1,603,381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1,618,406</w:t>
            </w:r>
          </w:p>
        </w:tc>
      </w:tr>
      <w:tr>
        <w:trPr>
          <w:trHeight w:val="20"/>
        </w:trPr>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left="340" w:hanging="332"/>
        <w:spacing w:after="0" w:line="296" w:lineRule="auto"/>
        <w:tabs>
          <w:tab w:leader="none" w:pos="340" w:val="left"/>
        </w:tabs>
        <w:numPr>
          <w:ilvl w:val="0"/>
          <w:numId w:val="1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$10.0 million for both the three-months ended September 30, 2024 and 2023, related to the recognition of deferred revenue. Includes $29.9 million and $30.0 million for the nine-months ended September 30, 2024 and 2023, respectively, related to the recognition of deferred revenue.</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Three-Months Ended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Nine-Months Ended</w:t>
            </w:r>
          </w:p>
        </w:tc>
      </w:tr>
      <w:tr>
        <w:trPr>
          <w:trHeight w:val="234"/>
        </w:trPr>
        <w:tc>
          <w:tcPr>
            <w:tcW w:w="3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10"/>
        </w:trPr>
        <w:tc>
          <w:tcPr>
            <w:tcW w:w="35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Monster Energy® Drinks</w:t>
            </w:r>
          </w:p>
        </w:tc>
        <w:tc>
          <w:tcPr>
            <w:tcW w:w="1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39,043</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27,830</w:t>
            </w:r>
          </w:p>
        </w:tc>
      </w:tr>
      <w:tr>
        <w:trPr>
          <w:trHeight w:val="216"/>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Brands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Alcohol Brands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11,973</w:t>
            </w:r>
          </w:p>
        </w:tc>
      </w:tr>
      <w:tr>
        <w:trPr>
          <w:trHeight w:val="216"/>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16"/>
        </w:trPr>
        <w:tc>
          <w:tcPr>
            <w:tcW w:w="3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w:t>
            </w:r>
          </w:p>
        </w:tc>
      </w:tr>
      <w:tr>
        <w:trPr>
          <w:trHeight w:val="209"/>
        </w:trPr>
        <w:tc>
          <w:tcPr>
            <w:tcW w:w="35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59,822</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50,364</w:t>
            </w:r>
          </w:p>
        </w:tc>
      </w:tr>
      <w:tr>
        <w:trPr>
          <w:trHeight w:val="20"/>
        </w:trPr>
        <w:tc>
          <w:tcPr>
            <w:tcW w:w="3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Corporate and unallocated expenses for the three-months ended September 30, 2024 include $96.6 million of payroll costs, of which $27.3 million was attributable to stock-based compensation expenses (see Note 15 “Stock-Based Compensation”), as well as $22.4 million attributable to professional service expenses, including accounting and legal costs, and $41.8 million of other operating expenses.</w:t>
      </w:r>
    </w:p>
    <w:p>
      <w:pPr>
        <w:spacing w:after="0" w:line="40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Corporate and unallocated expenses for the three-months ended September 30, 2023 include $82.7 million of payroll costs, of which $17.4 million was attributable to stock-based compensation expenses (see Note 15 “Stock-Based Compensation”), as well as $27.3 million attributable to professional service expenses, including accounting and legal costs, and $25.4 million of other operating expenses.</w:t>
      </w:r>
    </w:p>
    <w:p>
      <w:pPr>
        <w:spacing w:after="0" w:line="40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Corporate and unallocated expenses for the nine-months ended September 30, 2024 include $282.7 million of payroll costs, of which $67.0 million was attributable to stock-based compensation expenses (see Note 15 “Stock-Based Compensation”), as well as $56.9 million attributable to professional service expenses, including accounting and legal costs, and $89.9 million of other operating expenses.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Corporate and unallocated expenses for the nine-months ended September 30, 2023 include $245.5 million of payroll costs, of which $51.1 million was attributable to stock-based compensation expenses (see Note 15 “Stock-Based Compensation”), as well as $74.7 million attributable to professional service expenses, including accounting and legal costs, and $59.9 million of other operating expenses.</w:t>
      </w:r>
    </w:p>
    <w:p>
      <w:pPr>
        <w:spacing w:after="0" w:line="4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Coca-Cola Europacific Partners accounted for approximately 15% and 14% of the Company’s net sales for the three-months ended September 30, 2024 and 2023, respectively. Coca-Cola Europacific Partners accounted for approximately 14% and 13% of the Company’s net sales for the nine-months ended September 30, 2024 and 2023,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Coca-Cola Consolidated, Inc. accounted for approximately 10% of the Company’s net sales for both the three-months ended September 30, 2024 and 2023. Coca-Cola Consolidated, Inc. accounted for approximately 10% of the Company’s net sales for both the nine-months ended September 30, 2024 and 2023.</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Reyes Holdings, LLC accounted for approximately 9% of the Company’s net sales for both the three-months ended September 30, 2024 and 2023. Reyes Holdings, LLC accounted for approximately 9% of the Company’s net sales for both the nine-months ended September 30, 2024 and 2023.</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sales to customers outside the United States amounted to $760.1 million and $733.7 million for the three-months ended September 30, 2024 and 2023, respectively. Such sales were approximately 40% of net sales for both the three-months ended September 30, 2024 and 2023. Net sales to customers outside the United States amounted to $2.25 billion and $2.07 billion for the nine-months ended September 30, 2024 and 2023, respectively. Such sales were approximately 40% and 38% of net sales for the nine-months ended September 30, 2024 and 2023, respectively.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Goodwill and other intangible assets for the Company’s reportable segments were as follows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December 31,</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2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Monster Energy® Drinks</w:t>
            </w:r>
          </w:p>
        </w:tc>
        <w:tc>
          <w:tcPr>
            <w:tcW w:w="16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1,681,859</w:t>
            </w:r>
          </w:p>
        </w:tc>
        <w:tc>
          <w:tcPr>
            <w:tcW w:w="3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1,663,814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982,471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Alcohol Brands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198,795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2,860,367</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2,845,080</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7"/>
              </w:rPr>
              <w:t>19.</w:t>
            </w:r>
          </w:p>
        </w:tc>
        <w:tc>
          <w:tcPr>
            <w:tcW w:w="4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 w:type="dxa"/>
            <w:vAlign w:val="bottom"/>
            <w:vMerge w:val="continue"/>
          </w:tcPr>
          <w:p>
            <w:pPr>
              <w:spacing w:after="0"/>
              <w:rPr>
                <w:sz w:val="24"/>
                <w:szCs w:val="24"/>
                <w:color w:val="auto"/>
              </w:rPr>
            </w:pPr>
          </w:p>
        </w:tc>
        <w:tc>
          <w:tcPr>
            <w:tcW w:w="468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TCCC controls approximately 21.0% of the voting interests of the Company. The TCCC Subsidiaries, the TCCC Related Parties and certain TCCC independent bottlers, purchase and distribute the Company’s products in domestic and certain international markets. The Company also pays TCCC a commission based on certain sales within the TCCC distribution network.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TCCC commissions, based on sales to the TCCC Subsidiaries and the TCCC Related Parties, were $25.5 million and $21.4 million for the three-months ended September 30, 2024 and 2023, respectively, and are included as a reduction to net sales. TCCC commissions, based on sales to the TCCC Subsidiaries and the TCCC Related Parties, were $67.8 million and $55.2 million for the nine-months ended September 30, 2024 and 2023, respectively, and are included as a reduction to net sales.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TCCC commissions, based on sales to TCCC independent bottlers, were $9.9 million and $8.8 million for the three-months ended September 30, 2024 and 2023, respectively, and are included in operating expenses. TCCC commissions, based on sales to TCCC independent bottlers, were $28.3 million and $25.7 million for the nine-months ended September 30, 2024 and 2023, respectively, and are included in operating expenses.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sales to the TCCC Subsidiaries for the three-months ended September 30, 2024 and 2023 were $54.1 million and $40.2 million, respectively. Net sales to the TCCC Subsidiaries for the nine-months ended September 30, 2024 and 2023 were $151.3 million and $108.4 million, respectively.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also purchases concentrates from TCCC which are then sold to certain of the Company’s bottlers/distributors. Concentrate purchases from TCCC were $7.4 million and $7.8 million for the three-months ended September 30, 2024 and 2023, respectively. Concentrate purchases from TCCC were $22.2 million and $22.5 million for the nine-months ended September 30, 2024 and 2023, respectively.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TCCC Subsidiaries also contract manufacture certain of the Company’s energy drinks. Such contract manufacturing expenses were $10.2 million and $10.1 million for the three-months ended September 30, 2024 and 2023, respectively. Such contract manufacturing expenses were $28.7 million and $25.1 million for the nine-months ended September 30, 2024 and 2023, respectively.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 accounts payable, accrued promotional allowances and accrued liabilities related to the TCCC Subsidiaries were as follows at:</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398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107,495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135,246</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(33,754)</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(68,386)</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promotional allowances</w:t>
            </w:r>
          </w:p>
        </w:tc>
        <w:tc>
          <w:tcPr>
            <w:tcW w:w="18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(17,034)</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(13,794)</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8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(44,826)</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(19,745)</w:t>
            </w: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One director of the Company through certain trusts, and a family member of one director are the principal owners of a company that provides promotional materials to the Company. Expenses incurred with such company in connection with promotional materials purchased during the three-months ended September 30, 2024 and 2023 were $1.5 million and $0.9 million, respectively. Expenses incurred with such company in connection with promotional materials purchased during the nine-months ended September 30, 2024 and 2023 were $5.1 million and $3.0 million, respectively.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occasionally charters a private aircraft that is indirectly owned by Mr. Rodney C. Sacks, Co-Chief Executive Officer and Chairman of the Board of Directors. On certain occasions, Mr. Sacks is accompanied by guests and other Company personnel when using such aircraft for business travel. During the three-months ended September 30, 2024 and 2023, the Company incurred expenses of $0.02 million and $0.10 million, respectively, in relation to the aircraft. During the nine-months ended September 30, 2024 and 2023, the Company incurred expenses of $0.04 million and $0.13 million, respectively, in relation to the aircraft.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2018, the Company and a director of the Company entered into a 50-50 partnership that purchased land, and real property thereon, in Kona, Hawaii for the purpose of producing coffee products. In October 2023, the partnership made a special, one-time distribution to each of the partners, reflecting the amount of their initial capital contributions. This partnership meets the definition of a Variable Interest Entity (“VIE”) for which the Company has determined that it is the primary beneficiary. Therefore, the Company consolidates the VIE in the accompanying consolidated financial statements. The aggregate carrying values of the VIE’s assets and liabilities, after elimination of any intercompany transactions and balances, as well as the results of operations for all periods presented, are not material to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and to a lesser extent, craft beers, hard seltzers and flavored malt beverages (“FMBs”).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Actions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implemented price increases at various times in certain international markets during the fourth quarter of 2023 as well as the first, second and third quarters of 2024 (collectively, the “Pricing Actions”), all of which positively impacted net sales and gross profit margins in the third quarter of 2024, as compared to the third quarter of 2023.</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implemented a previously announced price increase in the United States of approximately 5% on our core brands and packages, effective November 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Bang Energy</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31, 2023, we completed our acquisition of substantially all of the assets of Vital Pharmaceuticals, Inc. and its debtor affiliates (collectively, “Bang Energy”) (the “Bang Transaction”). The acquired assets primarily included Bang Energy® drinks and a beverage production facility in Phoenix, AZ.</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items impacted the comparative financial results for the three-months ended September 30, 2023.</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Inventory purchased as part of the Bang Transaction was recorded at fair value. Certain of the purchased inventory was subsequently sold in the three-months ended September 30, 2023 and was recognized through cost of sales at fair value (the “Bang Inventory Step-Up”). Gross profit was negatively impacted by approximately $7.8 million during the three-months ended September 30, 2023 as a result.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three-months ended September 30, 2023, in connection with the Bang Transaction, we recorded a gain of $45.4 million in interest and other income (expense), net within the condensed consolidated statements of income and reported within the Corporate and Unallocated segment (the “Bang Transaction Gain”).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nine-months ended September 30, 2023, we incurred approximately $8.0 million and $15.1 million, respectively, of acquisition costs related to the Bang Transaction (the “Bang Transaction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develop, market, sell and distribute energy drink beverages and concentrates for energy drink beverages, primarily under the following brand names: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Monster Energy®</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Burn®</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Monster Energy Ultra®</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Mother®</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Monster Rehab®</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Nalu®</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Monster Energy® Nitro</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Ultra Energy®</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Java Monster®</w:t>
            </w:r>
          </w:p>
        </w:tc>
        <w:tc>
          <w:tcPr>
            <w:tcW w:w="3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Play® and Power Play® (stylized)</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Punch Monster®</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Relentless®</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Juice Monster®</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BPM®</w:t>
            </w: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Reign Total Body Fuel®</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w:t>
            </w: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Reign Inferno® Thermogenic Fuel</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Gladiator®</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Reign Storm®</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Samurai®</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Bang Energy®</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Live+®</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NOS®</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Predator®</w:t>
            </w:r>
          </w:p>
        </w:tc>
      </w:t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Full Throttle®</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Fury®</w:t>
            </w:r>
          </w:p>
        </w:tc>
      </w:tr>
    </w:tbl>
    <w:p>
      <w:pPr>
        <w:spacing w:after="0" w:line="198"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18"/>
          <w:szCs w:val="18"/>
          <w:color w:val="auto"/>
        </w:rPr>
        <w:t>We also develop, market, sell and distribute craft beers, FMBs and hard seltzers under a number of brands, including Jai Alai® IPA, Florida Man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IPA, Dale’s Pale Ale®, Wild Basin® Hard Seltzers, Dallas Blonde®, Deep Ellum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IPA, Perrin Brewing Company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Black Ale, Hop Rising® Double IPA, Wasatch® Apricot Hefeweizen, The Beast</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Nasty Beast</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Hard Tea and a host of other brands.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develop, market, sell and distribute still and sparkling waters under the Monster Tour Water® brand name.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four operating and reportable segments: (i) Monster Energy® Drinks segment (“Monster Energy® Drinks”), which is primarily comprised of our Monster Energy® drinks, Reign Total Body Fuel® high performance energy drinks, Reign Storm® total wellness energy drinks and Bang Energy® drinks, (ii) Strategic Brands segment (“Strategic Brands”), which is primarily comprised of the various energy drink brands acquired from The Coca-Cola Company (“TCCC”) in 2015 as well as our affordable energy brands, Predator® and Fury®, (iii) Alcohol Brands segment (“Alcohol Brands”), which is comprised of various craft beers, hard seltzers and FMBs and (iv) Other segment (“Other”), which is comprised of certain products sold by American Fruits and Flavors LLC, a wholly-owned subsidiary of the Company, to independent third-party customers (the “AFF Third-Party Products”).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three-months ended September 30, 2024, we continued to expand our existing drink portfolio by adding additional products to our portfolio in a number of countries and further developed our distribution markets. During the three-months ended September 30, 2024, we sold the following new products to our customers:</w:t>
      </w:r>
    </w:p>
    <w:p>
      <w:pPr>
        <w:spacing w:after="0" w:line="113" w:lineRule="exact"/>
        <w:rPr>
          <w:sz w:val="20"/>
          <w:szCs w:val="20"/>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Monster Energy® Ultra Vice Guava</w:t>
      </w:r>
      <w:r>
        <w:rPr>
          <w:rFonts w:ascii="Times New Roman" w:cs="Times New Roman" w:eastAsia="Times New Roman" w:hAnsi="Times New Roman"/>
          <w:sz w:val="26"/>
          <w:szCs w:val="26"/>
          <w:color w:val="auto"/>
          <w:vertAlign w:val="superscript"/>
        </w:rPr>
        <w:t>TM</w:t>
      </w:r>
    </w:p>
    <w:p>
      <w:pPr>
        <w:ind w:left="680" w:hanging="321"/>
        <w:spacing w:after="0" w:line="180" w:lineRule="auto"/>
        <w:tabs>
          <w:tab w:leader="none" w:pos="6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Beast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Gnarly Grape</w:t>
      </w:r>
      <w:r>
        <w:rPr>
          <w:rFonts w:ascii="Times New Roman" w:cs="Times New Roman" w:eastAsia="Times New Roman" w:hAnsi="Times New Roman"/>
          <w:sz w:val="25"/>
          <w:szCs w:val="25"/>
          <w:color w:val="auto"/>
          <w:vertAlign w:val="superscript"/>
        </w:rPr>
        <w:t>TM</w:t>
      </w:r>
    </w:p>
    <w:p>
      <w:pPr>
        <w:ind w:left="680" w:hanging="321"/>
        <w:spacing w:after="0" w:line="180" w:lineRule="auto"/>
        <w:tabs>
          <w:tab w:leader="none" w:pos="6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Beast </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Killer Sunrise</w:t>
      </w:r>
      <w:r>
        <w:rPr>
          <w:rFonts w:ascii="Times New Roman" w:cs="Times New Roman" w:eastAsia="Times New Roman" w:hAnsi="Times New Roman"/>
          <w:sz w:val="25"/>
          <w:szCs w:val="25"/>
          <w:color w:val="auto"/>
          <w:vertAlign w:val="superscript"/>
        </w:rPr>
        <w:t>TM</w:t>
      </w:r>
    </w:p>
    <w:p>
      <w:pPr>
        <w:ind w:left="680" w:hanging="321"/>
        <w:spacing w:after="0" w:line="180" w:lineRule="auto"/>
        <w:tabs>
          <w:tab w:leader="none" w:pos="6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Beast Pink Poison</w:t>
      </w:r>
      <w:r>
        <w:rPr>
          <w:rFonts w:ascii="Times New Roman" w:cs="Times New Roman" w:eastAsia="Times New Roman" w:hAnsi="Times New Roman"/>
          <w:sz w:val="25"/>
          <w:szCs w:val="25"/>
          <w:color w:val="auto"/>
          <w:vertAlign w:val="superscript"/>
        </w:rPr>
        <w:t>TM</w:t>
      </w: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 Energy® Fruit Punch</w:t>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discontinue certain products and/or product lines. Those products or product lines discontinued in the three-months ended September 30, 2024, either individually or in aggregate, did not have a material adverse impact on our financial position, results of operations or liquidity.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net sales of $1.88 billion for the three-months ended September 30, 2024 represented record sales for our third fiscal quarter. Net changes in foreign currency exchange rates had an unfavorable impact on net sales of approximately $62.8 million ($26.5 million related to Argentina) for the three-months ended September 30, 2024. Net sales on a foreign currency adjusted basis increased 4.7% (3.3% exclusive of Argentina’s impact) for the three-months ended September 30,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vast majority of our net sales are derived from our Monster Energy® Drinks segment. Net sales of our Monster Energy® Drinks segment were $1.72 billion for the three-months ended September 30, 2024. Net sales of our Strategic Brands segment were $112.6 million for the three-months ended September 30, 2024. Net sales of our Alcohol Brands segment were $39.8 million for the three-months ended September 30, 2024. Net sales of our Other segment were $5.9 million for the three-months ended September 30, 2024.</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Monster Energy® Drinks segment represented 91.6% and 92.0% of our net sales for the three-months ended September 30, 2024 and 2023, respectively. Our Strategic Brands segment represented 6.0% and 5.3% of our net sales for the three-months ended September 30, 2024 and 2023, respectively. Our Alcohol Brands segment represented 2.1% and 2.3% of our net sales for the three-months ended September 30, 2024 and 2023, respectively. Our Other segment represented 0.3% and 0.4% of our net sales for the three-months ended September 30, 2024 and 2023, respectively.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growth strategy includes further developing our domestic markets, expanding our international business and growing our business into new sectors, such as the alcohol beverage sector. Net sales to customers outside the United States were $760.1 million for the three-months ended September 30, 2024, an increase of approximately $26.4 million, or 3.6% higher than net sales to customers outside of the United States of $733.7 million for the three-months ended September 30, 2023. Such sales were approximately 40% of net sales for both the three-months ended September 30, 2024 and 2023. Net changes in foreign currency exchange rates had an unfavorable impact on net sales to customers outside of the United States of approximately $62.8 million ($26.5 million related to Argentina) for the three-months ended September 30, 2024. Net sales to customers outside the United States, on a foreign currency adjusted basis, increased 12.1% (8.5% exclusive of Argentina’s impact) for the three-months ended September 30, 2024.</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non-alcohol customers are primarily full service beverage bottlers/distributors, retail grocery and specialty chains, wholesalers, club stores, mass merchandisers, convenience and gas chains, foodservice customers, value stores, e-commerce retailers and the military. Our alcohol customers are primarily beer distributors who in turn sell to retailers within the alcohol distribution system. Percentages of our gross billings to our various customer types for the three- and nine-months ended September 30, 2024 and 2023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4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Three-Months Ended</w:t>
            </w:r>
          </w:p>
        </w:tc>
        <w:tc>
          <w:tcPr>
            <w:tcW w:w="206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Nine-Months Ended</w:t>
            </w:r>
          </w:p>
        </w:tc>
      </w:tr>
      <w:tr>
        <w:trPr>
          <w:trHeight w:val="234"/>
        </w:trPr>
        <w:tc>
          <w:tcPr>
            <w:tcW w:w="5820" w:type="dxa"/>
            <w:vAlign w:val="bottom"/>
          </w:tcPr>
          <w:p>
            <w:pPr>
              <w:spacing w:after="0"/>
              <w:rPr>
                <w:sz w:val="20"/>
                <w:szCs w:val="20"/>
                <w:color w:val="auto"/>
              </w:rPr>
            </w:pPr>
          </w:p>
        </w:tc>
        <w:tc>
          <w:tcPr>
            <w:tcW w:w="20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c>
          <w:tcPr>
            <w:tcW w:w="20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r>
      <w:tr>
        <w:trPr>
          <w:trHeight w:val="210"/>
        </w:trPr>
        <w:tc>
          <w:tcPr>
            <w:tcW w:w="58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18"/>
                <w:szCs w:val="18"/>
                <w:color w:val="auto"/>
              </w:rPr>
            </w:pP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full service bottlers/distributors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full service bottlers/distributors</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41 %</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40 %</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Club stores and e-commerce retailers</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8 %</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8 %</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Retail grocery, direct convenience, specialty chains and wholesalers</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Alcohol, value stores and other</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3 %</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3 %</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non-alcohol customers include Coca-Cola Canada Bottling Limited, Coca-Cola Consolidated, Inc., Coca-Cola Bottling Company United, Inc., Reyes Holdings, LLC, Coca-Cola Southwest Beverages LLC, The Coca-Cola Bottling Company of Northern New England, Inc., Swire Pacific Holdings, Inc. (USA), Liberty Coca-Cola Beverages, LLC, Coca-Cola Europacific Partners (formerly Coca-Cola European Partners and Coca-Cola Amatil), Coca-Cola Hellenic, Coca-Cola FEMSA, Swire Coca-Cola (China), COFCO Coca-Cola, Coca-Cola Beverages Africa, Coca-Cola İçecek and certain other TCCC network bottlers, Asahi Soft Drinks, Co., Ltd., Wal-Mart, Inc. (including Sam’s Club), Costco Wholesale Corporation and Amazon.com, Inc.</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alcohol customers include Reyes Beverage Group, Ben E. Keith Company, J.J. Taylor Distributing, and Sheehan Family Companies.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decision by any large customer to decrease amounts purchased from us or to cease carrying our products could have a material adverse effect on our financial condition and consolidated results of operations.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Coca-Cola Europacific Partners accounted for approximately 15% and 14% of our net sales for the three-months ended September 30, 2024 and 2023, respectively. Coca-Cola Europacific Partners accounted for approximately 14% and 13% of our net sales for the nine-months ended September 30, 2024 and 2023, respectively.</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Coca-Cola Consolidated, Inc. accounted for approximately 10% of our net sales for both the three-months ended September 30, 2024 and 2023. Coca-Cola Consolidated, Inc. accounted for approximately 10% of our net sales for both the nine-months ended September 30, 2024 and 2023.</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Reyes Holdings, LLC accounted for approximately 9% of our net sales for both the three-months ended September 30, 2024 and 2023. Reyes Holdings, LLC accounted for approximately 9% of our net sales for both the nine-months ended September 30,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key statistics for the three-and nine-months ended September 30, 2024 and 2023.</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120" w:type="dxa"/>
            <w:vAlign w:val="bottom"/>
          </w:tcPr>
          <w:p>
            <w:pPr>
              <w:spacing w:after="0"/>
              <w:rPr>
                <w:sz w:val="13"/>
                <w:szCs w:val="13"/>
                <w:color w:val="auto"/>
              </w:rPr>
            </w:pPr>
          </w:p>
        </w:tc>
        <w:tc>
          <w:tcPr>
            <w:tcW w:w="166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color w:val="auto"/>
              </w:rPr>
              <w:t>Three-Months Ended</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Percentage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5"/>
          </w:tcPr>
          <w:p>
            <w:pPr>
              <w:jc w:val="right"/>
              <w:ind w:right="248"/>
              <w:spacing w:after="0"/>
              <w:rPr>
                <w:sz w:val="20"/>
                <w:szCs w:val="20"/>
                <w:color w:val="auto"/>
              </w:rPr>
            </w:pPr>
            <w:r>
              <w:rPr>
                <w:rFonts w:ascii="Times New Roman" w:cs="Times New Roman" w:eastAsia="Times New Roman" w:hAnsi="Times New Roman"/>
                <w:sz w:val="14"/>
                <w:szCs w:val="14"/>
                <w:color w:val="auto"/>
              </w:rPr>
              <w:t>Nine-Months Ended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Percentage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00" w:type="dxa"/>
            <w:vAlign w:val="bottom"/>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408"/>
              <w:spacing w:after="0"/>
              <w:rPr>
                <w:sz w:val="20"/>
                <w:szCs w:val="20"/>
                <w:color w:val="auto"/>
              </w:rPr>
            </w:pPr>
            <w:r>
              <w:rPr>
                <w:rFonts w:ascii="Times New Roman" w:cs="Times New Roman" w:eastAsia="Times New Roman" w:hAnsi="Times New Roman"/>
                <w:sz w:val="14"/>
                <w:szCs w:val="14"/>
                <w:color w:val="auto"/>
              </w:rPr>
              <w:t>September 30,</w:t>
            </w: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428"/>
              <w:spacing w:after="0"/>
              <w:rPr>
                <w:sz w:val="20"/>
                <w:szCs w:val="20"/>
                <w:color w:val="auto"/>
              </w:rPr>
            </w:pPr>
            <w:r>
              <w:rPr>
                <w:rFonts w:ascii="Times New Roman" w:cs="Times New Roman" w:eastAsia="Times New Roman" w:hAnsi="Times New Roman"/>
                <w:sz w:val="14"/>
                <w:szCs w:val="14"/>
                <w:color w:val="auto"/>
              </w:rPr>
              <w:t>September 30,</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24 vs. 23</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24 vs. 23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1"/>
                <w:szCs w:val="11"/>
                <w:color w:val="auto"/>
              </w:rPr>
              <w:t>Net sales</w:t>
            </w:r>
            <w:r>
              <w:rPr>
                <w:rFonts w:ascii="Times New Roman" w:cs="Times New Roman" w:eastAsia="Times New Roman" w:hAnsi="Times New Roman"/>
                <w:sz w:val="16"/>
                <w:szCs w:val="16"/>
                <w:color w:val="auto"/>
                <w:vertAlign w:val="superscript"/>
              </w:rPr>
              <w:t>1</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1,880,973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1,856,028</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5,680,668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5,409,919</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20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881,174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872,265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2,634,235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2,554,086</w:t>
            </w:r>
          </w:p>
        </w:tc>
        <w:tc>
          <w:tcPr>
            <w:tcW w:w="9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2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1"/>
                <w:szCs w:val="11"/>
                <w:color w:val="auto"/>
              </w:rPr>
              <w:t>Gross profit*</w:t>
            </w:r>
            <w:r>
              <w:rPr>
                <w:rFonts w:ascii="Times New Roman" w:cs="Times New Roman" w:eastAsia="Times New Roman" w:hAnsi="Times New Roman"/>
                <w:sz w:val="16"/>
                <w:szCs w:val="16"/>
                <w:color w:val="auto"/>
                <w:vertAlign w:val="superscript"/>
              </w:rPr>
              <w:t>1</w:t>
            </w: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999,799</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983,763</w:t>
            </w: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220" w:type="dxa"/>
            <w:vAlign w:val="bottom"/>
            <w:tcBorders>
              <w:top w:val="single" w:sz="8" w:color="CCEEFF"/>
            </w:tcBorders>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3,046,433</w:t>
            </w: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2,855,833</w:t>
            </w:r>
          </w:p>
        </w:tc>
        <w:tc>
          <w:tcPr>
            <w:tcW w:w="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w:t>
            </w:r>
          </w:p>
        </w:tc>
        <w:tc>
          <w:tcPr>
            <w:tcW w:w="20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Gross profit as a percentage of net sales</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53.2</w:t>
            </w:r>
          </w:p>
        </w:tc>
        <w:tc>
          <w:tcPr>
            <w:tcW w:w="2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53.0</w:t>
            </w:r>
          </w:p>
        </w:tc>
        <w:tc>
          <w:tcPr>
            <w:tcW w:w="2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53.6</w:t>
            </w:r>
          </w:p>
        </w:tc>
        <w:tc>
          <w:tcPr>
            <w:tcW w:w="2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52.8</w:t>
            </w:r>
          </w:p>
        </w:tc>
        <w:tc>
          <w:tcPr>
            <w:tcW w:w="2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519,883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473,236</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2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1,497,363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1,336,437</w:t>
            </w:r>
          </w:p>
        </w:tc>
        <w:tc>
          <w:tcPr>
            <w:tcW w:w="9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2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 as a percentage of net sales</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2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2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2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2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Operating income</w:t>
            </w:r>
            <w:r>
              <w:rPr>
                <w:rFonts w:ascii="Times New Roman" w:cs="Times New Roman" w:eastAsia="Times New Roman" w:hAnsi="Times New Roman"/>
                <w:sz w:val="17"/>
                <w:szCs w:val="17"/>
                <w:color w:val="auto"/>
                <w:vertAlign w:val="superscript"/>
              </w:rPr>
              <w:t>1</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479,916</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510,527</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1,549,070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1,519,396</w:t>
            </w:r>
          </w:p>
        </w:tc>
        <w:tc>
          <w:tcPr>
            <w:tcW w:w="9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income as a percentage of net sales</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2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2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w:t>
            </w:r>
          </w:p>
        </w:tc>
        <w:tc>
          <w:tcPr>
            <w:tcW w:w="2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2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and other income (expense), net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(5,820)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71,357</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(108.2)%</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54,311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99,010</w:t>
            </w:r>
          </w:p>
        </w:tc>
        <w:tc>
          <w:tcPr>
            <w:tcW w:w="1160" w:type="dxa"/>
            <w:vAlign w:val="bottom"/>
            <w:gridSpan w:val="4"/>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98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Income before provision for income taxes</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474,096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581,884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1,603,381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1,618,406</w:t>
            </w:r>
          </w:p>
        </w:tc>
        <w:tc>
          <w:tcPr>
            <w:tcW w:w="1160" w:type="dxa"/>
            <w:vAlign w:val="bottom"/>
            <w:gridSpan w:val="4"/>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103,177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129,190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365,044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354,397</w:t>
            </w:r>
          </w:p>
        </w:tc>
        <w:tc>
          <w:tcPr>
            <w:tcW w:w="9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taxes as a percentage of income before taxes</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2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2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2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2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370,919</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452,694</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1,238,337</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1,264,009</w:t>
            </w:r>
          </w:p>
        </w:tc>
        <w:tc>
          <w:tcPr>
            <w:tcW w:w="1160" w:type="dxa"/>
            <w:vAlign w:val="bottom"/>
            <w:gridSpan w:val="4"/>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Net income as a percentage of net sales</w:t>
            </w: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19.7</w:t>
            </w:r>
          </w:p>
        </w:tc>
        <w:tc>
          <w:tcPr>
            <w:tcW w:w="200" w:type="dxa"/>
            <w:vAlign w:val="bottom"/>
            <w:tcBorders>
              <w:top w:val="single" w:sz="8" w:color="CCEEFF"/>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24.4</w:t>
            </w:r>
          </w:p>
        </w:tc>
        <w:tc>
          <w:tcPr>
            <w:tcW w:w="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21.8</w:t>
            </w:r>
          </w:p>
        </w:tc>
        <w:tc>
          <w:tcPr>
            <w:tcW w:w="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23.4</w:t>
            </w:r>
          </w:p>
        </w:tc>
        <w:tc>
          <w:tcPr>
            <w:tcW w:w="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per common share:</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0.38</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0.43</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9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0.38</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9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39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Energy drink case sales (in thousands) (in 192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ounce case</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equivalents)</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219,409</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203,087</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643,033</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583,937</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6"/>
          <w:szCs w:val="16"/>
          <w:i w:val="1"/>
          <w:iCs w:val="1"/>
          <w:color w:val="auto"/>
        </w:rPr>
        <w:t>Includes $10.0 million for both the three-months ended September 30, 2024 and 2023, related to the recognition of deferred revenue. Includes $29.9 million and $30.0 million for the nine-months ended September 30, 2024 and 2023, respectively, related to the recognition of deferred revenue.</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Three-Months Ended September 30, 2024 Compared to the Three-Months Ended September 30, 2023</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sales were $1.88 billion for the three-months ended September 30, 2024, an increase of approximately $24.9 million, or 1.3% higher than net sales of $1.86 billion for the three-months ended September 30, 2023. Net changes in foreign currency exchange rates had an unfavorable impact on net sales of approximately $62.8 million ($26.5 million related to Argentina) for the three-months ended September 30, 2024. Net sales on a foreign currency adjusted basis increased 4.7% (3.3% exclusive of Argentina’s impact) for the three-months ended September 30,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sales were $708.8 million for the three-months ended September 30, 2024, an increase of $21.7 million, or 3.2% higher than net sales of $687.1 million for the three-months ended September 30, 2023, in EMEA, Asia Pacific (including Oceania), Latin America and the Caribbean. Net changes in foreign currency exchange rates had an unfavorable impact on net sales to customers in EMEA, Asia Pacific (including Oceania), Latin America and the Caribbean of approximately $61.4 million ($26.5 million related to Argentina) for the three-months ended September 30, 2024. Net sales on a foreign currency adjusted basis in EMEA, Asia Pacific (including Oceania), Latin America and the Caribbean increased 12.1% (8.2% exclusive of Argentina’s impact) for the three-months ended September 30, 2024.</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sales for the Monster Energy® Drinks segment were $1.72 billion for the three-months ended September 30, 2024, an increase of approximately $14.5 million, or 0.8% higher than net sales of $1.71 billion for the three-months ended September 30, 2023. Net changes in foreign currency exchange rates had an unfavorable impact on net sales for the Monster Energy® Drinks segment of approximately $52.8 million ($26.5 million related to Argentina) for the three-months ended September 30, 2024. Net sales for the Monster Energy® Drinks segment on a foreign currency adjusted basis increased 3.9% (2.4% exclusive of Argentina’s impact) for the three-months ended September 30, 2024.</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sales for the Strategic Brands segment were $112.6 million for the three-months ended September 30, 2024, an increase of approximately $13.8 million, or 14.0% higher than net sales of $98.8 million for the three-months ended September 30, 2023. Net sales for the Strategic Brands segment increased primarily due to increased sales by volume of our Burn®, Predator® and Full Throttle® brand energy drinks. Net changes in foreign currency exchange rates had an unfavorable impact on net sales of approximately $10.0 million for the Strategic Brands segment for the three-months ended September 30, 2024. Net sales for the Strategic Brands segment on a foreign currency adjusted basis increased 24.1% for the three-months ended September 30, 2024. Net sales of concentrates within the Strategic Brands segment tend to have more pronounced fluctuations from period to period as compared to net sales of our finished goods within the Monster Energy® Drinks segment primarily as a result of bottler production schedules.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sales for the Alcohol Brands segment were $39.8 million for the three-months ended September 30, 2024, a decrease of approximately $2.5 million, or 6.0% lower than net sales of $42.3 million for the three-months ended September 30, 2023. The decrease in net sales for the three-months ended September 30, 2024 was primarily due to decreased sales by volume of craft beers.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sales for the Other segment were $5.9 million for the three-months ended September 30, 2024, a decrease of approximately $0.8 million, or 11.5% lower than net sales of $6.7 million for the three-months ended September 30, 2023.</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Case sales for our energy drink products, in 192-ounce case equivalents, were 219.4 million cases for the three-months ended September 30, 2024, an increase of approximately 16.3 million cases or 8.0% higher than case sales of 203.1 million cases for the three-months ended September 30, 2023. The overall average net sales per case for our energy drink products (excluding net sales of Alcohol Brands and Other segments) decreased to $8.36 for the three-months ended September 30, 2024, which was 6.0% lower than the average net sales per case of $8.90 for the three-months ended September 30, 2023. The decrease in overall average net sales per case for our energy drink products for the three-months ended September 30, 2024 compared to the three-months ended September 30, 2023 was primarily due to higher promotional allowances as a percentage of net sales as well as geographical/product sales mix.</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Case sales for our craft beers, hard seltzers and FMBs, in 192-ounce equivalents, were 2.8 million cases for the three-months ended September 30, 2024, a decrease of approximately 0.2 million cases or 6.2% lower than case sales of 3.0 million cases for the three-months ended September 30, 2023. Barrel sales for our craft beers, hard seltzers and FMBs, in 31 U.S. gallon equivalents, were 0.14 million barrels for the three-months ended September 30, 2024, a decrease of approximately 0.01 million barrels or 6.2% lower than barrel sales of 0.15 million barrels for the three-months ended September 30,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profit was $999.8 million for the three-months ended September 30, 2024, an increase of approximately $16.0 million, or 1.6% higher than the gross profit of $983.8 million for the three-months ended September 30, 2023. Gross profit for the three-months ended September 30, 2024 was adversely impacted by an increase in inventory reserves due to excess inventory levels in the Alcohol Brands segment of $10.6 million (the “Alcohol Brands Inventory Reserves”). The increase in gross profit dollars was primarily the result of the $24.9 million increase in net sales, partially offset by the Alcohol Brands Inventory Reserves for the three-months ended September 30, 2024.</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profit as a percentage of net sales increased to 53.2% (53.7% exclusive of the Alcohol Brands Inventory Reserves) for the three-months ended September 30, 2024 from 53.0% for the three-months ended September 30, 2023. The increase in gross profit as a percentage of net sales for the three-months ended September 30, 2024 was primarily the result of lower input costs, the Pricing Actions, the Bang Inventory Step-Up (included in the comparative 2023 third quarter) and decreased freight-in costs, partially offset by higher promotional allowances as a percentage of net sales as well as the Alcohol Brands Inventory Reserves.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operating expenses were $519.9 million for the three-months ended September 30, 2024, an increase of approximately $46.6 million, or 9.9% higher than total operating expenses of $473.2 million for the three-months ended September 30, 2023.</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increase in operating expenses was primarily due to increased payroll expenses of $20.7 million ($9.6 million related to stock-based compensation), increased selling and marketing expenses of $18.9 million (primarily sponsorships and endorsements) and a $16.7 million provision in connection with an intellectual property claim brought by the descendants of Hubert Hansen in relation to the Company’s use of the Hubert Hansen name prior to the transaction with TCCC, which closed in 2015 (the “Hansen Expenses”). The increase in stock-based compensation was primarily related to estimated performance share unit vesting levels for our Section 16 officers. Operating expenses as a percentage of net sales for the three-months ended September 30, 2024 were 27.6% as compared to 25.5% for the three-months ended September 30, 2023. Operating expenses for the three-months ended September 30, 2023 included approximately $8.0 million of Bang Transaction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income was $479.9 million for the three-months ended September 30, 2024, a decrease of approximately $30.6 million, or 6.0% lower than operating income of $510.5 million for the three-months ended September 30, 2023. Operating income as a percentage of net sales decreased to 25.5% for the three-months ended September 30, 2024 from 27.5% for the three-months ended September 30, 2023.</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Operating income was $135.3 million and $114.1 million for the three-months ended September 30, 2024 and 2023, respectively, for our operations in EMEA, Asia Pacific (including Oceania), Latin America and the Caribbean.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income for the Monster Energy® Drinks segment, exclusive of corporate and unallocated expenses, was $601.7 million for the three-months ended September 30, 2024, a decrease of approximately $2.0 million, or 0.3% lower than operating income of $603.7 million for the three-months ended September 30, 2023. The decrease in operating income for the Monster Energy® Drinks segment was primarily the result of an increase in operating expenses in excess of an increase in net sales.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income for the Strategic Brands segment, exclusive of corporate and unallocated expenses, was $60.1 million for the three-months ended September 30, 2024, an increase of approximately $7.4 million, or 14.0% higher than operating income of $52.7 million for the three-months ended September 30, 2023. The increase in operating income for the Strategic Brands segment was primarily the result of an increase in net sales.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loss for the Alcohol Brands segment, exclusive of corporate and unallocated expenses, was $22.6 million for the three-months ended September 30, 2024, an increase of approximately $10.9 million, or 92.7% higher than the operating loss of $11.7 million for the three-months ended September 30, 2023. The increase in operating loss for the three-months ended September 30, 2024 was primarily due to the Alcohol Brands Inventory Reserves.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income for the Other segment, exclusive of corporate and unallocated expenses, was $1.5 million for the three-months ended September 30, 2024, as compared to operating income of $1.3 million for the three-months ended September 30, 2023. The increase in operating income for the three-months ended September 30, 2024 was primarily the result of an increase in gross profit.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Income (Expense), net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Interest and other non-operating income (expense), net, was $(5.8) million for the three-months ended September 30, 2024, as compared to interest and other non-operating income (expense), net, of $71.4 million for the three-months ended September 30, 2023. Foreign currency transaction losses were $10.8 million and $13.2 million for the three-months ended September 30, 2024 and 2023, respectively. Interest income was $18.1 million and $39.3 million for the three-months ended September 30, 2024 and 2023, respectively. The decrease in interest income for the three-months ended September 30, 2024 was primarily related to lower short- and long-term investment balances as a result of treasury stock repurchases made in the second and third quarters of 2024. Interest expense was $12.5 million and $0.1 million for the three-months ended September 30, 2024 and 2023, respectively. Interest and other non-operating income (expense), net, for the three-months ended September 30, 2023 included the Bang Transaction Gain.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Provision for income taxes was $103.2 million for the three-months ended September 30, 2024, a decrease of $26.0 million, or 20.1% lower than the provision for income taxes of $129.2 million for the three-months ended September 30, 2023. The effective combined federal, state and foreign tax rate decreased to 21.8% from 22.2% for the three-months ended September 30, 2024 and 2023, respectively. The decrease in the effective tax rate was primarily attributable to an increase in income in lower tax jurisdictions in the three-months ended September 30, 2024, as compared to the three-months ended September 30,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income was $370.9 million for the three-months ended September 30, 2024, a decrease of $81.8 million, or 18.1% lower than net income of $452.7 million for the three-months ended September 30, 2023. The decrease in net income for the three-months ended September 30, 2024 was primarily due to the decrease in interest and other income (expense), net and the increase in operating expenses, which were partially offset by the increase in net sales and the decrease in provision for income taxes. The comparative 2023 third quarter included the Bang Transaction Gain, the Bang Inventory Step-Up and the Bang Transaction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Nine-Months Ended September 30, 2024 Compared to the Nine-Months Ended September 30, 2023</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sales were $5.68 billion for the nine-months ended September 30, 2024, an increase of approximately $270.7 million, or 5.0% higher than net sales of $5.41 billion for the nine-months ended September 30, 2023. Net sales increased primarily due to increased worldwide sales by volume of our Monster Energy® brand energy drinks as a result of increased consumer demand, as well as due to the Pricing Actions. Net changes in foreign currency exchange rates had an unfavorable impact on net sales of approximately $194.8 million ($110.9 million related to Argentina) for the nine-months ended September 30, 2024. Net sales on a foreign currency adjusted basis increased 8.6% (6.6% exclusive of Argentina’s impact) for the nine-months ended September 30, 2024.</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sales were $2.10 billion for the nine-months ended September 30, 2024, an increase of $163.0 million, or 8.4% higher than net sales of $1.94 billion for the nine-months ended September 30, 2023, in EMEA, Asia Pacific (including Oceania), Latin America and the Caribbean. Net changes in foreign currency exchange rates had an unfavorable impact on net sales to customers in EMEA, Asia Pacific (including Oceania), Latin America and the Caribbean of approximately $193.2 million ($110.9 million related to Argentina) for the nine-months ended September 30, 2024. Net sales on a foreign currency adjusted basis in EMEA, Asia Pacific (including Oceania), Latin America and the Caribbean increased 18.4% (12.6% exclusive of Argentina’s impact) for the nine-months ended September 30, 2024.</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sales for the Monster Energy® Drinks segment were $5.19 billion for the nine-months ended September 30, 2024, an increase of approximately $237.8 million, or 4.8% higher than net sales of $4.96 billion for the nine-months ended September 30, 2023. Net sales for the Monster Energy® Drinks segment increased primarily due to increased worldwide sales by volume of our Monster Energy® brand energy drinks as a result of increased consumer demand as well as due to the Pricing Actions. Net changes in foreign currency exchange rates had an unfavorable impact on net sales for the Monster Energy® Drinks segment of approximately $161.0 million ($110.9 million related to Argentina) for the nine-months ended September 30, 2024. Net sales for the Monster Energy® Drinks segment on a foreign currency adjusted basis increased 8.0% (5.8% exclusive of Argentina’s impact) for the nine-months ended September 30, 2024.</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sales for the Strategic Brands segment were $330.2 million for the nine-months ended September 30, 2024, an increase of approximately $45.4 million, or 15.9% higher than net sales of $284.8 million for the nine-months ended September 30, 2023. Net sales for the Strategic Brands segment increased primarily due to increased sales by volume of our Burn®, NOS®, Predator® and Fury® brand energy drinks. Net changes in foreign currency exchange rates had an unfavorable impact on net sales of approximately $33.8 million for the Strategic Brands segment for the nine-months ended September 30, 2024. Net sales for the Strategic Brands segment on a foreign currency adjusted basis increased 27.8% for the nine-months ended September 30, 2024. Net sales of concentrates within the Strategic Brands segment tend to have more pronounced fluctuations from period to period as compared to net sales of our finished goods within the Monster Energy® Drinks segment primarily as a result of bottler production schedules.</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sales for the Alcohol Brands segment were $137.4 million for the nine-months ended September 30, 2024, a decrease of approximately $12.3 million, or 8.2% lower than net sales of $149.7 million for the nine-months ended September 30, 2023. The decrease in net sales for the nine-months ended September 30, 2024 was primarily due to decreased sales by volume of craft beers.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sales for the Other segment were $18.5 million for the nine-months ended September 30, 2024, a decrease of approximately $0.2 million, or 0.8% lower than net sales of $18.6 million for the nine-months ended September 30, 2023.</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Case sales for our energy drink products, in 192-ounce case equivalents, were 643.0 million cases for the nine-months ended September 30, 2024, an increase of approximately 59.1 million cases or 10.1% higher than case sales of 583.9 million cases for the nine-months ended September 30, 2023. The overall average net sales per case for our energy drink products (excluding net sales of Alcohol Brands and Other segments) decreased to $8.59 for the nine-months ended September 30, 2024, which was 4.3% lower than the average net sales per case of $8.98 for the nine-months ended September 30, 2023. The decrease in overall average net sales per case for our energy drink products for the nine-months ended September 30, 2024 compared to the nine-months ended September 30, 2023 was primarily due to higher promotional allowances as a percentage of net sales as well as geographical/product sales mix.</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Case sales for our craft beers, hard seltzers and FMBs, in 192-ounce equivalents, were 10.0 million cases for the nine-months ended September 30, 2024, a decrease of approximately 0.6 million cases or 5.8% lower than case sales of 10.6 million cases for the nine-months ended September 30, 2023. Barrel sales for our craft beers, hard seltzers and FMBs, in 31 U.S. gallon equivalents, were 0.48 million barrels for the nine-months ended September 30, 2024, a decrease of approximately 0.03 million barrels or 5.8% lower than barrel sales of 0.51 million barrels for the nine-months ended September 30,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profit was $3.05 billion for the nine-months ended September 30, 2024, an increase of approximately $190.6 million, or 6.7% higher than the gross profit of $2.86 billion for the nine-months ended September 30, 2023. The increase in gross profit dollars was primarily the result of the $270.7 million increase in net sales for the nine-months ended September 30, 2024.</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as a percentage of net sales increased to 53.6% for the nine-months ended September 30, 2024 from 52.8% for the nine-months ended September 30, 2023. The increase in gross profit as a percentage of net sales for the nine-months ended September 30, 2024 was primarily the result of the Pricing Actions, decreased freight-in costs and lower aluminum can costs, partially offset by higher promotional allowances as a percentage of net sales as well as production inefficiencies.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operating expenses were $1.50 billion for the nine-months ended September 30, 2024, an increase of approximately $160.9 million, or 12.0% higher than total operating expenses of $1.34 billion for the nine-months ended September 30, 2023.</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increase in operating expenses was primarily due to increased selling and marketing expenses of $63.9 million (primarily sponsorships and endorsements), increased payroll expenses of $55.3 million, increased distribution expenses (including storage and warehouse) of $20.5 million and the Hansen Expenses of $16.7 million. Operating expenses as a percentage of net sales for the nine-months ended September 30, 2024 were 26.4% as compared to 24.7% for the nine-months ended September 30, 2023. Operating expenses for the nine-months ended September 30, 2023, included approximately $15.1 million of Bang Transaction Expenses.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income was $1.55 billion for the nine-months ended September 30, 2024, an increase of approximately $29.7 million, or 2.0% higher than operating income of $1.52 billion for the nine-months ended September 30, 2023. The increase in operating income was primarily the result of an increase in net sales, as well as an increase in gross profit as a percentage of net sales, partially offset by an increase in operating expenses. Operating income as a percentage of net sales decreased to 27.3% for the nine-months ended September 30, 2024 from 28.1% for the nine-months ended September 30, 2023.</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Operating income was $419.0 million and $322.0 million for the nine-months ended September 30, 2024 and 2023, respectively, for our operations in EMEA, Asia Pacific (including Oceania), Latin America and the Caribbean.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income for the Monster Energy® Drinks segment, exclusive of corporate and unallocated expenses, was $1.84 billion for the nine-months ended September 30, 2024, an increase of approximately $79.7 million, or 4.5% higher than operating income of $1.76 billion for the nine-months ended September 30, 2023. The increase in operating income for the Monster Energy® Drinks segment was primarily the result of an increase in net sales as well as an increase in gross profit as a percentage of net sales.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income for the Strategic Brands segment, exclusive of corporate and unallocated expenses, was $183.8 million for the nine-months ended September 30, 2024, an increase of approximately $24.1 million, or 15.1% higher than operating income of $159.6 million for the nine-months ended September 30, 2023. The increase in operating income for the Strategic Brands segment was primarily the result of an increase in net sales.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loss for the Alcohol Brands segment, exclusive of corporate and unallocated expenses, was $51.2 million for the nine-months ended September 30, 2024, an increase of approximately $26.0 million, or 103.2% higher than operating loss of $25.2 million for the nine-months ended September 30, 2023. The operating loss for the nine-months ended September 30, 2024 was primarily due to the decrease in net sales and the Alcohol Brands Inventory Reserves.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income for the Other segment, exclusive of corporate and unallocated expenses, was $3.9 million for the nine-months ended September 30, 2024, as compared to operating income of $2.7 million for the nine-months ended September 30, 2023. The increase in operating income for the nine-months ended September 30, 2024 was primarily the result of a decrease in operating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Income (Expense), net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Interest and other non-operating income (expense), net, was $54.3 million for the nine-months ended September 30, 2024, as compared to interest and other non-operating income (expense), net, of $99.0 million for the nine-months ended September 30, 2023. Foreign currency transaction losses were $24.7 million and $38.6 million for the nine-months ended September 30, 2024 and 2023, respectively. Interest income was $97.5 million and $92.1 million for the nine-months ended September 30, 2024 and 2023, respectively. Interest expense was $17.5 million and $0.4 million for the nine-months ended September 30, 2024 and 2023, respectively. Interest and other non-operating income (expense), net, for the nine-months ended September 30, 2023 included the Bang Transaction Gain.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Provision for income taxes was $365.0 million for the nine-months ended September 30, 2024, an increase of $10.6 million, or 3.0% higher than the provision for income taxes of $354.4 million for the nine-months ended September 30, 2023. The effective combined federal, state and foreign tax rate increased to 22.8% from 21.9% for the nine-months ended September 30, 2024 and 2023, respectively. The increase in the effective tax rate was primarily attributable to a decrease in the stock-based compensation deduction in the nine-months ended September 30, 2024, as compared to the nine-months ended September 30,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income was $1.24 billion for the nine-months ended September 30, 2024, a decrease of $25.7 million, or 2.0% lower than net income of $1.26 billion for the nine-months ended September 30, 2023. The decrease in net income for the nine-months ended September 30, 2024 was primarily due to the increase in operating expenses and the decrease in interest and other income (expense), net, which were partially offset by the increase in net sales and in the increase in gross profit as a percentage of net sales.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 and Other Key Metrics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Billings**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Three-Months Ended September 30, 2024 Compared to the Three-Months Ended September 30, 2023.</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billings were $2.21 billion for the three-months ended September 30, 2024, an increase of approximately $60.2 million, or 2.8% higher than gross billings of $2.15 billion for the three-months ended September 30, 2023. Net changes in foreign currency exchange rates had an unfavorable impact on gross billings of approximately $65.2 million ($26.8 million related to Argentina) for the three-months ended September 30, 2024. Gross billings on a foreign currency adjusted basis increased 5.8% (4.6% exclusive of Argentina’s impact) for the three-months ended September 30, 2024.</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billings for the Monster Energy® Drinks segment were $2.03 billion for the three-months ended September 30, 2024, an increase of approximately $47.2 million, or 2.4% higher than gross billings of $1.99 billion for the three-months ended September 30, 2023. Net changes in foreign currency exchange rates had an unfavorable impact on gross billings for the Monster Energy® Drinks segment of approximately $55.2 million ($26.8 million related to Argentina) for the three-months ended September 30, 2024. Gross billings for the Monster Energy® Drinks segment on a foreign currency adjusted basis increased 5.2% (3.8% exclusive of Argentina’s impact) for the three-months ended September 30, 2024.</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billings for the Strategic Brands segment were $128.5 million for the three-months ended September 30, 2024, an increase of $15.9 million, or 14.2% higher than gross billings of $112.5 million for the three-months ended September 30, 2023. Gross billings for the Strategic Brands segment increased primarily due to increased sales by volume of our Burn® and Predator® brand energy drinks. Net changes in foreign currency exchange rates had an unfavorable impact on gross billings in the Strategic Brands segment of approximately $10.0 million for the three-months ended September 30, 2024. Gross billings for the Strategic Brands segment on a foreign currency adjusted basis increased 23.1% for the three-months ended September 30, 2024.</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billings for the Alcohol Brands segment were $40.8 million for the three-months ended September 30, 2024, a decrease of approximately $2.3 million, or 5.3% lower than gross billings of $43.1 million for the three-months ended September 30, 2023. The decrease in gross billings for the three-months ended September 30, 2024 was primarily due to decreased sales by volume of craft beers.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billings for the Other segment were $6.0 million for the three-months ended September 30, 2024, a decrease of $0.7 million, or 9.8% lower than gross billings of $6.7 million for the three-months ended September 30, 2023.</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Promotional allowances, commissions and other expenses, as described in the footnote below, were $338.1 million for the three-months ended September 30, 2024, an increase of $35.2 million, or 11.6% higher than promotional allowances, commissions and other expenses of $302.8 million for the three-months ended September 30, 2023. Promotional allowances, commissions and other expenses as a percentage of gross billings increased to 15.3% from 14.1% for the three-months ended September 30,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Nine-Months Ended September 30, 2024 Compared to the Nine-Months Ended September 30, 2023.</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billings were $6.62 billion for the nine-months ended September 30, 2024, an increase of approximately $370.1 million, or 5.9% higher than gross billings of $6.25 billion for the nine-months ended September 30, 2023. Net changes in foreign currency exchange rates had an unfavorable impact on gross billings of approximately $196.6 million ($111.2 million related to Argentina) for the nine-months ended September 30, 2024. Gross billings on a foreign currency adjusted basis increased 9.1% (7.3% exclusive of Argentina’s impact) for the nine-months ended September 30,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Gross billings for the Monster Energy® Drinks segment were $6.08 billion for the nine-months ended September 30, 2024, an increase of approximately $330.3 million, or 5.7% higher than gross billings of $5.75 billion for the nine-months ended September 30, 2023. Gross billings for the Monster Energy® Drinks segment increased primarily due to increased worldwide sales by volume of our Monster Energy® brand energy drinks as a result of increased consumer demand as well as due to the Pricing Actions. Net changes in foreign currency exchange rates had an unfavorable impact on gross billings for the Monster Energy® Drinks segment of approximately $162.8 million ($111.2 million related to Argentina) for the nine-months ended September 30, 2024. Gross billings for the Monster Energy® Drinks segment on a foreign currency adjusted basis increased 8.6% (6.6% exclusive of Argentina’s impact) for the nine-months ended September 30, 2024.</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billings for the Strategic Brands segment were $374.1 million for the nine-months ended September 30, 2024, an increase of $51.3 million, or 15.9% higher than gross billings of $322.8 million for the nine-months ended September 30, 2023. Gross billings for the Strategic Brands segment increased primarily due to increased sales by volume of our Burn®, NOS®, Predator® and Fury® brand energy drinks. Net changes in foreign currency exchange rates had an unfavorable impact on gross billings in the Strategic Brands segment of approximately $33.8 million for the nine-months ended September 30, 2024. Gross billings for the Strategic Brands segment on a foreign currency adjusted basis increased 26.4% for the nine-months ended September 30, 2024.</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billings for the Alcohol Brands segment were $140.8 million for the nine-months ended September 30, 2024, a decrease of approximately $11.5 million, or 7.6% lower than gross billings of $152.3 million for the nine-months ended September 30, 2023. The decrease in gross billings for the nine-months ended September 30, 2024 was primarily due to decreased sales by volume of craft beers.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billings for the Other segment were $18.7 million for the nine-months ended September 30, 2024, an increase of $0.1 million, or 0.3% higher than gross billings of $18.6 million for the nine-months ended September 30, 2023.</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Promotional allowances, commissions and other expenses, as described in the footnote below, were $965.3 million for the nine-months ended September 30, 2024, an increase of $99.3 million, or 11.5% higher than promotional allowances, commissions and other expenses of $866.0 million for the nine-months ended September 30, 2023. Promotional allowances, commissions and other expenses as a percentage of gross billings increased to 14.6% from 13.9% for the nine-months ended September 30, 2024 and 2023, respectively.</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i w:val="1"/>
          <w:iCs w:val="1"/>
          <w:color w:val="auto"/>
        </w:rPr>
        <w:t>**Gross Billings represent amounts invoiced to customers net of cash discounts, returns and excise taxes.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defined by our internal reporting practices. In addition, gross billings may not be realized in the form of cash receipts as promotional payments and allowances may be deducted from payments received from certain customers.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non-GAAP financial measure of gross billings with the most directly comparable GAAP financial measure of net sales: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Three-Months Ended</w:t>
            </w:r>
          </w:p>
        </w:tc>
        <w:tc>
          <w:tcPr>
            <w:tcW w:w="180" w:type="dxa"/>
            <w:vAlign w:val="bottom"/>
          </w:tcPr>
          <w:p>
            <w:pPr>
              <w:spacing w:after="0"/>
              <w:rPr>
                <w:sz w:val="18"/>
                <w:szCs w:val="18"/>
                <w:color w:val="auto"/>
              </w:rPr>
            </w:pPr>
          </w:p>
        </w:tc>
        <w:tc>
          <w:tcPr>
            <w:tcW w:w="10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Percentage</w:t>
            </w:r>
          </w:p>
        </w:tc>
        <w:tc>
          <w:tcPr>
            <w:tcW w:w="20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Nine-Months Ended</w:t>
            </w:r>
          </w:p>
        </w:tc>
        <w:tc>
          <w:tcPr>
            <w:tcW w:w="200" w:type="dxa"/>
            <w:vAlign w:val="bottom"/>
          </w:tcPr>
          <w:p>
            <w:pPr>
              <w:spacing w:after="0"/>
              <w:rPr>
                <w:sz w:val="18"/>
                <w:szCs w:val="18"/>
                <w:color w:val="auto"/>
              </w:rPr>
            </w:pPr>
          </w:p>
        </w:tc>
        <w:tc>
          <w:tcPr>
            <w:tcW w:w="9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Percentage</w:t>
            </w: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20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0"/>
                <w:szCs w:val="20"/>
                <w:color w:val="auto"/>
              </w:rPr>
            </w:pPr>
          </w:p>
        </w:tc>
        <w:tc>
          <w:tcPr>
            <w:tcW w:w="10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Change</w:t>
            </w:r>
          </w:p>
        </w:tc>
        <w:tc>
          <w:tcPr>
            <w:tcW w:w="20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20"/>
                <w:szCs w:val="20"/>
                <w:color w:val="auto"/>
              </w:rPr>
            </w:pPr>
          </w:p>
        </w:tc>
        <w:tc>
          <w:tcPr>
            <w:tcW w:w="9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Change</w:t>
            </w:r>
          </w:p>
        </w:tc>
      </w:t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Borders>
              <w:top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24 vs. 23</w:t>
            </w:r>
          </w:p>
        </w:tc>
        <w:tc>
          <w:tcPr>
            <w:tcW w:w="240" w:type="dxa"/>
            <w:vAlign w:val="bottom"/>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24 vs. 23</w:t>
            </w:r>
          </w:p>
        </w:tc>
        <w:tc>
          <w:tcPr>
            <w:tcW w:w="180" w:type="dxa"/>
            <w:vAlign w:val="bottom"/>
          </w:tcPr>
          <w:p>
            <w:pPr>
              <w:spacing w:after="0"/>
              <w:rPr>
                <w:sz w:val="18"/>
                <w:szCs w:val="18"/>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Billings</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$ 2,209,023</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$ 2,148,834</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$ 6,616,108</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$ 6,245,968</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0.0 %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29,897</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29,974</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Promotional allowances, commissions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other expenses***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338,094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302,849</w:t>
            </w:r>
          </w:p>
        </w:tc>
        <w:tc>
          <w:tcPr>
            <w:tcW w:w="12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965,337</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866,023</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0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$ 1,880,973</w:t>
            </w:r>
          </w:p>
        </w:tc>
        <w:tc>
          <w:tcPr>
            <w:tcW w:w="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$ 1,856,028</w:t>
            </w: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1.3 %</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$ 5,680,668</w:t>
            </w: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$ 5,409,919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i w:val="1"/>
          <w:iCs w:val="1"/>
          <w:color w:val="auto"/>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for our energy drink products primarily include consideration given to our non-alcohol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w:t>
      </w:r>
    </w:p>
    <w:p>
      <w:pPr>
        <w:sectPr>
          <w:pgSz w:w="11900" w:h="16838" w:orient="portrait"/>
          <w:cols w:equalWidth="0" w:num="1">
            <w:col w:w="9920"/>
          </w:cols>
          <w:pgMar w:left="980" w:top="661"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i w:val="1"/>
          <w:iCs w:val="1"/>
          <w:color w:val="auto"/>
        </w:rPr>
        <w:t>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for our energy drink products constitute a material portion of our marketing activities. Our promotional allowance programs for our energy drink products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Promotional and other allowances for our Alcohol Brands segment primarily include price promotions where permitted.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discloses selected quarterly data regarding sales for the three- and nine-months ended September 30, 2024 and 2023, respectively. Data from any one or more quarters or periods is not necessarily indicative of annual results or continuing trends.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our energy drinks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quarterly results of operations reflect seasonal trends that are primarily the result of increased demand in the warmer months of the year. Beverage sales tend to be lower during the first and fourth quarters of each calendar year. However, our experience with our energy drink products suggests they are less seasonal than the seasonality expected from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 changes in advertising and promotional expenses.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Three-Months Ended</w:t>
            </w:r>
          </w:p>
        </w:tc>
        <w:tc>
          <w:tcPr>
            <w:tcW w:w="200" w:type="dxa"/>
            <w:vAlign w:val="bottom"/>
          </w:tcPr>
          <w:p>
            <w:pPr>
              <w:spacing w:after="0"/>
              <w:rPr>
                <w:sz w:val="18"/>
                <w:szCs w:val="18"/>
                <w:color w:val="auto"/>
              </w:rPr>
            </w:pPr>
          </w:p>
        </w:tc>
        <w:tc>
          <w:tcPr>
            <w:tcW w:w="2140" w:type="dxa"/>
            <w:vAlign w:val="bottom"/>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Nine-Months Ended</w:t>
            </w:r>
          </w:p>
        </w:tc>
        <w:tc>
          <w:tcPr>
            <w:tcW w:w="0" w:type="dxa"/>
            <w:vAlign w:val="bottom"/>
          </w:tcPr>
          <w:p>
            <w:pPr>
              <w:spacing w:after="0"/>
              <w:rPr>
                <w:sz w:val="1"/>
                <w:szCs w:val="1"/>
                <w:color w:val="auto"/>
              </w:rPr>
            </w:pPr>
          </w:p>
        </w:tc>
      </w:t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except average net sales per case)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20"/>
                <w:szCs w:val="20"/>
                <w:color w:val="auto"/>
              </w:rPr>
            </w:pPr>
          </w:p>
        </w:tc>
        <w:tc>
          <w:tcPr>
            <w:tcW w:w="2140" w:type="dxa"/>
            <w:vAlign w:val="bottom"/>
            <w:gridSpan w:val="5"/>
          </w:tcPr>
          <w:p>
            <w:pPr>
              <w:jc w:val="right"/>
              <w:ind w:right="59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1,880,973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1,856,028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5,680,668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Less: Alcohol Brands segment sales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(42,326)</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(137,417)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segment sales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(6,698)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(18,467)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880" w:type="dxa"/>
            <w:vAlign w:val="bottom"/>
            <w:tcBorders>
              <w:bottom w:val="single" w:sz="8" w:color="CCEEFF"/>
            </w:tcBorders>
          </w:tcPr>
          <w:p>
            <w:pPr>
              <w:spacing w:after="0" w:line="210" w:lineRule="exact"/>
              <w:rPr>
                <w:sz w:val="20"/>
                <w:szCs w:val="20"/>
                <w:color w:val="auto"/>
              </w:rPr>
            </w:pPr>
            <w:r>
              <w:rPr>
                <w:rFonts w:ascii="Times New Roman" w:cs="Times New Roman" w:eastAsia="Times New Roman" w:hAnsi="Times New Roman"/>
                <w:sz w:val="17"/>
                <w:szCs w:val="17"/>
                <w:color w:val="auto"/>
              </w:rPr>
              <w:t>Adjusted net sales</w:t>
            </w:r>
            <w:r>
              <w:rPr>
                <w:rFonts w:ascii="Times New Roman" w:cs="Times New Roman" w:eastAsia="Times New Roman" w:hAnsi="Times New Roman"/>
                <w:sz w:val="24"/>
                <w:szCs w:val="24"/>
                <w:color w:val="auto"/>
                <w:vertAlign w:val="superscript"/>
              </w:rPr>
              <w:t>1</w:t>
            </w:r>
          </w:p>
        </w:tc>
        <w:tc>
          <w:tcPr>
            <w:tcW w:w="1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1,835,259</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1,807,004</w:t>
            </w:r>
          </w:p>
        </w:tc>
        <w:tc>
          <w:tcPr>
            <w:tcW w:w="1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5,524,784</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5,241,607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Case sales by segment:</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Monster Energy® Drinks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46,822</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135,063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case sales</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203,088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Average net sales per case - Energy Drinks</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6"/>
          <w:szCs w:val="16"/>
          <w:i w:val="1"/>
          <w:iCs w:val="1"/>
          <w:color w:val="auto"/>
        </w:rPr>
        <w:t>Excludes Alcohol Brands segment and Other segment net sales.</w:t>
      </w:r>
    </w:p>
    <w:p>
      <w:pPr>
        <w:spacing w:after="0" w:line="1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changes in foreign currency exchange rates had an unfavorable impact on the overall average net sales per case for the three- and nine-months ended September 30, 2024.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case sales for our craft beers, hard seltzers and FMBs, in 192-ounce equivalents: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color w:val="auto"/>
                <w:w w:val="99"/>
              </w:rPr>
              <w:t>Three-Months Ended</w:t>
            </w:r>
          </w:p>
        </w:tc>
        <w:tc>
          <w:tcPr>
            <w:tcW w:w="220" w:type="dxa"/>
            <w:vAlign w:val="bottom"/>
          </w:tcPr>
          <w:p>
            <w:pPr>
              <w:spacing w:after="0"/>
              <w:rPr>
                <w:sz w:val="18"/>
                <w:szCs w:val="18"/>
                <w:color w:val="auto"/>
              </w:rPr>
            </w:pPr>
          </w:p>
        </w:tc>
        <w:tc>
          <w:tcPr>
            <w:tcW w:w="21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Nine-Months Ended</w:t>
            </w: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average net sales per case)</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1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10"/>
        </w:trPr>
        <w:tc>
          <w:tcPr>
            <w:tcW w:w="4900" w:type="dxa"/>
            <w:vAlign w:val="bottom"/>
            <w:tcBorders>
              <w:top w:val="single" w:sz="8" w:color="auto"/>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Alcohol Brands segment net sales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149,692</w:t>
            </w:r>
          </w:p>
        </w:tc>
      </w:tr>
      <w:tr>
        <w:trPr>
          <w:trHeight w:val="216"/>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Case sales</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10,581</w:t>
            </w:r>
          </w:p>
        </w:tc>
      </w:tr>
      <w:tr>
        <w:trPr>
          <w:trHeight w:val="210"/>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net sales per case - Alcohol Brands</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0"/>
        </w:trPr>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2, “Management’s Discussion and Analysis of Financial Condition and Results of Operations – Results of Operations” for additional information related to net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At September 30, 2024, we had $1.63 billion in cash and cash equivalents. Of our $1.63 billion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and cash equivalents held at September 30, 2024, $1.12 billion was held by our foreign subsidiaries.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In May 2024, the Company entered into a credit agreement with JPMorgan Chase Bank, N.A.,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agent, and certain other lenders, which provides for senior unsecured credit facilities in an aggregate principal amount of $1.50 billion (collectively, the “Credit Facilities”). The Credit Facilities consist of a $750.0 million term loan (the “Term Loan”) and up to $750.0 million in multicurrency revolving loan commitments (the “Revolving Credit Facility”). The Term Loan matures May 2027 and the Revolving Credit Facility matures May 2029. Borrowings under the Credit Facilities may be repaid at any time during the term of the Credit Facilities and, in the case of the Revolving Credit Facility, may be reborrowed prior to the maturity date. As of September 30, 2024, the Revolving Credit Facility had remaining availability of $750.0 million.</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requirements, purchases of capital assets, purchases of equipment, purchases of real property and purchases of shares of our common stock, through at least the next 12 months. Based on our current plans, at this time we estimate that capital expenditures (exclusive of common stock repurchases) are likely to be less than $500.0 million through September 30, 2025. However, future business opportunities may cause a change in this estimate.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Purchases of inventories, increases in accounts receivable and other assets, acquisition of property and equipment (including real property, personal property, plant and manufacturing equipment,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our cash flows for the nine-months ended September 30, 2024 and 2023 (in thousands):</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1,466,832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1,283,426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843,018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(360,023)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(2,967,704)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(433,793)</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provided by operating activities. </w:t>
      </w:r>
      <w:r>
        <w:rPr>
          <w:rFonts w:ascii="Times New Roman" w:cs="Times New Roman" w:eastAsia="Times New Roman" w:hAnsi="Times New Roman"/>
          <w:sz w:val="18"/>
          <w:szCs w:val="18"/>
          <w:color w:val="auto"/>
        </w:rPr>
        <w:t>Cash provided by operating activities was $1.47 billion for the nine-months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as compared with cash provided by operating activities of $1.28 billion for the nine-months ended September 30, 2023.</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nine-months ended September 30, 2024, cash provided by operating activities was primarily attributable to net income earned of $1.24 billion and adjustments for certain non-cash expenses, consisting primarily of $69.6 million of depreciation and amortization and non-cash lease expense and $68.8 million of stock-based compensation. For the nine-months ended September 30, 2024, cash provided by operating activities also increased due to a $197.1 million decrease in inventories, a $46.7 million increase in accrued liabilities, a $31.5 million increase in accrued promotional allowances and a $4.2 million increase in income taxes payable. For the nine-months ended September 30, 2024, cash used in operating activities was primarily attributable to a $106.4 million increase in accounts receivable, a $39.7 million increase in prepaid income taxes, a $14.3 million decrease in accounts payable, a $12.7 million decrease in deferred revenue, a $6.0 million decrease in accrued compensation, a $5.9 million increase in prepaid expenses and other assets and a $2.4 million decrease in other liabilities.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nine-months ended September 30, 2023, cash provided by operating activities was primarily attributable to net income earned of $1.26 billion and adjustments for certain non-cash expenses, consisting of $50.4 million of depreciation and amortization, $52.5 million of stock-based compensation, $6.5 million of non-cash lease expense and $2.8 million loss on impairment of intangibles, partially offset by the $45.4 million Bang Transaction Gain. For the nine-months ended September 30, 2023, cash provided by operating activities also increased due to a $109.8 million increase in accounts payable, a $69.8 million decrease in inventories, a $42.4 million</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 in accrued promotional allowances, a $24.7 million increase in accrued liabilities, a $8.0 million decrease in prepaid income taxes, a $4.2 million increase in income taxes payable and a $3.5 million increase in accrued compensation. For the nine-months ended September 30, 2023, cash used in operating activities was primarily attributable to a $218.8 million increase in accounts receivable, a $67.4 million increase in prepaid expenses and other assets, a $19.3 million decrease in deferred revenue and a $3.6 million decrease in other liabilities.</w:t>
      </w:r>
    </w:p>
    <w:p>
      <w:pPr>
        <w:spacing w:after="0" w:line="18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provided by (used in) investing activities. </w:t>
      </w:r>
      <w:r>
        <w:rPr>
          <w:rFonts w:ascii="Times New Roman" w:cs="Times New Roman" w:eastAsia="Times New Roman" w:hAnsi="Times New Roman"/>
          <w:sz w:val="18"/>
          <w:szCs w:val="18"/>
          <w:color w:val="auto"/>
        </w:rPr>
        <w:t>Cash provided by investing activities was $843.0 million for the nine-months ended September 30, 2024, as compared to cash used in investing activities of $360.0 million for the nine-months ended September 30, 2023.</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both the nine-months ended September 30, 2024 and 2023, cash provided by investing activities was primarily attributable to sales of available-for-sale investments. For both the nine-months ended September 30, 2024 and 2023, cash used in investing activities was primarily attributable to purchases of available-for-sale investments. For the nine-months ended September 30, 2023, cash used in investing activities included $363.4 million related to the acquisition of the Bang Energy® business. To a lesser extent, for both the nine-months ended September 30, 2024 and 2023,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acquisitions of and/or construction of and/or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flows used in financing activities. </w:t>
      </w:r>
      <w:r>
        <w:rPr>
          <w:rFonts w:ascii="Times New Roman" w:cs="Times New Roman" w:eastAsia="Times New Roman" w:hAnsi="Times New Roman"/>
          <w:sz w:val="18"/>
          <w:szCs w:val="18"/>
          <w:color w:val="auto"/>
        </w:rPr>
        <w:t>Cash used in financing activities was $2.97 billion for the nine-months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as compared to cash used in financing activities of $433.8 million for the nine-months ended September 30, 2023. The cash used in financing activities for both the nine-months ended September 30, 2024 and 2023 was primarily the result of the repurchases of our common stock. The cash provided by financing activities for the nine-months ended September 30, 2024 was primarily attributable to borrowings under the Credit Facilities and, to a lesser extent, the issuance of our common stock under our stock-based compensation plans. The cash provided by financing activities for the nine-months ended September 30, 2023 was primarily attributable to the issuance of our common stock under our stock-based compensation plans.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a summary of the Company’s contractual commitments and related scheduled maturities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8"/>
                <w:szCs w:val="18"/>
                <w:color w:val="auto"/>
              </w:rPr>
              <w:t>Payments due by period (in thousands)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191"/>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Less than</w:t>
            </w:r>
          </w:p>
        </w:tc>
        <w:tc>
          <w:tcPr>
            <w:tcW w:w="200" w:type="dxa"/>
            <w:vAlign w:val="bottom"/>
          </w:tcPr>
          <w:p>
            <w:pPr>
              <w:spacing w:after="0"/>
              <w:rPr>
                <w:sz w:val="16"/>
                <w:szCs w:val="16"/>
                <w:color w:val="auto"/>
              </w:rPr>
            </w:pPr>
          </w:p>
        </w:tc>
        <w:tc>
          <w:tcPr>
            <w:tcW w:w="104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color w:val="auto"/>
              </w:rPr>
              <w:t>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w:t>
            </w:r>
          </w:p>
        </w:tc>
        <w:tc>
          <w:tcPr>
            <w:tcW w:w="220" w:type="dxa"/>
            <w:vAlign w:val="bottom"/>
          </w:tcPr>
          <w:p>
            <w:pPr>
              <w:spacing w:after="0"/>
              <w:rPr>
                <w:sz w:val="16"/>
                <w:szCs w:val="16"/>
                <w:color w:val="auto"/>
              </w:rPr>
            </w:pPr>
          </w:p>
        </w:tc>
        <w:tc>
          <w:tcPr>
            <w:tcW w:w="1020" w:type="dxa"/>
            <w:vAlign w:val="bottom"/>
            <w:gridSpan w:val="2"/>
          </w:tcPr>
          <w:p>
            <w:pPr>
              <w:jc w:val="center"/>
              <w:ind w:right="460"/>
              <w:spacing w:after="0" w:line="191" w:lineRule="exact"/>
              <w:rPr>
                <w:sz w:val="20"/>
                <w:szCs w:val="20"/>
                <w:color w:val="auto"/>
              </w:rPr>
            </w:pPr>
            <w:r>
              <w:rPr>
                <w:rFonts w:ascii="Times New Roman" w:cs="Times New Roman" w:eastAsia="Times New Roman" w:hAnsi="Times New Roman"/>
                <w:sz w:val="18"/>
                <w:szCs w:val="18"/>
                <w:color w:val="auto"/>
              </w:rPr>
              <w:t>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w:t>
            </w:r>
          </w:p>
        </w:tc>
        <w:tc>
          <w:tcPr>
            <w:tcW w:w="120" w:type="dxa"/>
            <w:vAlign w:val="bottom"/>
          </w:tcPr>
          <w:p>
            <w:pPr>
              <w:spacing w:after="0"/>
              <w:rPr>
                <w:sz w:val="16"/>
                <w:szCs w:val="16"/>
                <w:color w:val="auto"/>
              </w:rPr>
            </w:pPr>
          </w:p>
        </w:tc>
        <w:tc>
          <w:tcPr>
            <w:tcW w:w="92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More than</w:t>
            </w:r>
          </w:p>
        </w:tc>
      </w:tr>
      <w:tr>
        <w:trPr>
          <w:trHeight w:val="234"/>
        </w:trPr>
        <w:tc>
          <w:tcPr>
            <w:tcW w:w="394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Obligations</w:t>
            </w:r>
          </w:p>
        </w:tc>
        <w:tc>
          <w:tcPr>
            <w:tcW w:w="1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1 year</w:t>
            </w:r>
          </w:p>
        </w:tc>
        <w:tc>
          <w:tcPr>
            <w:tcW w:w="20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Pr>
          <w:p>
            <w:pPr>
              <w:spacing w:after="0"/>
              <w:rPr>
                <w:sz w:val="20"/>
                <w:szCs w:val="20"/>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years</w:t>
            </w:r>
          </w:p>
        </w:tc>
        <w:tc>
          <w:tcPr>
            <w:tcW w:w="12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 years</w:t>
            </w:r>
          </w:p>
        </w:tc>
      </w:tr>
      <w:tr>
        <w:trPr>
          <w:trHeight w:val="209"/>
        </w:trPr>
        <w:tc>
          <w:tcPr>
            <w:tcW w:w="374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Contractual Obligations</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400,579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299,956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13,410</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Facilities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Purchase Commitments</w:t>
            </w:r>
            <w:r>
              <w:rPr>
                <w:rFonts w:ascii="Times New Roman" w:cs="Times New Roman" w:eastAsia="Times New Roman" w:hAnsi="Times New Roman"/>
                <w:sz w:val="25"/>
                <w:szCs w:val="25"/>
                <w:color w:val="auto"/>
                <w:vertAlign w:val="superscript"/>
              </w:rPr>
              <w:t>2</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238,089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193,428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1,456,644</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509,758</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154,673</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777,481</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14,732</w:t>
            </w: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6"/>
          <w:szCs w:val="16"/>
          <w:i w:val="1"/>
          <w:iCs w:val="1"/>
          <w:color w:val="auto"/>
        </w:rPr>
        <w:t>Contractual obligations include our obligations related to sponsorships and other commitments.</w:t>
      </w:r>
    </w:p>
    <w:p>
      <w:pPr>
        <w:spacing w:after="0" w:line="143" w:lineRule="exact"/>
        <w:rPr>
          <w:sz w:val="20"/>
          <w:szCs w:val="20"/>
          <w:color w:val="auto"/>
        </w:rPr>
      </w:pPr>
    </w:p>
    <w:p>
      <w:pPr>
        <w:jc w:val="both"/>
        <w:ind w:left="80" w:right="20" w:hanging="64"/>
        <w:spacing w:after="0" w:line="223" w:lineRule="auto"/>
        <w:rPr>
          <w:sz w:val="20"/>
          <w:szCs w:val="20"/>
          <w:color w:val="auto"/>
        </w:rPr>
      </w:pPr>
      <w:r>
        <w:rPr>
          <w:rFonts w:ascii="Times New Roman" w:cs="Times New Roman" w:eastAsia="Times New Roman" w:hAnsi="Times New Roman"/>
          <w:sz w:val="24"/>
          <w:szCs w:val="24"/>
          <w:i w:val="1"/>
          <w:iCs w:val="1"/>
          <w:color w:val="auto"/>
          <w:vertAlign w:val="superscript"/>
        </w:rPr>
        <w:t>2</w:t>
      </w:r>
      <w:r>
        <w:rPr>
          <w:rFonts w:ascii="Times New Roman" w:cs="Times New Roman" w:eastAsia="Times New Roman" w:hAnsi="Times New Roman"/>
          <w:sz w:val="16"/>
          <w:szCs w:val="16"/>
          <w:i w:val="1"/>
          <w:iCs w:val="1"/>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approximately $3.7 million of unrecognized tax benefits have been recorded as liabilities as of September 30, 2024. It is expected that the amount of unrecognized tax benefits will not significantly change within the next 12 months. As of September 30, 2024, we had $0.9 million of accrued interest and penalties related to unrecognized tax benefits.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GAAP requires us to make estimates and assumptions that affect the reported amounts in our consolidated financial statements. Critical accounting estimates are those that management believes are the most important to the portrayal of our financial condition and results and require the most difficult, subjective or complex judgments, often as a result of the need to make estimates about the effect of matters that are inherently uncertain and that have had, or are reasonably likely to have, a material impact on our financial condition or results of operations. Judgments and uncertainties may result in materially different amounts being reported under different conditions or using different assumptions. There have been no material changes to our critical accounting policies or estimates from the information provided in “Part II, Item 7, Management’s Discussion and Analysis of Financial Condition and Results of Operations” and “Part II, Item 8 – Financial Statements and Supplementary Data – Note 1 – Organization and Summary of Significant Accounting Policies”, included in our Annual Report on Form 10-K for the fiscal year ended December 31, 2023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Notes to Condensed Consolidated Financial Statements - Note 1. Recent Accounting Pronouncements, in Part I, Item 1,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Inflation had an impact on our results of operations for the three- and nine-months ended September 30, 2024 primarily due to inflation related local currency price increases in certain international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“estimates” and similar expressions are intended to identify forward-looking statements.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76" w:lineRule="exact"/>
        <w:rPr>
          <w:sz w:val="20"/>
          <w:szCs w:val="20"/>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profitability within our Alcohol Brands segment;</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the Bang Energy® business and recognize the anticipated benefits of the transaction;</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consolidate operations and/or rationalize brands acquired from Monster Brewing Company;</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absorb, mitigate or pass on cost increases to our bottlers/distributors and/or customers and/or consumers;</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rising costs, interest rates, and inflation on the discretionary income of our consumers;</w:t>
      </w:r>
    </w:p>
    <w:p>
      <w:pPr>
        <w:spacing w:after="0" w:line="22"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an economic slowdown or recession that could negatively impact the financial condition of our customers and could result in a reduced demand for our products;</w:t>
      </w:r>
    </w:p>
    <w:p>
      <w:pPr>
        <w:ind w:left="68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military conflicts, including supply chain disruptions, volatility in commodity and energy prices, increased economic uncertainty and escalating geopolitical tensions;</w:t>
      </w:r>
    </w:p>
    <w:p>
      <w:pPr>
        <w:jc w:val="both"/>
        <w:ind w:left="680" w:hanging="321"/>
        <w:spacing w:after="0" w:line="274"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growth and/or growth rates (positive or negative) of the domestic and international energy drink categories generally, including in the convenience and gas channel (which is our largest channel) and the impact on demand for our products resulting from deteriorating economic conditions and/or financial uncertainties including a slowdown in consumer spending generally or reduced demand for consumer goods;</w:t>
      </w:r>
    </w:p>
    <w:p>
      <w:pPr>
        <w:sectPr>
          <w:pgSz w:w="11900" w:h="16838" w:orient="portrait"/>
          <w:cols w:equalWidth="0" w:num="1">
            <w:col w:w="9920"/>
          </w:cols>
          <w:pgMar w:left="980" w:top="661"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anticipated demand for our products in domestic and/or international markets;</w:t>
      </w:r>
    </w:p>
    <w:p>
      <w:pPr>
        <w:spacing w:after="0" w:line="27"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the current level of sales of and/or achieve growth for our Monster Energy®, Reign Total Body Fuel®, Reign Storm®, Bang Energy® and NOS® brand energy drinks and/or our other products, including our Strategic Brands and Alcohol Brands;</w:t>
      </w:r>
    </w:p>
    <w:p>
      <w:pPr>
        <w:jc w:val="both"/>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temporary or permanent facility closures, production slowdowns and disruptions in operations experienced by our manufacturing facilities, our suppliers, bottlers/distributors, co-packers, and/or breweries, including any material disruptions on the production and distribution of our products;</w:t>
      </w:r>
    </w:p>
    <w:p>
      <w:pPr>
        <w:jc w:val="both"/>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and/or our co-packers’ manufacturing facilities and operations due to severe weather, natural disasters, climate change, labor-related issues, production difficulties, capacity limitations, cybersecurity incidents or other causes, which could impair our ability to produce or deliver finished products, resulting in a negative impact on our operating results;</w:t>
      </w: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modify our manufacturing facilities to comply with safety, health, environmental, and other regulations;</w:t>
      </w:r>
    </w:p>
    <w:p>
      <w:pPr>
        <w:spacing w:after="0" w:line="22"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co-packers leading us to increasingly rely on fewer co-packing groups, certain of which account for a large percentage of our co-packing capacity for our Monster Energy® drinks;</w:t>
      </w: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logistical issues and delays, including shortages of shipping containers and port of entry congestion;</w:t>
      </w:r>
    </w:p>
    <w:p>
      <w:pPr>
        <w:spacing w:after="0" w:line="22"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extensive commercial arrangements with TCCC and, as a result, our future performance is substantially dependent on the success of our relationship with TCCC;</w:t>
      </w:r>
    </w:p>
    <w:p>
      <w:pPr>
        <w:jc w:val="both"/>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 of TCCC’s bottlers/distributors distributing Coca-Cola brand energy drinks, possible reductions in the number of our SKUs carried by such bottlers/distributors and/or such bottlers/distributors imposing limitations on distributing new product SKUs;</w:t>
      </w:r>
    </w:p>
    <w:p>
      <w:pPr>
        <w:ind w:left="680" w:right="2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TCCC being one of our significant stockholders and the potential divergence of TCCC’s interests from those of our other stockholders;</w:t>
      </w:r>
    </w:p>
    <w:p>
      <w:pPr>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relationships with TCCC system bottlers/distributors and manage their ongoing commitment to focus on our non-alcohol products;</w:t>
      </w:r>
    </w:p>
    <w:p>
      <w:pPr>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distribution channels and/or declines in sales due to the termination and/or insolvency of existing and/or new domestic and/or international bottlers/distributors;</w:t>
      </w:r>
    </w:p>
    <w:p>
      <w:pPr>
        <w:ind w:left="680" w:right="2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inventory levels or those of our bottlers/distributors, planned or otherwise, and the resultant impact on our revenues;</w:t>
      </w:r>
    </w:p>
    <w:p>
      <w:pPr>
        <w:jc w:val="both"/>
        <w:ind w:left="680" w:right="2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regulations, including taxation, age restrictions imposed on the sale, purchase, or consumption of our products, marketing restrictions, product registration requirements, tariffs, trade restrictions, container size limitations and/or ingredient restrictions;</w:t>
      </w:r>
    </w:p>
    <w:p>
      <w:pPr>
        <w:jc w:val="both"/>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inquiries from, and/or actions by, state attorneys general, the Federal Trade Commission (the “FTC”), the Food and Drug Administration (the “FDA”), the Bureau of Alcohol, Tobacco, Firearms and Explosives (the “ATF”), municipalities, city attorneys, other government agencies, quasi-government agencies, government officials (including members of the U.S. Congress) and/or analogous central and local agencies and other authorities in the foreign countries in which our products are manufactured and/or distributed into the advertising, marketing, promotion, ingredients, sale and/or consumption of our products, including voluntary and/or required changes to our business practices;</w:t>
      </w:r>
    </w:p>
    <w:p>
      <w:pPr>
        <w:jc w:val="both"/>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regulations and evolving industry standards regarding consumer privacy and data use and security, including, but not limited to, with respect to the General Data Protection Regulation and the California Consumer Privacy Act of 2018;</w:t>
      </w: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profitability and/or repatriate cash from certain of our operations outside the United States;</w:t>
      </w:r>
    </w:p>
    <w:p>
      <w:pPr>
        <w:spacing w:after="0" w:line="22"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p>
      <w:pPr>
        <w:jc w:val="both"/>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tax laws as a result of any legislation proposed by the U.S. Presidential Administration or U.S. Congress, which may include efforts to change or repeal the 2017 Tax Cuts and Jobs Act and the federal corporate income tax rate reduction;</w:t>
      </w:r>
    </w:p>
    <w:p>
      <w:pPr>
        <w:ind w:left="680" w:right="2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in international markets in which they are sold, thereby reducing freight costs and/or product damages;</w:t>
      </w: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inventories and/or our accounts receivables;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68"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currency exchange rate risk with respect to our sales, expenses, profits, assets and liabilities denominated in currencies other than the U.S. dollar, which will continue to increase as foreign sales increase;</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may affect our reported profitability;</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Implications of the Organization for Economic Cooperation and Development’s base erosion and profit shifting project;</w:t>
      </w:r>
    </w:p>
    <w:p>
      <w:pPr>
        <w:spacing w:after="0" w:line="22"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proceedings that may be brought against us by the U.S. Securities and Exchange Commission (the “SEC”), the FDA, the FTC, the ATF or other governmental or quasi-governmental agencies or bodies;</w:t>
      </w:r>
    </w:p>
    <w:p>
      <w:pPr>
        <w:ind w:left="680" w:right="2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and/or possibility of future shareholder derivative actions or shareholder securities litigation that may be filed against us and/or against certain of our officers and directors, and the possibility of other private shareholder litigation;</w:t>
      </w:r>
    </w:p>
    <w:p>
      <w:pPr>
        <w:jc w:val="both"/>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product liability or consumer fraud litigation and/or class action litigation (or its analog in foreign jurisdictions) regarding the safety of our products and/or the ingredients in our products and/or claims made in connection with our products and/or alleging false advertising, marketing and/or promotion, and the possibility of future product liability and/or class action lawsuits;</w:t>
      </w:r>
    </w:p>
    <w:p>
      <w:pPr>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significant liabilities due to litigation, legal or regulatory proceedings, including litigation directed at the energy and alcohol beverage industries generally or at the Company in particular;</w:t>
      </w: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injunctions;</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resolution of possible tax matters;</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volatility in the domestic and global economies, including risk of counterparty default or failure;</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any significant deficiencies or material weakness in our internal controls over financial reporting;</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sufficient cash flows to support our expansion plans and general operating activities;</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capital resources and credit facilities;</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resources and our ability to obtain additional financing in the future;</w:t>
      </w:r>
    </w:p>
    <w:p>
      <w:pPr>
        <w:spacing w:after="0" w:line="22"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resulting from changes in consumer preferences, including, but not limited to: changes in demand for different packages, sizes and configurations; changes due to perceived health concerns such as obesity, ingredients in our products or packaging, and alcohol abuse; changes due to product safety concerns; and/or changes due to decreased consumer discretionary spending power;</w:t>
      </w:r>
    </w:p>
    <w:p>
      <w:pPr>
        <w:jc w:val="both"/>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surrounding obesity, alcohol consumption, and other health concerns related to our products, product safety and quality, water usage, environmental impact and sustainability, human rights, our culture, workforce and labor and workplace laws;</w:t>
      </w:r>
    </w:p>
    <w:p>
      <w:pPr>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or comply with sustainability-related expectations, standards, and regulations, including rules adopted by the SEC, laws implemented by the California legislature, and directives adopted by the European Commission;</w:t>
      </w:r>
    </w:p>
    <w:p>
      <w:pPr>
        <w:ind w:left="680" w:right="2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that are weather or season related and/or for other reasons, including changes in product category and/or package consumption;</w:t>
      </w:r>
    </w:p>
    <w:p>
      <w:pPr>
        <w:ind w:left="680" w:right="2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and availability of certain key ingredients including aluminum cans, as well as disruptions to the supply chain, as a result of climate change and poor or extreme weather conditions;</w:t>
      </w:r>
    </w:p>
    <w:p>
      <w:pPr>
        <w:jc w:val="both"/>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unstable political conditions, civil unrest, large scale terrorist acts, the outbreak or escalation of armed hostilities, major natural disasters and extreme weather conditions, widespread outbreaks of infectious diseases (such as the COVID-19 pandemic), or unforeseen economic and political changes and local or international catastrophic events;</w:t>
      </w:r>
    </w:p>
    <w:p>
      <w:pPr>
        <w:jc w:val="both"/>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competitive products and pricing pressures and our ability to increase or maintain our market share as a result of actions by competitors, including unsubstantiated and/or misleading claims, false advertising claims and tortious interference, as well as competitors selling misbranded products;</w:t>
      </w:r>
    </w:p>
    <w:p>
      <w:pPr>
        <w:jc w:val="both"/>
        <w:ind w:left="680" w:right="2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trademark and trade dress infringement proceedings brought against us relating to any of our brands, which could result in an injunction barring us from selling certain of our products and/or require changes to be made to our current trade dress;</w:t>
      </w: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and/or maintain price increases, including through reductions in promotional allowances;</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achieve volume growth through product and packaging initiatives;</w:t>
      </w:r>
    </w:p>
    <w:p>
      <w:pPr>
        <w:spacing w:after="0" w:line="22"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growth strategy, including expanding our business in existing and new sectors, such as the alcohol beverage sector;</w:t>
      </w:r>
    </w:p>
    <w:p>
      <w:pPr>
        <w:jc w:val="both"/>
        <w:ind w:left="680" w:hanging="321"/>
        <w:spacing w:after="0" w:line="279"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operational risks presented by the alcohol beverage industry that may not be adequately covered by insurance or lead to litigation relating to alcohol marketing, advertising, or distribution practices, alcohol abuse problems and other health consequences arising from excessive consumption of or other misuse of alcohol, including death;</w:t>
      </w:r>
    </w:p>
    <w:p>
      <w:pPr>
        <w:sectPr>
          <w:pgSz w:w="11900" w:h="16838" w:orient="portrait"/>
          <w:cols w:equalWidth="0" w:num="1">
            <w:col w:w="9920"/>
          </w:cols>
          <w:pgMar w:left="980" w:top="661"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68"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transition distribution agreements in our Alcohol Brands segment and/or the impact of higher costs to change distributors for our alcohol beverages;</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criticism of our products and/or the energy drink and/or alcohol beverage markets generally and/or legislation enacted (whether as a result of such criticism or otherwise) that restricts the marketing or sale of energy drinks and/or alcohol beverages (including prohibiting the sale of energy and/or alcohol drinks at certain establishments or pursuant to certain governmental programs), limits caffeine or alcohol content in beverages, requires certain product labeling disclosures and/or warnings, imposes excise and/or sales taxes, limits product sizes and/or imposes age restrictions for the sale of energy and/or alcohol drinks;</w:t>
      </w:r>
    </w:p>
    <w:p>
      <w:pPr>
        <w:jc w:val="both"/>
        <w:ind w:left="680" w:hanging="321"/>
        <w:spacing w:after="0" w:line="264"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and/or resulting lower consumer demand and/or lower profit margins for energy drinks and/or alcohol beverages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In addition, our business may be adversely impacted by changes in other food, drug or similar laws in the United States and internationally as well as laws and regulations or rules made or enforced by the ATF and/or the FTC or their foreign counterparts;</w:t>
      </w:r>
    </w:p>
    <w:p>
      <w:pPr>
        <w:spacing w:after="0" w:line="1"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timely import or export of our products and/or ingredients including flavors, flavor ingredients and supplement ingredients due to port congestion, strikes and related labor issues or otherwise;</w:t>
      </w:r>
    </w:p>
    <w:p>
      <w:pPr>
        <w:jc w:val="both"/>
        <w:ind w:left="68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all criteria set forth in any model energy and/or alcohol drink guidelines, including, without limitation, those adopted by the American Beverage Association, of which we are a member, and/or any international beverage associations and the impact that our failure to satisfy such guidelines may have on our business;</w:t>
      </w: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or adverse public relations, press, articles, comments and/or media attention;</w:t>
      </w:r>
    </w:p>
    <w:p>
      <w:pPr>
        <w:spacing w:after="0" w:line="22"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quality and availability of containers, packaging materials, aluminum cans or kegs, the Midwest and other premiums, raw materials, including flavors and flavor ingredients, and other ingredients and juice concentrates, co-packing fees, and our ability to obtain and/or maintain favorable supply arrangements and relationships and procure timely and/or sufficient production of all or any of our products to meet customer demand;</w:t>
      </w:r>
    </w:p>
    <w:p>
      <w:pPr>
        <w:jc w:val="both"/>
        <w:ind w:left="68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shortages that may be experienced in the procurement of containers and/or other raw materials including, without limitation, water, flavors, flavor ingredients, supplement ingredients, aluminum cans generally, to a limited extent PET containers, 24-ounce aluminum cap cans, 19.2-ounce cans and 550ml BRE aluminum cans with resealable ends;</w:t>
      </w: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secure and purify sufficient supplies of quality water;</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procuring sufficient quantities of aluminum cans;</w:t>
      </w:r>
    </w:p>
    <w:p>
      <w:pPr>
        <w:spacing w:after="0" w:line="22"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secure sufficient quantities of aluminum cans and sufficient co-packing availability in the future, we may be required to commit to minimum purchase volumes and/or minimum co-packing volumes. In the event that we over-estimate future demand for our products and therefore may not purchase such minimum quantities in full, or utilize such minimum co-packing volumes in full, we may incur claims and/or costs or losses in respect of such shortfalls;</w:t>
      </w:r>
    </w:p>
    <w:p>
      <w:pPr>
        <w:ind w:left="680" w:right="2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cost of sales of corporate activity among the limited number of suppliers from whom we purchase certain raw materials;</w:t>
      </w:r>
    </w:p>
    <w:p>
      <w:pPr>
        <w:ind w:left="68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pass on to our customers all or a portion of any increases in the costs of raw materials, ingredients, commodities and/or other cost inputs affecting our business;</w:t>
      </w:r>
    </w:p>
    <w:p>
      <w:pPr>
        <w:ind w:left="68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new domestic and/or international markets and/or gain approval or mitigate the delay in securing approval for the sale of our products in various countries;</w:t>
      </w:r>
    </w:p>
    <w:p>
      <w:pPr>
        <w:ind w:left="680" w:right="2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and/or marketing efforts by us and/or by the bottlers/distributors of our products, most of whom distribute products that may be regarded as competitive with our products;</w:t>
      </w:r>
    </w:p>
    <w:p>
      <w:pPr>
        <w:jc w:val="both"/>
        <w:ind w:left="68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Unilateral decisions by bottlers/distributors, buying groups, convenience and gas chains, grocery chains, mass merchandisers, specialty chain stores, e-commerce retailers, e-commerce websites, club stores and other customers to discontinue carrying all or any of our products that they are carrying at any time, restrict the range of our products they carry, impose restrictions or limitations on the sale of our products and/or the sizes of containers of our products and/or devote less resources to the sale of our products;</w:t>
      </w:r>
    </w:p>
    <w:p>
      <w:pPr>
        <w:jc w:val="both"/>
        <w:ind w:left="680" w:hanging="321"/>
        <w:spacing w:after="0" w:line="279"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certain activities by competitors and others to persuade regulators and/or retailers and/or customers in certain countries to reduce the permitted or maximum container sizes for our products from those currently being sold and marketed by us;</w:t>
      </w:r>
    </w:p>
    <w:p>
      <w:pPr>
        <w:sectPr>
          <w:pgSz w:w="11900" w:h="16838" w:orient="portrait"/>
          <w:cols w:equalWidth="0" w:num="1">
            <w:col w:w="9920"/>
          </w:cols>
          <w:pgMar w:left="980" w:top="661"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68"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possible trading disputes between our bottler/distributors and their customers and/or one or more buying groups which may result in the delisting of certain of our products, temporarily or otherwise;</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retailer consolidation on our business and our ability to successfully adapt to the rapidly changing retail landscape, including, but not limited to, competition from new entrants, consolidations by competitors and retailers, and other competitive activities;</w:t>
      </w: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the changing retail landscape with the rapid growth in e-commerce retailers;</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bottler/distributor consolidation on our business;</w:t>
      </w:r>
    </w:p>
    <w:p>
      <w:pPr>
        <w:spacing w:after="0" w:line="22"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and/or effectiveness, now or in the future, of our sponsorships and endorsements, marketing and promotional strategies;</w:t>
      </w: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sports marketing, social media and other general marketing endeavors both domestically and internationally;</w:t>
      </w:r>
    </w:p>
    <w:p>
      <w:pPr>
        <w:spacing w:after="0" w:line="22"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product recalls and/or reformulations of certain of our products and/or market withdrawals of certain of our products due to defective packaging and/or non-compliant formulas or production in one or more jurisdictions;</w:t>
      </w: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bottlers and/or co-packers to manufacture our products on a timely basis or at all;</w:t>
      </w:r>
    </w:p>
    <w:p>
      <w:pPr>
        <w:spacing w:after="0" w:line="22"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suitable arrangements for the timely procurement of non-defective raw materials;</w:t>
      </w:r>
    </w:p>
    <w:p>
      <w:pPr>
        <w:spacing w:after="0" w:line="22"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and/or the loss of our intellectual property rights and/or our inability to use our trademarks, trade names or designs and/or trade dress in certain countries;</w:t>
      </w:r>
    </w:p>
    <w:p>
      <w:pPr>
        <w:ind w:left="680" w:right="20" w:hanging="321"/>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stock prices which may restrict stock sales, stock purchases or other opportunities as well as negatively impact the motivation of equity award grantees;</w:t>
      </w:r>
    </w:p>
    <w:p>
      <w:pPr>
        <w:ind w:left="680" w:hanging="321"/>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organizational documents and/or control by insiders which may prevent changes in control even if such changes would be beneficial to other stockholders;</w:t>
      </w:r>
    </w:p>
    <w:p>
      <w:pPr>
        <w:jc w:val="both"/>
        <w:ind w:left="680" w:hanging="321"/>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and/or lack of effectiveness of our information technology systems, including a breach of cyber security, that disrupts our business or negatively impacts customer relationships, as well as cybersecurity incidents involving data shared with or by third parties; and</w:t>
      </w:r>
    </w:p>
    <w:p>
      <w:pPr>
        <w:ind w:left="680" w:hanging="321"/>
        <w:spacing w:after="0" w:line="29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Succession plans for and/or the recruitment and retention of senior management, other key employees and our employee base in general.</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foregoing list of important factors and other risks detailed from time to time in our reports filed with the SEC is not exhaustive. See “Part II,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risks during the three-months ended September 30, 2024 compared with the disclosures in Part II, Item 7A of our Form 10-K.</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 Under the supervision and with the participation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including our Co-Chief Executive Officers and Chief Financial Officer, we have evaluated the effectiveness of the design and operation of our disclosure controls and procedures (as defined in Rules 13(a)-15(e) and 15(d)-15(e) of the Exchange Act) as of the end of the period covered by this report. Based upon this evaluation, the Co-Chief Executive Officers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 There were no changes in the Company’s internal controls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Notes to Condensed Consolidated Financial Statements - Note 12. Commitments and Contingencies: Litigation in Part I, Item 1, of this Quarterly Report on Form 10-Q.</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including Management’s Discussion and Analysis of Financial Condition and Results of Operations and the condensed consolidated financial statements and related notes, you should carefully consider the risks discussed in “Part I, Item 1A – Risk Factors” in our Form 10-K. If any of these risks occur or continue to occur, our business, reputation, financial condition and/or operating results could be materially adversely affected. We also note that the risk factors described in this report and our Form 10-K are not the only risks facing our Company, and such additional risks or uncertainties that we currently deem to be immaterial or are unknown to us could negatively impact our business, operations, or financial results.</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2, 2022, the Company’s Board of Directors authorized a share repurchase program for the purchase of up to an additional $500.0 million of the Company’s outstanding common stock (the “November 2022 Repurchase Plan”). During the three-months ended September 30, 2024, the Company repurchased approximately 0.7 million shares of its common stock at an average purchase price of $49.83 per share, for a total amount of approximately $34.7 million, which exhausted the availability under the November 2022 Repurchase Plan.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7, 2023, the Company’s Board of Directors authorized a share repurchase program for the purchase of up to an additional $500.0 million of the Company’s outstanding common stock (the “November 2023 Repurchase Plan”). During the three-months ended September 30, 2024, the Company repurchased approximately 10.6 million shares of its common stock at an average purchase price of $47.16 per share, for a total amount of approximately $500.0 million, which exhausted the availability under the November 2023 Repurchase Plan.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19, 2024, the Company’s Board of Directors authorized a share repurchase program for the purchase of up to an additional $500.0 million of the Company’s outstanding common stock (the “August 2024 Repurchase Plan”). During the three-months ended September 30, 2024, no shares were repurchased under the August 2024 Repurchase Plan. As of November 6, 2024, $500.0 million remained available for repurchase under the August 2024 Repurchase Plan.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aggregate amount of the Company’s outstanding common stock that remains available for repurchase under all previously authorized repurchase plans is $500.0 million as of November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tabular summary reflects the Company’s repurchase activity during the quarter ended September 30,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Maximum Number (or</w:t>
            </w:r>
          </w:p>
        </w:tc>
      </w:t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Approximate Dollar</w:t>
            </w:r>
          </w:p>
        </w:tc>
      </w:t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Value) of Shares that</w:t>
            </w:r>
          </w:p>
        </w:tc>
      </w:t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2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May Yet Be Purchased</w:t>
            </w:r>
          </w:p>
        </w:tc>
      </w:t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Total Number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 Part of Publicly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Under the Plans or</w:t>
            </w:r>
          </w:p>
        </w:tc>
      </w:tr>
      <w:tr>
        <w:trPr>
          <w:trHeight w:val="208"/>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of Shares</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Announced Plans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Programs</w:t>
            </w:r>
          </w:p>
        </w:tc>
      </w:tr>
      <w:tr>
        <w:trPr>
          <w:trHeight w:val="242"/>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Purchased</w:t>
            </w:r>
          </w:p>
        </w:tc>
        <w:tc>
          <w:tcPr>
            <w:tcW w:w="120" w:type="dxa"/>
            <w:vAlign w:val="bottom"/>
          </w:tcPr>
          <w:p>
            <w:pPr>
              <w:spacing w:after="0"/>
              <w:rPr>
                <w:sz w:val="21"/>
                <w:szCs w:val="21"/>
                <w:color w:val="auto"/>
              </w:rPr>
            </w:pPr>
          </w:p>
        </w:tc>
        <w:tc>
          <w:tcPr>
            <w:tcW w:w="1120" w:type="dxa"/>
            <w:vAlign w:val="bottom"/>
            <w:gridSpan w:val="2"/>
          </w:tcPr>
          <w:p>
            <w:pPr>
              <w:ind w:left="40"/>
              <w:spacing w:after="0" w:line="242" w:lineRule="exact"/>
              <w:rPr>
                <w:sz w:val="20"/>
                <w:szCs w:val="20"/>
                <w:color w:val="auto"/>
              </w:rPr>
            </w:pPr>
            <w:r>
              <w:rPr>
                <w:rFonts w:ascii="Times New Roman" w:cs="Times New Roman" w:eastAsia="Times New Roman" w:hAnsi="Times New Roman"/>
                <w:sz w:val="18"/>
                <w:szCs w:val="18"/>
                <w:color w:val="auto"/>
              </w:rPr>
              <w:t>per Share</w:t>
            </w:r>
            <w:r>
              <w:rPr>
                <w:rFonts w:ascii="Times New Roman" w:cs="Times New Roman" w:eastAsia="Times New Roman" w:hAnsi="Times New Roman"/>
                <w:sz w:val="26"/>
                <w:szCs w:val="26"/>
                <w:color w:val="auto"/>
                <w:vertAlign w:val="superscript"/>
              </w:rPr>
              <w:t>1</w:t>
            </w:r>
          </w:p>
        </w:tc>
        <w:tc>
          <w:tcPr>
            <w:tcW w:w="1340" w:type="dxa"/>
            <w:vAlign w:val="bottom"/>
          </w:tcPr>
          <w:p>
            <w:pPr>
              <w:jc w:val="center"/>
              <w:spacing w:after="0" w:line="242" w:lineRule="exact"/>
              <w:rPr>
                <w:sz w:val="20"/>
                <w:szCs w:val="20"/>
                <w:color w:val="auto"/>
              </w:rPr>
            </w:pPr>
            <w:r>
              <w:rPr>
                <w:rFonts w:ascii="Times New Roman" w:cs="Times New Roman" w:eastAsia="Times New Roman" w:hAnsi="Times New Roman"/>
                <w:sz w:val="18"/>
                <w:szCs w:val="18"/>
                <w:color w:val="auto"/>
                <w:w w:val="96"/>
              </w:rPr>
              <w:t>or Programs</w:t>
            </w:r>
            <w:r>
              <w:rPr>
                <w:rFonts w:ascii="Times New Roman" w:cs="Times New Roman" w:eastAsia="Times New Roman" w:hAnsi="Times New Roman"/>
                <w:sz w:val="26"/>
                <w:szCs w:val="26"/>
                <w:color w:val="auto"/>
                <w:w w:val="96"/>
                <w:vertAlign w:val="superscript"/>
              </w:rPr>
              <w:t>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210"/>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 1 – Jul 31, 2024</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3,876,692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3,876,692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342,400</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 19, 2024 Authorization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 1 – Aug 31, 2024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7,422,440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7,422,440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 1 – Sep 30, 2024</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bl>
    <w:p>
      <w:pPr>
        <w:spacing w:after="0" w:line="182" w:lineRule="exact"/>
        <w:rPr>
          <w:sz w:val="20"/>
          <w:szCs w:val="20"/>
          <w:color w:val="auto"/>
        </w:rPr>
      </w:pPr>
    </w:p>
    <w:p>
      <w:pPr>
        <w:jc w:val="both"/>
        <w:ind w:firstLine="8"/>
        <w:spacing w:after="0" w:line="243" w:lineRule="auto"/>
        <w:tabs>
          <w:tab w:leader="none" w:pos="101" w:val="left"/>
        </w:tabs>
        <w:numPr>
          <w:ilvl w:val="0"/>
          <w:numId w:val="26"/>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6"/>
          <w:szCs w:val="16"/>
          <w:i w:val="1"/>
          <w:iCs w:val="1"/>
          <w:color w:val="auto"/>
        </w:rPr>
        <w:t>On November 3, 2022, November 8, 2023, and August 19, 2024, the Company publicly announced that its Board of Directors authorized the November 2022 Repurchase Plan, the November 2023 Repurchase Plan, and the August 2024 Repurchase Plan, respectively. Board authorizations of the repurchase plans remain in effect until shares in the amount authorized thereunder have been repurchased. During the three-months ended September 30, 2024, both the November 2022 Repurchase Plan and the November 2023 Repurchase Plan were exhausted. See Item 2, “Unregistered Sales of Equity Securities and Use of Proceeds” above for more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Tender Offer</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1, 2024, the Board of Directors authorized the Company to execute a modified “Dutch auction” tender offer to repurchase up to $3.0 billion of its outstanding shares of common stock. On May 8, 2024, the Company commenced the tender offer, with such offer expiring on June 5, 2024. On June 10, 2024, the Company accepted for purchase a total of approximately 56.6 million shares of common stock at a purchase price of $53.00 per share, for an aggregate purchase price of approximately $3.0 billion. The repurchase was funded with approximately $2.25 billion of cash on hand and approximately $750 million in borrowings. The cost of these shares and the fees relating to the tender offer are included in common stock in treasury in the accompanying condensed consolidated balance sheet at September 30, 2024.</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firstLine="653"/>
        <w:spacing w:after="0" w:line="266" w:lineRule="auto"/>
        <w:rPr>
          <w:sz w:val="20"/>
          <w:szCs w:val="20"/>
          <w:color w:val="auto"/>
        </w:rPr>
      </w:pPr>
      <w:r>
        <w:rPr>
          <w:rFonts w:ascii="Times New Roman" w:cs="Times New Roman" w:eastAsia="Times New Roman" w:hAnsi="Times New Roman"/>
          <w:sz w:val="18"/>
          <w:szCs w:val="18"/>
          <w:color w:val="auto"/>
        </w:rPr>
        <w:t>During the three-months ended September 30, 2024, none of the Company’s directors or officers adopted, modified or terminated a Rule 10b5-1 trading arrangement or a non-Rule 10b5-1 trading arrangement (each as defined in Item 408 of Regulation S-K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43" w:lineRule="exact"/>
        <w:rPr>
          <w:sz w:val="20"/>
          <w:szCs w:val="20"/>
          <w:color w:val="auto"/>
        </w:rPr>
      </w:pPr>
    </w:p>
    <w:p>
      <w:pPr>
        <w:jc w:val="both"/>
        <w:ind w:left="740" w:hanging="728"/>
        <w:spacing w:after="0" w:line="282" w:lineRule="auto"/>
        <w:tabs>
          <w:tab w:leader="none" w:pos="7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89">
        <w:r>
          <w:rPr>
            <w:rFonts w:ascii="Times New Roman" w:cs="Times New Roman" w:eastAsia="Times New Roman" w:hAnsi="Times New Roman"/>
            <w:sz w:val="18"/>
            <w:szCs w:val="18"/>
            <w:u w:val="single" w:color="auto"/>
            <w:color w:val="0000EE"/>
          </w:rPr>
          <w:t>Second Amended and Restated Certificate of Incorporation of the Company (incorporated by reference to Exhibit 3.1 to our</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Form 8-K dated June 27, 2023).</w:t>
        </w:r>
      </w:hyperlink>
    </w:p>
    <w:p>
      <w:pPr>
        <w:spacing w:after="0" w:line="162" w:lineRule="exact"/>
        <w:rPr>
          <w:sz w:val="20"/>
          <w:szCs w:val="20"/>
          <w:color w:val="auto"/>
        </w:rPr>
      </w:pPr>
    </w:p>
    <w:p>
      <w:pPr>
        <w:jc w:val="both"/>
        <w:ind w:left="740" w:hanging="728"/>
        <w:spacing w:after="0" w:line="282" w:lineRule="auto"/>
        <w:tabs>
          <w:tab w:leader="none" w:pos="7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90">
        <w:r>
          <w:rPr>
            <w:rFonts w:ascii="Times New Roman" w:cs="Times New Roman" w:eastAsia="Times New Roman" w:hAnsi="Times New Roman"/>
            <w:sz w:val="18"/>
            <w:szCs w:val="18"/>
            <w:u w:val="single" w:color="auto"/>
            <w:color w:val="0000EE"/>
          </w:rPr>
          <w:t>Fourth Amended and Restated By-laws of the Company (incorporated by reference to Exhibit 3.2 to our Form 8-K dated</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November 7, 2024).</w:t>
        </w:r>
      </w:hyperlink>
    </w:p>
    <w:p>
      <w:pPr>
        <w:spacing w:after="0" w:line="16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Certification of Co-Chief Executive Officer Pursuant to Section 302 of the Sarbanes-Oxley Act of 2002</w:t>
      </w:r>
    </w:p>
    <w:p>
      <w:pPr>
        <w:spacing w:after="0" w:line="22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of Co-Chief Executive Officer Pursuant to Section 302 of the Sarbanes-Oxley Act of 2002</w:t>
      </w:r>
    </w:p>
    <w:p>
      <w:pPr>
        <w:spacing w:after="0" w:line="22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Section 302 of the Sarbanes- Oxley Act of 2002</w:t>
      </w:r>
    </w:p>
    <w:p>
      <w:pPr>
        <w:spacing w:after="0" w:line="225" w:lineRule="exact"/>
        <w:rPr>
          <w:sz w:val="20"/>
          <w:szCs w:val="20"/>
          <w:color w:val="auto"/>
        </w:rPr>
      </w:pPr>
    </w:p>
    <w:p>
      <w:pPr>
        <w:jc w:val="both"/>
        <w:ind w:left="740" w:right="20" w:hanging="728"/>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Co-Chief Executive Officer Pursuant to 18 U.S.C. Section 1350, as Adopted Pursuant to Section 906 of the Sarbanes-Oxley Act of 2002</w:t>
      </w:r>
    </w:p>
    <w:p>
      <w:pPr>
        <w:spacing w:after="0" w:line="162" w:lineRule="exact"/>
        <w:rPr>
          <w:sz w:val="20"/>
          <w:szCs w:val="20"/>
          <w:color w:val="auto"/>
        </w:rPr>
      </w:pPr>
    </w:p>
    <w:p>
      <w:pPr>
        <w:jc w:val="both"/>
        <w:ind w:left="740" w:right="20" w:hanging="728"/>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EE"/>
        </w:rPr>
        <w:t>Certification of Co-Chief Executive Officer Pursuant to 18 U.S.C. Section 1350, as Adopted Pursuant to Section 906 of the Sarbanes-Oxley Act of 2002</w:t>
      </w:r>
    </w:p>
    <w:p>
      <w:pPr>
        <w:spacing w:after="0" w:line="162" w:lineRule="exact"/>
        <w:rPr>
          <w:sz w:val="20"/>
          <w:szCs w:val="20"/>
          <w:color w:val="auto"/>
        </w:rPr>
      </w:pPr>
    </w:p>
    <w:p>
      <w:pPr>
        <w:jc w:val="both"/>
        <w:ind w:left="740" w:hanging="728"/>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8"/>
          <w:szCs w:val="18"/>
          <w:u w:val="single" w:color="auto"/>
          <w:color w:val="0000EE"/>
        </w:rPr>
        <w:t>Certification by Chief Financial Officer Pursuant to 18 U.S.C. Section 1350, as Adopted Pursuant to Section 906 of the Sarbanes-Oxley Act of 2002</w:t>
      </w:r>
    </w:p>
    <w:p>
      <w:pPr>
        <w:spacing w:after="0" w:line="162" w:lineRule="exact"/>
        <w:rPr>
          <w:sz w:val="20"/>
          <w:szCs w:val="20"/>
          <w:color w:val="auto"/>
        </w:rPr>
      </w:pPr>
    </w:p>
    <w:p>
      <w:pPr>
        <w:jc w:val="both"/>
        <w:ind w:left="740" w:hanging="739"/>
        <w:spacing w:after="0" w:line="254" w:lineRule="auto"/>
        <w:tabs>
          <w:tab w:leader="none" w:pos="7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financial information from Monster Beverage Corporation’s Quarterly Report on Form 10-Q for the quarter ended September 30, 2024, formatted in iXBRL (Inline eXtensible Business Reporting Language): (i) Condensed Consolidated Balance Sheets as of September 30, 2024 and December 31, 2023, (ii) Condensed Consolidated Statements of Income for the three- and nine-months ended September 30, 2024 and 2023, (iii) Condensed Consolidated Statements of Comprehensive Income for the three- and nine-months ended September 30, 2024 and 2023, (iv) Condensed Consolidated Statements of Stockholders’ Equity for the three- and nine-months ended September 30, 2024 and 2023, (v) Condensed Consolidated Statements of Cash Flows for the nine-months ended September 30, 2024 and 2023, and (vi) the Notes to Condensed Consolidated Financial Statements.</w:t>
      </w:r>
    </w:p>
    <w:p>
      <w:pPr>
        <w:spacing w:after="0" w:line="19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Monster Beverage Corporation’s Quarterly Report on Form 10-Q for the quarter ended September 30,</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2024, formatted in iXBRL (Inline eXtensible Business Reporting Language) and contained in Exhibit 101.</w:t>
      </w:r>
    </w:p>
    <w:p>
      <w:pPr>
        <w:spacing w:after="0" w:line="207" w:lineRule="exact"/>
        <w:rPr>
          <w:sz w:val="20"/>
          <w:szCs w:val="20"/>
          <w:color w:val="auto"/>
        </w:rPr>
      </w:pPr>
    </w:p>
    <w:p>
      <w:pPr>
        <w:ind w:left="280" w:hanging="272"/>
        <w:spacing w:after="0"/>
        <w:tabs>
          <w:tab w:leader="none" w:pos="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MONSTER BEVERAGE CORPORATION</w:t>
            </w:r>
          </w:p>
        </w:tc>
      </w:tr>
      <w:tr>
        <w:trPr>
          <w:trHeight w:val="234"/>
        </w:trPr>
        <w:tc>
          <w:tcPr>
            <w:tcW w:w="4980" w:type="dxa"/>
            <w:vAlign w:val="bottom"/>
          </w:tcPr>
          <w:p>
            <w:pPr>
              <w:spacing w:after="0"/>
              <w:rPr>
                <w:sz w:val="20"/>
                <w:szCs w:val="20"/>
                <w:color w:val="auto"/>
              </w:rPr>
            </w:pPr>
          </w:p>
        </w:tc>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RODNEY C. SACKS</w:t>
            </w:r>
          </w:p>
        </w:tc>
      </w:tr>
      <w:tr>
        <w:trPr>
          <w:trHeight w:val="191"/>
        </w:trPr>
        <w:tc>
          <w:tcPr>
            <w:tcW w:w="498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Rodney C. Sacks</w:t>
            </w:r>
          </w:p>
        </w:tc>
      </w:tr>
      <w:tr>
        <w:trPr>
          <w:trHeight w:val="216"/>
        </w:trPr>
        <w:tc>
          <w:tcPr>
            <w:tcW w:w="49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4"/>
        </w:trPr>
        <w:tc>
          <w:tcPr>
            <w:tcW w:w="49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and Co-Chief Executive Officer</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HILTON H. SCHLOSBERG</w:t>
            </w:r>
          </w:p>
        </w:tc>
      </w:tr>
      <w:tr>
        <w:trPr>
          <w:trHeight w:val="191"/>
        </w:trPr>
        <w:tc>
          <w:tcPr>
            <w:tcW w:w="498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Hilton H. Schlosberg</w:t>
            </w:r>
          </w:p>
        </w:tc>
      </w:tr>
      <w:tr>
        <w:trPr>
          <w:trHeight w:val="216"/>
        </w:trPr>
        <w:tc>
          <w:tcPr>
            <w:tcW w:w="49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the Board of Directors</w:t>
            </w:r>
          </w:p>
        </w:tc>
      </w:tr>
      <w:tr>
        <w:trPr>
          <w:trHeight w:val="234"/>
        </w:trPr>
        <w:tc>
          <w:tcPr>
            <w:tcW w:w="49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and Co-Chief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left="1000" w:right="1580"/>
        <w:spacing w:after="0" w:line="266" w:lineRule="auto"/>
        <w:rPr>
          <w:sz w:val="20"/>
          <w:szCs w:val="20"/>
          <w:color w:val="auto"/>
        </w:rPr>
      </w:pPr>
      <w:r>
        <w:rPr>
          <w:rFonts w:ascii="Times New Roman" w:cs="Times New Roman" w:eastAsia="Times New Roman" w:hAnsi="Times New Roman"/>
          <w:sz w:val="18"/>
          <w:szCs w:val="18"/>
          <w:color w:val="auto"/>
        </w:rPr>
        <w:t>CERTIFICATION PURSUANT TO RULE 13A-14(a) OR 15D-14(a) OF THE SECURITIES EXCHANGE ACT OF 1934, AS ADOPTED 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Rodney Sacks,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Monster Beverage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Rodney C. Sacks</w:t>
            </w:r>
          </w:p>
        </w:tc>
      </w:tr>
      <w:tr>
        <w:trPr>
          <w:trHeight w:val="191"/>
        </w:trPr>
        <w:tc>
          <w:tcPr>
            <w:tcW w:w="516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Rodney C. Sacks</w:t>
            </w:r>
          </w:p>
        </w:tc>
      </w:tr>
      <w:tr>
        <w:trPr>
          <w:trHeight w:val="216"/>
        </w:trPr>
        <w:tc>
          <w:tcPr>
            <w:tcW w:w="5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and Co-Chief Executive Officer</w:t>
            </w:r>
          </w:p>
        </w:tc>
      </w:tr>
      <w:tr>
        <w:trPr>
          <w:trHeight w:val="776"/>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left="1000" w:right="1580"/>
        <w:spacing w:after="0" w:line="266" w:lineRule="auto"/>
        <w:rPr>
          <w:sz w:val="20"/>
          <w:szCs w:val="20"/>
          <w:color w:val="auto"/>
        </w:rPr>
      </w:pPr>
      <w:r>
        <w:rPr>
          <w:rFonts w:ascii="Times New Roman" w:cs="Times New Roman" w:eastAsia="Times New Roman" w:hAnsi="Times New Roman"/>
          <w:sz w:val="18"/>
          <w:szCs w:val="18"/>
          <w:color w:val="auto"/>
        </w:rPr>
        <w:t>CERTIFICATION PURSUANT TO RULE 13A-14(a) OR 15D-14(a) OF THE SECURITIES EXCHANGE ACT OF 1934, AS ADOPTED 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Hilton Schlosberg,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Monster Beverage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Hilton H. Schlosberg</w:t>
            </w:r>
          </w:p>
        </w:tc>
      </w:tr>
      <w:tr>
        <w:trPr>
          <w:trHeight w:val="191"/>
        </w:trPr>
        <w:tc>
          <w:tcPr>
            <w:tcW w:w="516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Hilton H. Schlosberg</w:t>
            </w:r>
          </w:p>
        </w:tc>
      </w:tr>
      <w:tr>
        <w:trPr>
          <w:trHeight w:val="216"/>
        </w:trPr>
        <w:tc>
          <w:tcPr>
            <w:tcW w:w="5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the Board of Directors and</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776"/>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9" w:lineRule="exact"/>
        <w:rPr>
          <w:sz w:val="20"/>
          <w:szCs w:val="20"/>
          <w:color w:val="auto"/>
        </w:rPr>
      </w:pPr>
    </w:p>
    <w:p>
      <w:pPr>
        <w:jc w:val="center"/>
        <w:ind w:left="1000" w:right="1580"/>
        <w:spacing w:after="0" w:line="266" w:lineRule="auto"/>
        <w:rPr>
          <w:sz w:val="20"/>
          <w:szCs w:val="20"/>
          <w:color w:val="auto"/>
        </w:rPr>
      </w:pPr>
      <w:r>
        <w:rPr>
          <w:rFonts w:ascii="Times New Roman" w:cs="Times New Roman" w:eastAsia="Times New Roman" w:hAnsi="Times New Roman"/>
          <w:sz w:val="18"/>
          <w:szCs w:val="18"/>
          <w:color w:val="auto"/>
        </w:rPr>
        <w:t>CERTIFICATION PURSUANT TO RULE 13A-14(a) OR 15D-14(a) OF THE SECURITIES EXCHANGE ACT OF 1934, AS ADOPTED 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Kelly, certify that:</w:t>
      </w:r>
    </w:p>
    <w:p>
      <w:pPr>
        <w:spacing w:after="0" w:line="225"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Monster Beverage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J. Kelly</w:t>
            </w:r>
          </w:p>
        </w:tc>
      </w:tr>
      <w:tr>
        <w:trPr>
          <w:trHeight w:val="191"/>
        </w:trPr>
        <w:tc>
          <w:tcPr>
            <w:tcW w:w="516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J. Kelly</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6"/>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Monster Beverage Corporation (the “Company”) on Form 10-Q for the quarter ended September 30, 2024 as filed with the Securities and Exchange Commission (the “Report”), the undersigned, Rodney C. Sacks, Chairman of the Board of Directors and Co-Chief Executive Officer of the Company, certifies, pursuant to 18 U.S.C. 1350, as adopted pursuant to Section 906 of the Sarbanes-Oxley Act of 2002, that:</w:t>
      </w:r>
    </w:p>
    <w:p>
      <w:pPr>
        <w:spacing w:after="0" w:line="180"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Rodney C. Sacks</w:t>
            </w:r>
          </w:p>
        </w:tc>
      </w:tr>
      <w:tr>
        <w:trPr>
          <w:trHeight w:val="191"/>
        </w:trPr>
        <w:tc>
          <w:tcPr>
            <w:tcW w:w="5180" w:type="dxa"/>
            <w:vAlign w:val="bottom"/>
          </w:tcPr>
          <w:p>
            <w:pPr>
              <w:spacing w:after="0"/>
              <w:rPr>
                <w:sz w:val="16"/>
                <w:szCs w:val="16"/>
                <w:color w:val="auto"/>
              </w:rPr>
            </w:pPr>
          </w:p>
        </w:tc>
        <w:tc>
          <w:tcPr>
            <w:tcW w:w="4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Rodney C. Sacks</w:t>
            </w:r>
          </w:p>
        </w:tc>
      </w:tr>
      <w:tr>
        <w:trPr>
          <w:trHeight w:val="216"/>
        </w:trPr>
        <w:tc>
          <w:tcPr>
            <w:tcW w:w="51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4"/>
        </w:trPr>
        <w:tc>
          <w:tcPr>
            <w:tcW w:w="518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and Co-Chief Executive Officer</w:t>
            </w:r>
          </w:p>
        </w:tc>
      </w:tr>
      <w:tr>
        <w:trPr>
          <w:trHeight w:val="777"/>
        </w:trPr>
        <w:tc>
          <w:tcPr>
            <w:tcW w:w="51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Monster Beverage Corporation (the “Company”) on Form 10-Q for the quarter ended September 30, 2024 as filed with the Securities and Exchange Commission (the “Report”), the undersigned, Hilton H. Schlosberg, Vice Chairman of the Board of Directors and Co-Chief Executive Officer of the Company, certifies, pursuant to 18 U.S.C. 1350, as adopted pursuant to Section 906 of the Sarbanes-Oxley Act of 2002, that:</w:t>
      </w:r>
    </w:p>
    <w:p>
      <w:pPr>
        <w:spacing w:after="0" w:line="180"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Hilton H. Schlosberg</w:t>
            </w:r>
          </w:p>
        </w:tc>
      </w:tr>
      <w:tr>
        <w:trPr>
          <w:trHeight w:val="191"/>
        </w:trPr>
        <w:tc>
          <w:tcPr>
            <w:tcW w:w="5180" w:type="dxa"/>
            <w:vAlign w:val="bottom"/>
          </w:tcPr>
          <w:p>
            <w:pPr>
              <w:spacing w:after="0"/>
              <w:rPr>
                <w:sz w:val="16"/>
                <w:szCs w:val="16"/>
                <w:color w:val="auto"/>
              </w:rPr>
            </w:pPr>
          </w:p>
        </w:tc>
        <w:tc>
          <w:tcPr>
            <w:tcW w:w="4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Hilton H. Schlosberg</w:t>
            </w:r>
          </w:p>
        </w:tc>
      </w:tr>
      <w:tr>
        <w:trPr>
          <w:trHeight w:val="216"/>
        </w:trPr>
        <w:tc>
          <w:tcPr>
            <w:tcW w:w="51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the Board of Directors and</w:t>
            </w:r>
          </w:p>
        </w:tc>
      </w:tr>
      <w:tr>
        <w:trPr>
          <w:trHeight w:val="234"/>
        </w:trPr>
        <w:tc>
          <w:tcPr>
            <w:tcW w:w="518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777"/>
        </w:trPr>
        <w:tc>
          <w:tcPr>
            <w:tcW w:w="51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Monster Beverage Corporation (the “Company”) on Form 10-Q for the quarter ended September 30, 2024 as filed with the Securities and Exchange Commission (the “Report”), the undersigned, Thomas J. Kelly, Chief Financial Officer of the Company, certifies, pursuant to 18 U.S.C. 1350, as adopted pursuant to Section 906 of the Sarbanes-Oxley Act of 2002, that:</w:t>
      </w:r>
    </w:p>
    <w:p>
      <w:pPr>
        <w:spacing w:after="0" w:line="180"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J. Kelly</w:t>
            </w:r>
          </w:p>
        </w:tc>
      </w:tr>
      <w:tr>
        <w:trPr>
          <w:trHeight w:val="191"/>
        </w:trPr>
        <w:tc>
          <w:tcPr>
            <w:tcW w:w="5180" w:type="dxa"/>
            <w:vAlign w:val="bottom"/>
          </w:tcPr>
          <w:p>
            <w:pPr>
              <w:spacing w:after="0"/>
              <w:rPr>
                <w:sz w:val="16"/>
                <w:szCs w:val="16"/>
                <w:color w:val="auto"/>
              </w:rPr>
            </w:pPr>
          </w:p>
        </w:tc>
        <w:tc>
          <w:tcPr>
            <w:tcW w:w="4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J. Kelly</w:t>
            </w:r>
          </w:p>
        </w:tc>
      </w:tr>
      <w:tr>
        <w:trPr>
          <w:trHeight w:val="234"/>
        </w:trPr>
        <w:tc>
          <w:tcPr>
            <w:tcW w:w="518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6"/>
        </w:trPr>
        <w:tc>
          <w:tcPr>
            <w:tcW w:w="51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2"/>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3"/>
    </w:lvl>
  </w:abstractNum>
  <w:abstractNum w:abstractNumId="4">
    <w:nsid w:val="7C83E458"/>
    <w:multiLevelType w:val="hybridMultilevel"/>
    <w:lvl w:ilvl="0">
      <w:lvlJc w:val="left"/>
      <w:lvlText w:val="%1."/>
      <w:numFmt w:val="decimal"/>
      <w:start w:val="4"/>
    </w:lvl>
  </w:abstractNum>
  <w:abstractNum w:abstractNumId="5">
    <w:nsid w:val="257130A3"/>
    <w:multiLevelType w:val="hybridMultilevel"/>
    <w:lvl w:ilvl="0">
      <w:lvlJc w:val="left"/>
      <w:lvlText w:val="%1."/>
      <w:numFmt w:val="decimal"/>
      <w:start w:val="5"/>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1."/>
      <w:numFmt w:val="decimal"/>
      <w:start w:val="7"/>
    </w:lvl>
  </w:abstractNum>
  <w:abstractNum w:abstractNumId="9">
    <w:nsid w:val="333AB105"/>
    <w:multiLevelType w:val="hybridMultilevel"/>
    <w:lvl w:ilvl="0">
      <w:lvlJc w:val="left"/>
      <w:lvlText w:val="%1."/>
      <w:numFmt w:val="decimal"/>
      <w:start w:val="9"/>
    </w:lvl>
  </w:abstractNum>
  <w:abstractNum w:abstractNumId="10">
    <w:nsid w:val="721DA317"/>
    <w:multiLevelType w:val="hybridMultilevel"/>
    <w:lvl w:ilvl="0">
      <w:lvlJc w:val="left"/>
      <w:lvlText w:val="%1."/>
      <w:numFmt w:val="decimal"/>
      <w:start w:val="10"/>
    </w:lvl>
  </w:abstractNum>
  <w:abstractNum w:abstractNumId="11">
    <w:nsid w:val="2443A858"/>
    <w:multiLevelType w:val="hybridMultilevel"/>
    <w:lvl w:ilvl="0">
      <w:lvlJc w:val="left"/>
      <w:lvlText w:val="%1."/>
      <w:numFmt w:val="decimal"/>
      <w:start w:val="11"/>
    </w:lvl>
  </w:abstractNum>
  <w:abstractNum w:abstractNumId="12">
    <w:nsid w:val="2D1D5AE9"/>
    <w:multiLevelType w:val="hybridMultilevel"/>
    <w:lvl w:ilvl="0">
      <w:lvlJc w:val="left"/>
      <w:lvlText w:val="%1."/>
      <w:numFmt w:val="decimal"/>
      <w:start w:val="12"/>
    </w:lvl>
  </w:abstractNum>
  <w:abstractNum w:abstractNumId="13">
    <w:nsid w:val="6763845E"/>
    <w:multiLevelType w:val="hybridMultilevel"/>
    <w:lvl w:ilvl="0">
      <w:lvlJc w:val="left"/>
      <w:lvlText w:val="%1."/>
      <w:numFmt w:val="decimal"/>
      <w:start w:val="13"/>
    </w:lvl>
  </w:abstractNum>
  <w:abstractNum w:abstractNumId="14">
    <w:nsid w:val="75A2A8D4"/>
    <w:multiLevelType w:val="hybridMultilevel"/>
    <w:lvl w:ilvl="0">
      <w:lvlJc w:val="left"/>
      <w:lvlText w:val="%1."/>
      <w:numFmt w:val="decimal"/>
      <w:start w:val="15"/>
    </w:lvl>
  </w:abstractNum>
  <w:abstractNum w:abstractNumId="15">
    <w:nsid w:val="8EDBDAB"/>
    <w:multiLevelType w:val="hybridMultilevel"/>
    <w:lvl w:ilvl="0">
      <w:lvlJc w:val="left"/>
      <w:lvlText w:val="%1."/>
      <w:numFmt w:val="decimal"/>
      <w:start w:val="16"/>
    </w:lvl>
  </w:abstractNum>
  <w:abstractNum w:abstractNumId="16">
    <w:nsid w:val="79838CB2"/>
    <w:multiLevelType w:val="hybridMultilevel"/>
    <w:lvl w:ilvl="0">
      <w:lvlJc w:val="left"/>
      <w:lvlText w:val="%1."/>
      <w:numFmt w:val="decimal"/>
      <w:start w:val="17"/>
    </w:lvl>
  </w:abstractNum>
  <w:abstractNum w:abstractNumId="17">
    <w:nsid w:val="4353D0CD"/>
    <w:multiLevelType w:val="hybridMultilevel"/>
    <w:lvl w:ilvl="0">
      <w:lvlJc w:val="left"/>
      <w:lvlText w:val="%1."/>
      <w:numFmt w:val="decimal"/>
      <w:start w:val="18"/>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lvl w:ilvl="1">
      <w:lvlJc w:val="left"/>
      <w:lvlText w:val="%2."/>
      <w:numFmt w:val="lowerLetter"/>
      <w:start w:val="1"/>
    </w:lvl>
  </w:abstractNum>
  <w:abstractNum w:abstractNumId="28">
    <w:nsid w:val="7C3DBD3D"/>
    <w:multiLevelType w:val="hybridMultilevel"/>
    <w:lvl w:ilvl="0">
      <w:lvlJc w:val="left"/>
      <w:lvlText w:val="%1."/>
      <w:numFmt w:val="decimal"/>
      <w:start w:val="1"/>
    </w:lvl>
    <w:lvl w:ilvl="1">
      <w:lvlJc w:val="left"/>
      <w:lvlText w:val="%2."/>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89" Type="http://schemas.openxmlformats.org/officeDocument/2006/relationships/hyperlink" Target="https://www.sec.gov/Archives/edgar/data/865752/000110465923074933/tm2319592d1_ex3-1.htm" TargetMode="External"/><Relationship Id="rId90" Type="http://schemas.openxmlformats.org/officeDocument/2006/relationships/hyperlink" Target="https://www.sec.gov/Archives/edgar/data/865752/000110465924115332/tm2427782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2024-11-08T05:21:49Z</dcterms:created>
  <dcterms:modified xsi:type="dcterms:W3CDTF">2024-11-08T05:21:49Z</dcterms:modified>
</cp:coreProperties>
</file>