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nst-20251231x10k.htm"/>
        <w:bookmarkStart w:id="1" w:name="ksmnst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bookmarkStart w:id="2" w:name="_e26427a6_72ea_42a4_904b_572cd384ba76"/>
      <w:bookmarkEnd w:id="2"/>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 10-K</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(Mark One)</w:t>
      </w:r>
    </w:p>
    <w:p>
      <w:pPr>
        <w:pStyle w:val="TextBody"/>
        <w:bidi w:val="0"/>
        <w:spacing w:before="0" w:after="0"/>
        <w:ind w:left="0" w:right="0" w:hanging="0"/>
        <w:jc w:val="center"/>
        <w:rPr/>
      </w:pPr>
      <w:r>
        <w:rPr/>
        <w:t xml:space="preserve">☒ </w:t>
      </w:r>
      <w:r>
        <w:rPr>
          <w:rFonts w:ascii="Times New Roman;Times;serif" w:hAnsi="Times New Roman;Times;serif"/>
          <w:sz w:val="18"/>
        </w:rPr>
        <w:t>ANNUAL REPORT PURSUANT TO SECTION 13 OR 15(d) OF</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 the fiscal year ended December 31,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xml:space="preserve">☐ </w:t>
      </w:r>
      <w:r>
        <w:rPr>
          <w:rFonts w:ascii="Times New Roman;Times;serif" w:hAnsi="Times New Roman;Times;serif"/>
          <w:sz w:val="18"/>
        </w:rPr>
        <w:t>TRANSITION REPORT PURSUANT TO SECTION 13 OR 15(d) OF</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For the transition period from _____ to 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 001-18761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MONSTER BEVERAGE CORPORATION</w:t>
      </w:r>
    </w:p>
    <w:p>
      <w:pPr>
        <w:pStyle w:val="TextBody"/>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FMNjAcWAd0G4YILRv9jx_w_3_2"/>
      <w:bookmarkStart w:id="4" w:name="Tc_25OqS4bUF0KwkaCgR8kZBg_3_0"/>
      <w:bookmarkStart w:id="5" w:name="Tc_P-WI9BPjsUKQNzXLCTr7cg_2_2"/>
      <w:bookmarkStart w:id="6" w:name="Tc_dA6gm8Cimk2Ez_0ObuXZFw_2_0"/>
      <w:bookmarkStart w:id="7" w:name="_2809d34d_a5b1_4e0a_bc1a_27c9e9d475ba"/>
      <w:bookmarkStart w:id="8" w:name="Tc_FMNjAcWAd0G4YILRv9jx_w_3_2"/>
      <w:bookmarkStart w:id="9" w:name="Tc_25OqS4bUF0KwkaCgR8kZBg_3_0"/>
      <w:bookmarkStart w:id="10" w:name="Tc_P-WI9BPjsUKQNzXLCTr7cg_2_2"/>
      <w:bookmarkStart w:id="11" w:name="Tc_dA6gm8Cimk2Ez_0ObuXZFw_2_0"/>
      <w:bookmarkStart w:id="12" w:name="_2809d34d_a5b1_4e0a_bc1a_27c9e9d475ba"/>
      <w:bookmarkEnd w:id="8"/>
      <w:bookmarkEnd w:id="9"/>
      <w:bookmarkEnd w:id="10"/>
      <w:bookmarkEnd w:id="11"/>
      <w:bookmarkEnd w:id="12"/>
    </w:p>
    <w:tbl>
      <w:tblPr>
        <w:tblW w:w="3438" w:type="dxa"/>
        <w:jc w:val="left"/>
        <w:tblInd w:w="0" w:type="dxa"/>
        <w:tblLayout w:type="fixed"/>
        <w:tblCellMar>
          <w:top w:w="0" w:type="dxa"/>
          <w:left w:w="0" w:type="dxa"/>
          <w:bottom w:w="0" w:type="dxa"/>
          <w:right w:w="0" w:type="dxa"/>
        </w:tblCellMar>
      </w:tblPr>
      <w:tblGrid>
        <w:gridCol w:w="1876"/>
        <w:gridCol w:w="346"/>
        <w:gridCol w:w="1216"/>
      </w:tblGrid>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346" w:type="dxa"/>
            <w:tcBorders/>
            <w:vAlign w:val="center"/>
          </w:tcPr>
          <w:p>
            <w:pPr>
              <w:pStyle w:val="TableContents"/>
              <w:bidi w:val="0"/>
              <w:spacing w:lineRule="atLeast" w:line="200" w:before="0" w:after="0"/>
              <w:ind w:left="0" w:right="0" w:hanging="0"/>
              <w:jc w:val="left"/>
              <w:rPr/>
            </w:pPr>
            <w:r>
              <w:rPr/>
              <w:t>  ​ ​ ​</w:t>
            </w:r>
          </w:p>
        </w:tc>
        <w:tc>
          <w:tcPr>
            <w:tcW w:w="1216" w:type="dxa"/>
            <w:tcBorders/>
            <w:vAlign w:val="center"/>
          </w:tcPr>
          <w:p>
            <w:pPr>
              <w:pStyle w:val="TableContents"/>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47-1809393</w:t>
            </w:r>
          </w:p>
        </w:tc>
      </w:tr>
      <w:tr>
        <w:trPr/>
        <w:tc>
          <w:tcPr>
            <w:tcW w:w="1876" w:type="dxa"/>
            <w:tcBorders/>
            <w:vAlign w:val="center"/>
          </w:tcPr>
          <w:p>
            <w:pPr>
              <w:pStyle w:val="TableContents"/>
              <w:pBdr/>
              <w:bidi w:val="0"/>
              <w:spacing w:lineRule="atLeast" w:line="142"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r>
          </w:p>
        </w:tc>
        <w:tc>
          <w:tcPr>
            <w:tcW w:w="346" w:type="dxa"/>
            <w:tcBorders/>
            <w:vAlign w:val="center"/>
          </w:tcPr>
          <w:p>
            <w:pPr>
              <w:pStyle w:val="TableContents"/>
              <w:bidi w:val="0"/>
              <w:spacing w:lineRule="atLeast" w:line="142" w:before="0" w:after="0"/>
              <w:ind w:left="0" w:right="0" w:hanging="0"/>
              <w:jc w:val="left"/>
              <w:rPr/>
            </w:pPr>
            <w:r>
              <w:rPr/>
              <w:t>​</w:t>
            </w:r>
          </w:p>
        </w:tc>
        <w:tc>
          <w:tcPr>
            <w:tcW w:w="1216" w:type="dxa"/>
            <w:tcBorders/>
            <w:vAlign w:val="center"/>
          </w:tcPr>
          <w:p>
            <w:pPr>
              <w:pStyle w:val="TableContents"/>
              <w:bidi w:val="0"/>
              <w:spacing w:lineRule="atLeast" w:line="142"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tc>
      </w:tr>
      <w:tr>
        <w:trPr/>
        <w:tc>
          <w:tcPr>
            <w:tcW w:w="1876" w:type="dxa"/>
            <w:tcBorders/>
            <w:vAlign w:val="center"/>
          </w:tcPr>
          <w:p>
            <w:pPr>
              <w:pStyle w:val="TableContents"/>
              <w:pBdr/>
              <w:bidi w:val="0"/>
              <w:spacing w:lineRule="atLeast" w:line="142"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346" w:type="dxa"/>
            <w:tcBorders/>
            <w:vAlign w:val="center"/>
          </w:tcPr>
          <w:p>
            <w:pPr>
              <w:pStyle w:val="TableContents"/>
              <w:bidi w:val="0"/>
              <w:spacing w:lineRule="atLeast" w:line="142" w:before="0" w:after="0"/>
              <w:ind w:left="0" w:right="0" w:hanging="0"/>
              <w:jc w:val="left"/>
              <w:rPr/>
            </w:pPr>
            <w:r>
              <w:rPr/>
              <w:t>​</w:t>
            </w:r>
          </w:p>
        </w:tc>
        <w:tc>
          <w:tcPr>
            <w:tcW w:w="1216" w:type="dxa"/>
            <w:tcBorders/>
            <w:vAlign w:val="center"/>
          </w:tcPr>
          <w:p>
            <w:pPr>
              <w:pStyle w:val="TableContents"/>
              <w:bidi w:val="0"/>
              <w:spacing w:lineRule="atLeast" w:line="142" w:before="0" w:after="0"/>
              <w:ind w:left="0" w:right="0" w:hanging="0"/>
              <w:jc w:val="center"/>
              <w:rPr>
                <w:rFonts w:ascii="Times New Roman;Times;serif" w:hAnsi="Times New Roman;Times;serif"/>
                <w:sz w:val="14"/>
              </w:rPr>
            </w:pPr>
            <w:r>
              <w:rPr>
                <w:rFonts w:ascii="Times New Roman;Times;serif" w:hAnsi="Times New Roman;Times;serif"/>
                <w:sz w:val="14"/>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1 Monster Way</w:t>
        <w:br/>
        <w:t>Corona, California</w:t>
      </w:r>
      <w:r>
        <w:rPr>
          <w:rFonts w:ascii="Times New Roman;Times;serif" w:hAnsi="Times New Roman;Times;serif"/>
          <w:sz w:val="20"/>
        </w:rPr>
        <w:t xml:space="preserve"> </w:t>
      </w:r>
      <w:r>
        <w:rPr>
          <w:rFonts w:ascii="Times New Roman;Times;serif" w:hAnsi="Times New Roman;Times;serif"/>
          <w:sz w:val="18"/>
        </w:rPr>
        <w:t>92879</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 (951) 739 - 6200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iXmsy368x0mRpuGM54UDJA_0_4"/>
      <w:bookmarkStart w:id="14" w:name="Tc_Fo45l1MUIUi_AAhztOyiZQ_0_2"/>
      <w:bookmarkStart w:id="15" w:name="Tc_ByINVZ94wkCz8rbBiPsVdA_0_0"/>
      <w:bookmarkStart w:id="16" w:name="_967319fd_fb36_44f2_a5a8_f7ab490d50b1"/>
      <w:bookmarkStart w:id="17" w:name="Tc_iXmsy368x0mRpuGM54UDJA_0_4"/>
      <w:bookmarkStart w:id="18" w:name="Tc_Fo45l1MUIUi_AAhztOyiZQ_0_2"/>
      <w:bookmarkStart w:id="19" w:name="Tc_ByINVZ94wkCz8rbBiPsVdA_0_0"/>
      <w:bookmarkStart w:id="20" w:name="_967319fd_fb36_44f2_a5a8_f7ab490d50b1"/>
      <w:bookmarkEnd w:id="17"/>
      <w:bookmarkEnd w:id="18"/>
      <w:bookmarkEnd w:id="19"/>
      <w:bookmarkEnd w:id="20"/>
    </w:p>
    <w:tbl>
      <w:tblPr>
        <w:tblW w:w="8165" w:type="dxa"/>
        <w:jc w:val="left"/>
        <w:tblInd w:w="0" w:type="dxa"/>
        <w:tblLayout w:type="fixed"/>
        <w:tblCellMar>
          <w:top w:w="28" w:type="dxa"/>
          <w:left w:w="28" w:type="dxa"/>
          <w:bottom w:w="28" w:type="dxa"/>
          <w:right w:w="28" w:type="dxa"/>
        </w:tblCellMar>
      </w:tblPr>
      <w:tblGrid>
        <w:gridCol w:w="2746"/>
        <w:gridCol w:w="346"/>
        <w:gridCol w:w="1456"/>
        <w:gridCol w:w="346"/>
        <w:gridCol w:w="3271"/>
      </w:tblGrid>
      <w:tr>
        <w:trPr/>
        <w:tc>
          <w:tcPr>
            <w:tcW w:w="27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34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left"/>
              <w:rPr/>
            </w:pPr>
            <w:r>
              <w:rPr/>
              <w:t>  ​ ​ ​</w:t>
            </w:r>
          </w:p>
        </w:tc>
        <w:tc>
          <w:tcPr>
            <w:tcW w:w="145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4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center"/>
              <w:rPr/>
            </w:pPr>
            <w:r>
              <w:rPr/>
              <w:t>  ​ ​ ​</w:t>
            </w:r>
          </w:p>
        </w:tc>
        <w:tc>
          <w:tcPr>
            <w:tcW w:w="327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7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Common Stock, $0.005 par value per share</w:t>
            </w:r>
          </w:p>
        </w:tc>
        <w:tc>
          <w:tcPr>
            <w:tcW w:w="34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left"/>
              <w:rPr/>
            </w:pPr>
            <w:r>
              <w:rPr/>
              <w:t>​</w:t>
            </w:r>
          </w:p>
        </w:tc>
        <w:tc>
          <w:tcPr>
            <w:tcW w:w="145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MNST</w:t>
            </w:r>
          </w:p>
        </w:tc>
        <w:tc>
          <w:tcPr>
            <w:tcW w:w="34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center"/>
              <w:rPr/>
            </w:pPr>
            <w:r>
              <w:rPr/>
              <w:t>​</w:t>
            </w:r>
          </w:p>
        </w:tc>
        <w:tc>
          <w:tcPr>
            <w:tcW w:w="327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Nasdaq Global Select Market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12(g) of the Act: None</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Section 15(d) of the Exchange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tbl>
      <w:tblPr>
        <w:tblW w:w="3858" w:type="dxa"/>
        <w:jc w:val="left"/>
        <w:tblInd w:w="0" w:type="dxa"/>
        <w:tblLayout w:type="fixed"/>
        <w:tblCellMar>
          <w:top w:w="0" w:type="dxa"/>
          <w:left w:w="0" w:type="dxa"/>
          <w:bottom w:w="0" w:type="dxa"/>
          <w:right w:w="0" w:type="dxa"/>
        </w:tblCellMar>
      </w:tblPr>
      <w:tblGrid>
        <w:gridCol w:w="1591"/>
        <w:gridCol w:w="346"/>
        <w:gridCol w:w="1921"/>
      </w:tblGrid>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  ​ ​ ​</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 ☐</w:t>
            </w:r>
          </w:p>
        </w:tc>
        <w:tc>
          <w:tcPr>
            <w:tcW w:w="34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by Rule 12b-2 of the Exchange Act.). Yes </w:t>
      </w:r>
      <w:r>
        <w:rPr>
          <w:rFonts w:ascii="Times New Roman;Times;serif" w:hAnsi="Times New Roman;Times;serif"/>
          <w:sz w:val="20"/>
        </w:rPr>
        <w:t xml:space="preserve">☐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of the registrant was $56,505,471,480 computed by reference to the closing sale price for such stock on the Nasdaq Global Select Market on June 30, 2025, the last business day of the registrant’s most recently completed second fiscal quarter.</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The number of shares of the registrant’s common stock, $0.005 par value per share (being the only class of common stock of the registrant), outstanding on February 13, 2026 was 978,270,734 shares.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DOCUMENTS INCORPORATED BY REFERENCE:</w:t>
      </w:r>
    </w:p>
    <w:p>
      <w:pPr>
        <w:pStyle w:val="TextBody"/>
        <w:bidi w:val="0"/>
        <w:spacing w:before="0" w:after="0"/>
        <w:ind w:left="0" w:right="0" w:hanging="0"/>
        <w:jc w:val="center"/>
        <w:rPr/>
      </w:pPr>
      <w:r>
        <w:rPr/>
        <w:t>​</w:t>
      </w:r>
    </w:p>
    <w:p>
      <w:pPr>
        <w:pStyle w:val="TextBody"/>
        <w:bidi w:val="0"/>
        <w:spacing w:before="0" w:after="0"/>
        <w:ind w:left="0" w:right="0" w:firstLine="490"/>
        <w:jc w:val="both"/>
        <w:rPr>
          <w:rFonts w:ascii="Times New Roman;Times;serif" w:hAnsi="Times New Roman;Times;serif"/>
          <w:sz w:val="14"/>
        </w:rPr>
      </w:pPr>
      <w:r>
        <w:rPr>
          <w:rFonts w:ascii="Times New Roman;Times;serif" w:hAnsi="Times New Roman;Times;serif"/>
          <w:sz w:val="14"/>
        </w:rPr>
        <w:t>Portions of the registrant’s Definitive Proxy Statement to be filed subsequent to the date hereof with the Commission pursuant to Regulation 14A in connection with the registrant’s 2026 Annual Meeting of Stockholders are incorporated by reference into Part III of this Report. Such Definitive Proxy Statement will be filed with the Securities and Exchange Commission no later than 120 days after the conclusion of the registrant’s fiscal year ended December 31, 2025.</w:t>
      </w:r>
    </w:p>
    <w:p>
      <w:pPr>
        <w:pStyle w:val="TextBody"/>
        <w:bidi w:val="0"/>
        <w:spacing w:before="0" w:after="0"/>
        <w:ind w:left="0" w:right="0" w:firstLine="490"/>
        <w:jc w:val="both"/>
        <w:rPr/>
      </w:pPr>
      <w:r>
        <w:rPr/>
        <w:t>​</w:t>
      </w:r>
    </w:p>
    <w:p>
      <w:pPr>
        <w:pStyle w:val="TextBody"/>
        <w:pBdr>
          <w:top w:val="single" w:sz="8" w:space="1" w:color="000000"/>
          <w:bottom w:val="single" w:sz="24" w:space="1" w:color="000000"/>
        </w:pBdr>
        <w:bidi w:val="0"/>
        <w:spacing w:before="0" w:after="0"/>
        <w:ind w:left="0" w:right="0" w:firstLine="49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_cdd79090_a9c7_4b76_90a4_278794ff0ecc"/>
      <w:bookmarkEnd w:id="21"/>
      <w:r>
        <w:rPr>
          <w:rFonts w:ascii="Times New Roman;Times;serif" w:hAnsi="Times New Roman;Times;serif"/>
          <w:b/>
          <w:sz w:val="20"/>
        </w:rPr>
        <w:t>MONSTER BEVERAGE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24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406"/>
        <w:gridCol w:w="346"/>
        <w:gridCol w:w="8147"/>
        <w:gridCol w:w="1306"/>
      </w:tblGrid>
      <w:tr>
        <w:trPr/>
        <w:tc>
          <w:tcPr>
            <w:tcW w:w="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283"/>
              <w:ind w:left="0" w:right="0" w:hanging="0"/>
              <w:jc w:val="left"/>
              <w:rPr>
                <w:sz w:val="4"/>
                <w:szCs w:val="4"/>
              </w:rPr>
            </w:pPr>
            <w:r>
              <w:rPr>
                <w:sz w:val="4"/>
                <w:szCs w:val="4"/>
              </w:rPr>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829310" cy="175260"/>
                      <wp:effectExtent l="0" t="0" r="0" b="0"/>
                      <wp:wrapNone/>
                      <wp:docPr id="1" name="Frame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9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Number</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Number</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8147" w:type="dxa"/>
            <w:tcBorders/>
            <w:vAlign w:val="center"/>
          </w:tcPr>
          <w:p>
            <w:pPr>
              <w:pStyle w:val="TableContents"/>
              <w:bidi w:val="0"/>
              <w:spacing w:before="0" w:after="0"/>
              <w:ind w:left="0" w:right="0" w:hanging="0"/>
              <w:jc w:val="center"/>
              <w:rPr/>
            </w:pPr>
            <w:hyperlink w:anchor="PARTI_926281">
              <w:r>
                <w:rPr>
                  <w:rStyle w:val="InternetLink"/>
                  <w:rFonts w:ascii="Times New Roman;Times;serif" w:hAnsi="Times New Roman;Times;serif"/>
                  <w:b/>
                  <w:i w:val="false"/>
                  <w:caps w:val="false"/>
                  <w:smallCaps w:val="false"/>
                  <w:sz w:val="20"/>
                </w:rPr>
                <w:t>PART I</w:t>
              </w:r>
            </w:hyperlink>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hyperlink w:anchor="ITEM1BUSINESS_471503">
              <w:r>
                <w:rPr>
                  <w:rStyle w:val="InternetLink"/>
                  <w:rFonts w:ascii="Times New Roman;Times;serif" w:hAnsi="Times New Roman;Times;serif"/>
                  <w:b w:val="false"/>
                  <w:i w:val="false"/>
                  <w:caps w:val="false"/>
                  <w:smallCaps w:val="false"/>
                  <w:sz w:val="20"/>
                </w:rPr>
                <w:t>1.</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BUSINESS_471503">
              <w:r>
                <w:rPr>
                  <w:rStyle w:val="InternetLink"/>
                  <w:rFonts w:ascii="Times New Roman;Times;serif" w:hAnsi="Times New Roman;Times;serif"/>
                  <w:b w:val="false"/>
                  <w:i w:val="false"/>
                  <w:caps w:val="false"/>
                  <w:smallCaps w:val="false"/>
                  <w:sz w:val="20"/>
                </w:rPr>
                <w:t>Business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406" w:type="dxa"/>
            <w:tcBorders/>
            <w:vAlign w:val="center"/>
          </w:tcPr>
          <w:p>
            <w:pPr>
              <w:pStyle w:val="TableContents"/>
              <w:bidi w:val="0"/>
              <w:spacing w:before="0" w:after="0"/>
              <w:ind w:left="0" w:right="0" w:hanging="0"/>
              <w:jc w:val="right"/>
              <w:rPr/>
            </w:pPr>
            <w:hyperlink w:anchor="ITEM1ARISKFACTORS_382207">
              <w:r>
                <w:rPr>
                  <w:rStyle w:val="InternetLink"/>
                  <w:rFonts w:ascii="Times New Roman;Times;serif" w:hAnsi="Times New Roman;Times;serif"/>
                  <w:b w:val="false"/>
                  <w:i w:val="false"/>
                  <w:caps w:val="false"/>
                  <w:smallCaps w:val="false"/>
                  <w:sz w:val="20"/>
                </w:rPr>
                <w:t>1A.</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ARISKFACTORS_382207">
              <w:r>
                <w:rPr>
                  <w:rStyle w:val="InternetLink"/>
                  <w:rFonts w:ascii="Times New Roman;Times;serif" w:hAnsi="Times New Roman;Times;serif"/>
                  <w:b w:val="false"/>
                  <w:i w:val="false"/>
                  <w:caps w:val="false"/>
                  <w:smallCaps w:val="false"/>
                  <w:sz w:val="20"/>
                </w:rPr>
                <w:t>Risk Factors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406" w:type="dxa"/>
            <w:tcBorders/>
            <w:vAlign w:val="center"/>
          </w:tcPr>
          <w:p>
            <w:pPr>
              <w:pStyle w:val="TableContents"/>
              <w:bidi w:val="0"/>
              <w:spacing w:before="0" w:after="0"/>
              <w:ind w:left="0" w:right="0" w:hanging="0"/>
              <w:jc w:val="right"/>
              <w:rPr/>
            </w:pPr>
            <w:hyperlink w:anchor="ITEM1BUNRESOLVEDSTAFFCOMMENTS_224132">
              <w:r>
                <w:rPr>
                  <w:rStyle w:val="InternetLink"/>
                  <w:rFonts w:ascii="Times New Roman;Times;serif" w:hAnsi="Times New Roman;Times;serif"/>
                  <w:b w:val="false"/>
                  <w:i w:val="false"/>
                  <w:caps w:val="false"/>
                  <w:smallCaps w:val="false"/>
                  <w:sz w:val="20"/>
                </w:rPr>
                <w:t>1B.</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BUNRESOLVEDSTAFFCOMMENTS_224132">
              <w:r>
                <w:rPr>
                  <w:rStyle w:val="InternetLink"/>
                  <w:rFonts w:ascii="Times New Roman;Times;serif" w:hAnsi="Times New Roman;Times;serif"/>
                  <w:b w:val="false"/>
                  <w:i w:val="false"/>
                  <w:caps w:val="false"/>
                  <w:smallCaps w:val="false"/>
                  <w:sz w:val="20"/>
                </w:rPr>
                <w:t>Unresolved Staff Comments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406" w:type="dxa"/>
            <w:tcBorders/>
            <w:vAlign w:val="center"/>
          </w:tcPr>
          <w:p>
            <w:pPr>
              <w:pStyle w:val="TableContents"/>
              <w:bidi w:val="0"/>
              <w:spacing w:before="0" w:after="0"/>
              <w:ind w:left="0" w:right="0" w:hanging="0"/>
              <w:jc w:val="right"/>
              <w:rPr/>
            </w:pPr>
            <w:hyperlink w:anchor="ITEM1CCYBERSECURITY_492000">
              <w:r>
                <w:rPr>
                  <w:rStyle w:val="InternetLink"/>
                  <w:rFonts w:ascii="Times New Roman;Times;serif" w:hAnsi="Times New Roman;Times;serif"/>
                  <w:b w:val="false"/>
                  <w:i w:val="false"/>
                  <w:caps w:val="false"/>
                  <w:smallCaps w:val="false"/>
                  <w:sz w:val="20"/>
                </w:rPr>
                <w:t>1C.</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CCYBERSECURITY_492000">
              <w:r>
                <w:rPr>
                  <w:rStyle w:val="InternetLink"/>
                  <w:rFonts w:ascii="Times New Roman;Times;serif" w:hAnsi="Times New Roman;Times;serif"/>
                  <w:b w:val="false"/>
                  <w:i w:val="false"/>
                  <w:caps w:val="false"/>
                  <w:smallCaps w:val="false"/>
                  <w:sz w:val="20"/>
                </w:rPr>
                <w:t>Cybersecurity</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406" w:type="dxa"/>
            <w:tcBorders/>
            <w:vAlign w:val="center"/>
          </w:tcPr>
          <w:p>
            <w:pPr>
              <w:pStyle w:val="TableContents"/>
              <w:bidi w:val="0"/>
              <w:spacing w:before="0" w:after="0"/>
              <w:ind w:left="0" w:right="0" w:hanging="0"/>
              <w:jc w:val="right"/>
              <w:rPr/>
            </w:pPr>
            <w:hyperlink w:anchor="ITEM2PROPERTIES_652488">
              <w:r>
                <w:rPr>
                  <w:rStyle w:val="InternetLink"/>
                  <w:rFonts w:ascii="Times New Roman;Times;serif" w:hAnsi="Times New Roman;Times;serif"/>
                  <w:b w:val="false"/>
                  <w:i w:val="false"/>
                  <w:caps w:val="false"/>
                  <w:smallCaps w:val="false"/>
                  <w:sz w:val="20"/>
                </w:rPr>
                <w:t>2.</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2PROPERTIES_652488">
              <w:r>
                <w:rPr>
                  <w:rStyle w:val="InternetLink"/>
                  <w:rFonts w:ascii="Times New Roman;Times;serif" w:hAnsi="Times New Roman;Times;serif"/>
                  <w:b w:val="false"/>
                  <w:i w:val="false"/>
                  <w:caps w:val="false"/>
                  <w:smallCaps w:val="false"/>
                  <w:sz w:val="20"/>
                </w:rPr>
                <w:t>Properties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406" w:type="dxa"/>
            <w:tcBorders/>
            <w:vAlign w:val="center"/>
          </w:tcPr>
          <w:p>
            <w:pPr>
              <w:pStyle w:val="TableContents"/>
              <w:bidi w:val="0"/>
              <w:spacing w:before="0" w:after="0"/>
              <w:ind w:left="0" w:right="0" w:hanging="0"/>
              <w:jc w:val="right"/>
              <w:rPr/>
            </w:pPr>
            <w:hyperlink w:anchor="ITEM3LEGALPROCEEDINGS_355230">
              <w:r>
                <w:rPr>
                  <w:rStyle w:val="InternetLink"/>
                  <w:rFonts w:ascii="Times New Roman;Times;serif" w:hAnsi="Times New Roman;Times;serif"/>
                  <w:b w:val="false"/>
                  <w:i w:val="false"/>
                  <w:caps w:val="false"/>
                  <w:smallCaps w:val="false"/>
                  <w:sz w:val="20"/>
                </w:rPr>
                <w:t>3.</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3LEGALPROCEEDINGS_355230">
              <w:r>
                <w:rPr>
                  <w:rStyle w:val="InternetLink"/>
                  <w:rFonts w:ascii="Times New Roman;Times;serif" w:hAnsi="Times New Roman;Times;serif"/>
                  <w:b w:val="false"/>
                  <w:i w:val="false"/>
                  <w:caps w:val="false"/>
                  <w:smallCaps w:val="false"/>
                  <w:sz w:val="20"/>
                </w:rPr>
                <w:t>Legal Proceedings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406" w:type="dxa"/>
            <w:tcBorders/>
            <w:vAlign w:val="center"/>
          </w:tcPr>
          <w:p>
            <w:pPr>
              <w:pStyle w:val="TableContents"/>
              <w:bidi w:val="0"/>
              <w:spacing w:before="0" w:after="0"/>
              <w:ind w:left="0" w:right="0" w:hanging="0"/>
              <w:jc w:val="right"/>
              <w:rPr/>
            </w:pPr>
            <w:hyperlink w:anchor="ITEM4MINESAFETYDISCLOSURES_9150">
              <w:r>
                <w:rPr>
                  <w:rStyle w:val="InternetLink"/>
                  <w:rFonts w:ascii="Times New Roman;Times;serif" w:hAnsi="Times New Roman;Times;serif"/>
                  <w:b w:val="false"/>
                  <w:i w:val="false"/>
                  <w:caps w:val="false"/>
                  <w:smallCaps w:val="false"/>
                  <w:sz w:val="20"/>
                </w:rPr>
                <w:t>4.</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4MINESAFETYDISCLOSURES_9150">
              <w:r>
                <w:rPr>
                  <w:rStyle w:val="InternetLink"/>
                  <w:rFonts w:ascii="Times New Roman;Times;serif" w:hAnsi="Times New Roman;Times;serif"/>
                  <w:b w:val="false"/>
                  <w:i w:val="false"/>
                  <w:caps w:val="false"/>
                  <w:smallCaps w:val="false"/>
                  <w:sz w:val="20"/>
                </w:rPr>
                <w:t>Mine Safety Disclosures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center"/>
              <w:rPr/>
            </w:pPr>
            <w:hyperlink w:anchor="PARTII_361980">
              <w:r>
                <w:rPr>
                  <w:rStyle w:val="InternetLink"/>
                  <w:rFonts w:ascii="Times New Roman;Times;serif" w:hAnsi="Times New Roman;Times;serif"/>
                  <w:b/>
                  <w:i w:val="false"/>
                  <w:caps w:val="false"/>
                  <w:smallCaps w:val="false"/>
                  <w:sz w:val="20"/>
                </w:rPr>
                <w:t>PART II</w:t>
              </w:r>
            </w:hyperlink>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hyperlink w:anchor="ITEM5MARKETFORTHEREGISTRANTSCOMMONEQUITY">
              <w:r>
                <w:rPr>
                  <w:rStyle w:val="InternetLink"/>
                  <w:rFonts w:ascii="Times New Roman;Times;serif" w:hAnsi="Times New Roman;Times;serif"/>
                  <w:b w:val="false"/>
                  <w:i w:val="false"/>
                  <w:caps w:val="false"/>
                  <w:smallCaps w:val="false"/>
                  <w:sz w:val="20"/>
                </w:rPr>
                <w:t>5.</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pBdr/>
              <w:bidi w:val="0"/>
              <w:spacing w:before="0" w:after="0"/>
              <w:ind w:left="0" w:right="0" w:hanging="0"/>
              <w:jc w:val="left"/>
              <w:rPr/>
            </w:pPr>
            <w:hyperlink w:anchor="ITEM5MARKETFORTHEREGISTRANTSCOMMONEQUITY">
              <w:r>
                <w:rPr>
                  <w:rStyle w:val="InternetLink"/>
                  <w:rFonts w:ascii="Times New Roman;Times;serif" w:hAnsi="Times New Roman;Times;serif"/>
                  <w:b w:val="false"/>
                  <w:i w:val="false"/>
                  <w:caps w:val="false"/>
                  <w:smallCaps w:val="false"/>
                  <w:sz w:val="20"/>
                </w:rPr>
                <w:t>Market for the Registrant’s Common Equity, Related Stockholder Matters and Issuer Purchases of Equity Securities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406" w:type="dxa"/>
            <w:tcBorders/>
            <w:vAlign w:val="center"/>
          </w:tcPr>
          <w:p>
            <w:pPr>
              <w:pStyle w:val="TableContents"/>
              <w:bidi w:val="0"/>
              <w:spacing w:before="0" w:after="0"/>
              <w:ind w:left="0" w:right="0" w:hanging="0"/>
              <w:jc w:val="right"/>
              <w:rPr/>
            </w:pPr>
            <w:hyperlink w:anchor="ITEM6SELECTEDFINANCIALDATA_497581">
              <w:r>
                <w:rPr>
                  <w:rStyle w:val="InternetLink"/>
                  <w:rFonts w:ascii="Times New Roman;Times;serif" w:hAnsi="Times New Roman;Times;serif"/>
                  <w:b w:val="false"/>
                  <w:i w:val="false"/>
                  <w:caps w:val="false"/>
                  <w:smallCaps w:val="false"/>
                  <w:sz w:val="20"/>
                </w:rPr>
                <w:t>6.</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6SELECTEDFINANCIALDATA_497581">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 xml:space="preserve"> </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406" w:type="dxa"/>
            <w:tcBorders/>
            <w:vAlign w:val="center"/>
          </w:tcPr>
          <w:p>
            <w:pPr>
              <w:pStyle w:val="TableContents"/>
              <w:bidi w:val="0"/>
              <w:spacing w:before="0" w:after="0"/>
              <w:ind w:left="0" w:right="0" w:hanging="0"/>
              <w:jc w:val="right"/>
              <w:rPr/>
            </w:pPr>
            <w:hyperlink w:anchor="ITEM7MANAGEMENTSDISCUSSIONANDANALYSISOFF">
              <w:r>
                <w:rPr>
                  <w:rStyle w:val="InternetLink"/>
                  <w:rFonts w:ascii="Times New Roman;Times;serif" w:hAnsi="Times New Roman;Times;serif"/>
                  <w:b w:val="false"/>
                  <w:i w:val="false"/>
                  <w:caps w:val="false"/>
                  <w:smallCaps w:val="false"/>
                  <w:sz w:val="20"/>
                </w:rPr>
                <w:t>7.</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406" w:type="dxa"/>
            <w:tcBorders/>
            <w:vAlign w:val="center"/>
          </w:tcPr>
          <w:p>
            <w:pPr>
              <w:pStyle w:val="TableContents"/>
              <w:bidi w:val="0"/>
              <w:spacing w:before="0" w:after="0"/>
              <w:ind w:left="0" w:right="0" w:hanging="0"/>
              <w:jc w:val="right"/>
              <w:rPr/>
            </w:pPr>
            <w:hyperlink w:anchor="ITEM7AQUANTITATIVEANDQUALITATIVEDISCLOSU">
              <w:r>
                <w:rPr>
                  <w:rStyle w:val="InternetLink"/>
                  <w:rFonts w:ascii="Times New Roman;Times;serif" w:hAnsi="Times New Roman;Times;serif"/>
                  <w:b w:val="false"/>
                  <w:i w:val="false"/>
                  <w:caps w:val="false"/>
                  <w:smallCaps w:val="false"/>
                  <w:sz w:val="20"/>
                </w:rPr>
                <w:t>7A.</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406" w:type="dxa"/>
            <w:tcBorders/>
            <w:vAlign w:val="center"/>
          </w:tcPr>
          <w:p>
            <w:pPr>
              <w:pStyle w:val="TableContents"/>
              <w:bidi w:val="0"/>
              <w:spacing w:before="0" w:after="0"/>
              <w:ind w:left="0" w:right="0" w:hanging="0"/>
              <w:jc w:val="right"/>
              <w:rPr/>
            </w:pPr>
            <w:hyperlink w:anchor="ITEM8FINANCIALSTATEMENTSANDSUPPLEMENTARY">
              <w:r>
                <w:rPr>
                  <w:rStyle w:val="InternetLink"/>
                  <w:rFonts w:ascii="Times New Roman;Times;serif" w:hAnsi="Times New Roman;Times;serif"/>
                  <w:b w:val="false"/>
                  <w:i w:val="false"/>
                  <w:caps w:val="false"/>
                  <w:smallCaps w:val="false"/>
                  <w:sz w:val="20"/>
                </w:rPr>
                <w:t>8.</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406" w:type="dxa"/>
            <w:tcBorders/>
            <w:vAlign w:val="center"/>
          </w:tcPr>
          <w:p>
            <w:pPr>
              <w:pStyle w:val="TableContents"/>
              <w:bidi w:val="0"/>
              <w:spacing w:before="0" w:after="0"/>
              <w:ind w:left="0" w:right="0" w:hanging="0"/>
              <w:jc w:val="right"/>
              <w:rPr/>
            </w:pPr>
            <w:hyperlink w:anchor="ITEM9CHANGESINANDDISAGREEMENTSWITHACCOUN">
              <w:r>
                <w:rPr>
                  <w:rStyle w:val="InternetLink"/>
                  <w:rFonts w:ascii="Times New Roman;Times;serif" w:hAnsi="Times New Roman;Times;serif"/>
                  <w:b w:val="false"/>
                  <w:i w:val="false"/>
                  <w:caps w:val="false"/>
                  <w:smallCaps w:val="false"/>
                  <w:sz w:val="20"/>
                </w:rPr>
                <w:t>9.</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406" w:type="dxa"/>
            <w:tcBorders/>
            <w:vAlign w:val="center"/>
          </w:tcPr>
          <w:p>
            <w:pPr>
              <w:pStyle w:val="TableContents"/>
              <w:bidi w:val="0"/>
              <w:spacing w:before="0" w:after="0"/>
              <w:ind w:left="0" w:right="0" w:hanging="0"/>
              <w:jc w:val="right"/>
              <w:rPr/>
            </w:pPr>
            <w:hyperlink w:anchor="ITEM9ACONTROLSANDPROCEDURES_106507">
              <w:r>
                <w:rPr>
                  <w:rStyle w:val="InternetLink"/>
                  <w:rFonts w:ascii="Times New Roman;Times;serif" w:hAnsi="Times New Roman;Times;serif"/>
                  <w:b w:val="false"/>
                  <w:i w:val="false"/>
                  <w:caps w:val="false"/>
                  <w:smallCaps w:val="false"/>
                  <w:sz w:val="20"/>
                </w:rPr>
                <w:t>9A.</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9ACONTROLSANDPROCEDURES_106507">
              <w:r>
                <w:rPr>
                  <w:rStyle w:val="InternetLink"/>
                  <w:rFonts w:ascii="Times New Roman;Times;serif" w:hAnsi="Times New Roman;Times;serif"/>
                  <w:b w:val="false"/>
                  <w:i w:val="false"/>
                  <w:caps w:val="false"/>
                  <w:smallCaps w:val="false"/>
                  <w:sz w:val="20"/>
                </w:rPr>
                <w:t>Controls and Procedures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406" w:type="dxa"/>
            <w:tcBorders/>
            <w:vAlign w:val="center"/>
          </w:tcPr>
          <w:p>
            <w:pPr>
              <w:pStyle w:val="TableContents"/>
              <w:bidi w:val="0"/>
              <w:spacing w:before="0" w:after="0"/>
              <w:ind w:left="0" w:right="0" w:hanging="0"/>
              <w:jc w:val="right"/>
              <w:rPr/>
            </w:pPr>
            <w:hyperlink w:anchor="ITEM9BOTHERINFORMATION_368767">
              <w:r>
                <w:rPr>
                  <w:rStyle w:val="InternetLink"/>
                  <w:rFonts w:ascii="Times New Roman;Times;serif" w:hAnsi="Times New Roman;Times;serif"/>
                  <w:b w:val="false"/>
                  <w:i w:val="false"/>
                  <w:caps w:val="false"/>
                  <w:smallCaps w:val="false"/>
                  <w:sz w:val="20"/>
                </w:rPr>
                <w:t>9B.</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9BOTHERINFORMATION_368767">
              <w:r>
                <w:rPr>
                  <w:rStyle w:val="InternetLink"/>
                  <w:rFonts w:ascii="Times New Roman;Times;serif" w:hAnsi="Times New Roman;Times;serif"/>
                  <w:b w:val="false"/>
                  <w:i w:val="false"/>
                  <w:caps w:val="false"/>
                  <w:smallCaps w:val="false"/>
                  <w:sz w:val="20"/>
                </w:rPr>
                <w:t>Other Information</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r>
      <w:tr>
        <w:trPr/>
        <w:tc>
          <w:tcPr>
            <w:tcW w:w="406" w:type="dxa"/>
            <w:tcBorders/>
            <w:vAlign w:val="center"/>
          </w:tcPr>
          <w:p>
            <w:pPr>
              <w:pStyle w:val="TableContents"/>
              <w:bidi w:val="0"/>
              <w:spacing w:before="0" w:after="0"/>
              <w:ind w:left="0" w:right="0" w:hanging="0"/>
              <w:jc w:val="right"/>
              <w:rPr/>
            </w:pPr>
            <w:hyperlink w:anchor="ITEM9CDISCLOSUREREGARDINGFOREIGNJURISDIC">
              <w:r>
                <w:rPr>
                  <w:rStyle w:val="InternetLink"/>
                  <w:rFonts w:ascii="Times New Roman;Times;serif" w:hAnsi="Times New Roman;Times;serif"/>
                  <w:b w:val="false"/>
                  <w:i w:val="false"/>
                  <w:caps w:val="false"/>
                  <w:smallCaps w:val="false"/>
                  <w:sz w:val="20"/>
                </w:rPr>
                <w:t>9C</w:t>
              </w:r>
            </w:hyperlink>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Disclosures Regarding Foreign Jurisdictions that Prevent Inspections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center"/>
              <w:rPr/>
            </w:pPr>
            <w:hyperlink w:anchor="PARTIII_53101">
              <w:r>
                <w:rPr>
                  <w:rStyle w:val="InternetLink"/>
                  <w:rFonts w:ascii="Times New Roman;Times;serif" w:hAnsi="Times New Roman;Times;serif"/>
                  <w:b/>
                  <w:i w:val="false"/>
                  <w:caps w:val="false"/>
                  <w:smallCaps w:val="false"/>
                  <w:sz w:val="20"/>
                </w:rPr>
                <w:t>PART III</w:t>
              </w:r>
            </w:hyperlink>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hyperlink w:anchor="ITEM10DIRECTORSEXECUTIVEOFFICERSANDCORPO">
              <w:r>
                <w:rPr>
                  <w:rStyle w:val="InternetLink"/>
                  <w:rFonts w:ascii="Times New Roman;Times;serif" w:hAnsi="Times New Roman;Times;serif"/>
                  <w:b w:val="false"/>
                  <w:i w:val="false"/>
                  <w:caps w:val="false"/>
                  <w:smallCaps w:val="false"/>
                  <w:sz w:val="20"/>
                </w:rPr>
                <w:t>10.</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r>
      <w:tr>
        <w:trPr/>
        <w:tc>
          <w:tcPr>
            <w:tcW w:w="406" w:type="dxa"/>
            <w:tcBorders/>
            <w:vAlign w:val="center"/>
          </w:tcPr>
          <w:p>
            <w:pPr>
              <w:pStyle w:val="TableContents"/>
              <w:bidi w:val="0"/>
              <w:spacing w:before="0" w:after="0"/>
              <w:ind w:left="0" w:right="0" w:hanging="0"/>
              <w:jc w:val="right"/>
              <w:rPr/>
            </w:pPr>
            <w:hyperlink w:anchor="ITEM11EXECUTIVECOMPENSATION_330828">
              <w:r>
                <w:rPr>
                  <w:rStyle w:val="InternetLink"/>
                  <w:rFonts w:ascii="Times New Roman;Times;serif" w:hAnsi="Times New Roman;Times;serif"/>
                  <w:b w:val="false"/>
                  <w:i w:val="false"/>
                  <w:caps w:val="false"/>
                  <w:smallCaps w:val="false"/>
                  <w:sz w:val="20"/>
                </w:rPr>
                <w:t>11.</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1EXECUTIVECOMPENSATION_330828">
              <w:r>
                <w:rPr>
                  <w:rStyle w:val="InternetLink"/>
                  <w:rFonts w:ascii="Times New Roman;Times;serif" w:hAnsi="Times New Roman;Times;serif"/>
                  <w:b w:val="false"/>
                  <w:i w:val="false"/>
                  <w:caps w:val="false"/>
                  <w:smallCaps w:val="false"/>
                  <w:sz w:val="20"/>
                </w:rPr>
                <w:t>Executive Compensation</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r>
      <w:tr>
        <w:trPr/>
        <w:tc>
          <w:tcPr>
            <w:tcW w:w="406" w:type="dxa"/>
            <w:tcBorders/>
            <w:vAlign w:val="center"/>
          </w:tcPr>
          <w:p>
            <w:pPr>
              <w:pStyle w:val="TableContents"/>
              <w:bidi w:val="0"/>
              <w:spacing w:before="0" w:after="0"/>
              <w:ind w:left="0" w:right="0" w:hanging="0"/>
              <w:jc w:val="right"/>
              <w:rPr/>
            </w:pPr>
            <w:hyperlink w:anchor="ITEM12SECURITYOWNERSHIPOFCERTAINBENEFICI">
              <w:r>
                <w:rPr>
                  <w:rStyle w:val="InternetLink"/>
                  <w:rFonts w:ascii="Times New Roman;Times;serif" w:hAnsi="Times New Roman;Times;serif"/>
                  <w:b w:val="false"/>
                  <w:i w:val="false"/>
                  <w:caps w:val="false"/>
                  <w:smallCaps w:val="false"/>
                  <w:sz w:val="20"/>
                </w:rPr>
                <w:t>12.</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406" w:type="dxa"/>
            <w:tcBorders/>
            <w:vAlign w:val="center"/>
          </w:tcPr>
          <w:p>
            <w:pPr>
              <w:pStyle w:val="TableContents"/>
              <w:bidi w:val="0"/>
              <w:spacing w:before="0" w:after="0"/>
              <w:ind w:left="0" w:right="0" w:hanging="0"/>
              <w:jc w:val="right"/>
              <w:rPr/>
            </w:pPr>
            <w:hyperlink w:anchor="ITEM13CERTAINRELATIONSHIPSANDRELATEDTRAN">
              <w:r>
                <w:rPr>
                  <w:rStyle w:val="InternetLink"/>
                  <w:rFonts w:ascii="Times New Roman;Times;serif" w:hAnsi="Times New Roman;Times;serif"/>
                  <w:b w:val="false"/>
                  <w:i w:val="false"/>
                  <w:caps w:val="false"/>
                  <w:smallCaps w:val="false"/>
                  <w:sz w:val="20"/>
                </w:rPr>
                <w:t>13.</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406" w:type="dxa"/>
            <w:tcBorders/>
            <w:vAlign w:val="center"/>
          </w:tcPr>
          <w:p>
            <w:pPr>
              <w:pStyle w:val="TableContents"/>
              <w:bidi w:val="0"/>
              <w:spacing w:before="0" w:after="0"/>
              <w:ind w:left="0" w:right="0" w:hanging="0"/>
              <w:jc w:val="right"/>
              <w:rPr/>
            </w:pPr>
            <w:hyperlink w:anchor="ITEM14PRINCIPALACCOUNTINGFEESANDSERVICES">
              <w:r>
                <w:rPr>
                  <w:rStyle w:val="InternetLink"/>
                  <w:rFonts w:ascii="Times New Roman;Times;serif" w:hAnsi="Times New Roman;Times;serif"/>
                  <w:b w:val="false"/>
                  <w:i w:val="false"/>
                  <w:caps w:val="false"/>
                  <w:smallCaps w:val="false"/>
                  <w:sz w:val="20"/>
                </w:rPr>
                <w:t>14.</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center"/>
              <w:rPr/>
            </w:pPr>
            <w:hyperlink w:anchor="PARTIV_523093">
              <w:r>
                <w:rPr>
                  <w:rStyle w:val="InternetLink"/>
                  <w:rFonts w:ascii="Times New Roman;Times;serif" w:hAnsi="Times New Roman;Times;serif"/>
                  <w:b/>
                  <w:i w:val="false"/>
                  <w:caps w:val="false"/>
                  <w:smallCaps w:val="false"/>
                  <w:sz w:val="20"/>
                </w:rPr>
                <w:t>PART IV</w:t>
              </w:r>
            </w:hyperlink>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hyperlink w:anchor="ITEM15EXHIBITSANDFINANCIALSTATEMENTSCHED">
              <w:r>
                <w:rPr>
                  <w:rStyle w:val="InternetLink"/>
                  <w:rFonts w:ascii="Times New Roman;Times;serif" w:hAnsi="Times New Roman;Times;serif"/>
                  <w:b w:val="false"/>
                  <w:i w:val="false"/>
                  <w:caps w:val="false"/>
                  <w:smallCaps w:val="false"/>
                  <w:sz w:val="20"/>
                </w:rPr>
                <w:t>15.</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406" w:type="dxa"/>
            <w:tcBorders/>
            <w:vAlign w:val="center"/>
          </w:tcPr>
          <w:p>
            <w:pPr>
              <w:pStyle w:val="TableContents"/>
              <w:bidi w:val="0"/>
              <w:spacing w:before="0" w:after="0"/>
              <w:ind w:left="0" w:right="0" w:hanging="0"/>
              <w:jc w:val="right"/>
              <w:rPr/>
            </w:pPr>
            <w:hyperlink w:anchor="ITEM16FORM10KSUMMARY_855159">
              <w:r>
                <w:rPr>
                  <w:rStyle w:val="InternetLink"/>
                  <w:rFonts w:ascii="Times New Roman;Times;serif" w:hAnsi="Times New Roman;Times;serif"/>
                  <w:b w:val="false"/>
                  <w:i w:val="false"/>
                  <w:caps w:val="false"/>
                  <w:smallCaps w:val="false"/>
                  <w:sz w:val="20"/>
                </w:rPr>
                <w:t>16.</w:t>
              </w:r>
            </w:hyperlink>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ITEM16FORM10KSUMMARY_855159">
              <w:r>
                <w:rPr>
                  <w:rStyle w:val="InternetLink"/>
                  <w:rFonts w:ascii="Times New Roman;Times;serif" w:hAnsi="Times New Roman;Times;serif"/>
                  <w:b w:val="false"/>
                  <w:i w:val="false"/>
                  <w:caps w:val="false"/>
                  <w:smallCaps w:val="false"/>
                  <w:sz w:val="20"/>
                </w:rPr>
                <w:t>Form 10-K Summary</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4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47" w:type="dxa"/>
            <w:tcBorders/>
            <w:vAlign w:val="center"/>
          </w:tcPr>
          <w:p>
            <w:pPr>
              <w:pStyle w:val="TableContents"/>
              <w:bidi w:val="0"/>
              <w:spacing w:before="0" w:after="0"/>
              <w:ind w:left="0" w:right="0" w:hanging="0"/>
              <w:jc w:val="left"/>
              <w:rPr/>
            </w:pPr>
            <w:hyperlink w:anchor="SIGNATURES_717339">
              <w:r>
                <w:rPr>
                  <w:rStyle w:val="InternetLink"/>
                  <w:rFonts w:ascii="Times New Roman;Times;serif" w:hAnsi="Times New Roman;Times;serif"/>
                  <w:b w:val="false"/>
                  <w:i w:val="false"/>
                  <w:caps w:val="false"/>
                  <w:smallCaps w:val="false"/>
                  <w:sz w:val="20"/>
                </w:rPr>
                <w:t>Signatures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PARTI_926281"/>
      <w:bookmarkStart w:id="24" w:name="_f22e72a2_f95f_4736_9721_14d079cdf995"/>
      <w:bookmarkEnd w:id="23"/>
      <w:bookmarkEnd w:id="24"/>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25" w:name="ITEM1BUSINESS_471503"/>
      <w:bookmarkEnd w:id="25"/>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tbl>
      <w:tblPr>
        <w:tblW w:w="6303" w:type="dxa"/>
        <w:jc w:val="left"/>
        <w:tblInd w:w="0" w:type="dxa"/>
        <w:tblLayout w:type="fixed"/>
        <w:tblCellMar>
          <w:top w:w="0" w:type="dxa"/>
          <w:left w:w="0" w:type="dxa"/>
          <w:bottom w:w="0" w:type="dxa"/>
          <w:right w:w="0" w:type="dxa"/>
        </w:tblCellMar>
      </w:tblPr>
      <w:tblGrid>
        <w:gridCol w:w="2596"/>
        <w:gridCol w:w="346"/>
        <w:gridCol w:w="3361"/>
      </w:tblGrid>
      <w:tr>
        <w:trPr/>
        <w:tc>
          <w:tcPr>
            <w:tcW w:w="2596" w:type="dxa"/>
            <w:tcBorders/>
            <w:vAlign w:val="center"/>
          </w:tcPr>
          <w:p>
            <w:pPr>
              <w:pStyle w:val="TableContents"/>
              <w:pBdr/>
              <w:bidi w:val="0"/>
              <w:spacing w:before="0" w:after="0"/>
              <w:ind w:left="360" w:right="0" w:hanging="360"/>
              <w:jc w:val="left"/>
              <w:rPr/>
            </w:pPr>
            <w:r>
              <w:rPr/>
              <w:t>●  ​ ​ ​ ​</w:t>
            </w:r>
            <w:r>
              <w:rPr>
                <w:rFonts w:ascii="Times New Roman;Times;serif" w:hAnsi="Times New Roman;Times;serif"/>
                <w:sz w:val="20"/>
              </w:rPr>
              <w:t>Monster Energy®</w:t>
            </w:r>
          </w:p>
          <w:p>
            <w:pPr>
              <w:pStyle w:val="TableContents"/>
              <w:pBdr/>
              <w:bidi w:val="0"/>
              <w:spacing w:before="0" w:after="0"/>
              <w:ind w:left="360" w:right="0" w:hanging="360"/>
              <w:jc w:val="left"/>
              <w:rPr/>
            </w:pPr>
            <w:r>
              <w:rPr/>
              <w:t>●  ​ ​ ​ ​</w:t>
            </w:r>
            <w:r>
              <w:rPr>
                <w:rFonts w:ascii="Times New Roman;Times;serif" w:hAnsi="Times New Roman;Times;serif"/>
                <w:sz w:val="20"/>
              </w:rPr>
              <w:t>Monster Energy Ultra®</w:t>
            </w:r>
          </w:p>
          <w:p>
            <w:pPr>
              <w:pStyle w:val="TableContents"/>
              <w:pBdr/>
              <w:bidi w:val="0"/>
              <w:spacing w:before="0" w:after="0"/>
              <w:ind w:left="360" w:right="0" w:hanging="360"/>
              <w:jc w:val="left"/>
              <w:rPr/>
            </w:pPr>
            <w:r>
              <w:rPr/>
              <w:t>●  ​ ​ ​ ​</w:t>
            </w:r>
            <w:r>
              <w:rPr>
                <w:rFonts w:ascii="Times New Roman;Times;serif" w:hAnsi="Times New Roman;Times;serif"/>
                <w:sz w:val="20"/>
              </w:rPr>
              <w:t>Rehab Monster®</w:t>
            </w:r>
          </w:p>
          <w:p>
            <w:pPr>
              <w:pStyle w:val="TableContents"/>
              <w:pBdr/>
              <w:bidi w:val="0"/>
              <w:spacing w:before="0" w:after="0"/>
              <w:ind w:left="360" w:right="0" w:hanging="360"/>
              <w:jc w:val="left"/>
              <w:rPr/>
            </w:pPr>
            <w:r>
              <w:rPr/>
              <w:t>●  ​ ​ ​ ​</w:t>
            </w:r>
            <w:r>
              <w:rPr>
                <w:rFonts w:ascii="Times New Roman;Times;serif" w:hAnsi="Times New Roman;Times;serif"/>
                <w:sz w:val="20"/>
              </w:rPr>
              <w:t>Monster Energy®Nitro</w:t>
            </w:r>
          </w:p>
          <w:p>
            <w:pPr>
              <w:pStyle w:val="TableContents"/>
              <w:pBdr/>
              <w:bidi w:val="0"/>
              <w:spacing w:before="0" w:after="0"/>
              <w:ind w:left="360" w:right="0" w:hanging="360"/>
              <w:jc w:val="left"/>
              <w:rPr/>
            </w:pPr>
            <w:r>
              <w:rPr/>
              <w:t>●  ​ ​ ​ ​</w:t>
            </w:r>
            <w:r>
              <w:rPr>
                <w:rFonts w:ascii="Times New Roman;Times;serif" w:hAnsi="Times New Roman;Times;serif"/>
                <w:sz w:val="20"/>
              </w:rPr>
              <w:t>Java Monster®</w:t>
            </w:r>
          </w:p>
          <w:p>
            <w:pPr>
              <w:pStyle w:val="TableContents"/>
              <w:pBdr/>
              <w:bidi w:val="0"/>
              <w:spacing w:before="0" w:after="0"/>
              <w:ind w:left="360" w:right="0" w:hanging="360"/>
              <w:jc w:val="left"/>
              <w:rPr/>
            </w:pPr>
            <w:r>
              <w:rPr/>
              <w:t>●  ​ ​ ​ ​</w:t>
            </w:r>
            <w:r>
              <w:rPr>
                <w:rFonts w:ascii="Times New Roman;Times;serif" w:hAnsi="Times New Roman;Times;serif"/>
                <w:sz w:val="20"/>
              </w:rPr>
              <w:t>Punch Monster®</w:t>
            </w:r>
          </w:p>
          <w:p>
            <w:pPr>
              <w:pStyle w:val="TableContents"/>
              <w:pBdr/>
              <w:bidi w:val="0"/>
              <w:spacing w:before="0" w:after="0"/>
              <w:ind w:left="360" w:right="0" w:hanging="360"/>
              <w:jc w:val="left"/>
              <w:rPr/>
            </w:pPr>
            <w:r>
              <w:rPr/>
              <w:t>●  ​ ​ ​ ​</w:t>
            </w:r>
            <w:r>
              <w:rPr>
                <w:rFonts w:ascii="Times New Roman;Times;serif" w:hAnsi="Times New Roman;Times;serif"/>
                <w:sz w:val="20"/>
              </w:rPr>
              <w:t>Juice Monster®</w:t>
            </w:r>
          </w:p>
          <w:p>
            <w:pPr>
              <w:pStyle w:val="TableContents"/>
              <w:pBdr/>
              <w:bidi w:val="0"/>
              <w:spacing w:before="0" w:after="0"/>
              <w:ind w:left="360" w:right="0" w:hanging="360"/>
              <w:jc w:val="left"/>
              <w:rPr/>
            </w:pPr>
            <w:r>
              <w:rPr/>
              <w:t>●  ​ ​ ​ ​</w:t>
            </w:r>
            <w:r>
              <w:rPr>
                <w:rFonts w:ascii="Times New Roman;Times;serif" w:hAnsi="Times New Roman;Times;serif"/>
                <w:sz w:val="20"/>
              </w:rPr>
              <w:t>Reign Total Body Fuel®</w:t>
            </w:r>
          </w:p>
          <w:p>
            <w:pPr>
              <w:pStyle w:val="TableContents"/>
              <w:pBdr/>
              <w:bidi w:val="0"/>
              <w:spacing w:before="0" w:after="0"/>
              <w:ind w:left="360" w:right="0" w:hanging="360"/>
              <w:jc w:val="left"/>
              <w:rPr/>
            </w:pPr>
            <w:r>
              <w:rPr/>
              <w:t>●  ​ ​ ​ ​</w:t>
            </w:r>
            <w:r>
              <w:rPr>
                <w:rFonts w:ascii="Times New Roman;Times;serif" w:hAnsi="Times New Roman;Times;serif"/>
                <w:sz w:val="20"/>
              </w:rPr>
              <w:t>Reign Storm®</w:t>
            </w:r>
          </w:p>
          <w:p>
            <w:pPr>
              <w:pStyle w:val="TableContents"/>
              <w:pBdr/>
              <w:bidi w:val="0"/>
              <w:spacing w:before="0" w:after="0"/>
              <w:ind w:left="360" w:right="0" w:hanging="360"/>
              <w:jc w:val="left"/>
              <w:rPr/>
            </w:pPr>
            <w:r>
              <w:rPr/>
              <w:t>●  ​ ​ ​ ​</w:t>
            </w:r>
            <w:r>
              <w:rPr>
                <w:rFonts w:ascii="Times New Roman;Times;serif" w:hAnsi="Times New Roman;Times;serif"/>
                <w:sz w:val="20"/>
              </w:rPr>
              <w:t>Bang Energy®</w:t>
            </w:r>
          </w:p>
          <w:p>
            <w:pPr>
              <w:pStyle w:val="TableContents"/>
              <w:pBdr/>
              <w:bidi w:val="0"/>
              <w:spacing w:before="0" w:after="0"/>
              <w:ind w:left="360" w:right="0" w:hanging="360"/>
              <w:jc w:val="left"/>
              <w:rPr/>
            </w:pPr>
            <w:r>
              <w:rPr/>
              <w:t>●  ​ ​ ​ ​</w:t>
            </w:r>
            <w:r>
              <w:rPr>
                <w:rFonts w:ascii="Times New Roman;Times;serif" w:hAnsi="Times New Roman;Times;serif"/>
                <w:sz w:val="20"/>
              </w:rPr>
              <w:t>NOS®</w:t>
            </w:r>
          </w:p>
          <w:p>
            <w:pPr>
              <w:pStyle w:val="TableContents"/>
              <w:pBdr/>
              <w:bidi w:val="0"/>
              <w:spacing w:before="0" w:after="0"/>
              <w:ind w:left="0" w:right="0" w:hanging="0"/>
              <w:jc w:val="left"/>
              <w:rPr/>
            </w:pPr>
            <w:r>
              <w:rPr/>
              <w:t>●  ​ ​ ​ ​</w:t>
            </w:r>
            <w:r>
              <w:rPr>
                <w:rFonts w:ascii="Times New Roman;Times;serif" w:hAnsi="Times New Roman;Times;serif"/>
                <w:sz w:val="20"/>
              </w:rPr>
              <w:t>Full Throttle®</w:t>
            </w:r>
          </w:p>
        </w:tc>
        <w:tc>
          <w:tcPr>
            <w:tcW w:w="346" w:type="dxa"/>
            <w:tcBorders/>
            <w:vAlign w:val="center"/>
          </w:tcPr>
          <w:p>
            <w:pPr>
              <w:pStyle w:val="TableContents"/>
              <w:pBdr/>
              <w:bidi w:val="0"/>
              <w:spacing w:before="0" w:after="0"/>
              <w:ind w:left="0" w:right="0" w:hanging="0"/>
              <w:jc w:val="both"/>
              <w:rPr/>
            </w:pPr>
            <w:r>
              <w:rPr/>
              <w:t>  ​ ​ ​</w:t>
            </w:r>
          </w:p>
        </w:tc>
        <w:tc>
          <w:tcPr>
            <w:tcW w:w="3361" w:type="dxa"/>
            <w:tcBorders/>
            <w:vAlign w:val="center"/>
          </w:tcPr>
          <w:p>
            <w:pPr>
              <w:pStyle w:val="TableContents"/>
              <w:pBdr/>
              <w:bidi w:val="0"/>
              <w:spacing w:before="0" w:after="0"/>
              <w:ind w:left="0" w:right="0" w:hanging="360"/>
              <w:jc w:val="both"/>
              <w:rPr/>
            </w:pPr>
            <w:r>
              <w:rPr/>
              <w:t>●  ​ ​ ​ ​</w:t>
            </w:r>
            <w:r>
              <w:rPr>
                <w:rFonts w:ascii="Times New Roman;Times;serif" w:hAnsi="Times New Roman;Times;serif"/>
                <w:sz w:val="20"/>
              </w:rPr>
              <w:t>Burn®</w:t>
            </w:r>
          </w:p>
          <w:p>
            <w:pPr>
              <w:pStyle w:val="TableContents"/>
              <w:pBdr/>
              <w:bidi w:val="0"/>
              <w:spacing w:before="0" w:after="0"/>
              <w:ind w:left="0" w:right="0" w:hanging="360"/>
              <w:jc w:val="both"/>
              <w:rPr/>
            </w:pPr>
            <w:r>
              <w:rPr/>
              <w:t>●  ​ ​ ​ ​</w:t>
            </w:r>
            <w:r>
              <w:rPr>
                <w:rFonts w:ascii="Times New Roman;Times;serif" w:hAnsi="Times New Roman;Times;serif"/>
                <w:sz w:val="20"/>
              </w:rPr>
              <w:t>Mother®</w:t>
            </w:r>
          </w:p>
          <w:p>
            <w:pPr>
              <w:pStyle w:val="TableContents"/>
              <w:pBdr/>
              <w:bidi w:val="0"/>
              <w:spacing w:before="0" w:after="0"/>
              <w:ind w:left="0" w:right="0" w:hanging="360"/>
              <w:jc w:val="both"/>
              <w:rPr/>
            </w:pPr>
            <w:r>
              <w:rPr/>
              <w:t>●  ​ ​ ​ ​</w:t>
            </w:r>
            <w:r>
              <w:rPr>
                <w:rFonts w:ascii="Times New Roman;Times;serif" w:hAnsi="Times New Roman;Times;serif"/>
                <w:sz w:val="20"/>
              </w:rPr>
              <w:t>Nalu®</w:t>
            </w:r>
          </w:p>
          <w:p>
            <w:pPr>
              <w:pStyle w:val="TableContents"/>
              <w:pBdr/>
              <w:bidi w:val="0"/>
              <w:spacing w:before="0" w:after="0"/>
              <w:ind w:left="0" w:right="0" w:hanging="360"/>
              <w:jc w:val="both"/>
              <w:rPr/>
            </w:pPr>
            <w:r>
              <w:rPr/>
              <w:t>●  ​ ​ ​ ​</w:t>
            </w:r>
            <w:r>
              <w:rPr>
                <w:rFonts w:ascii="Times New Roman;Times;serif" w:hAnsi="Times New Roman;Times;serif"/>
                <w:sz w:val="20"/>
              </w:rPr>
              <w:t>Ultra Energy®</w:t>
            </w:r>
          </w:p>
          <w:p>
            <w:pPr>
              <w:pStyle w:val="TableContents"/>
              <w:pBdr/>
              <w:bidi w:val="0"/>
              <w:spacing w:before="0" w:after="0"/>
              <w:ind w:left="0" w:right="0" w:hanging="360"/>
              <w:jc w:val="left"/>
              <w:rPr/>
            </w:pPr>
            <w:r>
              <w:rPr/>
              <w:t>●  ​ ​ ​ ​</w:t>
            </w:r>
            <w:r>
              <w:rPr>
                <w:rFonts w:ascii="Times New Roman;Times;serif" w:hAnsi="Times New Roman;Times;serif"/>
                <w:sz w:val="20"/>
              </w:rPr>
              <w:t>Play® and Power Play® (stylized)</w:t>
            </w:r>
          </w:p>
          <w:p>
            <w:pPr>
              <w:pStyle w:val="TableContents"/>
              <w:pBdr/>
              <w:bidi w:val="0"/>
              <w:spacing w:before="0" w:after="0"/>
              <w:ind w:left="0" w:right="0" w:hanging="360"/>
              <w:jc w:val="left"/>
              <w:rPr/>
            </w:pPr>
            <w:r>
              <w:rPr/>
              <w:t>●  ​ ​ ​ ​</w:t>
            </w:r>
            <w:r>
              <w:rPr>
                <w:rFonts w:ascii="Times New Roman;Times;serif" w:hAnsi="Times New Roman;Times;serif"/>
                <w:sz w:val="20"/>
              </w:rPr>
              <w:t>Relentless®</w:t>
            </w:r>
          </w:p>
          <w:p>
            <w:pPr>
              <w:pStyle w:val="TableContents"/>
              <w:pBdr/>
              <w:bidi w:val="0"/>
              <w:spacing w:before="0" w:after="0"/>
              <w:ind w:left="0" w:right="0" w:hanging="360"/>
              <w:jc w:val="left"/>
              <w:rPr/>
            </w:pPr>
            <w:r>
              <w:rPr/>
              <w:t>●  ​ ​ ​ ​</w:t>
            </w:r>
            <w:r>
              <w:rPr>
                <w:rFonts w:ascii="Times New Roman;Times;serif" w:hAnsi="Times New Roman;Times;serif"/>
                <w:sz w:val="20"/>
              </w:rPr>
              <w:t>BPM®</w:t>
            </w:r>
          </w:p>
          <w:p>
            <w:pPr>
              <w:pStyle w:val="TableContents"/>
              <w:pBdr/>
              <w:bidi w:val="0"/>
              <w:spacing w:before="0" w:after="0"/>
              <w:ind w:left="0" w:right="0" w:hanging="360"/>
              <w:jc w:val="left"/>
              <w:rPr/>
            </w:pPr>
            <w:r>
              <w:rPr/>
              <w:t>●  ​ ​ ​ ​</w:t>
            </w:r>
            <w:r>
              <w:rPr>
                <w:rFonts w:ascii="Times New Roman;Times;serif" w:hAnsi="Times New Roman;Times;serif"/>
                <w:sz w:val="20"/>
              </w:rPr>
              <w:t>BU®</w:t>
            </w:r>
          </w:p>
          <w:p>
            <w:pPr>
              <w:pStyle w:val="TableContents"/>
              <w:pBdr/>
              <w:bidi w:val="0"/>
              <w:spacing w:before="0" w:after="0"/>
              <w:ind w:left="0" w:right="0" w:hanging="360"/>
              <w:jc w:val="left"/>
              <w:rPr/>
            </w:pPr>
            <w:r>
              <w:rPr/>
              <w:t>●  ​ ​ ​ ​</w:t>
            </w:r>
            <w:r>
              <w:rPr>
                <w:rFonts w:ascii="Times New Roman;Times;serif" w:hAnsi="Times New Roman;Times;serif"/>
                <w:sz w:val="20"/>
              </w:rPr>
              <w:t>Samurai®</w:t>
            </w:r>
          </w:p>
          <w:p>
            <w:pPr>
              <w:pStyle w:val="TableContents"/>
              <w:pBdr/>
              <w:bidi w:val="0"/>
              <w:spacing w:before="0" w:after="0"/>
              <w:ind w:left="0" w:right="0" w:hanging="360"/>
              <w:jc w:val="left"/>
              <w:rPr/>
            </w:pPr>
            <w:r>
              <w:rPr/>
              <w:t>●  ​ ​ ​ ​</w:t>
            </w:r>
            <w:r>
              <w:rPr>
                <w:rFonts w:ascii="Times New Roman;Times;serif" w:hAnsi="Times New Roman;Times;serif"/>
                <w:sz w:val="20"/>
              </w:rPr>
              <w:t>Live+®</w:t>
            </w:r>
          </w:p>
          <w:p>
            <w:pPr>
              <w:pStyle w:val="TableContents"/>
              <w:bidi w:val="0"/>
              <w:spacing w:before="0" w:after="0"/>
              <w:ind w:left="0" w:right="0" w:hanging="0"/>
              <w:jc w:val="left"/>
              <w:rPr/>
            </w:pPr>
            <w:r>
              <w:rPr/>
              <w:t>●  ​ ​ ​ ​</w:t>
            </w:r>
            <w:r>
              <w:rPr>
                <w:rFonts w:ascii="Times New Roman;Times;serif" w:hAnsi="Times New Roman;Times;serif"/>
                <w:sz w:val="20"/>
              </w:rPr>
              <w:t>Predator®</w:t>
            </w:r>
          </w:p>
          <w:p>
            <w:pPr>
              <w:pStyle w:val="TableContents"/>
              <w:bidi w:val="0"/>
              <w:spacing w:before="0" w:after="0"/>
              <w:ind w:left="0" w:right="0" w:hanging="0"/>
              <w:jc w:val="left"/>
              <w:rPr/>
            </w:pPr>
            <w:r>
              <w:rPr/>
              <w:t>●  ​ ​ ​ ​</w:t>
            </w:r>
            <w:r>
              <w:rPr>
                <w:rFonts w:ascii="Times New Roman;Times;serif" w:hAnsi="Times New Roman;Times;serif"/>
                <w:sz w:val="20"/>
              </w:rPr>
              <w:t>Fury®</w:t>
            </w:r>
          </w:p>
        </w:tc>
      </w:tr>
    </w:tbl>
    <w:p>
      <w:pPr>
        <w:pStyle w:val="TextBody"/>
        <w:bidi w:val="0"/>
        <w:spacing w:before="0" w:after="0"/>
        <w:ind w:left="0" w:right="0" w:hanging="0"/>
        <w:jc w:val="both"/>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flavored malt beverages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Beast® Tea, Blind Lemon®, Blinder Lemon</w:t>
      </w:r>
      <w:r>
        <w:rPr>
          <w:rFonts w:ascii="Times New Roman;Times;serif" w:hAnsi="Times New Roman;Times;serif"/>
          <w:sz w:val="15"/>
        </w:rPr>
        <w:t>TM</w:t>
      </w:r>
      <w:r>
        <w:rPr>
          <w:rFonts w:ascii="Times New Roman;Times;serif" w:hAnsi="Times New Roman;Times;serif"/>
          <w:sz w:val="20"/>
        </w:rPr>
        <w:t xml:space="preserve"> and other brands.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Industry Overview</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The “alternative” beverage category combines non-carbonated, ready-to-drink iced teas, lemonades, juice cocktails, single-serve juices and fruit beverages, ready-to-drink dairy and coffee drinks, energy drinks, sports drinks and single-serve still waters (flavored, unflavored and enhanced) with “new age” beverages, including sodas that are considered natural, sparkling juices and flavored sparkling beverages. According to Beverage Marketing Corporation, domestic U.S. wholesale sales in 2025 for the “alternative” beverage category of the market are estimated at approximately $76.8 billion, representing an increase of approximately 2.4% over estimated domestic U.S. wholesale sales in 2024 of approximately $75.0 billion.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Reportable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FMBs and hard seltzers and (iv) Other segment (“Other”), which is comprised of certain products sold by American Fruits and Flavors LLC (“AFF”), a wholly-owned subsidiary of the Company, to independent third-party customers (the “AFF Third-Party Products”).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Monster Energy® Drinks segment primarily generates net operating revenues by selling ready-to-drink packaged drinks primarily to bottlers and full service beverage distributors (“bottlers/distributors”). In some cases, we sell ready-to-drink packaged drinks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directly to retail grocery and specialty chains, wholesalers, club stores, mass merchandisers, convenience and gas chains, drug stores, foodservice customers, value stores, e-commerce retailers and the military.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our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certain risks with respect to our beverages see “Part I, Item 1A – Risk Factors”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History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1930s, Hubert Hansen and his sons started a business selling fresh non-pasteurized juices in Los Angeles, California.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Hansen Natural Corporation acquired the Hansen’s® brand natural soda and apple juice business from CCC. Under our ownership, the Hansen’s® beverage business significantly expanded to include a wide range of beverages within the growing “alternative” beverage category including, in particular, energy drinks. In 2012, we changed our name from Hansen Natural Corporation to Monster Beverage Corporation. In 2015, we acquired various energy brands from TCCC and disposed of our non-energy drink business. In 2016, we completed our acquisition of flavor supplier and long-time business partner AFF. In 2022, we completed our acquisition of Monster Brewing Company, which facilitated our entry into the alcohol beverage sector. In 2023, we completed our acquisition of the Bang Energy® drink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2025 Product Introductions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2025, we continued to expand our existing energy drink portfolio by adding additional products to our portfolio in a number of countries and further developed our distribution markets. During 2025, we sold the following new products to our customers:</w:t>
      </w:r>
    </w:p>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Any Means Orange</w:t>
            </w:r>
          </w:p>
        </w:tc>
      </w:tr>
    </w:tbl>
    <w:tbl>
      <w:tblPr>
        <w:tblW w:w="2181" w:type="dxa"/>
        <w:jc w:val="left"/>
        <w:tblInd w:w="0" w:type="dxa"/>
        <w:tblLayout w:type="fixed"/>
        <w:tblCellMar>
          <w:top w:w="28" w:type="dxa"/>
          <w:left w:w="28" w:type="dxa"/>
          <w:bottom w:w="28" w:type="dxa"/>
          <w:right w:w="28" w:type="dxa"/>
        </w:tblCellMar>
      </w:tblPr>
      <w:tblGrid>
        <w:gridCol w:w="124"/>
        <w:gridCol w:w="256"/>
        <w:gridCol w:w="1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BPM® White Citrus</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 Orange</w:t>
            </w:r>
          </w:p>
        </w:tc>
      </w:tr>
    </w:tbl>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 White Citrus Zero Sugar</w:t>
            </w:r>
          </w:p>
        </w:tc>
      </w:tr>
    </w:tbl>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Fury® Mango Mayhem®</w:t>
            </w:r>
          </w:p>
        </w:tc>
      </w:tr>
    </w:tbl>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Juice Monster® Voodoo Grape</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Monster Energy® Electric Blue</w:t>
            </w:r>
            <w:r>
              <w:rPr>
                <w:rFonts w:ascii="Times New Roman;Times;serif" w:hAnsi="Times New Roman;Times;serif"/>
                <w:b w:val="false"/>
                <w:i w:val="false"/>
                <w:caps w:val="false"/>
                <w:smallCaps w:val="false"/>
                <w:sz w:val="15"/>
              </w:rPr>
              <w:t>TM</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Lando Norris Zero Sugar</w:t>
            </w:r>
          </w:p>
        </w:tc>
      </w:tr>
    </w:tbl>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Orange Dreamsicle®</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Strawberry Shot</w:t>
            </w:r>
          </w:p>
        </w:tc>
      </w:tr>
    </w:tbl>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Monster Energy® Ultra Punk Punch</w:t>
            </w:r>
            <w:r>
              <w:rPr>
                <w:rFonts w:ascii="Times New Roman;Times;serif" w:hAnsi="Times New Roman;Times;serif"/>
                <w:b w:val="false"/>
                <w:i w:val="false"/>
                <w:caps w:val="false"/>
                <w:smallCaps w:val="false"/>
                <w:sz w:val="15"/>
              </w:rPr>
              <w:t>TM</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Ultra Red White &amp; Blue Razz</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Ultra Wild Passion</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Valentino Rossi Zero Sugar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Zero Sugar Strawberry Shot</w:t>
            </w:r>
          </w:p>
        </w:tc>
      </w:tr>
    </w:tbl>
    <w:tbl>
      <w:tblPr>
        <w:tblW w:w="2316" w:type="dxa"/>
        <w:jc w:val="left"/>
        <w:tblInd w:w="0" w:type="dxa"/>
        <w:tblLayout w:type="fixed"/>
        <w:tblCellMar>
          <w:top w:w="28" w:type="dxa"/>
          <w:left w:w="28" w:type="dxa"/>
          <w:bottom w:w="28" w:type="dxa"/>
          <w:right w:w="28" w:type="dxa"/>
        </w:tblCellMar>
      </w:tblPr>
      <w:tblGrid>
        <w:gridCol w:w="124"/>
        <w:gridCol w:w="25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Mother® Watermelon</w:t>
            </w:r>
          </w:p>
        </w:tc>
      </w:tr>
    </w:tbl>
    <w:tbl>
      <w:tblPr>
        <w:tblW w:w="2511" w:type="dxa"/>
        <w:jc w:val="left"/>
        <w:tblInd w:w="0" w:type="dxa"/>
        <w:tblLayout w:type="fixed"/>
        <w:tblCellMar>
          <w:top w:w="28" w:type="dxa"/>
          <w:left w:w="28" w:type="dxa"/>
          <w:bottom w:w="28" w:type="dxa"/>
          <w:right w:w="28" w:type="dxa"/>
        </w:tblCellMar>
      </w:tblPr>
      <w:tblGrid>
        <w:gridCol w:w="124"/>
        <w:gridCol w:w="256"/>
        <w:gridCol w:w="2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Mother® White Gummy</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Nalu® Zero Sugar Original</w:t>
            </w:r>
          </w:p>
        </w:tc>
      </w:tr>
    </w:tbl>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Predator® Wild Berry</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Total Body Fuel® White Haze</w:t>
            </w:r>
          </w:p>
        </w:tc>
      </w:tr>
    </w:tbl>
    <w:tbl>
      <w:tblPr>
        <w:tblW w:w="2091" w:type="dxa"/>
        <w:jc w:val="left"/>
        <w:tblInd w:w="0" w:type="dxa"/>
        <w:tblLayout w:type="fixed"/>
        <w:tblCellMar>
          <w:top w:w="28" w:type="dxa"/>
          <w:left w:w="28" w:type="dxa"/>
          <w:bottom w:w="28" w:type="dxa"/>
          <w:right w:w="28" w:type="dxa"/>
        </w:tblCellMar>
      </w:tblPr>
      <w:tblGrid>
        <w:gridCol w:w="124"/>
        <w:gridCol w:w="256"/>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Relentless® Guava</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 Energy® White Citrus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Blind Lemon® Cherry Lemonade</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Blind Lemon® Original Lemonade</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Blind Lemon® Peach Lemonade</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Blind Lemon® Strawberry Lemonade</w:t>
            </w:r>
          </w:p>
        </w:tc>
      </w:tr>
    </w:tbl>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Blinder Lemon</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Original Lemonade</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Blinder Lemon</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Strawberry Lemonade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2025, either individually or in aggregate, did not have a material adverse impact on our financial position, results of operations or liquidity.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Products – Monster Energy® Drinks Segment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Monster Energy® Drinks</w:t>
      </w:r>
      <w:r>
        <w:rPr>
          <w:rFonts w:ascii="Times New Roman;Times;serif" w:hAnsi="Times New Roman;Times;serif"/>
          <w:sz w:val="20"/>
        </w:rPr>
        <w:t xml:space="preserve"> – a line of carbonated energy drinks. Our Monster Energy® drinks contain vitamins, minerals, nutrients, herbs and other ingredients (collectively, “supplement ingredients”). We offer the following energy drinks under the Monster Energy® drink product line: Monster Energy®, Monster Energy® Strawberry Shot, Monster Energy® Zero Sugar, Monster Energy® Zero Sugar Strawberry Shot, Lo-Carb Monster Energy®, Monster Assault®, Juice Monster® Aussie Style Lemonade</w:t>
      </w:r>
      <w:r>
        <w:rPr>
          <w:rFonts w:ascii="Times New Roman;Times;serif" w:hAnsi="Times New Roman;Times;serif"/>
          <w:sz w:val="15"/>
        </w:rPr>
        <w:t>TM</w:t>
      </w:r>
      <w:r>
        <w:rPr>
          <w:rFonts w:ascii="Times New Roman;Times;serif" w:hAnsi="Times New Roman;Times;serif"/>
          <w:sz w:val="20"/>
        </w:rPr>
        <w:t>, Juice Monster® Bad Apple®, Juice Monster® Khaotic®, Juice Monster® Mango Loco®, Juice Monster® Pacific Punch®, Juice Monster® Papillon® (Juiced Monster® Monarch in certain countries), Juice Monster® Pipeline Punch®, Juice Monster® Ripper®, Juice Monster® Rio Punch</w:t>
      </w:r>
      <w:r>
        <w:rPr>
          <w:rFonts w:ascii="Times New Roman;Times;serif" w:hAnsi="Times New Roman;Times;serif"/>
          <w:sz w:val="15"/>
        </w:rPr>
        <w:t>TM</w:t>
      </w:r>
      <w:r>
        <w:rPr>
          <w:rFonts w:ascii="Times New Roman;Times;serif" w:hAnsi="Times New Roman;Times;serif"/>
          <w:sz w:val="20"/>
        </w:rPr>
        <w:t>, Juice Monster® Viking Berry</w:t>
      </w:r>
      <w:r>
        <w:rPr>
          <w:rFonts w:ascii="Times New Roman;Times;serif" w:hAnsi="Times New Roman;Times;serif"/>
          <w:sz w:val="15"/>
        </w:rPr>
        <w:t>TM</w:t>
      </w:r>
      <w:r>
        <w:rPr>
          <w:rFonts w:ascii="Times New Roman;Times;serif" w:hAnsi="Times New Roman;Times;serif"/>
          <w:sz w:val="20"/>
        </w:rPr>
        <w:t>, Juice Monster® Voodoo Grape, Monster Energy® Import, Monster Energy® Electric Blue</w:t>
      </w:r>
      <w:r>
        <w:rPr>
          <w:rFonts w:ascii="Times New Roman;Times;serif" w:hAnsi="Times New Roman;Times;serif"/>
          <w:sz w:val="15"/>
        </w:rPr>
        <w:t>TM</w:t>
      </w:r>
      <w:r>
        <w:rPr>
          <w:rFonts w:ascii="Times New Roman;Times;serif" w:hAnsi="Times New Roman;Times;serif"/>
          <w:sz w:val="20"/>
        </w:rPr>
        <w:t>, Monster Energy® Export, Monster Energy® Lando Norris Zero Sugar, Monster Energy® Orange Dreamsicle®, M3(stylized)®, Monster Energy Zero Ultra®, Monster Energy Ultra Black®, Monster Energy Ultra Blue®, Monster Energy® Ultra Blue Hawaiian, Monster Energy® Ultra Fantasy Ruby Red</w:t>
      </w:r>
      <w:r>
        <w:rPr>
          <w:rFonts w:ascii="Times New Roman;Times;serif" w:hAnsi="Times New Roman;Times;serif"/>
          <w:sz w:val="15"/>
        </w:rPr>
        <w:t>TM</w:t>
      </w:r>
      <w:r>
        <w:rPr>
          <w:rFonts w:ascii="Times New Roman;Times;serif" w:hAnsi="Times New Roman;Times;serif"/>
          <w:sz w:val="20"/>
        </w:rPr>
        <w:t>, Monster Energy Ultra Fiesta® Mango, Monster Energy® Ultra Golden Pineapple®, Monster Energy Ultra Paradise®, Monster Energy® Ultra Peachy Keen®, Monster Energy® Ultra Punk Punch</w:t>
      </w:r>
      <w:r>
        <w:rPr>
          <w:rFonts w:ascii="Times New Roman;Times;serif" w:hAnsi="Times New Roman;Times;serif"/>
          <w:sz w:val="15"/>
        </w:rPr>
        <w:t>TM</w:t>
      </w:r>
      <w:r>
        <w:rPr>
          <w:rFonts w:ascii="Times New Roman;Times;serif" w:hAnsi="Times New Roman;Times;serif"/>
          <w:sz w:val="20"/>
        </w:rPr>
        <w:t>, Monster Energy Ultra Red®, Monster Energy® Ultra Red White &amp; Blue Razz, Monster Energy Ultra Rosa®, Monster Energy® Ultra Strawberry Dreams®, Monster Energy® Ultra Sunrise®, Monster Energy® Ultra Vice Guava®, Monster Energy Ultra Violet®, Monster Energy Ultra® Watermelon, Monster Energy Ultra® Wild Passion, Monster Energy® Mixxd Punch, Monster Energy® Valentino Rossi Zero Sugar, Monster Energy® Zero Sugar Full Throttle, Monster® (stylized) Reserve Orange Dreamsicle® and Monster® (stylized) Reserve Peaches N’ Crème.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Java Monster® Coffee + Energy Drinks</w:t>
      </w:r>
      <w:r>
        <w:rPr>
          <w:rFonts w:ascii="Times New Roman;Times;serif" w:hAnsi="Times New Roman;Times;serif"/>
          <w:sz w:val="20"/>
        </w:rPr>
        <w:t xml:space="preserve"> – a line of non-carbonated dairy-based coffee + energy drinks. We offer the following coffee + energy drinks under the Java Monster® product line: Java Monster® 300 French Vanilla, Java Monster® Café Latte, Java Monster® Irish Crème, Java Monster® Loca Moca®, Java Monster® Mean Bean®, Java Monster® Salted Caramel, Monster® Killer Brew</w:t>
      </w:r>
      <w:r>
        <w:rPr>
          <w:rFonts w:ascii="Times New Roman;Times;serif" w:hAnsi="Times New Roman;Times;serif"/>
          <w:sz w:val="15"/>
        </w:rPr>
        <w:t>TM</w:t>
      </w:r>
      <w:r>
        <w:rPr>
          <w:rFonts w:ascii="Times New Roman;Times;serif" w:hAnsi="Times New Roman;Times;serif"/>
          <w:sz w:val="20"/>
        </w:rPr>
        <w:t xml:space="preserve"> Loca Moca® and Monster® Killer Brew</w:t>
      </w:r>
      <w:r>
        <w:rPr>
          <w:rFonts w:ascii="Times New Roman;Times;serif" w:hAnsi="Times New Roman;Times;serif"/>
          <w:sz w:val="15"/>
        </w:rPr>
        <w:t>TM</w:t>
      </w:r>
      <w:r>
        <w:rPr>
          <w:rFonts w:ascii="Times New Roman;Times;serif" w:hAnsi="Times New Roman;Times;serif"/>
          <w:sz w:val="20"/>
        </w:rPr>
        <w:t xml:space="preserve"> Mean Bean®.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Monster Energy® Nitro</w:t>
      </w:r>
      <w:r>
        <w:rPr>
          <w:rFonts w:ascii="Times New Roman;Times;serif" w:hAnsi="Times New Roman;Times;serif"/>
          <w:sz w:val="20"/>
        </w:rPr>
        <w:t xml:space="preserve"> – a carbonated energy drink containing nitrous oxide offered in the following flavor: Super Dry.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Rehab Monster® Energy Drinks</w:t>
      </w:r>
      <w:r>
        <w:rPr>
          <w:rFonts w:ascii="Times New Roman;Times;serif" w:hAnsi="Times New Roman;Times;serif"/>
          <w:sz w:val="20"/>
        </w:rPr>
        <w:t xml:space="preserve"> – a line of non-carbonated energy drinks with electrolytes. We offer the following energy drinks under the Rehab Monster® product line: Green Tea, Peach Tea, Tea + Lemonade and Wild Berry Tea.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Reign Total Body Fuel® High Performance Energy Drinks</w:t>
      </w:r>
      <w:r>
        <w:rPr>
          <w:rFonts w:ascii="Times New Roman;Times;serif" w:hAnsi="Times New Roman;Times;serif"/>
          <w:sz w:val="20"/>
        </w:rPr>
        <w:t xml:space="preserve"> – a line of high-performance energy drinks with BCAA’s, B vitamins, electrolytes and CoQ10 with zero sugar. We offer the following high performance energy drinks under the Reign Total Body Fuel® product line: Cherry Limeade, Lemon Hdz, Lilikoi Lychee, Melon Mania®, Orange Dreamsicle®, Razzle Berry, Reignbow Sherbet®, Sour Gummy Worm, Tropical Storm®, Watermelon Sour Gummy, White Gummy Bear and White Haze.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val="false"/>
          <w:i/>
          <w:sz w:val="20"/>
        </w:rPr>
        <w:t>Reign Storm® Total Wellness Energy Drinks</w:t>
      </w:r>
      <w:r>
        <w:rPr>
          <w:rFonts w:ascii="Times New Roman;Times;serif" w:hAnsi="Times New Roman;Times;serif"/>
          <w:b/>
          <w:sz w:val="20"/>
        </w:rPr>
        <w:t xml:space="preserve"> – </w:t>
      </w:r>
      <w:r>
        <w:rPr>
          <w:rFonts w:ascii="Times New Roman;Times;serif" w:hAnsi="Times New Roman;Times;serif"/>
          <w:b w:val="false"/>
          <w:sz w:val="20"/>
        </w:rPr>
        <w:t>a line of better-for-you energy drinks with natural caffeine, Biotin, Zinc, B vitamins, Vitamin A and Vitamin C, with zero sugar. We offer the following under the Reign Storm® Total Wellness Energy product line: Citrus Zest, Guava Strawberry, Harvest Grape, Kiwi Blend, Mango, Peach Nectarine, Strawberry Apricot, Tropical and Valencia Orange.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Bang Energy® Drinks – </w:t>
      </w:r>
      <w:r>
        <w:rPr>
          <w:rFonts w:ascii="Times New Roman;Times;serif" w:hAnsi="Times New Roman;Times;serif"/>
          <w:sz w:val="20"/>
        </w:rPr>
        <w:t>a line of better-for-you lifestyle energy drinks with B vitamins, essential amino acids and unique flavor profiles with zero sugar. We offer the following energy drinks under the Bang Energy® product line: Any Means Orange, Black Cherry Vanilla, Blue Razz®, Cotton Candy, Delish Strawberry Kiss®, Lime Pop Drop, Peach Mango, Purple Haze</w:t>
      </w:r>
      <w:r>
        <w:rPr>
          <w:rFonts w:ascii="Times New Roman;Times;serif" w:hAnsi="Times New Roman;Times;serif"/>
          <w:sz w:val="15"/>
        </w:rPr>
        <w:t>TM</w:t>
      </w:r>
      <w:r>
        <w:rPr>
          <w:rFonts w:ascii="Times New Roman;Times;serif" w:hAnsi="Times New Roman;Times;serif"/>
          <w:sz w:val="20"/>
        </w:rPr>
        <w:t>, Sour Heads®, Sour Ropes, Star Blast® and Wyldin’ Watermelon®.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Products –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BPM®</w:t>
      </w:r>
      <w:r>
        <w:rPr>
          <w:rFonts w:ascii="Times New Roman;Times;serif" w:hAnsi="Times New Roman;Times;serif"/>
          <w:sz w:val="20"/>
        </w:rPr>
        <w:t xml:space="preserve"> – a line of carbonated energy drinks. We offer the following energy drinks under the BPM® product line: Focus Berry Red, Fruit Punch and White Citrus.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BU®</w:t>
      </w:r>
      <w:r>
        <w:rPr>
          <w:rFonts w:ascii="Times New Roman;Times;serif" w:hAnsi="Times New Roman;Times;serif"/>
          <w:sz w:val="20"/>
        </w:rPr>
        <w:t xml:space="preserve"> – a line of carbonated energy drinks. We offer the following energy drink under the BU® product line: Original.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Burn®</w:t>
      </w:r>
      <w:r>
        <w:rPr>
          <w:rFonts w:ascii="Times New Roman;Times;serif" w:hAnsi="Times New Roman;Times;serif"/>
          <w:sz w:val="20"/>
        </w:rPr>
        <w:t xml:space="preserve"> – a line of carbonated energy drinks. We offer the following energy drinks under the Burn® product line: Apple Kiwi, Blue Refresh, Dark Energy®, Fruit Punch, Gold Rush, Guava, Mango, Orange, Original, Passion Punch, Peach Mango, Sour Twist, Watermelon Zero Sugar, and White Citrus Zero Sugar.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Full Throttle®</w:t>
      </w:r>
      <w:r>
        <w:rPr>
          <w:rFonts w:ascii="Times New Roman;Times;serif" w:hAnsi="Times New Roman;Times;serif"/>
          <w:sz w:val="20"/>
        </w:rPr>
        <w:t xml:space="preserve"> – a line of carbonated energy drinks. We offer the following energy drinks under the Full Throttle® product line: Original (Citrus) and True Blue.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Fury® – </w:t>
      </w:r>
      <w:r>
        <w:rPr>
          <w:rFonts w:ascii="Times New Roman;Times;serif" w:hAnsi="Times New Roman;Times;serif"/>
          <w:sz w:val="20"/>
        </w:rPr>
        <w:t>a line of affordable carbonated energy drinks. We offer the following energy drinks under the Fury</w:t>
      </w:r>
      <w:r>
        <w:rPr>
          <w:rFonts w:ascii="Times New Roman;Times;serif" w:hAnsi="Times New Roman;Times;serif"/>
          <w:i/>
          <w:sz w:val="20"/>
        </w:rPr>
        <w:t>®</w:t>
      </w:r>
      <w:r>
        <w:rPr>
          <w:rFonts w:ascii="Times New Roman;Times;serif" w:hAnsi="Times New Roman;Times;serif"/>
          <w:sz w:val="20"/>
        </w:rPr>
        <w:t xml:space="preserve"> product line: Gold Strike® and Mango Mayhem®.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Live+®</w:t>
      </w:r>
      <w:r>
        <w:rPr>
          <w:rFonts w:ascii="Times New Roman;Times;serif" w:hAnsi="Times New Roman;Times;serif"/>
          <w:sz w:val="20"/>
        </w:rPr>
        <w:t xml:space="preserve"> – a line of carbonated energy drinks. We offer the following energy drinks under the Live+® product line: Original, Original Zero Sugar and Tart Apple.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Mother® </w:t>
      </w:r>
      <w:r>
        <w:rPr>
          <w:rFonts w:ascii="Times New Roman;Times;serif" w:hAnsi="Times New Roman;Times;serif"/>
          <w:sz w:val="20"/>
        </w:rPr>
        <w:t>– a line of carbonated energy drinks. We offer the following energy drinks under the Mother® product line: Frosty Berry®, Kicked Apple®, Lava Guava®, Orange Dreamsicle®, Original, Passion, Rainbow Sherbet, Sugar Free, Watermelon, White Gummy and Zero Sugar Razzle Berry.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Nalu®</w:t>
      </w:r>
      <w:r>
        <w:rPr>
          <w:rFonts w:ascii="Times New Roman;Times;serif" w:hAnsi="Times New Roman;Times;serif"/>
          <w:sz w:val="20"/>
        </w:rPr>
        <w:t xml:space="preserve"> – a line of carbonated energy drinks. We offer the following energy drinks under the Nalu</w:t>
      </w:r>
      <w:r>
        <w:rPr>
          <w:rFonts w:ascii="Times New Roman;Times;serif" w:hAnsi="Times New Roman;Times;serif"/>
          <w:i/>
          <w:sz w:val="20"/>
        </w:rPr>
        <w:t>®</w:t>
      </w:r>
      <w:r>
        <w:rPr>
          <w:rFonts w:ascii="Times New Roman;Times;serif" w:hAnsi="Times New Roman;Times;serif"/>
          <w:sz w:val="20"/>
        </w:rPr>
        <w:t xml:space="preserve"> product line: Exotic, Frost, Melon Splash, Original, Zero Sugar Original, Passion and Yuzu Rosemary.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NOS®</w:t>
      </w:r>
      <w:r>
        <w:rPr>
          <w:rFonts w:ascii="Times New Roman;Times;serif" w:hAnsi="Times New Roman;Times;serif"/>
          <w:sz w:val="20"/>
        </w:rPr>
        <w:t xml:space="preserve"> – a line of carbonated energy drinks. We offer the following energy drinks under the NOS® product line: GT Grape, Original, Sonic Sour and Zero Sugar.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Play® and Power Play</w:t>
      </w:r>
      <w:r>
        <w:rPr>
          <w:rFonts w:ascii="Tms Rmn" w:hAnsi="Tms Rmn"/>
          <w:i/>
          <w:sz w:val="20"/>
        </w:rPr>
        <w:t>®</w:t>
      </w:r>
      <w:r>
        <w:rPr>
          <w:rFonts w:ascii="Times New Roman;Times;serif" w:hAnsi="Times New Roman;Times;serif"/>
          <w:sz w:val="20"/>
        </w:rPr>
        <w:t xml:space="preserve"> </w:t>
      </w:r>
      <w:r>
        <w:rPr>
          <w:rFonts w:ascii="Times New Roman;Times;serif" w:hAnsi="Times New Roman;Times;serif"/>
          <w:i/>
          <w:sz w:val="20"/>
        </w:rPr>
        <w:t xml:space="preserve">(stylized) </w:t>
      </w:r>
      <w:r>
        <w:rPr>
          <w:rFonts w:ascii="Times New Roman;Times;serif" w:hAnsi="Times New Roman;Times;serif"/>
          <w:sz w:val="20"/>
        </w:rPr>
        <w:t>– a line of carbonated energy drinks. We offer the following energy drinks under the Play</w:t>
      </w:r>
      <w:r>
        <w:rPr>
          <w:rFonts w:ascii="Times New Roman;Times;serif" w:hAnsi="Times New Roman;Times;serif"/>
          <w:i/>
          <w:sz w:val="20"/>
        </w:rPr>
        <w:t>®</w:t>
      </w:r>
      <w:r>
        <w:rPr>
          <w:rFonts w:ascii="Times New Roman;Times;serif" w:hAnsi="Times New Roman;Times;serif"/>
          <w:sz w:val="20"/>
        </w:rPr>
        <w:t xml:space="preserve"> and Power Play</w:t>
      </w:r>
      <w:r>
        <w:rPr>
          <w:rFonts w:ascii="Tms Rmn" w:hAnsi="Tms Rmn"/>
          <w:sz w:val="20"/>
        </w:rPr>
        <w:t>®</w:t>
      </w:r>
      <w:r>
        <w:rPr>
          <w:rFonts w:ascii="Times New Roman;Times;serif" w:hAnsi="Times New Roman;Times;serif"/>
          <w:sz w:val="20"/>
        </w:rPr>
        <w:t xml:space="preserve"> (stylized) product line: Apple Kiwi, Mango, Passion Fruit, Original and Sugar Free.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Predator® </w:t>
      </w:r>
      <w:r>
        <w:rPr>
          <w:rFonts w:ascii="Times New Roman;Times;serif" w:hAnsi="Times New Roman;Times;serif"/>
          <w:sz w:val="20"/>
        </w:rPr>
        <w:t>– a line of affordable carbonated and non-carbonated energy drinks. We offer the following energy drinks under the Predator® product line: Gold Strike®, Mango Mayhem®, Mean Green®, Purple Rain®, Red Apple, Spicy Ginger, Tropical and Wild Berry.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Relentless® </w:t>
      </w:r>
      <w:r>
        <w:rPr>
          <w:rFonts w:ascii="Times New Roman;Times;serif" w:hAnsi="Times New Roman;Times;serif"/>
          <w:sz w:val="20"/>
        </w:rPr>
        <w:t>– a line of carbonated energy drinks. We offer the following energy drinks under the Relentless® product line: Fruit Punch, Guava, Origin, Raspberry Zero Sugar and White Citrus.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Samurai® </w:t>
      </w:r>
      <w:r>
        <w:rPr>
          <w:rFonts w:ascii="Times New Roman;Times;serif" w:hAnsi="Times New Roman;Times;serif"/>
          <w:sz w:val="20"/>
        </w:rPr>
        <w:t>– a line of carbonated energy drinks. We offer the following energy drinks under the Samurai® product line: Fruity and Strawberry.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Ultra Energy® </w:t>
      </w:r>
      <w:r>
        <w:rPr>
          <w:rFonts w:ascii="Times New Roman;Times;serif" w:hAnsi="Times New Roman;Times;serif"/>
          <w:sz w:val="20"/>
        </w:rPr>
        <w:t>– a line of carbonated energy drinks. We offer the following energy drinks under the Ultra Energy® product line: Apple Kiwi, Citrus Peach, Fruit Punch, Original, Passion Punch and White Citrus.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Products – Alcohol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Blind Lemon® – </w:t>
      </w:r>
      <w:r>
        <w:rPr>
          <w:rFonts w:ascii="Times New Roman;Times;serif" w:hAnsi="Times New Roman;Times;serif"/>
          <w:sz w:val="20"/>
        </w:rPr>
        <w:t>a line of FMBs. We offer the following flavors under the Blind Lemon® brand family: Cherry Lemonade, Original Lemonade, Peach Lemonade and Strawberry Lemonade.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Blinder Lemon</w:t>
      </w:r>
      <w:r>
        <w:rPr>
          <w:rFonts w:ascii="Times New Roman;Times;serif" w:hAnsi="Times New Roman;Times;serif"/>
          <w:i/>
          <w:sz w:val="15"/>
        </w:rPr>
        <w:t>TM</w:t>
      </w:r>
      <w:r>
        <w:rPr>
          <w:rFonts w:ascii="Times New Roman;Times;serif" w:hAnsi="Times New Roman;Times;serif"/>
          <w:sz w:val="20"/>
        </w:rPr>
        <w:t xml:space="preserve"> – a line of FMBs. We offer the following flavors under the Blinder Lemon</w:t>
      </w:r>
      <w:r>
        <w:rPr>
          <w:rFonts w:ascii="Times New Roman;Times;serif" w:hAnsi="Times New Roman;Times;serif"/>
          <w:sz w:val="15"/>
        </w:rPr>
        <w:t>TM</w:t>
      </w:r>
      <w:r>
        <w:rPr>
          <w:rFonts w:ascii="Times New Roman;Times;serif" w:hAnsi="Times New Roman;Times;serif"/>
          <w:sz w:val="20"/>
        </w:rPr>
        <w:t xml:space="preserve"> brand family: Original Lemonade and Strawberry Lemonade.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Cigar City® –</w:t>
      </w:r>
      <w:r>
        <w:rPr>
          <w:rFonts w:ascii="Times New Roman;Times;serif" w:hAnsi="Times New Roman;Times;serif"/>
          <w:sz w:val="20"/>
        </w:rPr>
        <w:t xml:space="preserve"> a line of craft beers. We offer the following brands under the Cigar City® brand family: Jai Alai®, Florida Man®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Oskar Blues® –</w:t>
      </w:r>
      <w:r>
        <w:rPr>
          <w:rFonts w:ascii="Times New Roman;Times;serif" w:hAnsi="Times New Roman;Times;serif"/>
          <w:sz w:val="20"/>
        </w:rPr>
        <w:t xml:space="preserve"> a line of craft beers. We offer the following brands under the Oskar Blues® brand family: Dale’s Pale Ale®, Dale’s Easy IPA, Dale’s Light Lager, Double Dale’s® and others.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Deep Ellum</w:t>
      </w:r>
      <w:r>
        <w:rPr>
          <w:rFonts w:ascii="Times New Roman;Times;serif" w:hAnsi="Times New Roman;Times;serif"/>
          <w:i/>
          <w:sz w:val="15"/>
        </w:rPr>
        <w:t>TM</w:t>
      </w:r>
      <w:r>
        <w:rPr>
          <w:rFonts w:ascii="Times New Roman;Times;serif" w:hAnsi="Times New Roman;Times;serif"/>
          <w:sz w:val="20"/>
        </w:rPr>
        <w:t xml:space="preserve"> – a line of craft beers. We offer the following brands under the Deep Ellum</w:t>
      </w:r>
      <w:r>
        <w:rPr>
          <w:rFonts w:ascii="Times New Roman;Times;serif" w:hAnsi="Times New Roman;Times;serif"/>
          <w:sz w:val="15"/>
        </w:rPr>
        <w:t>TM</w:t>
      </w:r>
      <w:r>
        <w:rPr>
          <w:rFonts w:ascii="Times New Roman;Times;serif" w:hAnsi="Times New Roman;Times;serif"/>
          <w:sz w:val="20"/>
        </w:rPr>
        <w:t xml:space="preserve"> brand family: Dallas Blonde®, Deep Ellum</w:t>
      </w:r>
      <w:r>
        <w:rPr>
          <w:rFonts w:ascii="Times New Roman;Times;serif" w:hAnsi="Times New Roman;Times;serif"/>
          <w:sz w:val="15"/>
        </w:rPr>
        <w:t>TM</w:t>
      </w:r>
      <w:r>
        <w:rPr>
          <w:rFonts w:ascii="Times New Roman;Times;serif" w:hAnsi="Times New Roman;Times;serif"/>
          <w:sz w:val="20"/>
        </w:rPr>
        <w:t xml:space="preserve"> IPA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Squatters® –</w:t>
      </w:r>
      <w:r>
        <w:rPr>
          <w:rFonts w:ascii="Times New Roman;Times;serif" w:hAnsi="Times New Roman;Times;serif"/>
          <w:sz w:val="20"/>
        </w:rPr>
        <w:t xml:space="preserve"> a line of craft beers. We offer the following brands under the Squatters® brand family: Hop Rising® Double IPA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Wild Basin® – </w:t>
      </w:r>
      <w:r>
        <w:rPr>
          <w:rFonts w:ascii="Times New Roman;Times;serif" w:hAnsi="Times New Roman;Times;serif"/>
          <w:sz w:val="20"/>
        </w:rPr>
        <w:t>a line of craft hard seltzers. We offer the following flavors under the Wild Basin® product line: Blackberry, Lime, Passion Orange, Pomegranate Acai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Wasatch® –</w:t>
      </w:r>
      <w:r>
        <w:rPr>
          <w:rFonts w:ascii="Times New Roman;Times;serif" w:hAnsi="Times New Roman;Times;serif"/>
          <w:sz w:val="20"/>
        </w:rPr>
        <w:t xml:space="preserve"> a line of craft beers. We offer a number of brands under the Wasatch® brand family including Apricot Hefeweizen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Perrin –</w:t>
      </w:r>
      <w:r>
        <w:rPr>
          <w:rFonts w:ascii="Times New Roman;Times;serif" w:hAnsi="Times New Roman;Times;serif"/>
          <w:sz w:val="20"/>
        </w:rPr>
        <w:t xml:space="preserve"> a line of craft beers. We offer a number of brands under the Perrin brand family including Black Ale and others.</w:t>
      </w:r>
    </w:p>
    <w:p>
      <w:pPr>
        <w:pStyle w:val="TextBody"/>
        <w:bidi w:val="0"/>
        <w:spacing w:lineRule="auto" w:line="240" w:before="0" w:after="240"/>
        <w:ind w:left="0" w:right="0" w:firstLine="720"/>
        <w:jc w:val="both"/>
        <w:rPr>
          <w:rFonts w:ascii="Times New Roman;Times;serif" w:hAnsi="Times New Roman;Times;serif"/>
          <w:b/>
          <w:sz w:val="20"/>
        </w:rPr>
      </w:pPr>
      <w:r>
        <w:rPr>
          <w:rFonts w:ascii="Times New Roman;Times;serif" w:hAnsi="Times New Roman;Times;serif"/>
          <w:b w:val="false"/>
          <w:i/>
          <w:sz w:val="20"/>
        </w:rPr>
        <w:t>The Beast</w:t>
      </w:r>
      <w:r>
        <w:rPr>
          <w:rFonts w:ascii="Times New Roman;Times;serif" w:hAnsi="Times New Roman;Times;serif"/>
          <w:b w:val="false"/>
          <w:i/>
          <w:sz w:val="15"/>
        </w:rPr>
        <w:t>TM</w:t>
      </w:r>
      <w:r>
        <w:rPr>
          <w:rFonts w:ascii="Times New Roman;Times;serif" w:hAnsi="Times New Roman;Times;serif"/>
          <w:b/>
          <w:sz w:val="20"/>
        </w:rPr>
        <w:t xml:space="preserve"> – </w:t>
      </w:r>
      <w:r>
        <w:rPr>
          <w:rFonts w:ascii="Times New Roman;Times;serif" w:hAnsi="Times New Roman;Times;serif"/>
          <w:b w:val="false"/>
          <w:sz w:val="20"/>
        </w:rPr>
        <w:t>a line of FMBs. We offer the following flavors under The Beast</w:t>
      </w:r>
      <w:r>
        <w:rPr>
          <w:rFonts w:ascii="Times New Roman;Times;serif" w:hAnsi="Times New Roman;Times;serif"/>
          <w:b w:val="false"/>
          <w:sz w:val="15"/>
        </w:rPr>
        <w:t>TM</w:t>
      </w:r>
      <w:r>
        <w:rPr>
          <w:rFonts w:ascii="Times New Roman;Times;serif" w:hAnsi="Times New Roman;Times;serif"/>
          <w:b/>
          <w:sz w:val="20"/>
        </w:rPr>
        <w:t xml:space="preserve"> </w:t>
      </w:r>
      <w:r>
        <w:rPr>
          <w:rFonts w:ascii="Times New Roman;Times;serif" w:hAnsi="Times New Roman;Times;serif"/>
          <w:b w:val="false"/>
          <w:sz w:val="20"/>
        </w:rPr>
        <w:t>brand family: Gnarly Grape</w:t>
      </w:r>
      <w:r>
        <w:rPr>
          <w:rFonts w:ascii="Times New Roman;Times;serif" w:hAnsi="Times New Roman;Times;serif"/>
          <w:b w:val="false"/>
          <w:sz w:val="15"/>
        </w:rPr>
        <w:t>TM</w:t>
      </w:r>
      <w:r>
        <w:rPr>
          <w:rFonts w:ascii="Times New Roman;Times;serif" w:hAnsi="Times New Roman;Times;serif"/>
          <w:b w:val="false"/>
          <w:sz w:val="20"/>
        </w:rPr>
        <w:t>, Killer Sunrise</w:t>
      </w:r>
      <w:r>
        <w:rPr>
          <w:rFonts w:ascii="Times New Roman;Times;serif" w:hAnsi="Times New Roman;Times;serif"/>
          <w:b w:val="false"/>
          <w:sz w:val="15"/>
        </w:rPr>
        <w:t>TM</w:t>
      </w:r>
      <w:r>
        <w:rPr>
          <w:rFonts w:ascii="Times New Roman;Times;serif" w:hAnsi="Times New Roman;Times;serif"/>
          <w:b w:val="false"/>
          <w:sz w:val="20"/>
        </w:rPr>
        <w:t>, Mean Green®, Peach Perfect</w:t>
      </w:r>
      <w:r>
        <w:rPr>
          <w:rFonts w:ascii="Times New Roman;Times;serif" w:hAnsi="Times New Roman;Times;serif"/>
          <w:b w:val="false"/>
          <w:sz w:val="15"/>
        </w:rPr>
        <w:t>TM</w:t>
      </w:r>
      <w:r>
        <w:rPr>
          <w:rFonts w:ascii="Times New Roman;Times;serif" w:hAnsi="Times New Roman;Times;serif"/>
          <w:b w:val="false"/>
          <w:sz w:val="20"/>
        </w:rPr>
        <w:t>, Pink Poison</w:t>
      </w:r>
      <w:r>
        <w:rPr>
          <w:rFonts w:ascii="Times New Roman;Times;serif" w:hAnsi="Times New Roman;Times;serif"/>
          <w:b w:val="false"/>
          <w:sz w:val="15"/>
        </w:rPr>
        <w:t>TM</w:t>
      </w:r>
      <w:r>
        <w:rPr>
          <w:rFonts w:ascii="Times New Roman;Times;serif" w:hAnsi="Times New Roman;Times;serif"/>
          <w:b w:val="false"/>
          <w:sz w:val="20"/>
        </w:rPr>
        <w:t>, Scary Berries® and White Haze</w:t>
      </w:r>
      <w:r>
        <w:rPr>
          <w:rFonts w:ascii="Times New Roman;Times;serif" w:hAnsi="Times New Roman;Times;serif"/>
          <w:b w:val="false"/>
          <w:sz w:val="15"/>
        </w:rPr>
        <w:t>TM</w:t>
      </w:r>
      <w:r>
        <w:rPr>
          <w:rFonts w:ascii="Times New Roman;Times;serif" w:hAnsi="Times New Roman;Times;serif"/>
          <w:b w:val="false"/>
          <w:sz w:val="20"/>
        </w:rPr>
        <w:t>.</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val="false"/>
          <w:i/>
          <w:sz w:val="20"/>
        </w:rPr>
        <w:t xml:space="preserve">Beast® Tea – </w:t>
      </w:r>
      <w:r>
        <w:rPr>
          <w:rFonts w:ascii="Times New Roman;Times;serif" w:hAnsi="Times New Roman;Times;serif"/>
          <w:b w:val="false"/>
          <w:sz w:val="20"/>
        </w:rPr>
        <w:t>a line of FMBs. We offer the following flavors under the Beast® Tea brand family: Green Tea, Original, Peach and Tea + Lemonade.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Products – Other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AFF sells a limited number of products to independent third-party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evaluate and, where considered appropriate, introduce additional products, flavors and types of beverages to complement our existing product lines. We may also evaluate, and as appropriate, introduce additional types of consumer products we consider to be complementary to our existing products and/or to which our brand names are able to add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sells and/or enters into license agreements that generate revenues associated with third-party sales of non-beverage products bearing the Company’s trademarks including, but not limited to, clothing, backpacks, hats, t-shirts, jackets, helmets and automotive wheels.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Products – Packaging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products are packaged in a variety of different package types and sizes including, but not limited to, aluminum cans, aluminum cap cans, sleek aluminum cans, aluminum cans with re-sealable ends, kegs as well as to a limited extent, polyethylene terephthalate (PET) plastic bottles.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Manufacture and Distribution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AFF develops and manufactures the primary flavors for our Monster Energy® Drinks segment at its facilities in California and Athy, Ireland.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2025, we continued to outsource the manufacturing process for the majority of our finished goods energy drink products to third-party bottlers and contract packers. In addition, we manufacture Bang Energy® drinks and certain of our other energy drink products at our manufacturing facilities in Phoenix, AZ and Norwalk, CA.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purchase flavor ingredients, flavors, concentrates, sweeteners, juices, supplement ingredients, cans, lids, bottles, caps, labels, trays, boxes and other ingredients for our non-alcohol products from ingredient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bottler/packer may also add carbonation to the products as part of the production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our Strategic Brands segment, we primarily purchase concentrates and/or beverage bases from ingredient suppliers including TCCC, which are then sold to certain of our various third-party bottlers/distributors. The third-party bottlers/distributors are responsible for the manufacture and packaging of the finished products, including the procurement of all other required ingredients and packaging materials.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certain limited products in the Strategic Brands segment, we may purchase flavors, concentrates, sweeteners, juices, supplement ingredients, cans, lids, bottles, caps, labels, trays, boxes and other ingredients for our Strategic Brand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bottler/co-packer may also add carbonation to the products as part of the production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Alcohol Brands segment, we purchase cans, cartons, hops, malt, yeast, sugar, ethanol and other additives and flavorings and packaging materials from ingredient and raw material suppliers to be used in the brewing, fermentation, and packaging of alcohol beers, FMBs and hard seltzers. We are granted a right-of-use for any kegs used in production from a third-party supplier at a contracted rate per fill. Most of our alcohol finished goods are manufactured at our owned or leased manufacturing facilities or at third-party co-packers.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Co-Packing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majority of our non-alcohol and certain alcohol finished goods are manufactured by various third-party bottlers and co-packers situated throughout the United States and abroad, under separate arrangements with each party. Our co-packaging arrangements vary in terms and, from time to time, we may enter into manufacturing contracts with agreed upon minimum quantities to ensure continuity of supply of certain products in certain territories.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some instances, subject to agreement, certain equipment may be purchased exclusively by us and/or jointly with our co-packers and/or bottlers and installed at their facilities to enable them to produce certain of our products. In certain cases, such equipment remains our property and is required to be returned to us upon termination of the packing arrangements with such co-packers and/or bottlers, unless we are reimbursed by the co-packer and/or bottler at the then book value or via a per-case credit over a pre-determined number of cases that are produced at the facilities concerned.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Monster Energy® Drinks segment, we are generally responsible for arranging for the purchase and delivery to our third-party bottlers and co-packers of the containers in which our beverage products are packaged.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products are packaged in a number of locations, both domestically and internationally. As distribution volumes increase in both our domestic and international markets, we will continue to source additional packing arrangements.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including, but not limited to, aluminum cans, aluminum cap cans, sleek aluminum cans, aluminum cans with re-sealable ends, to a limited extent PET plastic bottles and caps, labels, flavor ingredients, flavors, juice concentrates, coffee, tea, supplement ingredients, ethanol, other ingredients and certain sweeteners, and/or procure adequate packing arrangements and/or obtain adequate or timely shipment of our products, we might not be able to satisfy demand on a short-term basis. (See “Part I, Item 1A –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certain of our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actively seek alternative and/or additional co-packing facilities globally with adequate capacity and capability for the production of our various products to minimize transportation costs and transportation-related damages as well as to mitigate the risk of a disruption in production and/or importation.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2025, we continued to expand distribution of our products in both our domestic and international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levels vary by product and geographic location. Net sales outside the United States were $3.44 billion, $2.96 billion and $2.71 billion for the years ended December 31, 2025, 2024 and 2023,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Monster Energy</w:t>
      </w:r>
      <w:r>
        <w:rPr>
          <w:rFonts w:ascii="Times New Roman;Times;serif" w:hAnsi="Times New Roman;Times;serif"/>
          <w:sz w:val="20"/>
        </w:rPr>
        <w:t xml:space="preserve">® </w:t>
      </w:r>
      <w:r>
        <w:rPr>
          <w:rFonts w:ascii="Times New Roman;Times;serif" w:hAnsi="Times New Roman;Times;serif"/>
          <w:i/>
          <w:sz w:val="20"/>
        </w:rPr>
        <w:t>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agreements with various bottlers/distributors providing for the distribution of certain of our energy drinks during initial terms of up to twenty years, which may be extended thereafter, subject to certain terms and conditions, which may vary depending on the form of the agreement. Such agreements remain in effect for their then-current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distribution agreements at any time without cause upon payment of a termination fee, including a limited number of distribution agreements with TCCC network bottlers that were entered into prior to 2015.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material distribution arrangements for our Monster Energy® brand energy drinks, as amended from time to time, are described below:</w:t>
      </w:r>
    </w:p>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(the “TCCC North American Bottlers”) will distribute and sell, or continue to distribute and sell, our Monster Energy® brand energy drinks.</w:t>
            </w:r>
          </w:p>
        </w:tc>
      </w:tr>
    </w:tbl>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International Distribution Coordination Agreement with TCCC, pursuant to which we have designated, and in the future may designate, countries, or territories within countries, in which we wish to appoint TCCC network bottlers to distribute and sell our Monster Energy® brand energy drinks, subject to TCCC’s approval. In February 2025, the Amended and Restated International Distribution Coordination Agreement with TCCC was renewed for an additional five-year term.</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entered into distribution agreements for certain of our Monster Energy® products with various TCCC network bottlers, both in the United States and internationally.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All distribution territories in the United States, and substantially all distribution territories internationally have been transitioned to TCCC network bottlers/distributors.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Strategic Brands 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distribution coordination agreements with TCCC pursuant to which we have designated, and in the future may designate, subject to TCCC’s approval, territories in which TCCC network bottlers will distribute our Strategic Brands energy drinks. We have entered into agreements with various TCCC network bottlers, both in the United States and internationally, providing for the distribution and sale of our Strategic Brands energy drinks.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Alcohol Brands 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Monster Brewing Company has entered into agreements with various beer distributors, both in the United States and, to a limited extent, internationally, providing for the distribution of our alcohol products. Such agreements have varying terms and durations. Monster Brewing Company has also entered into distribution agreements with licensed beer distributors for the exclusive distribution of certain beverages in agreed upon territories.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Raw Materials and Suppliers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raw materials used in the manufacturing of our products are aluminum cans, aluminum cap cans, sleek aluminum cans, aluminum cans with re-sealable ends, to a limited extent PET plastic bottles and caps, kegs, cartons as well as flavors, juice concentrates, glucose, sugar, sucralose, milk, cream, coffee, tea, hops, malt, yeast, ethanol, supplement ingredients and other packaging materials, the costs of which are subject to fluctuations.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AFF is our primary flavor supplier. We also purchase flavors from other suppliers as well as juices, supplement ingredients, glucose, sugar, sucralose, other sweeteners and other ingredients from independent suppliers located in the United States and abroad.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Strategic Brands energy drinks, we purchase flavors, concentrates and/or beverage bases from flavor suppliers including TCCC in the United States and abroad, and may purchase certain other ingredients from independent suppliers located in the United States and abroad.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certain flavors purchased from third-party suppliers and used in certain of our Monster Energy® brand energy drinks, Strategic Brands energy drinks and/or our ready-to-drink alcohol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purchase agreements with key packaging and ingredient suppliers to maintain an adequate supply of such packaging and ingredients for the next one to three years based on current anticipated volume needs. Changes to those volume needs could result in shortages or excess supply of these contracted varieties. Many outside factors such as crop yield, weather, agricultural legislation, and the geopolitical climate could impact supply and price; however, we do source certain ingredients from different regions and suppliers to mitigate some of this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identified alternative suppliers for many of the ingredients contained in many of our beverages. However, industry-wide shortages of certain ingredients, including flavors, fruits and fruit juices, coffee, tea, dairy-based products, carbon dioxide, supplement ingredients and sweeteners have been, and could from time to time in the future be, encountered, which could interfere with and/or delay production of certain of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continually endeavor to develop back-up sources of supply for certain of our flavor ingredients, flavors and concentrates purchased from third-party suppliers, as well as to negotiate arrangements with our existing suppliers, which would enable us to obtain access to certain of such concentrates or flavor formulas under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Important factors affecting our ability to compete successfully include brand and product image, taste and flavor of products, trade and consumer promotions, rapid and effective development of new and unique cutting-edge products, ingredients, production processes, attractive and different packaging, brand exposure and marketing as well as pricing. We depend on our bottlers/distributors to prioritize our products, provide efficient, stable and reliable distribution and secure adequate shelf space in retail outlets. Competitive pressures in the “alternative,” energy, coffee, “functional,” “craft beer” and “beyond beer” (hard seltzers, FMBs, canned cocktails and other ready-to-drink beverages) beverage categories could cause our products to maintain or to lose market share, or we could experience price erosion, which could materially impact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experienced and continue to experience competition from new entrants in the energy drink, energy shot, beer and beyond beer categories. For instance, a number of companies which market and distribute iced teas, coffees, juice cocktails, enhanced waters and sports drinks in various larger volume packages in glass and plastic bottles (including BODYARMOR, Vitamin Water, CORE, Arizona, Ocean Spray, Powerade, Prime and Starbucks), have added supplement ingredients to their products with a view to marketing their products as “functional” or energy beverages or as having “functional” benefits. We believe that many of those products contain lower levels of supplement ingredients, principally deliver refreshment and are positioned differently from our energy or “functional” drinks.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subject to increasing levels of regulatory issues, including in relation to the registration and/or taxation of our products in certain international markets, which may put us at a competitive disadvantage. (See “Government Regulation” below for additional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compete not only for consumer preference, but also for maximum marketing, sales efforts and attention from our multi-brand licensed bottlers and distributors, many of which have a principal affiliation with competing companies and brands. Our products compete with all liquid refreshments, including TCCC, PepsiCo, Inc. (“PepsiCo”), Keurig Dr. Pepper Inc. (“KDP”) and Red Bull GmbH. From time to time, competitors have entered into distribution or acquisition agreements with certain other competitors. For example, KDP, which distributes C4 and Bloom, entered into a long-term sales and distribution agreement with Black Rifle Coffee Company as well as a definitive agreement to acquire GHOST Lifestyle LLC and GHOST Beverages LLC. In addition, Celsius Holdings, Inc. (“CELSIUS”) acquired Alani Nutrition LLC (“Alani Nu”). We also compete with companies that are smaller or primarily local in operation. Our products also compete with private-label brands such as those carried by grocery store chains, convenience store chains and club stores.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Domestically, our energy drinks compete directly with Red Bull, CELSIUS, Alani Nu, C4, Ghost, 5-Hour Energy, Rockstar, Bloom, V8 + Energy, Venom, and many other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Internationally, our energy drinks compete with Red Bull (including non-carbonated Red Bull in China and Asia), Rockstar, V-Energy, Lucozade, and numerous local and private-label brands that usually differ from country to country, such as HELL, Amper, Shock, Tiger, Fearless, Boost, TNT, Shark, Dragon, Score, Sting, Hot 6, Suntory ZONE, Battery, Bullit, Flash Up, Black, Non-Stop, Bomba, Semtex, Vive 100, Dark Dog, Speed, Guarana, M-150, Lipovitan, Bacchus, Volt, Bolt, Mr. Big, Boom, Raptor, Amp, Fusion, Hi-Tiger, Eastroc Super Drink, Carabao, Power Horse, XL, Crazy Tiger, Effect, Missile, Nocco, Adrenaline Rush, Real Gold, War Horse, BLU, CELSIUS, Eneryeti, GURU Organic Energy, Prime Energy, Switch, XOT, H2O Power, Baly, Gorilla, Supa Komando, Code Red, Tornado and a host of other international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Reign Total Body Fuel® and Bang Energy® drinks compete with C4, GHOST Energy, CELSIUS ESSENTIALS, Bucked Up Energy, G Fuel and Redcon1 in the performance energy category.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Reign Storm® Total Wellness Energy product line competes directly with CELSIUS, Alani Nu, Bloom, Starbucks Iced Energy, UPTIME Energy, PHORM Energy, ZOA Energy, Bum Energy, Gorilla Mind, and C4 Smart Energy.</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Our Java Monster® and Monster® Killer Brew</w:t>
      </w:r>
      <w:r>
        <w:rPr>
          <w:rFonts w:ascii="Times New Roman;Times;serif" w:hAnsi="Times New Roman;Times;serif"/>
          <w:sz w:val="15"/>
        </w:rPr>
        <w:t xml:space="preserve">TM </w:t>
      </w:r>
      <w:r>
        <w:rPr>
          <w:rFonts w:ascii="Times New Roman;Times;serif" w:hAnsi="Times New Roman;Times;serif"/>
          <w:sz w:val="20"/>
        </w:rPr>
        <w:t xml:space="preserve">product lines compete directly with Starbucks Frappuccino, Starbucks Doubleshot, Starbucks Tripleshot and other Starbucks coffee drinks, Black Rifle Coffee, Dunkin Donuts, La Colombe, Bolthouse Farms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Café, International Delight, Slate, Victor Allen’s Coffee, Kitu Super Coffee, Stumptown Coffee Roasters, Stok, Nescafé and other private label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alcohol products compete within the FMB, hard seltzer, and craft beer categories of the alcohol beverage industry. Competition includes microbreweries, regional brewers, national craft brewers, and large international and domestic producers of beers, FMBs, and hard seltzers such as Molson Coors, Constellation Brands, AB InBev, The Boston Beer Company and The Mark Anthony Group among many others.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sales and marketing strategy for all our non-alcohol beverages is to focus our efforts on developing brand awareness through image-enhancing programs and product sampling. We support our non-alcohol brands with prize promotions, price promotions, competitions, endorsements from selected public and sports figures, sports personality endorsements, influencer endorsements, collaborations, sampling and sponsorship of selected athletes, teams, series, bands, esports, causes and events. We utilize “push-pull” methods to enhance shelf and display space exposure in sales outlets (including racks, coolers and barrel coolers), advertising, in-store promotions and in-store placement of point-of-sale materials to encourage demand from consumers for our products. In-store posters, outdoor posters, social media, concerts, print, radio and television advertising (directly and through our sponsorships and endorsements) and coupons may also be used to promote our brands. We use our branded vehicles and other promotional vehicles at events where we offer samples of our products to consumers. These strategies and activities may apply to our alcohol products where permitted by applicable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manage taprooms and brewpubs adjacent to some of our manufacturing locations where we sell our alcohol products, merchandise, and food to consumers in a branded environment.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and refreshed from time to time to maximize their visibility and identification, wherever they may be placed in stores, which designs we continue to reevaluate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 appropriate, we partner with our bottlers/distributors and/or retailers to assist our marketing efforts.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increased expenditures for our sales and marketing programs by approximately 6.3% in the year ended December 31, 2025 compared to the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are primarily full service beverage bottlers/distributors, retail grocery and specialty chains, wholesalers, club stores, mass merchandisers, convenience and gas chains, drug stores, foodservice customers, value stores, e-commerce retailers and the military. Our alcohol customers are primarily beer distributors who in turn sell to retailers within the alcohol distribution system. Percentages of our gross billings to various customer types for the years ended December 31, 2025, 2024 and 2023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tbl>
      <w:tblPr>
        <w:tblW w:w="8302" w:type="dxa"/>
        <w:jc w:val="left"/>
        <w:tblInd w:w="0" w:type="dxa"/>
        <w:tblLayout w:type="fixed"/>
        <w:tblCellMar>
          <w:top w:w="0" w:type="dxa"/>
          <w:left w:w="0" w:type="dxa"/>
          <w:bottom w:w="0" w:type="dxa"/>
          <w:right w:w="0" w:type="dxa"/>
        </w:tblCellMar>
      </w:tblPr>
      <w:tblGrid>
        <w:gridCol w:w="5641"/>
        <w:gridCol w:w="346"/>
        <w:gridCol w:w="526"/>
        <w:gridCol w:w="346"/>
        <w:gridCol w:w="526"/>
        <w:gridCol w:w="346"/>
        <w:gridCol w:w="571"/>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582035" cy="175260"/>
                      <wp:effectExtent l="0" t="0" r="0" b="0"/>
                      <wp:wrapNone/>
                      <wp:docPr id="2" name="Frame2"/>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34010" cy="175260"/>
                      <wp:effectExtent l="0" t="0" r="0" b="0"/>
                      <wp:wrapNone/>
                      <wp:docPr id="4" name="Frame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34010" cy="175260"/>
                      <wp:effectExtent l="0" t="0" r="0" b="0"/>
                      <wp:wrapNone/>
                      <wp:docPr id="6" name="Frame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62585" cy="175260"/>
                      <wp:effectExtent l="0" t="0" r="0" b="0"/>
                      <wp:wrapNone/>
                      <wp:docPr id="8" name="Frame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b w:val="false"/>
          <w:sz w:val="20"/>
        </w:rPr>
      </w:pPr>
      <w:r>
        <w:rPr>
          <w:rFonts w:ascii="Times New Roman;Times;serif" w:hAnsi="Times New Roman;Times;serif"/>
          <w:b w:val="false"/>
          <w:sz w:val="20"/>
        </w:rPr>
        <w:t xml:space="preserve">Our non-alcohol customers include Coca-Cola Canada Bottling Limited, Coca-Cola Consolidated, Inc., Coca-Cola Bottling Company United, Inc., Reyes Holdings, LLC, Coca-Cola Southwest Beverages LLC, The Coca-Cola Bottling Company of Northern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 </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Our alcohol customers include Reyes Beverage Group, Ben E. Keith Company, J.J. Taylor Distributing and Admiral Beverage Corporation.</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A decision by any large customer to decrease amounts purchased from us or to cease carrying our products could have a material adverse effect on our financial condition and results of operations.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 xml:space="preserve">Coca-Cola Europacific Partners accounted for approximately 15%, 14% and 13% of our net sales for the years ended December 31, 2025, 2024 and 2023, respectively. </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Coca-Cola Consolidated, Inc. accounted for approximately 10% of our net sales for each of the years ended December 31, 2025, 2024 and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Sales of ready-to-drink beverages are somewhat seasonal, with the second and third calendar quarters accounting for the highest sales volumes. The volume of sales in the beverage industry is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presently have more than 21,600 registered trademarks and pending applications in various countries worldwide, and we apply for new trademarks on an ongoing basis. We regard our trademarks, service marks, copyrights, domain names, trade dress and other intellectual property as very important to our business. We consider Monster®, Monster Energy®, </w:t>
      </w:r>
      <w:r>
        <w:rPr>
          <w:rFonts w:ascii="Times New Roman;Times;serif" w:hAnsi="Times New Roman;Times;serif"/>
          <w:sz w:val="20"/>
        </w:rPr>
        <w:drawing>
          <wp:inline distT="0" distB="0" distL="0" distR="0">
            <wp:extent cx="116205" cy="15430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16205" cy="154305"/>
                    </a:xfrm>
                    <a:prstGeom prst="rect">
                      <a:avLst/>
                    </a:prstGeom>
                  </pic:spPr>
                </pic:pic>
              </a:graphicData>
            </a:graphic>
          </wp:inline>
        </w:drawing>
      </w:r>
      <w:r>
        <w:rPr>
          <w:rFonts w:ascii="Times New Roman;Times;serif" w:hAnsi="Times New Roman;Times;serif"/>
          <w:sz w:val="20"/>
        </w:rPr>
        <w:t>®, Monster Energy Ultra®, Unleash the Beast!®, Rehab Monster®, Java Monster®, Punch Monster®, Juice Monster®, Monster Energy® Nitro, Reign Total Body Fuel®, Reign Storm®, BU®, Nalu®, NOS®, Full Throttle®, Burn®, Mother®, Ultra Energy®, Play® and Power Play</w:t>
      </w:r>
      <w:r>
        <w:rPr>
          <w:rFonts w:ascii="Tms Rmn" w:hAnsi="Tms Rmn"/>
          <w:sz w:val="20"/>
        </w:rPr>
        <w:t>®</w:t>
      </w:r>
      <w:r>
        <w:rPr>
          <w:rFonts w:ascii="Times New Roman;Times;serif" w:hAnsi="Times New Roman;Times;serif"/>
          <w:sz w:val="20"/>
        </w:rPr>
        <w:t xml:space="preserve"> (stylized), Relentless®, Predator®, Fury®, Live+®, BPM®, Samurai®, Bang Energy®, Oskar Blues Brewery®, Cigar City®, Deep Ellum Brewing Co®, Perrin Brewing Company®, Squatters®, Wasatch®, Jai Alai®, Dale’s Pale Ale®, Dallas Blonde®, Wild Basin®, Dale’s®, Hop Rising®, The Beast</w:t>
      </w:r>
      <w:r>
        <w:rPr>
          <w:rFonts w:ascii="Times New Roman;Times;serif" w:hAnsi="Times New Roman;Times;serif"/>
          <w:sz w:val="15"/>
        </w:rPr>
        <w:t>TM</w:t>
      </w:r>
      <w:r>
        <w:rPr>
          <w:rFonts w:ascii="Times New Roman;Times;serif" w:hAnsi="Times New Roman;Times;serif"/>
          <w:sz w:val="20"/>
        </w:rPr>
        <w:t>, The Beast Unleashed®, Beast® Tea, Blind Lemon® and Blinder Lemon</w:t>
      </w:r>
      <w:r>
        <w:rPr>
          <w:rFonts w:ascii="Times New Roman;Times;serif" w:hAnsi="Times New Roman;Times;serif"/>
          <w:sz w:val="15"/>
        </w:rPr>
        <w:t xml:space="preserve">TM </w:t>
      </w:r>
      <w:r>
        <w:rPr>
          <w:rFonts w:ascii="Times New Roman;Times;serif" w:hAnsi="Times New Roman;Times;serif"/>
          <w:sz w:val="20"/>
        </w:rPr>
        <w:t>to be our core trademarks. We also own the intellectual property of our most important flavors for certain of our Monster Energy® Brand energy drinks in perpetuity.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registered Monster®, Monster Energy®, </w:t>
      </w:r>
      <w:r>
        <w:rPr>
          <w:rFonts w:ascii="Times New Roman;Times;serif" w:hAnsi="Times New Roman;Times;serif"/>
          <w:sz w:val="20"/>
        </w:rPr>
        <w:drawing>
          <wp:inline distT="0" distB="0" distL="0" distR="0">
            <wp:extent cx="116205" cy="15430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16205" cy="154305"/>
                    </a:xfrm>
                    <a:prstGeom prst="rect">
                      <a:avLst/>
                    </a:prstGeom>
                  </pic:spPr>
                </pic:pic>
              </a:graphicData>
            </a:graphic>
          </wp:inline>
        </w:drawing>
      </w:r>
      <w:r>
        <w:rPr>
          <w:rFonts w:ascii="Times New Roman;Times;serif" w:hAnsi="Times New Roman;Times;serif"/>
          <w:sz w:val="20"/>
        </w:rPr>
        <w:t>®, Monster Energy Ultra®, Unleash the Beast!®, Rehab Monster®, Java Monster®, Punch Monster®, Juice Monster®, BU®, Nalu®, NOS®, Full Throttle®, Burn®, Mother®, Play®, Power Play® (stylized), Relentless®, Ultra Energy®, BPM®, Predator®, Fury®, Live+®, Samurai®, Reign®, Reign Total Body Fuel®, Reign Storm®, Bang®, Bang Energy®, The Beast®, The Beast Unleashed®, Beast® Tea, Blind Lemon® and Blinder Lemon® outside of the United States in certain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website operators and third parties. In addition to initiating civil actions against these individuals and entities, we work with law enforcement officials where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enforce and protect our trademark rights against third parties infringing or disparaging our trademarks by opposing registration of conflicting trademarks and initiating litigation as necessary.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production, distribution and sale in the United States of many of our products are subject to various U.S. regulations, including but not limited to: the Federal Food, Drug and Cosmetic Act (“FD&amp;C Act”); the Occupational Safety and Health Act and various state laws and regulations governing ingredient safety and labeling and workplace health and safety; various environmental statutes; the Safe Drinking Water and Toxic Enforcement Act of 1986 (“California Proposition 65”); various state and federal laws and regulations pertaining to the sale and distribution of alcohol beverages; data privacy, cybersecurity and personal data protection laws and regulations, including the California Consumer Privacy Act of 2018 (as modified by the California Privacy Rights Act) and a number of other federal, state and local statutes and regulations applicable to the production, transportation, sale, safety, advertising, marketing, labeling, packaging, and ingredients of such products. Outside the United States, the production, distribution and sale of many of our products are also subject to numerous statutes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a failure to comply with existing regulations, related to energy drinks, could adversely affect our business, financial condition and results of operations,” “Regulations concerning our alcohol beverages may adversely affect our business, financial condition or results of operations and inhibit the sales of such products,” and “Significant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 below for additional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legislation and regulation may be introduced in the United States and other countries at the federal, state, provincial, municipal and supranational level in respect of each of the subject areas discussed below. Public health officials and health advocates are increasingly focused on the public health consequences associated with obesity and alcohol consumption, especially as they may affect children, and are seeking legislative and regulatory change to reduce the consumption of sweetened, ultra-processed, and alcohol beverages. There also has been an increased focus on caffeine content in beverages, and we are seeing some attention to other ingredients in energy drinks. More generally, officials in the current U.S. presidential administration (the “U.S. Administration”) have articulated significant concerns about “highly processed” or “ultra-processed” foods (“UPF”), including beverages sweetened with sugar or non-nutritive sweeteners, and particular ingredients, such as synthetic color additives, as well as the “generally recognized as safe” (“GRAS”) process for getting food ingredients to the market. The U.S. Administration released the latest Dietary Guidelines for Americans in January 2026, which urge the consumption of whole foods and the avoidance of highly processed foods, and recommended limiting beverages such as soda, fruit drinks, and energy drinks. Additionally, some states have removed such products from the Supplemental Nutrition Assistance Program (“SNAP”), formerly food stamps, and other states may take similar steps. In some territories, such as the European Union, food additives including sweeteners such as sucralose are subject to a safety re-evaluation which could potentially lead to changes in the specification for such additives or removal from the approved list of additives. The U.S. Food and Drug Administration (the “FDA”) has also initiated a process for post-market review of food ingredients and plans to propose regulatory reforms to the GRAS process. Bills that would change the GRAS process have also been introduced in the U.S. Congress and some state legislatures. If implemented, changes to the GRAS process could affect the way Monster assesses the GRAS status of ingredients we use in our products.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Product Formulation, Labeling, Packaging, and Advertising.</w:t>
      </w:r>
      <w:r>
        <w:rPr>
          <w:rFonts w:ascii="Times New Roman;Times;serif" w:hAnsi="Times New Roman;Times;serif"/>
          <w:sz w:val="20"/>
        </w:rPr>
        <w:t xml:space="preserve"> Globally, we are subject to a number of regulations applicable to the formulation, labeling, packaging, and advertising (including promotional campaigns) of our products. In California, we are subject to California Proposition 65, a law that requires that a specified warning be provided before exposing California consumers to any product that contains in excess of threshold amounts of a substance listed by California as having been found to cause cancer or reproductive toxicity. California Proposition 65 does not require a warning if the manufacturer of a product can demonstrate that the use of the product in question exposes consumers to an average daily quantity of a listed substance that is below that threshold amount, which is determined either by scientific criteria set forth in applicable regulations or via a “safe harbor” threshold that may be established by the state, or the substance is naturally occurring, or is subject to another applicable exception. Some states have passed laws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regulations that would prohibit certain food ingredients or require notices or warnings on food labels about the presence of certain ingredients. For example, West Virginia enacted legislation in 2025 that includes a ban on seven color additives and two preservatives products marketed to the general public; however, such portion of the law was challenged, and the court has granted a preliminary injunction, staying the ban pending the outcome of the legal challenge. Texas also enacted legislation in 2025 to require warnings for products containing any of approximately 44 ingredients enumerated in the law; a legal challenge against that law has also been filed. If we are required to remove certain ingredients from our products, add notices or warning labels to any of our products, or place warnings in certain locations where our products are sold, it will be difficult to predict whether, or to what extent, such actions would have an adverse impact on sales of our products in those locations or elsewhere. In addition, there has been increasing regulatory activity globally regarding constituents in packaging materials, including perfluoroalkyl and polyfluoroalkyl substances (“PFAS”) and bisphenol A (“BPA”). Regardless of whether perceived health consequences of these constituents are justified, such regulatory activity could result in additional government regulations that impact the packaging of our beverages.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FDA has regulations with respect to serving size information and nutrition labeling on food and beverage products, including a requirement to disclose the amount of added sugars in such products. The FDA also published a proposed rule in 2025 that, if finalized, would require certain front-of-pack nutrition labeling for most packaged goods, including with respect to the level of added sugars in a product. Further, the U.S. Department of Agriculture (the “USDA”) promulgated regulations requiring that, as of January 1, 2022, the labels of certain bioengineered foods include a disclosure that the food is bioengineered. The Ninth Circuit recently ruled that certain aspects of the USDA’s regulations failed to implement the statutory mandate, and the issue will be remanded to the USDA to revise the rule in a manner that may require bioengineering disclosures on a broader range of foods and in a more explicit manner. These regulations may impact, reduce and/or otherwise affect the purchase and consumption of our products by consumers.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countries, such as Argentina, Brazil, China, Chile, Colombia, the Czech Republic, Ecuador, Honduras, Hungary, Jordan, Poland, the member states of the Gulf Cooperation Council, the member states of the Caribbean Community and Common Market (CARICOM), Mexico, the Central American Community, the People’s Republic of China, Paraguay, Peru, Uruguay, South Africa, and the member states of the Southern Common Market (MERCOSUR) are also considering, or have enacted, new labeling requirements, which may require us to amend our labels and warning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 generally, some markets have specific energy drink standards that do not always allow for inclusion of certain ingredients, such as L-carnitine and ginseng, or that otherwise restrict the levels of certain ingredients in our products. In 2023, Peru challenged the use of L-carnitine in energy drinks. Other markets may also restrict or prohibit the use of ginseng and certain other botanicals in food. We may incur costs to address such country-specific requirements or face restrictions on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Age and Other Restrictions on Energy Drink Products.</w:t>
      </w:r>
      <w:r>
        <w:rPr>
          <w:rFonts w:ascii="Times New Roman;Times;serif" w:hAnsi="Times New Roman;Times;serif"/>
          <w:sz w:val="20"/>
        </w:rPr>
        <w:t xml:space="preserve"> Proposals to limit or restrict the sale and/or advertising of energy drinks to minors and/or persons below a specified age, and/or restrict the venues in which energy drinks can be sold, and/or to restrict the use of the Supplemental Nutrition Assistance Program (formerly food stamps) to purchase energy drinks have been raised and/or enacted in certain U.S. states, counties, municipalities and/or in certain foreign countries. For example, the City of Lancaster, CA, passed an ordinance on January 14, 2025, making it an infraction to sell or otherwise distribute an energy drink to a person under 18 years of age. Bills seeking to impose an age restriction on the sale of energy drinks have also been introduced in the Connecticut, Massachusetts, Puerto Rico, and South Carolina legislatures. Outside of the United States, for example, Honduras, Latvia, Lithuania, Poland, Romania, Hungary, Turkey, Armenia, Bahrain, and Kuwait prohibit the sale of energy drinks to persons under the age of 18; Norway prohibits the sale of energy drinks to persons under the age of 16; Kazakhstan prohibits the sale of energy drinks to persons under the age of 21; Canada prohibits the promotion of energy drinks to children 12 years and under; Honduras, Latvia, Romania, and Scotland prohibit the sale of energy drinks in educational establishments; Kuwait permits the sale of energy drinks only in designated areas of cooperative societies and parallel markets and prohibits all commercial advertising and sponsorships for energy drinks; and Honduras and Turkey prohibit the sale or advertising of energy drinks at sports facilities, school cafeterias and hospitals. Other Latin American countries such as Argentina, Brazil, Chile, Colombia, Dominican Republic, Mexico, and Uruguay have been considering age and other sales and advertising restrictions on energy drinks, as are other countries such as Bulgaria, the Czech Republic, Ireland, Kosovo, Kyrgyzstan, Slovakia, Spanish regions, Ukraine, and parts of the United Kingdom (including, most recently, for England). Similar rules would not apply to coffee products that contain similar or higher levels of caffeine.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Excise Taxes and Tariffs on Energy Drinks.</w:t>
      </w:r>
      <w:r>
        <w:rPr>
          <w:rFonts w:ascii="Times New Roman;Times;serif" w:hAnsi="Times New Roman;Times;serif"/>
          <w:sz w:val="20"/>
        </w:rPr>
        <w:t xml:space="preserve"> Legislation that would impose an excise tax on sweetened beverages has been proposed in the U.S. Congress, in some state legislatures and by some local governments, with excise taxes generally ranging between $0.01 and $0.02 per ounce of sweetened beverage. Berkeley, California became the first jurisdiction to pass such a measure, and a general tax of $0.01 per ounce on certain sweetened drinks, including energy drinks, became effective on January 1, 2015. Other U.S. jurisdictions (including Albany, Oakland and San Francisco, California; Boulder, Colorado; Philadelphia, Pennsylvania; Seattle,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Washington; and Washington, DC) have passed similar measures, some of which have been challenged in litigation.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such as France, the United Kingdom, Ireland, South Africa, Mexico, Poland and Colombia. Slovakia established a tax on sweetened soft drinks, specifically targeting beverages containing caffeine from any source in excess of 150mg/l. Brazil recently approved a tax reform that includes the creation of a Selective Tax (IS) which may potentially impose additional taxes on energy drinks. Other countries are considering similar measures. In addition, legislation has been proposed in certain jurisdictions that would specifically impose excise taxes on energy drinks. For example, Kuwait is considering a proposal that would impose an excise tax on energy drinks. Such targeted legislation has been passed in other countries. For instance, on January 1, 2020, a reform to a Mexican excise tax (Special Tax on Production and Services (“IEPS”)) went into effect that expanded the definition of an “energy drink” subject to this tax to include products with any amount of caffeine (the prior version of the tax required a threshold of 20mg of caffeine per 100 millimeters for the tax to be applicable) and “taurine or glucuronolactone or thiamine and/or any other substance that produces similar stimulating effects.” In 2025, Mexico reformed the IEPS law to tax flavored drinks containing any amount of sugar and/or sweetener. Latvia announced the introduction of an excise tax rate for energy drinks in December 2025, which is due to take effect on January 1, 2028. Hungary has an excise tax in place to which our products are subject. Bahrain, Saudi Arabia and the United Arab Emirates began applying a selective tax of 100% on energy drinks in 2017, Qatar and Oman began applying the tax in 2019, and there are indications that a similar measure may be enacted in Kuwait. Saudi Arabia and the United Arab Emirates have imposed sugar-sweetened beverage taxes that are lower than the 100% rate imposed on energy drinks. Both jurisdictions exclude energy drinks from this more favorable rate. Certain other jurisdictions are also considering UPF taxes that may ultimately impact the sales and/or formulation of certain of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Separately, geopolitical tensions and related trade disputes may affect our ability to operate or sell our products in certain jurisdictions. For example, in recent months, the United States has proposed or implemented a range of new tariffs and trade measures affecting U.S. imports from across the world, including global reciprocal tariffs, as well as specific tariffs on imports from China, Canada, Mexico, and elsewhere. The nature and scope of evolving U.S. tariff measures, some of which have been challenged in litigation, are difficult to predict. In response to such measures, U.S. trading partners have suggested they may impose, or have imposed, retaliatory tariffs on U.S. exports, and/or other trade or commercial restrictions on U.S. companies. The threat, implementation, or modification of new U.S. trade restrictions, as well as any retaliatory measures adopted by affected U.S. trading partners, could prove disruptive to the international market in which we operate and may lead to increased costs of raw materials and finished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Limits on Caffeine Content.</w:t>
      </w:r>
      <w:r>
        <w:rPr>
          <w:rFonts w:ascii="Times New Roman;Times;serif" w:hAnsi="Times New Roman;Times;serif"/>
          <w:sz w:val="20"/>
        </w:rPr>
        <w:t xml:space="preserve"> Legislation has been proposed to limit the amount of caffeine that may be contained in beverages, including energy drinks. Some jurisdictions where we do business have prescribed limits on caffeine content for beverages. For example, in Canada, the maximum amount of caffeine in a caffeinated energy drink cannot exceed 180mg per single-serving container or per serving (500 ml) in the case of a multi-serving container. We adjusted the caffeine levels in certain of our Monster Energy® products that are sold in Canada as caffeinated energy drinks to address these regulations, although the majority of our products were unaffected. In Europe, examples of caffeine restrictions include the Netherlands where there is a limit of 35mg/100ml, and Norway introduced, as of January 1, 2020, a limit of 32mg/100ml. Caffeine limit restrictions or restrictions on combining caffeine with other ingredients or in particular product sectors (such as performance beverages/sport drinks) have also been implemented or proposed in other jurisdictions, including Turkey, India, Pakistan’s Punjab region, Egypt, Colombia, Iraq, and the member states of the Gulf Cooperation Council, including Kuwait. Such restrictions could require reformulations of certain of our products. However, we may not be able to satisfactorily reformulate our products in all jurisdictions that adopt similar legislation.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Limitations on Container Size.</w:t>
      </w:r>
      <w:r>
        <w:rPr>
          <w:rFonts w:ascii="Times New Roman;Times;serif" w:hAnsi="Times New Roman;Times;serif"/>
          <w:sz w:val="20"/>
        </w:rPr>
        <w:t xml:space="preserve"> We package our products in a variety of different package types and sizes including, for certain of our Monster Energy® brand energy drinks, aluminum cans larger than 16 fluid ounces. Certain jurisdictions, such as Colombia, Costa Rica, and the Dominican Republic, have considered container size limitations on energy drinks and other beverages. If adopted, such limitations may require us to change the container size of our products sold in certain countries.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Compliance with Alcohol-Related Regulation and Laws.</w:t>
      </w:r>
      <w:r>
        <w:rPr>
          <w:rFonts w:ascii="Times New Roman;Times;serif" w:hAnsi="Times New Roman;Times;serif"/>
          <w:sz w:val="20"/>
        </w:rPr>
        <w:t xml:space="preserve"> Our Alcohol Brands segment is regulated by federal, state and local governments in both the U.S. and abroad whose laws and regulations govern the production, distribution and sale of alcohol beverages, including licensing, permitting, advertising and marketing. To operate our breweries, manufacturing facilities and other alcohol-related facilities, as well as to sell our alcohol products, we must obtain and maintain numerous approvals, licenses and permits from governmental agencies, including, but not limited to, the U.S. Department of Treasury, Alcohol and Tobacco Tax and Trade Bureau (“TTB”), the FDA, state and local alcohol regulatory agencies and state and federal environmental agencies. Our breweries, in particular, are subject to audits and inspections by TTB and applicable state alcohol regulatory agencies at any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alcohol beverages are also subject to various taxes, license fees, and the like levied by governmental entities as well as bonds that such entities may deem necessary to ensure compliance with applicable laws and regulations. One such tax that we must comply with is the U.S. federal excise tax. Beginning in January 2018, the federal excise taxes imposed on domestic brewers that produce less than 2 million barrels annually were reduced from $7.00 to $3.50 per barrel on the first 60,000 barrels shipped annually. State and local excise taxes, on the other hand, vary based on the alcohol content and type of beverage. Federal, state, or local governments may increase such excise taxes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Compliance with Environmental Laws.</w:t>
      </w:r>
      <w:r>
        <w:rPr>
          <w:rFonts w:ascii="Times New Roman;Times;serif" w:hAnsi="Times New Roman;Times;serif"/>
          <w:sz w:val="20"/>
        </w:rPr>
        <w:t xml:space="preserve"> Our facilities and those of our co-packers in the United States are subject to federal, state and local environmental laws and regulations, including those relating to air emissions, water discharges, the use of water resources, waste disposal, recycling, and extended producer responsibility. Our operations in other countries are subject to similar federal, state, local and supranational laws and regulations that may be applicable in such countries. Changes in environmental compliance mandates, and any expenditures necessary to comply with such requirements, could adversely affect our financial performance and future growth. In addition, continuing concern over environmental matters, including climate change, is expected to continue to result in new or increased legal and regulatory requirements (in and outside of the United States), including to reduce or mitigate the potential effects of greenhouse gases, to limit or impose additional costs on commercial water use due to local water scarcity concerns, or to expand mandatory reporting of certain environmental, social and governance metrics. Compliance with these provisions has not had, nor do we expect such compliance to have, any material adverse effect upon our capital expenditures, net income or competitive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Container Deposits.</w:t>
      </w:r>
      <w:r>
        <w:rPr>
          <w:rFonts w:ascii="Times New Roman;Times;serif" w:hAnsi="Times New Roman;Times;serif"/>
          <w:sz w:val="20"/>
        </w:rPr>
        <w:t xml:space="preserve"> Various municipalities, states and foreign countries require that a deposit be charged for certain non-refillable beverage containers. The precise requirements imposed by these measures vary by jurisdiction. Other deposit, recycling, ecotaxes and/or product stewardship proposals have been, and may in the future be, introduced and enacted at the federal, state, and local levels, and in foreign countries.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have employees in 80 countries, with a total of 6,891 employees working worldwide. This employee population includes 4,559 employees in North America, 448 employees in Latin America, 308 employees in Asia Pacific (including Oceania) and 1,576 employees in Europe, Middle East and Africa (“EMEA”). Most of our employees are full-time (5,773 employees) and the remaining 1,118 employees hold part-time positions. Of our 6,891 employees, we employ 2,336 in corporate and operational capacities (including administration, human resources, legal, information technology, operations, facilities, warehouse, product development, regulatory and accounting) and 4,555 persons in sales and marketing capacities.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support our employees through a variety of training, mentorship and development programs. We have a mid-level manager development program, in which participants learn leadership skills, network with peers and senior executives, and tackle critical initiatives. We also have a leadership development platform in partnership with a third party, for senior leaders to receive university grade certificates in business strategy and innovation and complete Food and Beverage Executive courses, as well as an electronic learning platform that focuses on business acumen, professional development and technical capabilities. In addition, we provide employees with access to an e-learning platform that offers courses focused on job and career training, business acumen, professional development and technical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compensation packages designed to attract and retain talent while maintaining alignment with market compensation surveys. We have multiple short-term incentive programs focused on incentivizing and retaining talent throughout the organization and provide long-term incentive programs to employees through equity and/or performance cash awards.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cover the cost of insurance premiums including medical (including virtual visits), dental, vision, life, accidental death and dismemberment and short-and long-term disability, covering full-time employees and share in the cost of insurance premiums covering eligible dependents including medical, dental and vision coverage. We also offer several voluntary benefits to full-time employees, including supplemental life insurance, whole life insurance, accident insurance, critical illness insurance, flexible medical spending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flexible spending accounts for childcare, travel insurance, pre-paid legal cover, healthy rewards programs, identity theft assistance, and retirement savings account(s).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offer an Employee Assistance Program (EAP) to all employees. See Note 16, “Employee Benefit Plan” in the Notes to the Consolidated Financial Statements for a discussion of our 401(k)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are required to file our annual reports on Form 10-K, quarterly reports on Form 10-Q, current reports on Form 8-K, proxy statements on Schedule 14A and other information (including any amendments) with the Securities and Exchange Commission (the “SEC”). You can find the Company’s SEC filings at the SEC’s website, which contains reports, proxy and information statements, and other information regarding issuers that file electronically with the SEC, at http://www.sec.gov.</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Internet address is www.monsterbevcorp.com. Information contained on our website is not part of or incorporated into this filing or any of our other filings with the SEC. Our SEC filings (including any amendments) will be made available free of charge at www.monsterbevcorp.com,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Beverage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 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739-6200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(800) 426-7367</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6" w:name="ITEM1ARISKFACTORS_382207"/>
      <w:bookmarkStart w:id="27" w:name="_701fb47d_76ad_4a1e_9623_981b0a32b1d2"/>
      <w:bookmarkEnd w:id="26"/>
      <w:bookmarkEnd w:id="27"/>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in this Annual Report on Form 10-K, including Management’s Discussion and Analysis of Financial Condition and Results of Operations (“MD&amp;A”) and the consolidated financial statements and related notes, you should carefully consider the following risks. If any of the following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 Factors Summary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principal risks that could materially adversely affect our business, reputation, financial condition and/or operating results. You should read this summary together with the more detailed description of each risk contained below.</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Operational and Industry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TCCC have extensive commercial arrangements and, as a result, the Company’s future performance is substantially dependent on the success of its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organizational documents and control by insiders or TCCC may prevent changes in control even if such changes would be beneficial to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limited Company-owned facilities for production of certain of our non-alcohol and alcohol beverages, and developments negatively affecting production at such facilities could materially impact the financial results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bottlers and distributors to distribute our products. If we are unable to maintain good relationships with our existing bottlers and distributors and/or secure such bottlers and distributors, our business could suffer.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derive most of our revenues from energy drinks, and competitive pressure in the energy drink category could adversely affect our business and operating results.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Criticism or negative perceptions of our products (regardless of accuracy) generally could adversely affect us.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in the beverage industry and changing retail landscape could hurt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implement our growth strategy, including expanding our business in existing and new sectors, or successfully recognize the anticipated benefits of acquired businesses or assets could adversely affect our business and financial results.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product and shopping preferences may reduce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expansion outside of the United States exposes us to uncertain conditions and other risks in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pass on increases in the costs of raw materials, including aluminum cans, ingredients, fuel, costs of co-packing, and/or tariffs, we may face a higher cost base, and our business and results of operations could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accurately estimate demand for our products or maintain sufficient inventory levels or anticipate shortages of raw materials could adversely affect our business and financial results.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seasonality, which may cause fluctuations in our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packaging supplies, raw material inputs, ocean and domestic freight, tariffs, and inflation generally may adversely affect our results of operations.</w:t>
            </w:r>
          </w:p>
        </w:tc>
      </w:tr>
    </w:tbl>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or regional catastrophic events could impact our operations and affect our ability to grow our business.</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change and natural disasters may negatively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not able to retain the services of our workforce, there may be an adverse effect on our operations and/or our operating performance until we find suitable replacements.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(whether or not warranted) could damage our brand image and corporate reputation and may cause our business to suffer.</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Government Regulation and Litigation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regulation, or a failure to comply with existing regulations, including those related to energy drinks, data protection and advertising, could adversely affect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concerning our alcohol beverages may adversely affect our business, financial condition or results of operations and inhibit the sales of such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of inquiries from and/or actions by litigants, attorneys general, and/or other (quasi-) government agencies into the production, advertising, marketing, promotion, labeling, ingredients, usage and/or sale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regarding our products and practices, and related unfavorable media attention, could expose us to significant liabilities and reduce demand for our products, thus negatively affecting our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encounter material product recalls, our business may suffer material losses and such recalls could damage our brand image and corporate reputation, also resulting in material losses.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Intellectual Property, Information Technology and Data Privacy and Security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rights are critical to our success, and the loss of such rights could materially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information technology exposes us to the risk of cybersecurity incidents and other costs and interruptions that could disrupt our business operations and adversely impact our reputation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data privacy and personal data protection laws and emerging cybersecurity laws, we could be subject to adverse publicity, government enforcement actions and/or private litigation, which may negatively impact our business and operating results.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Risks</w:t>
      </w:r>
    </w:p>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effective tax rate could adversely affect our financial condition and results of operations.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record a charge to earnings if our goodwill or intangible assets become impaired.</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foreign currency exchange rates may adversely affect our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in the financial markets and other adverse changes in general economic or political conditions in any of the major countries in which we do business could adversely affect our industry, business and results of operations.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by or failure of one or more of our counterparty financial institutions could cause us to incur significant losses.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Operational and Industry Risks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Company and TCCC have extensive commercial arrangements and, as a result, the Company’s future performance is substantially dependent on the success of its relationship with TCCC.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transitioned all third parties’ rights to distribute the Company’s energy drink products in the U.S. to members of TCCC’s distribution network, which largely consists of independent bottlers/distributors. In addition, except for a handful of countries, TCCC is our preferred distribution partner globally, with members of TCCC’s network distributing our products internationally, including in Africa, Asia, Canada, Central and South America, Europe, Mexico and the Middle East. We expect TCCC’s distribution network to continue as our preferred distribution partner globally. As a result, we have reduced our distributor diversification and are now dependent on TCCC’s domestic and international distribution platforms.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has a substantial equity investment in the Company. The Company, TCCC and certain affiliates are parties to various agreements in which TCCC and certain affiliates have agreed, subject to certain exceptions, not to compete in the energy drink category in certain territories prior to the termination of the applicable distribution coordination agreement with TCCC. The Company’s distribution agreements with TCCC distributors also provide, subject to certain exceptions, that the applicable distributor will not distribute competitive energy drink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believe that these agreements incentivize TCCC to take steps to ensure that our products receive the appropriate attention in the TCCC distribution system, disagreements as to the interpretation of the provisions in such agreements have arisen and may arise in the future. In addition, TCCC does not control all members of its distribution system, many of which are independent companies that make their own business decisions that may not always align with TCCC’s interests.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Provisions in our organizational documents and control by insiders or TCCC may prevent changes in control even if such changes would be beneficial to other stockholders.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organizational documents may limit changes in control. Furthermore, as of February 13, 2026, Mr. Sacks and Mr. Schlosberg together may be deemed to beneficially own and/or exercise voting control over approximately 8.1% of our outstanding common stock. As of February 13, 2026, TCCC owned approximately 20.9% of our common stock. TCCC has also nominated one director to the Company’s board of directors. Consequently, Mr. Sacks, Mr. Schlosberg and/or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TCCC’s ownership could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change-in-control transaction, a bidder would be required to secure the support of holders of greater than 62.5% of the Company’s common shares not owned by TCCC (assuming that TCCC maintains its ownership of more than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third-party.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interests of TCCC may be different from or conflict with the interests of the Company’s other stockholders and, as a result, TCCC’s influence may result in the delay or prevention of potential actions or transactions. Moreover, TCCC’s ownership of a significant amount of the Company’s outstanding common shares could result in downward pressure on the trading price of the Company’s common shares if TCCC were to sell a large portion of its shares or as a result of the perception that such a sale might occur.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primarily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2025, we continued to outsource manufacturing of most of our non-alcohol finished goods to bottlers and other contract packers. As a result, in the event of a disruption and/or delay, including, but not limited to, strikes, work stoppages, or labor unrest, and/or demand exceeding forecasted demand,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A lengthy disruption or delay in the production of any of our products could significantly adversely affect, and historically has adversely affected, our revenues from and/or costs of such products, because alternative co-packing facilities in the United States and abroad with adequate long-term capacity may not be available for such products either at commercially reasonable rates and/or costs, within a reasonably short time period and/or within a geographically cost effective distance, if at all. In addition, in recent years, there has been a consolidation of co-packers, leading us to increasingly rely on fewer co-packing groups, certain of which account for a large percentage of our co-packing capacity for our Monster Energy® drinks. If we are unable to maintain good relationships with our largest co-packers, or if our costs of co-packing increase, our business, financial condition and results of operations could be adversely affected.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rely on limited Company-owned facilities for production of certain of our non-alcohol and alcohol beverages, and developments negatively affecting production at such facilities could materially impact the financial results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the primary flavors for our Monster Energy® Drinks segment are developed and manufactured at the AFF facilities in Southern California and Athy, Ireland. Bang Energy® beverages and certain of our other energy drink products are manufactured at our facilities in Phoenix, Arizona and Norwalk, California. Further, we are dependent on Monster Brewing Company’s portfolio of facilities located in Longmont, Colorado, Brevard, North Carolina, and Grand Rapids, Michigan to manufacture certain of our alcohol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Adverse changes or developments affecting our AFF facilities could adversely impact our ability to produce flavors of certain of our energy drink products. Adverse changes or developments affecting our Norwalk, California and/or Phoenix, Arizona facilities could adversely impact our ability to produce certain of our energy drink products or cause us to halt our production of such beverages. Likewise, adverse changes or developments affecting our alcohol licensed manufacturing facilities could hinder our ability to produce alcohol products to take to market on a timely basis or require us to entirely suspend certain of our Alcohol Brands segment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Alternative facilities with sufficient capacity or capabilities may not be readily available or may take significant time or cost to run at the same capacity as our AFF, Phoenix, and Norwalk facilities or our current alcohol licensed manufacturing facilities. Such significant disruption may, in turn, have an adverse effect on gross margins, operating cash flows, and overall financial performance of our business.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rely on bottlers and distributors to distribute our products. If we are unable to maintain good relationships with our existing bottlers and distributors and/or secure such bottlers and distributors, our business could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Many of our bottlers/distributors are affiliated with and manufacture and/or distribute other carbonated, non-carbonated, non-alcohol, alcohol and other beverage products. In many cases, such products compete directly with our products.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Unilateral decisions by bottlers/distributors, buying groups, convenience and gas chains, grocery chains, mass merchandisers, specialty chain stores, club stores, e-commerce retailers, e-commerce websites and/or other customers, including retailer disagreements with our bottlers/distributors,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 could cause our business to suffer. Moreover, competitors’, consumers’ or others’ attempts to persuade regulators, retailers, and/or customers in certain countries to reduce the permitted or maximum container sizes for our products from those currently being sold and marketed by us could negatively impact our business. In addition, possible trading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disputes between our bottler/distributors and their customers or buying groups may result in the delisting of certain of the Company’s products, temporarily or otherwise. Bottler/distributor consolidation may also have an adverse impact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TCCC North American Bottlers, Coca-Cola Europacific Partners, Coca-Cola Hellenic, Coca-Cola FEMSA, Swire Coca-Cola (China), COFCO Coca-Cola, Coca-Cola Beverages Africa and Coca-Cola İçecek are our primary domestic and international distributors of our non-alcohol products. We also sell our alcohol beverages to certain beer and alcohol beverage distributors through generally separate distribution networks for distribution to retailers. As a result, if we are unable to maintain good relationships with these bottlers/distributors, if changes in control or ownership occur within the current distribution network, or if they do not effectively focus on marketing, promoting, selling and/or distributing our products, sales of our products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the amount purchased from us or to cease carrying our products could have a material adverse effect on our financial condition and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marketing efforts of our bottlers/distributors are important to our success. If our brands prove to be less attractive to our existing bottlers/distributors, if we fail to attract additional bottlers/distributors, and/or our bottlers/distributors do not market, promote and/or distribute our products effectively, our business, financial condition and results of operations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Disruption in distribution channels and/or a decline in sales due to the termination and/or insolvency of existing or new bottlers/distributors may adversely affect our business and operating results.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assurance can be given that we will be able to maintain our current distribution network or secure additional distributors on terms not less favorable to us than our current arrangements.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currently derive most of our revenues from energy drinks, and competitive pressure in the energy drink category could adversely affect our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focus is in the energy drink category, and our business is vulnerable to adverse changes impacting the energy drink category and business, which could adversely impact our business and the trading price of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Most of our sales are currently derived from our energy drinks.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For a discussion of such competition, see “Part I, Item 1 – Business –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increasing number of competitive products and limited amount of shelf space in retail stores, including in beverage coolers, may adversely impact our ability to gain or maintain our share of sales in the marketplace. In addition, certain actions of our competitors, including unsubstantiated and/or misleading claims, false advertising claims and tortious interference in our business, as well as competitors selling misbranded products, could impact our sales. Competitive pressures in the energy drink category could impact our revenues, cause price erosion and/or lower our market share, any of which could have a material adverse effect on our business and results of operations.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Criticism or negative perceptions of our products (regardless of accuracy) generally could adversely affect us.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An unfavorable report on the health effects of caffeine, other ingredients in energy drinks or energy drinks generally, or criticism or negative publicity regarding the caffeine content and/or any other ingredients in our products or energy drinks generally, including product safety concerns (regardless of the validity or scientific merit of any such reports, criticism, or negative publicity),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If reports, studies or articles critical of caffeine and/or energy drinks continue to be published or are published in the future, or additional voluntary measures are taken, they could adversely affect the demand for our products. If we are unable to satisfy all criteria set forth in any model energy drink guidelines, including, without limitation, those adopted by the American Beverage Association in the future, of which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are a member, and/or any international beverage associations, it could negatively affect our overall reputation, which in turn could have a negative impact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alcohol beverage industry has also been the subject of considerable societal and political attention for many years due to increasing public concern over alcohol-related health and social issues, including driving under the influence, underage drinking, and the negative health impacts of the misuse or abuse of alcohol. Moreover, anti-alcohol groups have successfully advocated, and increasingly continue to advocate, for more stringent labeling requirements, higher taxes, and other regulations designed to curtail alcohol consumption. In response to these concerns and advocacy, advertising by alcohol producers could be further restricted, additional cautionary labeling or packaging requirements might be imposed, further restrictions on the sale of alcohol might be imposed, or there may be renewed efforts to impose increased excise or other taxes on alcohol sold in the United States or abroad. In addition, the increase of such criticism and negative perception of alcohol beverages generally could decrease sales and the consumption of alcohol, including the demand for our alcohol products. Any such developments may have a negative impact on the operating results of our Alcohol Brands segment.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Increased competition in the beverage industry and changing retail landscape could hurt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beverage industry is highly competitive. The principal areas of competition are pricing, packaging, development of new products, flavors, product positioning, quality as well as promotion and marketing strategies. Our products compete with a wide range of drinks, both non-alcohol and alcohol, produced by a relatively large number of domestic and international manufacturers.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Important factors affecting our ability to compete successfully include the efficacy, taste and flavor of our products, trade and consumer promotions, rapid and effective development of new and unique cutting-edge products, attractive and different packaging, branded product advertising and pricing. The success of our sports marketing, social media and other general marketing endeavors may impact our business, financial condition and results of operation. Our products compete with all liquid refreshments, including TCCC, Starbucks Corporation, PepsiCo, Red Bull GmbH, KDP, Molson Coors, Constellation Brands, AB InBev, The Boston Beer Company and The Mark Anthony Group. We also compete with companies that are smaller or primarily national or local in operations, such as CELSIUS, PRIME, C4, Alani Nu, GHOST, ZOA, GORGIE, and others as well as local craft breweries in our Alcohol Brands segment. Our products also compete with private-label brands such as those carried by grocery store chains, convenience store chains and club stores.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anticipate competition will remain robust due to a number of new entrants in the energy drink category. Some competitors are consolidating (as evidenced by business combinations of substantial value carried out by significant competitors in recent years), building more capacity, expanding geographically, and/or adding more SKUs and styles. For example, PepsiCo entered into a long-term strategic distribution arrangement with Celsius Holdings, Inc., a competitor in the energy drink space, in August 2022. Additionally, competition in the alcohol beverage space—including from craft brewers and craft distilleries, ready-to-drink spirits and similar products—continues to evolve. Market dynamics have been influenced by broader competitive trends and regulatory focus on market structure, including analyses and recommendations contained in the February 2022 U.S. Treasury report, “Competition in the Markets for Beer, Wine, and Spirits,” which assesses competitive conditions and potential barriers to entry. Actual growth in specific segments, such as hard seltzers, craft products, and other beverage categories, varies over time and may be affected by changing consumer preferences, regulatory developments and economic conditions. As a result of such increased competition for our products, we may face competitive pricing pressures and the demand for and market share of our products may fluctuate and possibly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rapid growth in sales through e-commerce retailers, e-commerce websites, mobile commerce applications and subscription services, and closures of physical retail operations may result in a shift away from physical retail operations to digital channels and a reduction in impulse purchases. As we build our e-commerce capabilities, we may not be able to develop and maintain successful relationships with existing and new e-commerce retailers without experiencing a deterioration of our relationships with key customers operating physical retail channels. If we are unable to profitably expand our own e-commerce capabilities and/or if e-commerce retailers take significant market share away from traditional retailers, our business may be adversely affected. Further, the ability of consumers to compare prices on a real-time basis using digital technology puts additional pressure on us to maintain competitive prices. Sales in gas chains may also be affected by increased gasoline prices, improvements in fuel efficiency and increased consumer preferences for electric or alternative fuel-powered vehicles, which may result in fewer trips by consumers to gas stations and a corresponding reduction in purchases by consumers in convenience gas retailers. If we are unable to successfully adapt to the rapidly changing retail landscape, our share of sales, volume growth and overall financial results could be negatively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competition in the beverage industry, there can be no assurance that we will not encounter difficulties in maintaining our current revenues, market share or position in the beverage industry. Moreover, there can be no assurance that we will successfully react to the emergence of new subcategories within the energy and/or alcohol beverage sectors. If our revenues decline, our business, financial condition and results of operations could be adversely affected.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inability to implement our growth strategy, including expanding our business in existing and new sectors, or to successfully recognize the anticipated benefits of acquired businesses or assets could adversely affect our business and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compete in the highly competitive beverage industry and to achieve our business growth objectives depends, in part, on our ability to develop new flavors, products and packaging. The success of our innovation, in turn, depends on our ability to identify consumer trends and cater to consumer preferences. If we are not successful in our innovation activities, our business, financial condition and results of operation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31, 2023, we acquired substantially all of the assets of Bang Energy. Among other assets, the acquisition included the Bang Energy® drink business. Prior to the Bang Energy acquisition, we acquired Monster Brewing Company, a craft beer and hard seltzer company, in February 2022. We may continue to make acquisitions that expand our business within the beverage industry. Overall, the effectiveness of acquisitions can be less predictable than developing new lines of beverages and might not provide the anticipated benefits or desired rates of return. Integrating the operations of acquired businesses could be a difficult, costly and time-consuming process that involves a number of risks including, but not limited to, the integration of company cultures and management teams, retaining key employees and customers, increased exposure to certain governmental regulations and compliance requirements, increased costs, and use of resources. Our business may also be adversely impacted if we are unable to rationalize brands that we have acquired or may acquire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we integrate acquired businesses, such as our integrations of the Bang Energy® and Monster Brewing Company businesses, it is possible that we will not realize the expected benefits from any completed acquisition over the timeframe we expect, or at all, or that our existing operations will be adversely affected as a result of acquisitions. For example, in 2025, we recognized impairment charges of $38.4 million related to certain finite-lived intangible assets and impairment charges of $15.3 million related to property and equipment in the Alcohol Brands segment. Therefore, the acquisition and integration of acquired businesses may not contribute to our earnings as expected, we may not achieve profit margin targets when expected, or at all, and we may not achieve the other anticipated strategic financial benefits of such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acquisition of Monster Brewing Company and any future acquisitions we may make that expand our business into new sectors in the beverage industry also pose unique risks. Risks associated with entering into a new sector, such as the alcohol beverage sector, include, but are not limited to: (1) having no or limited experience in such sector; (2) exposure to certain governmental regulations and compliance requirements; (3) difficulties developing, manufacturing, and marketing the products of newly acquired companies; and (4) our lesser familiarity with consumer preferences in the new sector. Entry into new sectors of the beverage industry may bring us into competition with new competitors that have potentially a larger, more established market presence. We cannot ensure that our entry into the alcohol beverage sector or any other new beverage sectors will be profitable, and future profitability may be delayed or otherwise materially adversely affected.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Changes in consumer product and shopping preferences may reduce demand for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beverage industry is subject to changing consumer preferences and shifts in consumer preferences may adversely affect us. There is increasing awareness of and concern for health, wellness and nutrition considerations, including concerns regarding caloric intake associated with sugar-sweetened beverages and the perceived undesirability of artificial ingredients and UPF. There are also increasing studies on and concern for the potential adverse consequences from excess consumption of alcohol beverages. Some consumer advocacy groups and others have expressed concerns regarding certain synthetic colors, low- and no-calorie sweeteners, and other ingredients that are contained in certain of our energy drinks, or have called for the curtailment of alcohol dissemination and consumption. There are also changes in demand for different packages, sizes and configurations. Such developments could reduce our revenues and adversely affect our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Consumers are seeking greater variety in their beverages. For example, with regard to our Alcohol Brands, the broader alcohol industry is experiencing a shift in drinking preferences and behaviors, moving away from traditionally popular beer brands and segments and towards premium beers, imports, hard seltzers, FMBs, ready-to-drink malt-based, sugar-based, and spirits-based beverages, CBD and other cannabis beverages, and other similar beverages as well as an increasing focus on low and no-alcohol beverages. Our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success will depend, in part, upon our continued ability to develop and introduce different and innovative beverages that appeal to consumers.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order to retain and expand our market share, we must continue to develop and introduce different and innovative beverages and be competitive in the areas of efficacy, taste, quality and price/value, although there can be no assurance of our ability to do so. There is no assurance that consumers will continue to purchase our products in the future. Product lifecycles for some beverage brands,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may also be unable to penetrate new markets. Additionally, as shopping patterns are being affected by the digital evolution, with customers embracing shopping by way of mobile device applications, e-commerce retailers, e-commerce websites or platforms or artificial intelligence shopping agents, we may be unable to address or anticipate changes in consumer shopping preferences or engage with our customers on their preferred platforms. Moreover, artificial intelligence shopping agents may autonomously recommend products that are not ours and, in some cases, directly compete with our products. If our revenues decline, our business, financial condition and results of operations could be adversely affected.</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Our continued expansion outside of the United States exposes us to uncertain conditions and other risks in international markets.</w:t>
      </w:r>
    </w:p>
    <w:p>
      <w:pPr>
        <w:pStyle w:val="TextBody"/>
        <w:bidi w:val="0"/>
        <w:spacing w:before="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We have continued expanding our energy drink operations internationally into a variety of new markets. Our net sales to customers outside of the United States were approximately 41%, 40% and 38% of consolidated net sales for the years ended December 31, 2025, 2024 and 2023, respectively. As our growth strategy includes further expanding our international business, if we are unable to continue to expand distribution of our products or maintain consumer demand outside the United States, our growth rate could be adversely affected. In many international markets, we have limited operating experience and in some international markets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United States. We face and will continue to face substantial risks associated with having foreign operations, including, but not limited to: economic and/or political instability in our international markets; fluctuations in foreign currency exchange rates; restrictions on or costs relating to the repatriation of foreign profits to the United States, including possible taxes and/or withholding obligations on any repatriations; and additional tariffs and/or trade restrictions, including foreign import tariffs proposed or imposed by the U.S. Administration and any responsive and/or retaliatory tariffs. These risks could have a significant impact on our ability to sell our products on a competitive basis in international markets and could have a material adverse effect on our business, financial condition and results of operations. Additionally, our operations outside of the United States are subject to risks relating to: appropriate compliance with legal and regulatory requirements in local jurisdictions; difficulties in staffing and managing local operations, which has, at times, necessitated enhanced local training, communications, and business partner management; higher rates of product damages, particularly when products are shipped long distances; higher incidence of fraud and/or corruption, such as invoicing fraud or kickback schemes; credit risk of local customers and distributors; and potentially adverse tax consequences.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If we are not able to pass on increases in the costs of raw materials, including aluminum cans, ingredients, fuel, costs of co-packing, and/or tariffs, we may face a higher cost base, and our business and results of operations could be adversely affected.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principal raw materials used by us are aluminum cans, sleek aluminum cans, aluminum cap cans, aluminum cans with re-sealable ends, aluminum or steel kegs, cartons, to a limited extent PET plastic bottles and caps, flavors, juice concentrates, glucose, sugar, sucralose, milk, cream, coffee, tea, cocoa, malted barley, hops, water, yeast, ethanol, supplement ingredients and other packaging materials, the costs and availability of which are subject to fluctuations. Moreover, we rely upon trucks for the transportation of our products, which makes us susceptible to increases in the cost of fuel.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certain flavors purchased from third-party suppliers and used in certain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our third-party flavor suppliers generally do not make such flavors and/or blended concentrates available to other third-party customers. While we have identified alternative suppliers for certain of the ingredients contained in many of our beverages, we may be unable to obtain comparable flavors or concentrates from alternative suppliers on short notice.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also uncertain whether the prices of any of the above raw materials, or any other raw materials or ingredient for that matter, will rise, or continue to rise, in the future and, if so, whether we will be able to pass on such increases to our customers. Certain of our co-packing arrangements, for instance, allow such co-packers to increase their fees based on certain of their own cost increases.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also enter into purchase agreements for portions of our annual anticipated requirements for certain of our raw materials such as glucose, sugar and sucralose. After imposing tariffs on steel and aluminum imports, in recent years, the United States has recently increased those tariffs and expanded the scope of their application. The U.S. Administration has also imposed tariffs more broadly on most imported goods and has also proposed additional tariffs on certain countries and sectors. Additional tariffs imposed by the United States, or further trade measures taken by other countries, retaliatory or otherwise, could result in an increase in raw material costs.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failure to accurately estimate demand for our products or maintain sufficient inventory levels or anticipate shortages of raw materials could adversely affect our business and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correctly estimate demand for our existing products and/or new products. Our ability to estimate demand for our products is imprecise, particularly with regard to new products, and may be less precise during periods of rapid growth, including in new markets. If we materially underestimate demand for our products, and/or are unable to secure sufficient ingredients, raw materials and/or packaging materials, or experience production shortages or quality issues, we might not be able to satisfy demand on a short-term basis. Moreover, industry-wide shortages of certain flavor ingredients, flavors, fruits and fruit juices, coffee, tea, cocoa, dairy-based products, packaging materials (including aluminum cans), supplement ingredients and sweeteners have been, and could from time to time in the future be, encountered, resulting in production fluctuations or delays and/or product shortages and/or increased costs. We generally do not use hedging agreements or alternative instruments to manage this risk. Such shortages could interfere with and/or delay production of certain of our products and could have a material adverse effect on our business and financial results.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requisite products. If we produce excess inventory, we may have significant inventory writeoffs. Further, if the inventory of our products held by our distributors and/or retailers is too high, they will not place orders for additional products, which could unfavorably impact our future sales and adversely affect our operating results.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business is subject to seasonality, which may cause fluctuations in our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subject to seasonality, which may cause the sale of our products to fluctuate from period to period due to the inherent demands and timing of our customers and consumer needs as well as seasonal factors, such as poor weather conditions. Given such variation by season, our results for any particular quarter may not be indicative of the results to be achieved for the entire fiscal year.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costs of packaging supplies, raw material inputs, ocean and domestic freight, tariffs, and inflation generally may adversely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of our packaging supply contracts allow our suppliers to adjust the costs they charge us for packaging supplies based on changes in the costs of the underlying commodities that are used to produce those packaging supplies, such as aluminum for cans, PET plastic for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use derivative instruments to manage a portion of this risk in relation to aluminum for cans. Inflation and tariffs have affected, and may continue to affect, certain of our raw material and packaging costs, commodities and other inputs globally. If the costs of packaging supplies and other costs, such as truck fuel costs, shipping container costs, and ocean and domestic freight rates, further increase, we may be unable to pass these costs along to our customers through corresponding adjustments to the prices we charge, which could have a material adverse effect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Global or regional catastrophic events could impact our operations and affect our ability to grow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our increasingly global presence, our business could be affected by unstable political conditions, civil unrest, protests and demonstrations, large-scale terrorist acts, especially those directed against the United States or other major industrialized countries where our products are distributed, the outbreak or escalation of armed hostilities, major natural disasters and extreme weather conditions, such as hurricanes, wildfires, tornados, earthquakes or floods, or widespread outbreaks of infectious diseases (such as the COVID-19 pandemic). Such catastrophic events could impact our operations and our supply chain, including the production and/or distribution of our products. Materials and/or personnel may need to mobilize to other locations. Our headquarters and a large part of our operations are located in California, a state at greater risk for earthquakes and wildfires. Some of the raw materials we use, including certain sizes of cans, are available from limited suppliers, and a regional catastrophic event impacting such suppliers could adversely impact our operations. In addition, such events could disrupt global or regional economic activity, which could adversely affect consumer purchasing power and consumers’ ability to purchase our products, thereby reducing demand for our products. If our operations are disrupted or we are unable to grow our business as a result of these factors, our growth rate could decline and our business, financial condition and results of operations could be adversely affected.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Failure to meet evolving corporate governance expectations or standards, including those related to sustainability matters, could expose us to increased costs, reputational harm, or other adverse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regulators and stakeholders are focused on corporate responsibility and sustainability matters, including, but not limited to, greenhouse gas emissions and other climate-related risks, sustainable packaging, water stewardship, and corporate governance and oversight. While we are actively addressing these issues, these initiatives represent our current plans and aspirations that may be refined in the future and are not guarantees that we will be able to achieve them, especially given the difficulties and expenses of implementation as well as the ever-changing regulatory and technological landscape. For example, disclosures about our sustainability-related initiatives and goals, and progress against those goals, may be based on standards for measuring progress that are still developing, internal controls and processes that continue to evolve, and assumptions that are subject to change in the future. In addition, previously reported data has, and may continue to be, adjusted to reflect improvements in the availability and quality of internal and third-party data, changes in the nature and scope of our operations, and other changes in circumstances. If our climate-related information, processes and disclosures are incomplete or inaccurate, our reputation, business, and growth could be negatively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rules, regulations, and standards set forth by various governmental and self-regulatory organizations, such as the SEC, the European Union, the Nasdaq Stock Market, and the Financial Accounting Standards Board (“FASB”), continue to evolve in scope and complexity and, at times, are inconsistent with one another, which, in turn, makes compliance more uncertain and difficult. For example, the standards used to identify and collect the data required pursuant to the European Union’s Corporate Sustainability Reporting Directive are still in development, which could result in increased costs related to complying with the changing reporting obligations and could increase our risk of failing to comply with the directive. These changing rules and regulations, along with constantly evolving stockholder expectations, have resulted in, and may continue to result in, increased general and administrative expenses and increased management time and attention spent complying with or meeting such expectations and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failure or perceived failure to progress or achieve our climate-related commitments, maintain sustainability practices, or comply with emerging sustainability regulations that meet developing regulatory or stakeholder expectations could harm our reputation, harm our ability to maintain or attract customers and talent, and expose us to increased scrutiny from enforcement authorities and stakeholders. Our reputation may also be harmed by the perceptions that stakeholders, regulators or other interested parties have about our action or inaction on sustainability- and corporate responsibility-related issues as well as the nature or scope of, or revisions to, our sustainability initiatives and goals. For example, we could face negative responses or backlash from governmental actors (such as anti-environmental, social and governance-related legislation) or consumers (such as boycotts or negative publicity campaigns) who disagree with our goals and initiatives. Damage to our reputation and loss of brand equity may reduce demand for our products and thus have an adverse effect on our future financial results, as well as require additional resources to rebuild our reputation and could impact our stock price.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use of artificial intelligence technologies in our operations may expose us to risks.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rely on artificial intelligence (“AI”) technologies to support and enhance various aspects of our products, services, and internal operations. These systems may not perform as intended and expose us to risks. In particular, AI models can generate inaccurate, biased, or unpredictable outputs, and failures in data quality, system design, or oversight could result in operational disruptions, security or privacy incidents, reputational challenges, and other harms. Because AI systems can be complex and difficult to fully evaluate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audit, we may be unable to detect errors or vulnerabilities in a timely manner. If we are unable to effectively implement, monitor, and manage these technologies, our business, financial condition, and results of operations could be adversely affected.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Climate change and natural disasters may negatively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concern that a gradual increase in global average temperatures due to increased carbon dioxide and other greenhouse gases in the atmosphere could cause significant changes in weather patterns around the globe and an increase in the frequency and severity of natural disasters. Changing weather patterns could result in decreased agricultural productivity in certain regions, and/or outbreaks of diseases or other health issues, which may limit the availability and/or increase the cost of certain key ingredients, juice concentrates, supplements and other ingredients used in our products and could impact the food security of communities around the world. Increased frequency, duration, and intensity of extreme weather conditions and/or natural disasters could also impair our production capabilities, disrupt our supply chain, impact demand for our products, and/or create financial risk due to rising insurance premiums or the inability to maintain coverage.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Natural disasters and extreme weather conditions, such as hurricanes, wildfires, earthquakes or floods, and outbreaks of diseases (such as the COVID-19 pandemic) or other health issues, have affected, and may continue to affect, our operations and the operation of our supply chain, impact the operations of our bottlers/distributors and unfavorably impact our consumers’ ability to purchase our products. In September and October 2024, for example, Hurricanes Helene and Milton impacted sales at retail in certain states. In addition, due to flooding from Hurricane Helene, we were forced to close one of our breweries located in Brevard, North Carolina for one week and could not operate this brewery at full capacity for approximately one month. Additionally, in early 2025, we temporarily closed our AFF manufacturing facility in Southern California due to the air pollution caused by the Los Angeles wildfires. While the impact of such natural disasters on our business was ultimately immaterial, similar extreme weather occurrences could negatively harm our operations and hinder our growth, especially if such events continue to occur with increased frequency.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predicted effects of climate change may also result in challenges regarding the availability and quality of water, or less favorable pricing for water, which could adversely impact our business and results of operations. Sales of our products may also be influenced to some extent by weather conditions in the markets in which we operate. We, our bottlers and our contract packers use a number of key ingredients in the manufacture of our beverage products that are derived from agricultural commodities, such as sugar, ethanol, coffee, tea, cocoa, barley and hops. Increased demand for food products and decreased agricultural productivity in certain regions of the world as a result of changing weather patterns and other factors may limit the availability or increase the cost of such agricultural commodities and could impact the food security of communities around the world. Weather conditions may influence consumer demand for certain of our beverages, which could have an effect on our operations, either positively or negatively.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public expectations for reductions in greenhouse gas emissions could result in increased energy, transportation and raw material costs and may require us to make additional investments in facilities and equipment. Changes in applicable laws, regulations, standards or practices related to greenhouse gas emissions, packaging and water scarcity, as well as initiatives by advocacy groups in favor of certain climate change-related laws, regulations, standards or practices, have and may continue to result in increased compliance costs, capital expenditures and other financial obligations, which could affect our business, financial condition and results of operations. For example, the California legislature and European Union have each adopted laws that require us to significantly increase our disclosures related to climate change and mitigation efforts and, in turn, has required us to incur additional costs to comply and impose more oversight obligations on our Board of Directors and management.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If we are not able to retain the services of our workforce, there may be an adverse effect on our operations and/or our operating performance until we find suitable replacements.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dependent, to a large extent, upon the services of our workforce. We do not maintain key person life insurance on any members of our senior management. The loss of services of any key member of our senior management team could adversely affect our business until suitable replacements can be found. There may be a limited number of personnel with the requisite skills to serve in these positions, and we may be unable to locate or employ such qualified personnel on acceptable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Negative publicity (whether or not warranted) could damage our brand image and corporate reputation and may cause our business to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on our ability to build and maintain the brand image for our existing products, new products and brand extensions and maintain our corporate reputation. There can be no assurance that our advertising, marketing and promotional programs and our commitment to product safety and quality, human rights and environmental sustainability will have the desired impact on our products’ brand images and on consumer preferences and demand. Claims regarding product safety, quality and/or ingredient content issues, efficacy or lack thereof (real or imagined), our culture and our workforce, our environmental impact and the sustainability of our operations, or allegations of product contamination, even if false or unfounded, could tarnish the image of our brands and may cause consumers to choose other products. Consumer demand for our products could diminish significantly if we, our employees, bottlers/distributors, suppliers or business partners fail to preserve the quality of our products and/or act or are perceived to act in an unethical, illegal, discriminatory, unequal or socially irresponsible manner, including with respect to the sourcing, content or sale of our products, service and treatment of our customers, or the use or protection of customer data.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and proposed or new legislation or regulations affecting the beverage industry, whether related to alcohol or non-alcohol beverages. Negative postings or comments on social media or networking websites about the Company or any one of our brands, even if inaccurate or malicious, could generate adverse publicity that could damage the reputation of our brands or the Company. Business incidents, whether isolated or recurring and whether originating from us, our bottlers/distributors, suppliers or business partners, that erode consumer trust can significantly reduce brand value or potentially trigger boycotts of our products and can have a negative impact on consumer demand for our products as well as our reputation and financial results. The impact of such incidents may be exacerbated if they receive considerable publicity, including rapidly through social or digital media (including for malicious reasons), or result in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from time to time, there are public policy endeavors that are either directly related to our products and packaging or to our business. These public policy debates can occasionally be the subject of backlash from advocacy groups that have a differing point of view and could result in adverse media and consumer reaction, including product boycotts. Similarly, our sponsorship relationships could subject us to negative publicity as a result of actual or alleged misconduct by individuals or entities associated with organizations that we sponsor or support. Likewise, campaigns by activists connecting us, or our supply chain, with human and workplace rights and/or environmental or animal rights issues could adversely impact our corporate image and reputation.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made commitments to respect human rights, including the policies and initiatives described in our Modern Slavery Transparency Statement. Allegations, even if untrue, that we are not respecting the human rights found in the United Nations Universal Declaration of Human Rights; actual or perceived failure by our suppliers or other business partners to comply with applicable labor and workplace rights laws, including child labor laws, or their actual or perceived abuse or misuse of migrant workers; adverse publicity surrounding obesity and alcohol consumption, including alcoholism, drunk driving and associated cancer risks; and other such concerns related to our products, water usage, our environmental impact and the sustainability of our operations, labor relations, our culture and our workforce or the like could negatively affect our Company’s overall reputation and brand image, which in turn could have a negative impact on our products’ acceptance by consumers.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Government Regulation and Litigation Risks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Changes in government regulation, or a failure to comply with existing regulations, including those related to energy drinks, data protection and advertising, could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such as SNAP), limit the content or levels of caffeine and other ingredients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provincial, local, municipal and/or supranational level in respect of each of the foregoing subject areas. Public health officials and health advocates are increasingly focused on the public health consequences associated with obesity, especially as it affects children, and are seeking legislative change to reduce the consumption of sweetened beverages. There has also been heightened focus on the caffeine and ingredient content in beverages. In the past year alone, certain states, including Texas and West Virginia, have enacted laws, mandating food label warnings regarding certain ingredients contained in products and/or banning certain additives.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production, distribution and sale, as well as our manufacturing facilities themselves, in the United States of many of our products are also currently subject to various federal and state regulations, including, but not limited to: the FD&amp;C Act; the Occupational Safety and Health Act; various environmental statutes; privacy and data protection laws; California Proposition 65; and various other federal, state and local statutes and regulations applicable to the production, transportation, sale, safety, advertising, labeling, packaging and ingredients of such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Outside the United States, the production, distribution and sale of many of our products are also subject to numerous statutes and regulations.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regulatory authority finds that a current or future product, its label, or a production run or facility is not in compliance with any of these regulations, we may be fined or face other regulatory penalties, or the products in question may have to be recalled, removed from the market, reformulated and/or have their packaging changed, which could adversely affect our business,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Regulations concerning our alcohol beverages may adversely affect our business, financial condition or results of operations and inhibit the sales of such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Governmental agencies heavily regulate the alcohol beverage industry. In particular, such agencies monitor and regulate licensing, warehousing, trade and pricing practices, permitted and required labeling, including warning labels, signage, advertising, relations with wholesalers and retailers, and, in control states, product listings. Increased regulatory trade practice enforcement may increase in response to the Treasury Report. Both in the U.S. and in other markets, there may also be a focus on companies with established non-alcohol beverages lines of business that have expanded into the alcohol beverage industry, since marketing practices that are acceptable in the non-alcohol space may have regulatory challenges in the alcohol space (including with respect to crossover appeal from one category to another). In addition, other countries in which we may sell alcohol beverages could impose duties, excise taxes and/or other related taxes. If, in the future, we are unable to comply with certain regulations, sales of our products could decrease significantly. Additionally, if such agencies or jurisdictions, foreign or domestic, choose to implement new or revised laws, regulations, fees, taxes, or other such requirements, our business could be adversely affected. Attention to the risks of alcohol consumption has been increasing in the United States and abroad. If governmental bodies require increased additional product labeling, warning requirements, or otherwise limit the marketing or sale of our alcohol products due to their contents or allegations concerning their potential to cause adverse health effects, or our marketing of such products, our sales of alcohol beverages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our co-packers, are subject to an ever-changing and increasingly broad array of federal, state, regional, local, and international environmental laws, including statutes and regulations, which aim to regulate emissions and impacts to air, land, and water. Our operations and those of our co-packers may result in odors, noise, or other pollutants being emitted. Failure to comply with any environmental laws or any future changes to them could result in alleged harm to employees or others near our facilities or those of our co-packers. Significant costs to satisfy environmental compliance, remediation or compensatory requirements, or the imposition of penalties or restrictions on operations by governmental agencies or courts, may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Increasing international and regional concern over sustainability matters, including climate change, has resulted in, and will likely continue to result in, new or revised laws and regulations aimed at reducing or mitigating the potential effects of greenhouse gases, restricting or increasing the costs of commercial water use due to local water scarcity concerns, or increasing mandatory reporting of certain sustainability metrics, such as recycling. If we fail to comply with applicable environmental compliance mandates or fail to meet sustainability metrics, our business operations and our reputation could be adversely impacted.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Changes in the regulation of artificial intelligence could result in enforcement actions, fines, or other adverse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in a global market, and our use of AI is subject to different levels of regulations in different markets. These differences, as well as changes in the way AI is regulated—including potential new requirements governing transparency, accountability, data usage, and model controls—could increase our compliance costs, limit the use of certain technologies, or require changes to our products and processes. Any failure to comply with emerging AI regulatory frameworks could result in enforcement actions, fines, or other adverse consequences.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cannot predict the effect of inquiries from and/or actions by litigants, attorneys general, and/or other (quasi-) government agencies into the production, advertising, marketing, promotion, labeling, ingredients, usage and/or sale of our products.</w:t>
      </w:r>
    </w:p>
    <w:p>
      <w:pPr>
        <w:pStyle w:val="TextBody"/>
        <w:bidi w:val="0"/>
        <w:spacing w:before="0" w:after="240"/>
        <w:ind w:left="0" w:right="0" w:firstLine="720"/>
        <w:jc w:val="both"/>
        <w:rPr>
          <w:rFonts w:ascii="Times New Roman;Times;serif" w:hAnsi="Times New Roman;Times;serif"/>
          <w:sz w:val="20"/>
        </w:rPr>
      </w:pPr>
      <w:bookmarkStart w:id="28" w:name="_Hlk221978997"/>
      <w:bookmarkEnd w:id="28"/>
      <w:r>
        <w:rPr>
          <w:rFonts w:ascii="Times New Roman;Times;serif" w:hAnsi="Times New Roman;Times;serif"/>
          <w:sz w:val="20"/>
        </w:rPr>
        <w:t>We are subject to the risks of litigation, investigations and/or enforcement actions by state attorneys general and/or other government agencies (quasi or otherwise) relating to, among other things, the production, advertising, marketing, promotion, labeling, ingredients, usage and/or sale of our products, and we are a party, from time to time, to various government and regulatory inquiries and/or proceedings. Defending these proceedings can result in significant ongoing expenditures and the diversion of our management’s time and attention from the operation of our business, which could have a negative effect on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from time to time, government and/or quasi-governmental agencies may investigate the safety of caffeine and other ingredients in energy drinks as well as the safety and potential adverse effects of alcohol beverages. If an inquiry by a state attorney general or other government or quasi-governmental agency finds that our products, our protection of consumer data, and/or the production, advertising, marketing, promotion, labeling, ingredients, usage and/or sale of such products are not in compliance with applicable laws or regulations, we may become subject to fines, product reformulations, container changes, changes in the usage or sale of our products and/or changes in our advertising, marketing, promotion, and data practices, each of which could have an adverse effect on our business, financial condition or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Litigation regarding our products and practices, and related unfavorable media attention, could expose us to significant liabilities and reduce demand for our products, thus negatively affecting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been and are a party, from time to time, to various litigation claims and legal proceedings, including, but not limited to, intellectual property, fraud, unfair business practices, false advertising, product liability, breach of contract claims, claims from prior distributors, labor and employment matters, personal injury matters, consumer class actions, securities actions, data protection matters, shareholder derivative actions, mediation, arbitration, and administrative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Other lawsuits have been filed against us claiming that certain statements made in our advertisements and/or on the labels of our products were false and/or misleading or otherwise not in compliance with food standards under local law, and/or that our products are not safe. Putative class action lawsuits have also been filed against certain of our competitors asserting that certain claims in their advertisements amount to false advertising. We do not believe any statements made by us in our promotional materials or set forth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product labels are false or misleading or noncompliant with local law, or that our products are in any way unsafe, and we vigorously defend such lawsuits.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acquisition of Monster Brewing Company also exposes us to class action or other private or governmental litigation and claims relating to alcohol marketing, advertising, or distribution practices, alcohol abuse problems or other health consequences arising from excessive consumption of or other misuse of alcohol, including death. For example, in a number of states, plaintiffs have alleged that alcohol beverage manufacturers and marketers have improperly targeted underage consumers in their advertising in violation of the consumer protection or deceptive trade practices statutes of certain states.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Any of the foregoing matters or other litigation, the threat thereof, or unfavorable media attention arising from pending or threatened product-related litigation related to our products or practices could consume significant financial and managerial resources and result in decreased demand for our products, significant monetary awards against us, an injunction barring the sale of any of our products and injury to our reputation.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If we encounter material product recalls, our business may suffer material losses and such recalls could damage our brand image and corporate reputation, also resulting in material losses.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been, and may in the future be, required from time to time to recall products entirely or from specific co-packers, markets, retailers or batches or reformulate certain of our products if such products become contaminated, damaged, mislabeled, defective or otherwise materially non-compliant with applicable regulatory requirements. For example, in recent years, we have experienced limited recalls of certain products in Canada, Europe, and the United States. A material product recall could adversely affect the availability of our products, our profitability, including the loss of product sales from the destruction of product inventory, and our brand image and corporate reputation. We do not maintain recall insurance.</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Intellectual Property, Information Technology and Data Privacy and Security Risks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Our intellectual property rights are critical to our success, and the loss of such rights could materially adversely affect our business.</w:t>
      </w:r>
    </w:p>
    <w:p>
      <w:pPr>
        <w:pStyle w:val="TextBody"/>
        <w:bidi w:val="0"/>
        <w:spacing w:before="0" w:after="20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parties will not infringe or misappropriate our trademarks, copyrights and similar proprietary rights. We also have been, and may in the future be, unable to use our trademarks, trade names or designs and/or trade dress in certain countries, which may impact sales of the affected brands and require increased expenditures, which could have an adverse effect on our business, financial condition or results of operations.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Our use of information technology exposes us to the risk of cybersecurity incidents and other costs and interruptions that could disrupt our business operations and adversely impact our reputation and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been, and may continue to be, the subject of cybersecurity incidents. We may be subject to further incidents in the future even if we appropriately allocate and effectively manage the resources necessary to build and sustain the proper technology infrastructure. Cybersecurity incidents may be difficult to detect for periods of time, and include, but are not limited to, malicious software (malware, ransomware and viruses), phishing and social engineering, attempts to gain unauthorized access to networks, computer systems and data, malicious or negligent actions of employees (including misuse of information they are entitled to access), cyber extortion, electronic or wire fraud, and business email compromise, among others. These cybersecurity incidents may be caused by failures during routine operations, such as inadvertent lack of system upgrades leading to unpatched vulnerabilities, user errors, network or hardware failures, malicious or disruptive software, unintentional or malicious actions of employees or contractors, as well as cybersecurity attacks by hackers, criminal groups or nation-state organizations. Due to the constant evolving nature and methods of security threats, we cannot predict the form and nature of any future cybersecurity incident, and the cost and operational expense of implementing, maintaining and enhancing protective measures to guard against increasingly complex and sophisticated cyber threats could increase significantly.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Cybersecurity incidents could lead to disruptions in or loss of access to our data or business systems; an inability to process customer orders or lost customer orders; unauthorized release of confidential, proprietary or otherwise protected information belonging to us or our employees, customers, consumers, partners, suppliers, or other third party service providers; lost revenues or other costs due to office, plant, production, warehouse or other facility disruption or shutdown; additional expenses, including the cost of remediating incidents or improving security measures, increased insurance costs, or ransomware payments; and corruption or destruction of data. Moreover, if our data management systems do not effectively collect, store, process and report relevant data for the operation of our business (such as due to a cybersecurity incident), our ability to effectively plan, forecast and execute our business plan and comply with applicable laws and regulations will be impaired, perhaps materially. We also may suffer reputational damage because of lost or misappropriated confidential or proprietary information belonging to us, or employees, customers, suppliers or other third-party service providers, which could result in legal action and increased regulatory oversight, including governmental inquiries, investigations, enforcement actions and regulatory fines. Any such consequences could materially and adversely affect our financial condition, results of operations and 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maintain cybersecurity insurance coverage that may, subject to the relevant policy’s terms and conditions, cover certain aspects of a breach or disruption, such insurance coverage may be insufficient to cover all losses that might arise from a cybersecurity incident or interruption.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upgrading our enterprise resource planning system, including implementing SAP S4 HANA with a planned go-live date of January 1, 2028, in order to improve operational efficiency, scalability, and overall business management. These upgrades involve personnel training, data migration, and potential security and stability risks, and any significant delays or failures could disrupt our business and negatively affect our operations and financial results.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Cybersecurity incidents, business interruptions and compliance issues experienced by third parties could materially and adversely affect our financial condition, results of operation and 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relationships with third parties, including suppliers, distributors, bottlers, contract packers, contractors, cloud data storage and other information technology service providers and other external business partners, for certain functions or for services in support of our operations. These third-party service providers and partners, with whom we may share data and operational systems, have, and could in the future, experience cybersecurity incidents. Third parties have experienced, and could in the future experience, challenges complying with laws and regulations, such as data protection requirements, and interruptions to business systems, disruption to operations, and employee failures. While we have procedures in place for selecting and managing our relationships with third-party service providers and other business partners, we do not have control over their business operations or governance and compliance systems, practices and procedures. Furthermore, our management of multiple third-party service providers increases our operational complexity. Third parties have and could in the future experience cybersecurity incidents that may involve data we share with them or rely on them to provide to us with respect to timely notification and access to personnel and information concerning an incident, which may complicate our efforts to resolve any issues that arise. Third parties on whom we rely for our business operations, products, and services have and could in the future experience cybersecurity incidents that may impede their ability to deliver or provide to us business operations, products, or services. As a result, we are subject to the risk that the activities associated with our third-party service providers and partners will adversely affect our business, even if the cybersecurity incident does not directly impact our systems or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these risks are also present in acquired businesses, joint ventures or companies that we invest in or with whom we partner and over which we do not yet, or will not have, direct control. Such businesses may use separate information systems or have not yet been fully integrated into our information systems.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If we fail to comply with data privacy and personal data protection laws and emerging cybersecurity laws, we could be subject to adverse publicity, government enforcement actions and/or private litigation, which may negatively impact our business and operating results.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receive, process, transmit and store information relating to certain identified or identifiable individuals (“personal data”), including customers, partners, and current and former employees, in the ordinary course of business. As a result, we are subject to various U.S. and international laws and regulations relating to personal data. These laws are subject to change, and new personal data or cybersecurity legislation and/or regulations may be enacted in other jurisdictions at any time. In the European Union, the General Data Protection Regulation (“GDPR”) includes operational requirements for companies within scope who receive or otherwise process personal data of residents of data subjects (which may not necessarily be limited to those who are residents of the European Union) and includes significant penalties for noncompliance. Additionally, privacy and data protection laws and regulations have been adopted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are being considered by various U.S. states. These laws and regulations impose operational requirements, including disclosures to consumers about personal data practices, opt-out and consent choices and required contractual terms with certain third parties, as well as obligations to provide notice to individuals, third parties, and/or regulators in the event of certain cybersecurity incidents involving personal data. In China, for instance, the Personal Information Protection Law also imposes requirements on the collection, use, and cross-border transfer of personal information, and noncompliance may result in penalties and operational restrictions.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laws and regulations, as well as changes and new laws and regulations that apply to personal data and cybersecurity practices, subject the Company to, among other things, additional costs and may require changes to our business practices, security systems, policies, and procedures. Inquiries from regulators and/or private litigation regarding our use and protection of personal data could harm our reputation, cause loss of consumer confidence, and subject us to government enforcement actions (including fines and injunctions), which may result in potential loss of revenue, increased costs, liability for monetary damages or fines and/or criminal prosecution, thereby negatively impacting our business and operating results.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Fluctuations in our effective tax rate could adversely affect our financial condition and results of operations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income and other taxes in both the U.S. and certain foreign jurisdictions. Therefore, we are subject to audits for multiple tax years in various jurisdictions at once.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 various stages of examination with certain states and certain foreign jurisdictions. Our 2022 through 2025 U.S. federal income tax returns are subject to examination by the IRS. Our state income tax returns are generally subject to examination for the 2021 through 2025 tax years. The United Kingdom and Ireland income tax returns are subject to examination for the 2021 through 2025 tax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any given time, events may occur which change our expectation about how any such tax audits will be resolved, and thus, there could be significant variability in our quarterly and/or annual tax rates, because these events may change our plans for uncertain tax positions.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U.S. tax laws as a result of legislation proposed by the U.S. presidential administration or U.S. Congress could affect our provision for income taxes, resulting in an adverse impact on our financial condition or results of operations. For example, on July 4, 2025, the One Big Beautiful Bill Act (the “OBBBA”), which includes a broad range of tax reform provisions, was enacted in the United States. We cannot guarantee that it will not affect our financial condition or results of operations in the future. In addition, changes in the manner in which U.S. multinational corporations are taxed on foreign earnings, including changes in how existing tax laws are interpreted or enforced, could adversely affect our financial condition or results of operations. For example, the Organization for Economic Cooperation and Development (“OECD”) has recommended changes to numerous long-standing international tax principles through its base erosion and profit shifting (“BEPS”) project and, as recently as early January 2026, has agreed upon an OECD BEPS global minimum tax framework. These changes, to the extent adopted, may increase tax uncertainty, result in higher compliance costs and adversely affect our provision for income taxes, results of operations and/or cash flow. In connection with the OECD’s BEPS project, companies are required to disclose more information to tax authorities on operations around the world, which may lead to greater audit scrutiny of profits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financial condition or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may be required to record a charge to earnings if our goodwill or intangible assets become impaired.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United States Generally Accepted Accounting Principles (“GAAP”), we are required to test our indefinite lived intangible assets and goodwill for impairment at least annually and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declining or slower than anticipated growth rates for certain of our existing products, a decline in stock price and market capitalization, and slower growth rates in our industry.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may be required to record a charge to earnings during the period in which we determine that our intangible assets have been impaired. Any such charge would adversely impact our results of operations. As of December 31, 2025, our goodwill totaled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approximately $1.33 billion and other intangible assets totaled approximately $1.38 billion. For the year ended December 31, 2025, we recorded $38.4 million of impairment charges related to certain finite-lived intangible assets in the Alcohol Brands segment.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Fluctuations in foreign currency exchange rates may adversely affect our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foreign currency exchange rate risk with respect to our sales, expenses, profits, assets and liabilities denominated in currencies other than the U.S. dollar. We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are, and may continue to be, affected by changes in foreign currency exchange rates. Moreover, any favorable impacts to profit margins or financial results from fluctuations in foreign currency exchange rates are likely to be unsustainable over time. The current relative strength of the U.S. dollar has impacted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2025, 2024 and 2023, aggregate foreign currency transaction gains (losses), including the gains or losses on forward currency exchange contracts, amounted to $(11.9) million, $(26.4) million and $(60.2)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Potential changes in accounting standards or practices and/or taxation may adversely affect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If we fail to maintain effective disclosure controls and procedures and internal control over financial reporting on a consolidated basis, our stock price and investor confidence in the Company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maintain both disclosure controls and procedures as well as internal control over financial reporting that are effective for the purposes described in “Part II, Item 9A – Controls and Procedures.” If we fail to maintain such controls and procedures, our business, results of operations, financial condition and/or the value of our stock could be materially harmed.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Uncertainty in the financial markets and other adverse changes in general economic or political conditions in any of the major countries in which we do business could adversely affect our industry,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Global economic uncertainties, including highly inflationary economies and foreign currency exchange rates and rising interest rates, affect businesses such as ours in a number of ways, making it difficult to accurately forecast and plan our future business activities. There can be no assurance that economic improvements will occur, would be sustainable, or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crises in African, Asian, Central and South American, European, Middle Eastern and other international markets. Moreover, geopolitical tensions have created, and may continue to create, supply chain and financial risk due to our reliance on aluminum for packaging and the potential for increased costs due to tariffs or shortages.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Unfavorable economic conditions and financial uncertainties, including economic slowdowns and recessions, and unstable political conditions, including civil unrest and governmental changes, in our major markets could undermine global consumer confidence and reduce consumers’ purchasing power, thereby reducing demand for our products. The U.S. federal government has shut down multiple times in recent years, in some cases for prolonged periods, and may shut down again in the future, which could significantly impact business and economic conditions. The foregoing also includes the impact of several elections worldwide and the resulting policy shifts, the impact of new policies implemented by the U.S. or other jurisdictions particularly with respect to tax and trade policies, including tariffs, and the impact of sanctions and related activities by the U.S., European Union, or other jurisdictions and any increased economic uncertainty and volatility in commodity prices that it 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Default by or failure of one or more of our counterparty financial institutions could cause us to incur significant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any hedging activities that we may conduct, we may enter into transactions involving derivative financial instruments, including forward contracts, commodity futures contracts, option contracts, collars and swaps, with various financial institutions. We also have significant amounts of cash, cash equivalents and other investments on deposit or in accounts with banks or other financial institutions both in the United States and abroad, exposing us to risk of default by or failure of such counterparty financial institutions. This risk of counterparty default or failure is greater during periods of economic downturn or uncertainty in financial markets. If one of our counterparties became insolvent or filed for bankruptcy, our ability to recover losses incurred due to the default or to retrieve assets deposited or held in accounts with such counterparty may be limited by the counterparty’s liquidity or applicable laws governing insolvency and bankruptcy proceedings. Default by or failure of one or more of our counterparties could cause us to incur significant losses and negatively impact our results of operations and financial condition.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Volatility of our stock price may restrict sale opportunities.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stock price is affected by a number of factors, including stockholder expectations, financial results, the introduction of new products by us and our competitors, general economic and market conditions such as inflation,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net income, or earnings per share. We may be unable to achieve analysts’ net revenue and/or earnings forecasts, which are based on their own projected revenues, sales volumes and sales mixes of many product types and/or new products, certain of which are more profitable than others, as well as their own estimates of gross margin and operating expenses. There can be no assurance that we will achieve any such projected levels or mix of product sales, revenues, gross margins, operating profits, net income and/or earnings per share.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2025, the high of our stock price was $78.31 and the low was $45.70.</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investments are subject to risks which may cause losses and affect the liquidity of such 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December 31, 2025, we had $2.09 billion in cash and cash equivalents, $677.1 million in short-term investments and $487.3 million in long-term investments, including commercial paper, certificates of deposit, municipal securities, U.S. treasuries and corporate bonds. Certain of these investments are subject to general credit, liquidity, market and interest rate risks. These risks associated with our investment portfolio may have an adverse effect on our future results of operations, liquidity and financial condition.</w:t>
      </w:r>
    </w:p>
    <w:p>
      <w:pPr>
        <w:pStyle w:val="TextBody"/>
        <w:bidi w:val="0"/>
        <w:spacing w:before="0" w:after="240"/>
        <w:ind w:left="0" w:right="0" w:hanging="0"/>
        <w:jc w:val="left"/>
        <w:rPr>
          <w:rFonts w:ascii="Times New Roman;Times;serif" w:hAnsi="Times New Roman;Times;serif"/>
          <w:b/>
          <w:sz w:val="20"/>
        </w:rPr>
      </w:pPr>
      <w:bookmarkStart w:id="29" w:name="ITEM1BUNRESOLVEDSTAFFCOMMENTS_224132"/>
      <w:bookmarkStart w:id="30" w:name="_9edb1d30_165c_4697_a7fd_e8c604ec69f2"/>
      <w:bookmarkEnd w:id="29"/>
      <w:bookmarkEnd w:id="30"/>
      <w:r>
        <w:rPr>
          <w:rFonts w:ascii="Times New Roman;Times;serif" w:hAnsi="Times New Roman;Times;serif"/>
          <w:b/>
          <w:i w:val="false"/>
          <w:caps w:val="false"/>
          <w:smallCaps w:val="false"/>
          <w:sz w:val="20"/>
        </w:rPr>
        <w:t>ITEM 1B.</w:t>
      </w:r>
      <w:r>
        <w:rPr>
          <w:rFonts w:ascii="Times New Roman;Times;serif" w:hAnsi="Times New Roman;Times;serif"/>
          <w:b/>
          <w:sz w:val="20"/>
        </w:rPr>
        <w:t>UNRESOLVED STAFF COMMENTS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31" w:name="ITEM1CCYBERSECURITY_492000"/>
      <w:bookmarkStart w:id="32" w:name="_9f0eb103_d7eb_4c14_88c0_740878147963"/>
      <w:bookmarkEnd w:id="31"/>
      <w:bookmarkEnd w:id="32"/>
      <w:r>
        <w:rPr>
          <w:rFonts w:ascii="Times New Roman;Times;serif" w:hAnsi="Times New Roman;Times;serif"/>
          <w:b/>
          <w:i w:val="false"/>
          <w:caps w:val="false"/>
          <w:smallCaps w:val="false"/>
          <w:sz w:val="20"/>
        </w:rPr>
        <w:t>ITEM 1C.</w:t>
      </w:r>
      <w:r>
        <w:rPr>
          <w:rFonts w:ascii="Times New Roman;Times;serif" w:hAnsi="Times New Roman;Times;serif"/>
          <w:b/>
          <w:sz w:val="20"/>
        </w:rPr>
        <w:t>CYBERSECURITY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recognizes the importance of maintaining the trust and confidence of our customers, consumers, employees, partners, and other stakeholders and oversees cybersecurity matters. Management plays a central role in our cybersecurity program, which is a critical component of our enterprise risk management and includes the implementation of controls generally aligned with industry best practices and applicable frameworks to identify threats, deter attacks and protect our Company assets. We also include cybersecurity training as part of our mandatory, periodic employee training program. In addition, we engage a range of cybersecurity experts, including cybersecurity auditors, assessors, and consultants, in evaluating and testing our security controls and processes. These partnerships enable us to leverage specialized knowledge and insights to align our cybersecurity strategies and processes with industry best practices. Our collaboration with these third parties includes regular audits, threat assessments, and consultations on potential security enhancements.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Chief Information Officer and his team are responsible for leading our cybersecurity strategy, policy, standards, architecture, and processes. Our cybersecurity leadership team has more than 40 years of combined experience in cyber and information security matters. Our cybersecurity program is also supported by our Chief Compliance Officer and other members of senior management. We conduct periodic reviews of our program by internal and external experts with the results of those reviews reported to senior management and the Board. Moreover, pursuant to our Audit Committee Charter, as amended and restated, the Audit Committee of our Board (the “Audit Committee”) reviews our cybersecurity matters with our Chief Information Officer at each of its quarterly meetings. We have procedures in place for addressing potential cybersecurity risks when selecting and managing our relationships with third-party service providers and other business partners. For example, we require certain third-party service providers and other business partners to provide us with SOC II reports that demonstrate alignment with data and cybersecurity standards. We also actively engage with industry participants as part of our continuing efforts to evolve our cybersecurity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cybersecurity team promptly informs our Incident Response Team of potentially material cybersecurity incidents, including with respect to such incidents involving our third-party service providers. The Chief Information Officer briefs our Chief Executive Officer and reports to the Audit Committee. The Audit Committee, in turn and if appropriate, briefs the Board on, among other matters, potentially material cybersecurity incidents, our cyber risks and threats, the status of projects to strengthen our enterprise systems (such as employee cybersecurity training), an assessment of the cybersecurity program, and the emerging threat landscape. The Cybersecurity and Compliance Steering Committee, comprised of senior members of management, convenes on a quarterly basis to review matters related to strengthening our cybersecurity posture and providing cybersecurity governance.</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0"/>
        </w:rPr>
        <w:t>As of the date of this filing, we have not identified any cybersecurity threats or incidents that have materially affected or are reasonably likely to materially affect our business strategy, results of operations, or financial condition. However, there can be no assurance that we, or our third-party service providers and other business partners, will not experience a cybersecurity threat or incident in the future that could materially adversely affect our business strategy, results of operations, or financial condition. For additional discussion regarding cybersecurity risks and potential related impacts on us, see “Part I, Item 1A – Risk Factors – Our use of information technology exposes us to the risk of cybersecurity incidents and other interruptions that could disrupt our business operations and adversely impact our reputation and results of operations,” “Cybersecurity incidents, business interruptions, and compliance issues experienced by third parties could</w:t>
      </w:r>
      <w:r>
        <w:rPr>
          <w:rFonts w:ascii="Times New Roman;Times;serif" w:hAnsi="Times New Roman;Times;serif"/>
          <w:sz w:val="22"/>
        </w:rPr>
        <w:t xml:space="preserve"> </w:t>
      </w:r>
      <w:r>
        <w:rPr>
          <w:rFonts w:ascii="Times New Roman;Times;serif" w:hAnsi="Times New Roman;Times;serif"/>
          <w:sz w:val="20"/>
        </w:rPr>
        <w:t>materially and adversely affect our financial condition, results of operation and cash flows” and “If we fail to comply with data privacy and personal data protection laws and emerging cybersecurity laws, we could be subject to adverse publicity, government enforcement actions and/or private litigation, which may negatively impact our business and operating results.”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3" w:name="ITEM2PROPERTIES_652488"/>
      <w:bookmarkStart w:id="34" w:name="_9ae7e2df_6245_43ce_8d7c_feb0dc54d92d"/>
      <w:bookmarkEnd w:id="33"/>
      <w:bookmarkEnd w:id="34"/>
      <w:r>
        <w:rPr>
          <w:rFonts w:ascii="Times New Roman;Times;serif" w:hAnsi="Times New Roman;Times;serif"/>
          <w:b/>
          <w:i w:val="false"/>
          <w:caps w:val="false"/>
          <w:smallCaps w:val="false"/>
          <w:sz w:val="20"/>
        </w:rPr>
        <w:t>ITEM 2.</w:t>
      </w:r>
      <w:r>
        <w:rPr>
          <w:rFonts w:ascii="Times New Roman;Times;serif" w:hAnsi="Times New Roman;Times;serif"/>
          <w:b/>
          <w:sz w:val="20"/>
        </w:rPr>
        <w:t>PROPERTIES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February 13, 2026, our principal properties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owned corporate headquarters located in Corona, California, consist of (i) a free-standing, six-story building (LEED Gold and ENERGY STAR certified), (ii) a three-story parking structure and storage facility, which houses our quality control laboratory, (iii) a</w:t>
            </w:r>
            <w:r>
              <w:rPr>
                <w:caps w:val="false"/>
                <w:smallCaps w:val="false"/>
              </w:rPr>
              <w:t xml:space="preserve"> </w:t>
            </w:r>
            <w:r>
              <w:rPr>
                <w:rFonts w:ascii="Tms Rmn" w:hAnsi="Tms Rmn"/>
                <w:b w:val="false"/>
                <w:i w:val="false"/>
                <w:caps w:val="false"/>
                <w:smallCaps w:val="false"/>
                <w:sz w:val="20"/>
              </w:rPr>
              <w:t>free-standing, three-story building (currently pursuing ENERGY STAR certification</w:t>
            </w:r>
            <w:r>
              <w:rPr>
                <w:rFonts w:ascii="Times New Roman;Times;serif" w:hAnsi="Times New Roman;Times;serif"/>
                <w:b w:val="false"/>
                <w:i w:val="false"/>
                <w:caps w:val="false"/>
                <w:smallCaps w:val="false"/>
                <w:sz w:val="20"/>
              </w:rPr>
              <w:t>), (iv) a free-standing, single-story building and (v) a free-standing, two-story building;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Southern California warehouse and distribution center is located in Rialto, California, which is LEED certified;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beverage production facilities in Phoenix, Arizona, and Norwalk, California, where we manufacture certain of our energy drink products;</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two owned office buildings located in Uxbridge, United Kingdom;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plants and adjoining land in Athy, County Kildare, Ireland, which produces certain ingredients, including flavors, for certain of our international markets;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production facility in San Fernando, California, which produces certain ingredients, including flavors, for our U.S. market and certain of our international markets. </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we lease many smaller office and/or warehouse/manufacturing spaces, both domestically and in certain international locations.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5" w:name="ITEM3LEGALPROCEEDINGS_355230"/>
      <w:bookmarkStart w:id="36" w:name="_0da21ee9_5fe9_4bfd_a9bd_db5a7e9ef630"/>
      <w:bookmarkEnd w:id="35"/>
      <w:bookmarkEnd w:id="36"/>
      <w:r>
        <w:rPr>
          <w:rFonts w:ascii="Times New Roman;Times;serif" w:hAnsi="Times New Roman;Times;serif"/>
          <w:b/>
          <w:i w:val="false"/>
          <w:caps w:val="false"/>
          <w:smallCaps w:val="false"/>
          <w:sz w:val="20"/>
        </w:rPr>
        <w:t>ITEM 3.</w:t>
      </w:r>
      <w:r>
        <w:rPr>
          <w:rFonts w:ascii="Times New Roman;Times;serif" w:hAnsi="Times New Roman;Times;serif"/>
          <w:b/>
          <w:sz w:val="20"/>
        </w:rPr>
        <w:t>LEGAL PROCEEDINGS</w:t>
      </w:r>
    </w:p>
    <w:p>
      <w:pPr>
        <w:pStyle w:val="TextBody"/>
        <w:bidi w:val="0"/>
        <w:spacing w:before="0" w:after="240"/>
        <w:ind w:left="0" w:right="0" w:firstLine="720"/>
        <w:jc w:val="both"/>
        <w:rPr>
          <w:rFonts w:ascii="Tms Rmn" w:hAnsi="Tms Rmn"/>
          <w:sz w:val="20"/>
        </w:rPr>
      </w:pPr>
      <w:r>
        <w:rPr>
          <w:rFonts w:ascii="Tms Rmn" w:hAnsi="Tms Rmn"/>
          <w:sz w:val="20"/>
        </w:rPr>
        <w:t>From time to time in the normal course of business, the Company is named in litigation, including mediation, arbitration, administrative proceedings, labor and employment matters, personal injury matters, consumer class actions, intellectual property matters, data privacy matters, and claims, including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evaluates, on a quarterly basis, developments in legal proceedings and other matters that could cause an increase or decrease in the amount of the liability that is accrued, if any, and any related insurance reimbursements. As of December 31, 2025 and 2024, $36.2 million and $16.8 million, respectively, of loss contingencies were included in the Company’s accompanying consolidated balance sheets.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37" w:name="ITEM4MINESAFETYDISCLOSURES_9150"/>
      <w:bookmarkStart w:id="38" w:name="_66e6fc82_28f2_4c51_ad70_eddf061408e7"/>
      <w:bookmarkEnd w:id="37"/>
      <w:bookmarkEnd w:id="38"/>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 w:name="PARTII_361980"/>
      <w:bookmarkStart w:id="40" w:name="_4c7bfd5e_1abd_40ab_bc2a_d69aab124c2c"/>
      <w:bookmarkEnd w:id="39"/>
      <w:bookmarkEnd w:id="40"/>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41" w:name="ITEM5MARKETFORTHEREGISTRANTSCOMMONEQUITY"/>
      <w:bookmarkEnd w:id="41"/>
      <w:r>
        <w:rPr>
          <w:rFonts w:ascii="Times New Roman;Times;serif" w:hAnsi="Times New Roman;Times;serif"/>
          <w:b/>
          <w:i w:val="false"/>
          <w:caps w:val="false"/>
          <w:smallCaps w:val="false"/>
          <w:sz w:val="20"/>
        </w:rPr>
        <w:t>ITEM 5.</w:t>
      </w:r>
      <w:r>
        <w:rPr>
          <w:rFonts w:ascii="Times New Roman;Times;serif" w:hAnsi="Times New Roman;Times;serif"/>
          <w:b/>
          <w:sz w:val="20"/>
        </w:rPr>
        <w:t>MARKET FOR THE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Principal Market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common stock trades on the Nasdaq Global Select Market under the symbol, “MNST”. As of February 13, 2026, there were 978,270,734 shares of the Company’s common stock outstanding held by approximately 185 holders of record. The holders of record do not include those stockholders whose shares are held of record by banks, brokers and other financial institutions.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Price and Dividend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paid cash dividends to our stockholders since our inception and do not anticipate paying cash dividends in the foreseeable future.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 Repurchase Programs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year ended December 31, 2025, no shares were repurchased under the August 2024 Repurchase Plan. As of February 26, 2026, $500.0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February 26,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2025, 1.5 million shares of common stock were purchased from employees in lieu of cash payments for options exercised or withholding taxes due for a total amount of $103.6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tabular summary reflects the Company’s repurchase activity during the quarter ended December 31, 2025.</w:t>
      </w:r>
    </w:p>
    <w:tbl>
      <w:tblPr>
        <w:tblW w:w="9339" w:type="dxa"/>
        <w:jc w:val="left"/>
        <w:tblInd w:w="0" w:type="dxa"/>
        <w:tblLayout w:type="fixed"/>
        <w:tblCellMar>
          <w:top w:w="0" w:type="dxa"/>
          <w:left w:w="0" w:type="dxa"/>
          <w:bottom w:w="0" w:type="dxa"/>
          <w:right w:w="0" w:type="dxa"/>
        </w:tblCellMar>
      </w:tblPr>
      <w:tblGrid>
        <w:gridCol w:w="1921"/>
        <w:gridCol w:w="346"/>
        <w:gridCol w:w="1231"/>
        <w:gridCol w:w="346"/>
        <w:gridCol w:w="332"/>
        <w:gridCol w:w="899"/>
        <w:gridCol w:w="346"/>
        <w:gridCol w:w="1576"/>
        <w:gridCol w:w="346"/>
        <w:gridCol w:w="383"/>
        <w:gridCol w:w="1613"/>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19835" cy="175260"/>
                      <wp:effectExtent l="0" t="0" r="0" b="0"/>
                      <wp:wrapNone/>
                      <wp:docPr id="11" name="Frame9"/>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2"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81685" cy="175260"/>
                      <wp:effectExtent l="0" t="0" r="0" b="0"/>
                      <wp:wrapNone/>
                      <wp:docPr id="13" name="Frame1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4"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0820" cy="175260"/>
                      <wp:effectExtent l="0" t="0" r="0" b="0"/>
                      <wp:wrapNone/>
                      <wp:docPr id="15" name="Frame1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70865" cy="175260"/>
                      <wp:effectExtent l="0" t="0" r="0" b="0"/>
                      <wp:wrapNone/>
                      <wp:docPr id="16" name="Frame1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7"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000760" cy="175260"/>
                      <wp:effectExtent l="0" t="0" r="0" b="0"/>
                      <wp:wrapNone/>
                      <wp:docPr id="18" name="Frame1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19"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43205" cy="175260"/>
                      <wp:effectExtent l="0" t="0" r="0" b="0"/>
                      <wp:wrapNone/>
                      <wp:docPr id="20" name="Frame1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024255" cy="175260"/>
                      <wp:effectExtent l="0" t="0" r="0" b="0"/>
                      <wp:wrapNone/>
                      <wp:docPr id="21" name="Frame19"/>
                      <a:graphic xmlns:a="http://schemas.openxmlformats.org/drawingml/2006/main">
                        <a:graphicData uri="http://schemas.microsoft.com/office/word/2010/wordprocessingShape">
                          <wps:wsp>
                            <wps:cNvSpPr txBox="1"/>
                            <wps:spPr>
                              <a:xfrm>
                                <a:off x="0" y="0"/>
                                <a:ext cx="1024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Maximum Number (or</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Approximate Dollar</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Total Number of</w:t>
            </w:r>
          </w:p>
        </w:tc>
        <w:tc>
          <w:tcPr>
            <w:tcW w:w="346" w:type="dxa"/>
            <w:tcBorders/>
            <w:vAlign w:val="center"/>
          </w:tcPr>
          <w:p>
            <w:pPr>
              <w:pStyle w:val="TableContents"/>
              <w:bidi w:val="0"/>
              <w:spacing w:before="0" w:after="1"/>
              <w:ind w:left="0" w:right="0" w:hanging="0"/>
              <w:jc w:val="left"/>
              <w:rPr/>
            </w:pPr>
            <w:r>
              <w:rPr/>
              <w:t>​</w:t>
            </w:r>
          </w:p>
        </w:tc>
        <w:tc>
          <w:tcPr>
            <w:tcW w:w="199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Value) of Shares that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Shares Purchased</w:t>
            </w:r>
          </w:p>
        </w:tc>
        <w:tc>
          <w:tcPr>
            <w:tcW w:w="346" w:type="dxa"/>
            <w:tcBorders/>
            <w:vAlign w:val="center"/>
          </w:tcPr>
          <w:p>
            <w:pPr>
              <w:pStyle w:val="TableContents"/>
              <w:bidi w:val="0"/>
              <w:spacing w:before="0" w:after="1"/>
              <w:ind w:left="0" w:right="0" w:hanging="0"/>
              <w:jc w:val="left"/>
              <w:rPr/>
            </w:pPr>
            <w:r>
              <w:rPr/>
              <w:t>​</w:t>
            </w:r>
          </w:p>
        </w:tc>
        <w:tc>
          <w:tcPr>
            <w:tcW w:w="199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May Yet Be Purchased</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as Part of Publicly</w:t>
            </w:r>
          </w:p>
        </w:tc>
        <w:tc>
          <w:tcPr>
            <w:tcW w:w="346" w:type="dxa"/>
            <w:tcBorders/>
            <w:vAlign w:val="center"/>
          </w:tcPr>
          <w:p>
            <w:pPr>
              <w:pStyle w:val="TableContents"/>
              <w:bidi w:val="0"/>
              <w:spacing w:before="0" w:after="1"/>
              <w:ind w:left="0" w:right="0" w:hanging="0"/>
              <w:jc w:val="left"/>
              <w:rPr/>
            </w:pPr>
            <w:r>
              <w:rPr/>
              <w:t>​</w:t>
            </w:r>
          </w:p>
        </w:tc>
        <w:tc>
          <w:tcPr>
            <w:tcW w:w="199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Under the Plans or</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46" w:type="dxa"/>
            <w:tcBorders/>
            <w:vAlign w:val="center"/>
          </w:tcPr>
          <w:p>
            <w:pPr>
              <w:pStyle w:val="TableContents"/>
              <w:bidi w:val="0"/>
              <w:spacing w:before="0" w:after="1"/>
              <w:ind w:left="0" w:right="0" w:hanging="0"/>
              <w:jc w:val="left"/>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 Price</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Announced Plans</w:t>
            </w:r>
          </w:p>
        </w:tc>
        <w:tc>
          <w:tcPr>
            <w:tcW w:w="346" w:type="dxa"/>
            <w:tcBorders/>
            <w:vAlign w:val="center"/>
          </w:tcPr>
          <w:p>
            <w:pPr>
              <w:pStyle w:val="TableContents"/>
              <w:bidi w:val="0"/>
              <w:spacing w:before="0" w:after="1"/>
              <w:ind w:left="0" w:right="0" w:hanging="0"/>
              <w:jc w:val="left"/>
              <w:rPr/>
            </w:pPr>
            <w:r>
              <w:rPr/>
              <w:t>​</w:t>
            </w:r>
          </w:p>
        </w:tc>
        <w:tc>
          <w:tcPr>
            <w:tcW w:w="199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Programs</w:t>
            </w:r>
          </w:p>
        </w:tc>
      </w:tr>
      <w:tr>
        <w:trPr/>
        <w:tc>
          <w:tcPr>
            <w:tcW w:w="19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Period</w:t>
            </w:r>
          </w:p>
        </w:tc>
        <w:tc>
          <w:tcPr>
            <w:tcW w:w="346" w:type="dxa"/>
            <w:tcBorders/>
            <w:vAlign w:val="center"/>
          </w:tcPr>
          <w:p>
            <w:pPr>
              <w:pStyle w:val="TableContents"/>
              <w:bidi w:val="0"/>
              <w:spacing w:before="0" w:after="1"/>
              <w:ind w:left="0" w:right="0" w:hanging="0"/>
              <w:jc w:val="left"/>
              <w:rPr/>
            </w:pPr>
            <w:r>
              <w:rPr/>
              <w:t>  ​ ​ ​</w:t>
            </w:r>
          </w:p>
        </w:tc>
        <w:tc>
          <w:tcPr>
            <w:tcW w:w="123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20"/>
              </w:rPr>
              <w:t>Purchased</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46" w:type="dxa"/>
            <w:tcBorders/>
            <w:vAlign w:val="center"/>
          </w:tcPr>
          <w:p>
            <w:pPr>
              <w:pStyle w:val="TableContents"/>
              <w:bidi w:val="0"/>
              <w:spacing w:before="0" w:after="1"/>
              <w:ind w:left="0" w:right="0" w:hanging="0"/>
              <w:jc w:val="left"/>
              <w:rPr/>
            </w:pPr>
            <w:r>
              <w:rPr/>
              <w:t>  ​ ​ ​</w:t>
            </w:r>
          </w:p>
        </w:tc>
        <w:tc>
          <w:tcPr>
            <w:tcW w:w="157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20"/>
              </w:rPr>
              <w:t>or Programs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  ​ ​ ​</w:t>
            </w:r>
          </w:p>
        </w:tc>
        <w:tc>
          <w:tcPr>
            <w:tcW w:w="1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 thousands)</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Oct 1 – Oct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67.53</w:t>
            </w:r>
          </w:p>
        </w:tc>
        <w:tc>
          <w:tcPr>
            <w:tcW w:w="346"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 1 – Nov 30, 2025</w:t>
            </w:r>
          </w:p>
        </w:tc>
        <w:tc>
          <w:tcPr>
            <w:tcW w:w="34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812,753</w:t>
            </w:r>
          </w:p>
        </w:tc>
        <w:tc>
          <w:tcPr>
            <w:tcW w:w="34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73.45</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 1 – Dec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2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813,224</w:t>
            </w:r>
          </w:p>
        </w:tc>
        <w:tc>
          <w:tcPr>
            <w:tcW w:w="346" w:type="dxa"/>
            <w:tcBorders/>
            <w:vAlign w:val="center"/>
          </w:tcPr>
          <w:p>
            <w:pPr>
              <w:pStyle w:val="TableContents"/>
              <w:bidi w:val="0"/>
              <w:spacing w:before="0" w:after="1"/>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73.44</w:t>
            </w:r>
          </w:p>
        </w:tc>
        <w:tc>
          <w:tcPr>
            <w:tcW w:w="346" w:type="dxa"/>
            <w:tcBorders/>
            <w:vAlign w:val="center"/>
          </w:tcPr>
          <w:p>
            <w:pPr>
              <w:pStyle w:val="TableContents"/>
              <w:bidi w:val="0"/>
              <w:spacing w:before="0" w:after="1"/>
              <w:ind w:left="0" w:right="0" w:hanging="0"/>
              <w:jc w:val="left"/>
              <w:rPr/>
            </w:pPr>
            <w:r>
              <w:rPr/>
              <w:t> </w:t>
            </w:r>
          </w:p>
        </w:tc>
        <w:tc>
          <w:tcPr>
            <w:tcW w:w="15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1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500,000</w:t>
            </w:r>
          </w:p>
        </w:tc>
      </w:tr>
    </w:tbl>
    <w:p>
      <w:pPr>
        <w:pStyle w:val="TextBody"/>
        <w:bidi w:val="0"/>
        <w:spacing w:before="0" w:after="240"/>
        <w:ind w:left="0" w:right="0" w:hanging="0"/>
        <w:jc w:val="both"/>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The total number of shares purchased includes (1) shares repurchased, if any, pursuant to the August 2024 Repurchase Plan and (2) shares repurchased, if any, to satisfy exercise price and/or tax withholding obligations in connection with exercises of employee stock options and/or the vesting of restricted stock issued to employees.</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On August 19, 2024, the Company publicly announced that its Board of Directors authorized the August 2024 Repurchase Plan. Board authorization of the repurchase plan remains in effect until shares in the amount authorized thereunder have been repurchased.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information concerning shares of the Company’s Common Stock authorized for issuance under the Company’s equity compensation plans, see “Item 12. Security Ownership of Certain Beneficial Owners and Management and Related Stockholder Matters.”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Performance Graph</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following graph shows a five-year comparison of cumulative total returns:</w:t>
      </w:r>
      <w:r>
        <w:rPr>
          <w:rFonts w:ascii="Times New Roman;Times;serif" w:hAnsi="Times New Roman;Times;serif"/>
          <w:sz w:val="15"/>
        </w:rPr>
        <w:t>1</w:t>
      </w:r>
    </w:p>
    <w:p>
      <w:pPr>
        <w:pStyle w:val="TextBody"/>
        <w:bidi w:val="0"/>
        <w:spacing w:before="0" w:after="240"/>
        <w:ind w:left="0" w:right="0" w:firstLine="720"/>
        <w:jc w:val="both"/>
        <w:rPr/>
      </w:pPr>
      <w:r>
        <w:rPr/>
        <w:t>​</w:t>
      </w:r>
    </w:p>
    <w:p>
      <w:pPr>
        <w:pStyle w:val="TextBody"/>
        <w:bidi w:val="0"/>
        <w:spacing w:before="0" w:after="0"/>
        <w:ind w:left="0" w:right="0" w:hanging="0"/>
        <w:jc w:val="center"/>
        <w:rPr/>
      </w:pPr>
      <w:r>
        <w:rPr/>
        <w:drawing>
          <wp:inline distT="0" distB="0" distL="0" distR="0">
            <wp:extent cx="4580890" cy="332867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4580890" cy="3328670"/>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Annual return assumes reinvestment of dividends. Cumulative total return assumes an initial investment of $100 on December 31, 2020. The Company’s self-selected peer group is comprised of TCCC, Keurig Dr. Pepper Inc., Constellation Brands, Inc., Molson Coors Beverage Company and PepsiCo, Inc.</w:t>
      </w:r>
    </w:p>
    <w:p>
      <w:pPr>
        <w:pStyle w:val="TextBody"/>
        <w:bidi w:val="0"/>
        <w:spacing w:before="0" w:after="0"/>
        <w:ind w:left="0" w:right="0" w:hanging="0"/>
        <w:jc w:val="left"/>
        <w:rPr>
          <w:rFonts w:ascii="Times New Roman;Times;serif" w:hAnsi="Times New Roman;Times;serif"/>
          <w:sz w:val="20"/>
        </w:rPr>
      </w:pPr>
      <w:bookmarkStart w:id="42" w:name="ITEM6SELECTEDFINANCIALDATA_497581"/>
      <w:bookmarkStart w:id="43" w:name="_a15408aa_5c7d_4c09_9144_a4defc040bc8"/>
      <w:bookmarkEnd w:id="42"/>
      <w:bookmarkEnd w:id="43"/>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44" w:name="ITEM7MANAGEMENTSDISCUSSIONANDANALYSISOFF"/>
      <w:bookmarkStart w:id="45" w:name="_1a7afcd4_b261_41fb_a4d6_3e83e84ccbe6"/>
      <w:bookmarkEnd w:id="44"/>
      <w:bookmarkEnd w:id="45"/>
      <w:r>
        <w:rPr>
          <w:rFonts w:ascii="Times New Roman;Times;serif" w:hAnsi="Times New Roman;Times;serif"/>
          <w:b/>
          <w:i w:val="false"/>
          <w:caps w:val="false"/>
          <w:smallCaps w:val="false"/>
          <w:sz w:val="20"/>
        </w:rPr>
        <w:t>ITEM 7.</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overview provides our perspective on the individual sections of MD&amp;A. MD&amp;A includes the following sections:</w:t>
      </w:r>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Pricing Actions </w:t>
            </w:r>
            <w:r>
              <w:rPr>
                <w:caps w:val="false"/>
                <w:smallCaps w:val="false"/>
              </w:rPr>
              <w:t xml:space="preserve">– </w:t>
            </w:r>
            <w:r>
              <w:rPr>
                <w:rFonts w:ascii="Times New Roman;Times;serif" w:hAnsi="Times New Roman;Times;serif"/>
                <w:b w:val="false"/>
                <w:i w:val="false"/>
                <w:caps w:val="false"/>
                <w:smallCaps w:val="false"/>
                <w:sz w:val="20"/>
              </w:rPr>
              <w:t>a discussion of certain pricing actions implemented during 2025 and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Business</w:t>
            </w:r>
            <w:r>
              <w:rPr>
                <w:caps w:val="false"/>
                <w:smallCaps w:val="false"/>
              </w:rPr>
              <w:t xml:space="preserve"> – </w:t>
            </w:r>
            <w:r>
              <w:rPr>
                <w:rFonts w:ascii="Times New Roman;Times;serif" w:hAnsi="Times New Roman;Times;serif"/>
                <w:b w:val="false"/>
                <w:i w:val="false"/>
                <w:caps w:val="false"/>
                <w:smallCaps w:val="false"/>
                <w:sz w:val="20"/>
              </w:rPr>
              <w:t>a general description of our business, the value drivers of our business, and opportunities and risks facing our Company, stock repurchases, acquisitions and divestitures;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Results of Operations</w:t>
            </w:r>
            <w:r>
              <w:rPr>
                <w:caps w:val="false"/>
                <w:smallCaps w:val="false"/>
              </w:rPr>
              <w:t xml:space="preserve"> – </w:t>
            </w:r>
            <w:r>
              <w:rPr>
                <w:rFonts w:ascii="Times New Roman;Times;serif" w:hAnsi="Times New Roman;Times;serif"/>
                <w:b w:val="false"/>
                <w:i w:val="false"/>
                <w:caps w:val="false"/>
                <w:smallCaps w:val="false"/>
                <w:sz w:val="20"/>
              </w:rPr>
              <w:t>an analysis of our consolidated results of operations for the years ended December 31, 2025 and 2024;</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Sales</w:t>
            </w:r>
            <w:r>
              <w:rPr>
                <w:caps w:val="false"/>
                <w:smallCaps w:val="false"/>
              </w:rPr>
              <w:t xml:space="preserve"> – </w:t>
            </w:r>
            <w:r>
              <w:rPr>
                <w:rFonts w:ascii="Times New Roman;Times;serif" w:hAnsi="Times New Roman;Times;serif"/>
                <w:b w:val="false"/>
                <w:i w:val="false"/>
                <w:caps w:val="false"/>
                <w:smallCaps w:val="false"/>
                <w:sz w:val="20"/>
              </w:rPr>
              <w:t>details of our sales measured on a quarterly basis in both dollars and cases;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Inflation</w:t>
            </w:r>
            <w:r>
              <w:rPr>
                <w:caps w:val="false"/>
                <w:smallCaps w:val="false"/>
              </w:rPr>
              <w:t xml:space="preserve"> – </w:t>
            </w:r>
            <w:r>
              <w:rPr>
                <w:rFonts w:ascii="Times New Roman;Times;serif" w:hAnsi="Times New Roman;Times;serif"/>
                <w:b w:val="false"/>
                <w:i w:val="false"/>
                <w:caps w:val="false"/>
                <w:smallCaps w:val="false"/>
                <w:sz w:val="20"/>
              </w:rPr>
              <w:t>information about the impact that inflation may or may not have on our results;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Liquidity and Capital Resources</w:t>
            </w:r>
            <w:r>
              <w:rPr>
                <w:caps w:val="false"/>
                <w:smallCaps w:val="false"/>
              </w:rPr>
              <w:t xml:space="preserve"> – </w:t>
            </w:r>
            <w:r>
              <w:rPr>
                <w:rFonts w:ascii="Times New Roman;Times;serif" w:hAnsi="Times New Roman;Times;serif"/>
                <w:b w:val="false"/>
                <w:i w:val="false"/>
                <w:caps w:val="false"/>
                <w:smallCaps w:val="false"/>
                <w:sz w:val="20"/>
              </w:rPr>
              <w:t>an analysis of our cash flows, sources and uses of cash and contractual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Accounting Policies and Pronouncements</w:t>
            </w:r>
            <w:r>
              <w:rPr>
                <w:caps w:val="false"/>
                <w:smallCaps w:val="false"/>
              </w:rPr>
              <w:t xml:space="preserve"> – </w:t>
            </w:r>
            <w:r>
              <w:rPr>
                <w:rFonts w:ascii="Times New Roman;Times;serif" w:hAnsi="Times New Roman;Times;serif"/>
                <w:b w:val="false"/>
                <w:i w:val="false"/>
                <w:caps w:val="false"/>
                <w:smallCaps w:val="false"/>
                <w:sz w:val="20"/>
              </w:rPr>
              <w:t>a discussion of accounting policies that require critical judgments and estimates including newly issued accounting pronouncements;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Forward-Looking Statements</w:t>
            </w:r>
            <w:r>
              <w:rPr>
                <w:caps w:val="false"/>
                <w:smallCaps w:val="false"/>
              </w:rPr>
              <w:t xml:space="preserve"> – </w:t>
            </w:r>
            <w:r>
              <w:rPr>
                <w:rFonts w:ascii="Times New Roman;Times;serif" w:hAnsi="Times New Roman;Times;serif"/>
                <w:b w:val="false"/>
                <w:i w:val="false"/>
                <w:caps w:val="false"/>
                <w:smallCaps w:val="false"/>
                <w:sz w:val="20"/>
              </w:rPr>
              <w:t>cautionary information about forward-looking statements and a description of certain risks and uncertainties that could cause our actual results to differ materially from the Company’s historical results or our current expectations or projections;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Market Risks</w:t>
            </w:r>
            <w:r>
              <w:rPr>
                <w:caps w:val="false"/>
                <w:smallCaps w:val="false"/>
              </w:rPr>
              <w:t xml:space="preserve"> – </w:t>
            </w:r>
            <w:r>
              <w:rPr>
                <w:rFonts w:ascii="Times New Roman;Times;serif" w:hAnsi="Times New Roman;Times;serif"/>
                <w:b w:val="false"/>
                <w:i w:val="false"/>
                <w:caps w:val="false"/>
                <w:smallCaps w:val="false"/>
                <w:sz w:val="20"/>
              </w:rPr>
              <w:t>information about market risks and risk management. (See “Forward-Looking Statements” and “Part II, Item 7A – Qualitative and Quantitative Disclosures about Market Risk”).</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Pricing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price increases in the fourth quarters of fiscal years 2025 and 2024 (for core brands and packages) in the United States and at various times in certain international markets during 2025 and 2024 (collectively, the “Pricing Actions”). The Pricing Actions positively impacted gross profit margins in 2025 as compared to 2024.</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filing, we expect to maintain sufficient liquidity as described in the “Liquidity and Capital Resources” section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Business</w:t>
      </w:r>
    </w:p>
    <w:p>
      <w:pPr>
        <w:pStyle w:val="TextBody"/>
        <w:bidi w:val="0"/>
        <w:spacing w:before="0" w:after="240"/>
        <w:ind w:left="72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tbl>
      <w:tblPr>
        <w:tblW w:w="5403" w:type="dxa"/>
        <w:jc w:val="left"/>
        <w:tblInd w:w="0" w:type="dxa"/>
        <w:tblLayout w:type="fixed"/>
        <w:tblCellMar>
          <w:top w:w="0" w:type="dxa"/>
          <w:left w:w="0" w:type="dxa"/>
          <w:bottom w:w="0" w:type="dxa"/>
          <w:right w:w="0" w:type="dxa"/>
        </w:tblCellMar>
      </w:tblPr>
      <w:tblGrid>
        <w:gridCol w:w="2146"/>
        <w:gridCol w:w="346"/>
        <w:gridCol w:w="2911"/>
      </w:tblGrid>
      <w:tr>
        <w:trPr/>
        <w:tc>
          <w:tcPr>
            <w:tcW w:w="2146" w:type="dxa"/>
            <w:tcBorders/>
            <w:vAlign w:val="center"/>
          </w:tcPr>
          <w:p>
            <w:pPr>
              <w:pStyle w:val="TableContents"/>
              <w:bidi w:val="0"/>
              <w:spacing w:before="0" w:after="0"/>
              <w:ind w:left="0" w:right="0" w:hanging="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Ultra®</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Rehab Monster®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Nitro</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Java Monster®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Punch Monster®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Juice Monster®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Total Body Fuel®</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NOS®</w:t>
            </w:r>
          </w:p>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Throttle®</w:t>
            </w:r>
          </w:p>
        </w:tc>
        <w:tc>
          <w:tcPr>
            <w:tcW w:w="346" w:type="dxa"/>
            <w:tcBorders/>
            <w:vAlign w:val="center"/>
          </w:tcPr>
          <w:p>
            <w:pPr>
              <w:pStyle w:val="TableContents"/>
              <w:bidi w:val="0"/>
              <w:spacing w:before="0" w:after="0"/>
              <w:ind w:left="0" w:right="0" w:hanging="0"/>
              <w:jc w:val="left"/>
              <w:rPr/>
            </w:pPr>
            <w:r>
              <w:rPr/>
              <w:t>  ​ ​ ​</w:t>
            </w:r>
          </w:p>
        </w:tc>
        <w:tc>
          <w:tcPr>
            <w:tcW w:w="2911" w:type="dxa"/>
            <w:tcBorders/>
            <w:vAlign w:val="center"/>
          </w:tcPr>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Mother®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Nalu®</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 Energy®</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Play® and Power Play® (stylized)</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Relentless®</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BPM®</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Samurai®</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Predator®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Fury®</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Beast® Tea, Blind Lemon®, Blinder Lemon</w:t>
      </w:r>
      <w:r>
        <w:rPr>
          <w:rFonts w:ascii="Times New Roman;Times;serif" w:hAnsi="Times New Roman;Times;serif"/>
          <w:sz w:val="15"/>
        </w:rPr>
        <w:t>TM</w:t>
      </w:r>
      <w:r>
        <w:rPr>
          <w:rFonts w:ascii="Times New Roman;Times;serif" w:hAnsi="Times New Roman;Times;serif"/>
          <w:sz w:val="20"/>
        </w:rPr>
        <w:t xml:space="preserve"> and other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of $8.29 billion for the year ended December 31, 2025 represented record annual net sales. Net changes in foreign currency exchange rates had an unfavorable impact on net sales of approximately $3.0 million for the year ended December 31, 2025. Net sales on a foreign currency adjusted basis increased 10.7%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vast majority of our net sales are derived from our Monster Energy® Drinks segment. Our Monster Energy® Drinks segment represented 92.4% and 91.6% of our net sales for the years ended December 31, 2025 and 2024, respectively. Our Strategic Brands segment represented 5.7% and 5.8% of our net sales for the years ended December 31, 2025 and 2024, respectively. Our Alcohol Brands segment represented 1.6% and 2.3% of our net sales for the years ended December 31, 2025 and 2024, respectively. Our Other segment represented 0.3% of our net sales for both years ended December 31, 2025 and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net sales in the Monster Energy® Drinks segment of approximately $2.5 million for the year ended December 31, 2025. Net changes in foreign currency exchange rates had an unfavorable impact on net sales in the Strategic Brands segment of approximately $0.5 million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strategy includes further developing our domestic markets and expanding our international business. Net sales to customers outside the United States were $3.44 billion and $2.96 billion for the years ended December 31, 2025 and 2024, respectively. Such sales were approximately 41% and 40% of net sales for the years ended December 31, 2025 and 2024, respectively. Net changes in foreign currency exchange rates had an unfavorable impact on net sales to customers outside of the United States of approximately $3.0 million for the year ended December 31, 2025. Net sales to customers outside the United States, on a foreign currency adjusted basis, increased 16.2%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are primarily full service beverage bottlers/distributors, retail grocery and specialty chains, wholesalers, club stores, mass merchandisers, convenience and gas chains, drug stores, foodservice customers, value stores, e-commerce retailers and the military. Our alcohol customers are primarily beer distributors who in turn sell to retailers within the alcohol distribution system. Percentages of our gross billings to our various customer types for the years ended December 31, 2025, 2024 and 2023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tbl>
      <w:tblPr>
        <w:tblW w:w="8302" w:type="dxa"/>
        <w:jc w:val="left"/>
        <w:tblInd w:w="0" w:type="dxa"/>
        <w:tblLayout w:type="fixed"/>
        <w:tblCellMar>
          <w:top w:w="0" w:type="dxa"/>
          <w:left w:w="0" w:type="dxa"/>
          <w:bottom w:w="0" w:type="dxa"/>
          <w:right w:w="0" w:type="dxa"/>
        </w:tblCellMar>
      </w:tblPr>
      <w:tblGrid>
        <w:gridCol w:w="5641"/>
        <w:gridCol w:w="346"/>
        <w:gridCol w:w="526"/>
        <w:gridCol w:w="346"/>
        <w:gridCol w:w="526"/>
        <w:gridCol w:w="346"/>
        <w:gridCol w:w="571"/>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582035" cy="175260"/>
                      <wp:effectExtent l="0" t="0" r="0" b="0"/>
                      <wp:wrapNone/>
                      <wp:docPr id="23" name="Frame20"/>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4"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34010" cy="175260"/>
                      <wp:effectExtent l="0" t="0" r="0" b="0"/>
                      <wp:wrapNone/>
                      <wp:docPr id="25" name="Frame2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6"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34010" cy="175260"/>
                      <wp:effectExtent l="0" t="0" r="0" b="0"/>
                      <wp:wrapNone/>
                      <wp:docPr id="27" name="Frame2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8"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62585" cy="175260"/>
                      <wp:effectExtent l="0" t="0" r="0" b="0"/>
                      <wp:wrapNone/>
                      <wp:docPr id="29" name="Frame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alcohol customers include Reyes Beverage Group, Ben E. Keith Company, J.J. Taylor Distributing, and Admiral Beverage Corporation.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ms Rmn" w:hAnsi="Tms Rmn"/>
          <w:sz w:val="20"/>
        </w:rPr>
        <w:t>Coca-Cola Europacific Partners accounted for approximately 15%, 14% and 13% of our net sales for the years ended December 31, 2025, 2024 and 2023, respectively.</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of our net sales for each of the years ended December 31, 2025, 2024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incur expenditures in connection with the development and introduction of new products and flavors.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Value Drivers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the key value drivers of our business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Growth</w:t>
            </w:r>
            <w:r>
              <w:rPr>
                <w:caps w:val="false"/>
                <w:smallCaps w:val="false"/>
              </w:rPr>
              <w:t xml:space="preserve"> – </w:t>
            </w:r>
            <w:r>
              <w:rPr>
                <w:rFonts w:ascii="Times New Roman;Times;serif" w:hAnsi="Times New Roman;Times;serif"/>
                <w:b w:val="false"/>
                <w:i w:val="false"/>
                <w:caps w:val="false"/>
                <w:smallCaps w:val="false"/>
                <w:sz w:val="20"/>
              </w:rPr>
              <w:t>The introduction, development and sustained profitability of our brands internationally remains a key value driver for our corporate growth. One or more of our products are distributed in approximately 158 countries and territories worldwide.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Profitable Growth</w:t>
            </w:r>
            <w:r>
              <w:rPr>
                <w:caps w:val="false"/>
                <w:smallCaps w:val="false"/>
              </w:rPr>
              <w:t xml:space="preserve"> – </w:t>
            </w:r>
            <w:r>
              <w:rPr>
                <w:rFonts w:ascii="Times New Roman;Times;serif" w:hAnsi="Times New Roman;Times;serif"/>
                <w:b w:val="false"/>
                <w:i w:val="false"/>
                <w:caps w:val="false"/>
                <w:smallCaps w:val="false"/>
                <w:sz w:val="20"/>
              </w:rPr>
              <w:t>We believe “functional” value-added beverage brands supported by marketing and innovation and targeted to a diverse consumer base, drive profitable growth. We are focused on increasing the profit margins for our Monster Energy® Drinks segment, our Strategic Brands segment and our Alcohol Brands segment, and believe that tailored branding, packaging, pricing and distribution channel strategies help achieve profitable growth. We are implementing these strategies with a view to continuing profitable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Cost Management</w:t>
            </w:r>
            <w:r>
              <w:rPr>
                <w:caps w:val="false"/>
                <w:smallCaps w:val="false"/>
              </w:rPr>
              <w:t xml:space="preserve"> – </w:t>
            </w:r>
            <w:r>
              <w:rPr>
                <w:rFonts w:ascii="Times New Roman;Times;serif" w:hAnsi="Times New Roman;Times;serif"/>
                <w:b w:val="false"/>
                <w:i w:val="false"/>
                <w:caps w:val="false"/>
                <w:smallCaps w:val="false"/>
                <w:sz w:val="20"/>
              </w:rPr>
              <w:t>The principal focus of cost management will continue to be on mitigating increases and/or reducing input procurement and production costs on a per-case basis, including raw material costs and co-packing fees, as well as reducing freight costs by securing additional co-packing facilities strategically localized. Another key area of focus is to decrease promotional allowances, selling and general and administrative costs, including sponsorships, sampling, promotional and marketing expenses, as a percentage of net sales.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Efficient Capital Structure</w:t>
            </w:r>
            <w:r>
              <w:rPr>
                <w:caps w:val="false"/>
                <w:smallCaps w:val="false"/>
              </w:rPr>
              <w:t xml:space="preserve"> – </w:t>
            </w:r>
            <w:r>
              <w:rPr>
                <w:rFonts w:ascii="Times New Roman;Times;serif" w:hAnsi="Times New Roman;Times;serif"/>
                <w:b w:val="false"/>
                <w:i w:val="false"/>
                <w:caps w:val="false"/>
                <w:smallCaps w:val="false"/>
                <w:sz w:val="20"/>
              </w:rPr>
              <w:t>Our capital structure is designed to optimize our working capital in order to finance expansion, both domestically and internationally. We believe that with our strong capital position, our ability to raise funds, if necessary, at a relatively low effective cost of borrowings, provides a competitive advantage. The reduction of days outstanding for accounts receivable and inventory days on hand will remain an area of focus.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believe that, subject to increases in the costs of certain raw materials being contained, these value drivers, when implemented and/or achieved in the United States and internationally, will result in: (1) improving or maintaining our product gross profit margins; (2) reducing our expenses as a percentage of net operating revenues; and (3) enhancing our cost of capital. The ultimate measure of success is and will be reflected in our current and future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gross profit, operating income, net income and net income per share represent key measurements of the above value drivers. These measurements will continue to be a key management focus in 2026 and beyond (See “Part II, Item 7 – Management’s Discussion and Analysis of Financial Condition and Results of Operations –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the Company had working capital of $3.91 billion compared to $2.54 billion as of December 31, 2024. The increase in working capital was primarily the result of the increase in cash and cash equivalents and short-term investments. For the year ended December 31, 2025, our net cash provided by operating activities was approximately $2.10 billion as compared to $1.93 billion for the year ended December 31, 2024. Principal uses of cash flows in 2025 were purchases of available-for-sale investments, property and equipment and payments on the Credit Facilities (as defined below). Principal uses of cash flows are expected to be purchases of investments, our common stock, and property and equipment, with these expected to remain our principal recurring use of cash and working capital funds in the foreseeable future (See “Part II, Item 7 – Management’s Discussion and Analysis of Financial Condition and Results of Operations – Liquidity and Capital Resources”).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Opportunities, Challenges and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Looking forward, our management has identified certain challenges and risks for the beverage industry and the Company, including our significant commercial relationship with TCCC and TCCC’s status as a significant stockholder of the Company, in each case as described above under “Part I, Item 1A – Risk Factors.”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legislation has been proposed and/or adopted at the U.S., state, county and/or municipal level and proposed and/or adopted in certain foreign jurisdictions to restrict the sale of energy and alcohol drinks (including prohibiting the sale of energy and/or alcohol drinks at certain establishments or pursuant to certain governmental programs), limit caffeine and/or alcohol content, require certain product labeling disclosures and/or warnings, impose taxes, limit product sizes or impose age restrictions for the sale of energy and/or alcohol drinks. In addition, articles critical of the caffeine content in energy drinks and their perceived benefits, or alcohol drinks and their misuse or abuse, as well as articles indicating certain health risks of energy and alcohol drinks have been published. The proposal and/or adoption of such legislation and the publication of such articles, or the future proposal and/or adoption of similar legislation or publication of similar articles, may adversely affect our Company.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Consumer discretionary spending also represents a challenge to the successful marketing and sale of our products.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Increases in consumer and regulatory awareness of the health problems arising from obesity and inactive lifestyles as well as alcohol consumption continue to represent a challenge.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that obesity and alcohol abuse and misuse are complex and serious public health problems. Our commitment to consumers begins with our broad product line and a wide selection of diet, light and low-calorie beverages within our product lines. We continuously strive to meet changing consumer needs through beverage innovation, choice and variety. (See “Part I, Item 1A –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historical success is attributable, in part, to our introduction of different and innovative energy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price, quality, method of distribution, brand image and intellectual property protection. The beverage industry is subject to changing consumer preferences that may adversely affect us if we misjudge such preferences.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other key challenges and risks that could impact our Company’s future financial results include, but are not limited to:</w:t>
      </w:r>
    </w:p>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the realization of benefits from our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profitable expansion and growth of our family of brands in the competitive market place (See “Part I, Item 1 – Business – Competition” and “Part I, Item 1 – Business – Sales and Marketing”);</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new subcategories within the energy and/or alcohol beverage sectors that we fail (or are late) to successfully react to;</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uncertainty in the United States, Europe and other countries in which we operate;</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foreign currency exchange rate fluctuations;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our brand image, product quality and corporate reputation;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concern over various environmental, human rights and health matters, including obesity, caffeine and/or alcohol consumption and energy and/or alcohol drinks generally, and changes in regulation and consumer preferences in response to those concerns;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establishing and promoting our brands internationally;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entering into new sectors in the beverage industry, in particular the alcohol beverage sector, and making acquisitions to implement our growth strategy;</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costs of raw materials used by us;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imports and sources of supply, duties or tariffs, changes in related government regulations and disruptions in the timely import or export of our products and/or ingredients including flavors, flavor ingredients and supplement ingredients, due to port strikes and/or port congestion, delays due to natural disasters, pandemics, related labor issues or other importation impediments;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existing intellectual property portfolio of trademarks and copyrights and our continuous pursuit to develop and protect new and innovative trademarks and copyrights for our expanding product lines;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available quantities of aluminum cans, other packaging materials and ingredients;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limitations on co-packing availability and in particular, consolidation in the co-packing industry; </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ocean and domestic fuel and freight rates;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additional regulations, including regulations restricting the sale of energy or alcohol drinks, limiting caffeine or alcohol content in beverages, requiring product labeling and/or warnings, imposing excise taxes and/or sales taxes, and/or limiting product size and/or age restrictions.</w:t>
            </w:r>
          </w:p>
        </w:tc>
      </w:tr>
    </w:tbl>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See “Part I, Item 1A – Risk Factors” and “Forward-Looking Statements” for additional information about risks and uncertainties facing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the following opportunities exist for us:</w:t>
      </w:r>
    </w:p>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and international growth potential of our products;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potential of the energy drink and alcohol beverage categories, both domestically and internationally;</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potential of the affordable energy drink category;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planned and future new product and product line introductions with the objective of increasing sales and/or contributing to higher profitability;</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package formats designed to generate strong revenue growth;</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package, pricing and channel opportunities to increase profitable growth;</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strategic positioning to capitalize on industry growth;</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broadening distribution/expansion opportunities in both domestic and international markets;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our existing and/or new products into new domestic and international markets and channels; and</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focus on reducing our cost base.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This section of the Annual Report on Form 10-K generally discusses 2025 and 2024 items and year-to-year comparisons between 2025 and 2024. A detailed discussion of 2023 items and year-to-year comparisons between 2024 and 2023 that are not included in this Annual Report on Form 10-K can be found in “Management’s Discussion and Analysis of Financial Condition and Results of Operations” in Part II, Item 7 of the Company’s Annual Report on Form 10-K for the fiscal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years ended December 31, 2025, 2024 and 2023, respectively.</w:t>
      </w:r>
    </w:p>
    <w:tbl>
      <w:tblPr>
        <w:tblW w:w="10205" w:type="dxa"/>
        <w:jc w:val="left"/>
        <w:tblInd w:w="0" w:type="dxa"/>
        <w:tblLayout w:type="fixed"/>
        <w:tblCellMar>
          <w:top w:w="0" w:type="dxa"/>
          <w:left w:w="0" w:type="dxa"/>
          <w:bottom w:w="0" w:type="dxa"/>
          <w:right w:w="0" w:type="dxa"/>
        </w:tblCellMar>
      </w:tblPr>
      <w:tblGrid>
        <w:gridCol w:w="2751"/>
        <w:gridCol w:w="346"/>
        <w:gridCol w:w="211"/>
        <w:gridCol w:w="931"/>
        <w:gridCol w:w="346"/>
        <w:gridCol w:w="211"/>
        <w:gridCol w:w="931"/>
        <w:gridCol w:w="346"/>
        <w:gridCol w:w="211"/>
        <w:gridCol w:w="931"/>
        <w:gridCol w:w="346"/>
        <w:gridCol w:w="991"/>
        <w:gridCol w:w="346"/>
        <w:gridCol w:w="991"/>
        <w:gridCol w:w="316"/>
      </w:tblGrid>
      <w:tr>
        <w:trPr/>
        <w:tc>
          <w:tcPr>
            <w:tcW w:w="2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746885" cy="175260"/>
                      <wp:effectExtent l="0" t="0" r="0" b="0"/>
                      <wp:wrapNone/>
                      <wp:docPr id="30" name="Frame27"/>
                      <a:graphic xmlns:a="http://schemas.openxmlformats.org/drawingml/2006/main">
                        <a:graphicData uri="http://schemas.microsoft.com/office/word/2010/wordprocessingShape">
                          <wps:wsp>
                            <wps:cNvSpPr txBox="1"/>
                            <wps:spPr>
                              <a:xfrm>
                                <a:off x="0" y="0"/>
                                <a:ext cx="174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2"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91185" cy="175260"/>
                      <wp:effectExtent l="0" t="0" r="0" b="0"/>
                      <wp:wrapNone/>
                      <wp:docPr id="33"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4"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5"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91185" cy="175260"/>
                      <wp:effectExtent l="0" t="0" r="0" b="0"/>
                      <wp:wrapNone/>
                      <wp:docPr id="36" name="Frame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7"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8"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91185" cy="175260"/>
                      <wp:effectExtent l="0" t="0" r="0" b="0"/>
                      <wp:wrapNone/>
                      <wp:docPr id="39" name="Frame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0"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29285" cy="175260"/>
                      <wp:effectExtent l="0" t="0" r="0" b="0"/>
                      <wp:wrapNone/>
                      <wp:docPr id="41" name="Frame3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2"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29285" cy="175260"/>
                      <wp:effectExtent l="0" t="0" r="0" b="0"/>
                      <wp:wrapNone/>
                      <wp:docPr id="43" name="Frame4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0660" cy="175260"/>
                      <wp:effectExtent l="0" t="0" r="0" b="0"/>
                      <wp:wrapNone/>
                      <wp:docPr id="44" name="Frame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 ​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 ​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 ​ ​</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6" w:type="dxa"/>
            <w:tcBorders/>
            <w:vAlign w:val="center"/>
          </w:tcPr>
          <w:p>
            <w:pPr>
              <w:pStyle w:val="TableContents"/>
              <w:bidi w:val="0"/>
              <w:spacing w:before="0" w:after="1"/>
              <w:ind w:left="0" w:right="0" w:hanging="0"/>
              <w:jc w:val="left"/>
              <w:rPr/>
            </w:pPr>
            <w:r>
              <w:rPr/>
              <w:t>​</w: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Change</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6" w:type="dxa"/>
            <w:tcBorders/>
            <w:vAlign w:val="center"/>
          </w:tcPr>
          <w:p>
            <w:pPr>
              <w:pStyle w:val="TableContents"/>
              <w:bidi w:val="0"/>
              <w:spacing w:before="0" w:after="1"/>
              <w:ind w:left="0" w:right="0" w:hanging="0"/>
              <w:jc w:val="left"/>
              <w:rPr/>
            </w:pPr>
            <w:r>
              <w:rPr/>
              <w:t>​</w:t>
            </w:r>
          </w:p>
        </w:tc>
      </w:tr>
      <w:tr>
        <w:trPr/>
        <w:tc>
          <w:tcPr>
            <w:tcW w:w="2751"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 except per share amounts)</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 vs. 24</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 vs. 23</w:t>
            </w:r>
          </w:p>
        </w:tc>
        <w:tc>
          <w:tcPr>
            <w:tcW w:w="316" w:type="dxa"/>
            <w:tcBorders/>
            <w:vAlign w:val="center"/>
          </w:tcPr>
          <w:p>
            <w:pPr>
              <w:pStyle w:val="TableContents"/>
              <w:bidi w:val="0"/>
              <w:spacing w:before="0" w:after="1"/>
              <w:ind w:left="0" w:right="0" w:hanging="0"/>
              <w:jc w:val="left"/>
              <w:rPr/>
            </w:pPr>
            <w:r>
              <w:rPr/>
              <w:t>​</w:t>
            </w:r>
          </w:p>
        </w:tc>
      </w:tr>
      <w:tr>
        <w:trPr/>
        <w:tc>
          <w:tcPr>
            <w:tcW w:w="2751"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8,294,343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7,492,709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7,140,027</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3,662,148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3,443,831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3,345,821</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4,632,195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4,048,878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3,794,206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as a percentage of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2,212,841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2,118,584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1,840,851</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 as a percentage of 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751"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2,419,354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1,930,294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1,953,355</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as a percentage of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115,127</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51"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2,482,529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1,989,459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2,068,482</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577,097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480,411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437,494</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as a percentage of income before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751"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income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1,905,432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1,509,048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1,630,988</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as a percentage of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7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 Drink case sales (in thousands) (in 192</w:t>
              <w:noBreakHyphen/>
              <w:t>ounce case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958,955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846,663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769,241</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Includes $40.0 million, $39.9 million and $40.0 million for the years ended December 31, 2025, 2024 and 2023, respectively, related to the recognition of deferred revenue.</w:t>
      </w:r>
    </w:p>
    <w:p>
      <w:pPr>
        <w:pStyle w:val="TextBody"/>
        <w:bidi w:val="0"/>
        <w:spacing w:before="0" w:after="240"/>
        <w:ind w:left="0" w:right="0" w:hanging="0"/>
        <w:jc w:val="both"/>
        <w:rPr>
          <w:rFonts w:ascii="Times New Roman;Times;serif" w:hAnsi="Times New Roman;Times;serif"/>
          <w:i/>
          <w:sz w:val="16"/>
        </w:rPr>
      </w:pPr>
      <w:r>
        <w:rPr>
          <w:rFonts w:ascii="Times New Roman;Times;serif" w:hAnsi="Times New Roman;Times;serif"/>
          <w:i/>
          <w:sz w:val="16"/>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$8.29 billion for the year ended December 31, 2025, an increase of approximately $801.6 million, or 10.7% higher than net sales of $7.49 billion for the year ended December 31, 2024. Net sales increased primarily due to increased worldwide sales of our Monster Energy® brand energy drinks as a result of increased consumer demand. Net changes in foreign currency exchange rates had an unfavorable impact on net sales of approximately $3.0 million for the year ended December 31, 2025. Net sales on a foreign currency adjusted basis increased 10.7%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$7.67 billion for the year ended December 31, 2025, an increase of approximately $801.3 million, or 11.7% higher than net sales of $6.86 billion for the year ended December 31, 2024. Net sales for the Monster Energy® Drinks segment increased primarily due to increased worldwide sales of our Monster Energy® brand energy drinks as a result of increased consumer demand. Net changes in foreign currency exchange rates had an unfavorable impact on net sales for the Monster Energy® Drinks segment of approximately $2.5 million for the year ended December 31, 2025. Net sales for the Monster Energy® Drinks segment on a foreign currency adjusted basis increased 11.7% for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$468.7 million for the year ended December 31, 2025, an increase of approximately $36.5 million, or 8.4% higher than net sales of $432.2 million for the year ended December 31, 2024. Net sales for the Strategic Brands segment increased primarily due to increased worldwide sales of our Predator®, Burn® and NOS® brand energy drinks as a result of increased consumer demand. Net changes in foreign currency exchange rates had an unfavorable impact on net sales of approximately $0.5 million for the Strategic Brands segment for the year ended December 31, 2025. Net sales for the Strategic Brands segment on a foreign currency adjusted basis increased 8.5% for the year ended December 31, 2025.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$134.7 million for the year ended December 31, 2025, a decrease of approximately $37.6 million, or 21.8% lower than net sales of $172.3 million for the year ended December 31, 2024. The decrease in net sales for the year ended December 31, 2025 was primarily due to decreased sales of the Beast® Tea and The Beast</w:t>
      </w:r>
      <w:r>
        <w:rPr>
          <w:rFonts w:ascii="Times New Roman;Times;serif" w:hAnsi="Times New Roman;Times;serif"/>
          <w:sz w:val="15"/>
        </w:rPr>
        <w:t>TM</w:t>
      </w:r>
      <w:r>
        <w:rPr>
          <w:rFonts w:ascii="Times New Roman;Times;serif" w:hAnsi="Times New Roman;Times;serif"/>
          <w:sz w:val="20"/>
        </w:rPr>
        <w:t xml:space="preserve"> product lines.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Other segment were $25.0 million for the year ended December 31, 2025, an increase of approximately $1.5 million, or 6.2% higher than net sales of $23.6 million for the year ended December 31,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959.0 million cases for the year ended December 31, 2025, an increase of approximately 112.3 million cases or 13.3% higher than case sales of 846.7 million cases for the year ended December 31, 2024. The overall average net sales per case for our energy drink products (excluding net sales of Alcohol Brands and Other segments) decreased to $8.48 for the year ended December 31, 2025, which was 1.6% lower than the average net sales per case of $8.62 for the year ended December 31, 2024. The decrease in overall average net sales per case for our energy drink products for the year ended December 31, 2025 compared to the year ended December 31, 2024 was primarily due to adverse changes in foreign currency exchange rates as well as geographical sales mix.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FMBs and hard seltzers in 192-ounce equivalents, were 9.7 million cases for the year ended December 31, 2025, a decrease of approximately 2.8 million cases or 22.6% lower than case sales of 12.5 million cases for the year ended December 31, 2024. Barrel sales for our craft beers, FMBs and hard seltzers in 31 U.S. gallon equivalents, were 0.47 million barrels for the year ended December 31, 2025, a decrease of approximately 0.14 million barrels or 22.6% lower than barrel sales of 0.60 million barrels for the year ended December 31, 2024.</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$4.63 billion for the year ended December 31, 2025, an increase of approximately $583.3 million, or 14.4% higher than the gross profit of $4.05 billion for the year ended December 31, 2024. The increase in gross profit dollars was primarily the result of the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55.8% for the year ended December 31, 2025 from 54.0% for the year ended December 31, 2024. The increase for the year ended December 31, 2025 was primarily the result of the Pricing Actions and supply chain optimization, partially offset by higher promotional allowances and geographical sales mix.</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Operating Expenses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operating expenses were $2.21 billion for the year ended December 31, 2025, an increase of approximately $94.3 million, or 4.4% higher than total operating expenses of $2.12 billion for the year ended December 31,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expenses for the years ended December 31, 2025 and 2024, included impairment charges of $53.7 million and $138.8 million, respectively, related to the Alcohol Brands segment. The Alcohol Brands segment impairment charges relate primarily to certain finite-lived intangible assets as well as property and equipment for the year ended December 31, 2025. The Alcohol Brands segment impairment charges relate primarily to goodwill and to certain other indefinite-lived intangible assets as well as property and equipment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for the year ended December 31, 2025 was primarily due to increased payroll expenses of $80.4 million. Operating expenses as a percentage of net sales for the years ended December 31, 2025 and 2024 were 26.7% and 28.3%,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Operating Income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$2.42 billion for the year ended December 31, 2025, an increase of approximately $489.1 million, or 25.3% higher than operating income of $1.93 billion for the year ended December 31, 2024. Operating income as a percentage of net sales increased to 29.2% for the year ended December 31, 2025 from 25.8%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$659.3 million and $536.3 million for the years ended December 31, 2025 and 2024, respectively, for our international operations, exclusive of Canada.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$2.98 billion for the year ended December 31, 2025, an increase of approximately $514.0 million, or 20.9% higher than operating income of $2.46 billion for the year ended December 31, 2024. The increase in operating income for the Monster Energy® Drinks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$240.8 million for the year ended December 31, 2025, an increase of approximately $7.0 million, or 3.0% higher than operating income of $233.8 million for the year ended December 31, 2024. The increase in operating income for the Strategic Brands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$127.0 million for the year ended December 31, 2025, a decrease of approximately $73.4 million, or 36.6% lower than operating loss of $200.3 million for the year ended December 31, 2024. The decrease in operating loss for the Alcohol Brands segment for the year ended December 31, 2025 was primarily the result of a decrease in the Alcohol Brands segment impairment charges. Operating loss for the Alcohol Brands segment, exclusive of the Alcohol Brands segment impairment charges and corporate and unallocated expenses, was $73.3 million and $61.6 million for the years ended December 31,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$3.4 million for the year ended December 31, 2025, a decrease of approximately $1.2 million, or 25.9% lower than operating income of $4.6 million for the year ended December 31,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income, net, was $63.2 million for the year ended December 31, 2025, as compared to interest and other income, net, of $59.2 million for the year ended December 31, 2024. Interest income was $85.2 million and $115.0 million for the years ended December 31, 2025 and 2024, respectively. Interest expense was $6.6 million and $27.9 million for the years ended December 31, 2025 and 2024, respectively. Foreign currency transaction gains (losses) were $(11.9) million and $(26.4) million for the years ended December 31, 2025 and 2024,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Provision for Income Taxes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$577.1 million for the year ended December 31, 2025, an increase of $96.7 million, or 20.1% higher than the provision for income taxes of $480.4 million for the year ended December 31, 2024. The effective combined federal, state and foreign tax rate was 23.2% and 24.1% for the years ended December 31, 2025 and 2024, respectively. The decrease in the effective tax rate was primarily attributable to an increase in the stock-based compensation deduction for the year ended December 31,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$1.91 billion for the year ended December 31, 2025, an increase of $396.4 million, or 26.3% higher than net income of $1.51 billion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Billings**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were $9.83 billion for the year ended December 31, 2025, an increase of approximately $1.09 billion, or 12.5% higher than gross billings of $8.74 billion for the year ended December 31, 2024. Net changes in foreign currency exchange rates had a favorable impact on gross billings of approximately $8.2 million for the year ended December 31, 2025. Gross billings on a foreign currency adjusted basis increased 12.4%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$9.12 billion for the year ended December 31, 2025, an increase of approximately $1.07 billion, or 13.3% higher than gross billings of $8.04 billion for the year ended December 31, 2024. Gross billings for the Monster Energy® Drinks segment increased primarily due to increased worldwide sales of our Monster Energy® brand energy drinks as a result of increased consumer demand. Net changes in foreign currency exchange rates had a favorable impact on gross billings for the Monster Energy® Drinks segment of approximately $8.9 million for the year ended December 31, 2025. Gross billings for the Monster Energy® Drinks segment on a foreign currency adjusted basis increased 13.2%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$545.4 million for the year ended December 31, 2025, an increase of $54.5 million, or 11.1% higher than gross billings of $490.8 million for the year ended December 31, 2024. Gross billings for the Strategic Brands segment increased primarily due to increased sales of our Predator®, Burn® and NOS® brand energy drinks. Net changes in foreign currency exchange rates had an unfavorable impact on gross billings in the Strategic Brands segment of approximately $0.7 million for the year ended December 31, 2025. Gross billings for the Strategic Brands segment on a foreign currency adjusted basis increased 11.3% for the year ended December 31, 2025.</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$139.8 million for the year ended December 31, 2025, a decrease of $37.0 million, or 20.9% lower than gross billings of $176.8 million for the year ended December 31, 2024. The decrease in gross billings for the year ended December 31, 2025 was primarily due to decreased sales of the Beast® Tea and The Beast</w:t>
      </w:r>
      <w:r>
        <w:rPr>
          <w:rFonts w:ascii="Times New Roman;Times;serif" w:hAnsi="Times New Roman;Times;serif"/>
          <w:sz w:val="15"/>
        </w:rPr>
        <w:t>TM</w:t>
      </w:r>
      <w:r>
        <w:rPr>
          <w:rFonts w:ascii="Times New Roman;Times;serif" w:hAnsi="Times New Roman;Times;serif"/>
          <w:sz w:val="20"/>
        </w:rPr>
        <w:t xml:space="preserve"> product lines.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for the Other segment were $25.2 million for the year ended December 31, 2025, an increase of $1.6 million, or 6.5% higher than gross billings of $23.7 million for the year ended December 31,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$1.57 billion for the year ended December 31, 2025, an increase of $290.5 million, or 22.6% higher than promotional allowances, commissions and other expenses of $1.28 billion for the year ended December 31, 2024. Promotional allowances as a percentage of gross billings were 16.0% and 14.7% for the years ended December 31, 2025 and 2024, respectively.</w:t>
      </w:r>
    </w:p>
    <w:p>
      <w:pPr>
        <w:pStyle w:val="TextBody"/>
        <w:bidi w:val="0"/>
        <w:spacing w:before="0" w:after="240"/>
        <w:ind w:left="0" w:right="0" w:hanging="0"/>
        <w:jc w:val="both"/>
        <w:rPr>
          <w:rFonts w:ascii="Times New Roman;Times;serif" w:hAnsi="Times New Roman;Times;serif"/>
          <w:i/>
          <w:sz w:val="16"/>
        </w:rPr>
      </w:pPr>
      <w:r>
        <w:rPr>
          <w:rFonts w:ascii="Times New Roman;Times;serif" w:hAnsi="Times New Roman;Times;serif"/>
          <w:i/>
          <w:sz w:val="16"/>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reconciles the non-GAAP financial measure of gross billings with the most directly comparable GAAP financial measure of net sales: </w:t>
      </w:r>
    </w:p>
    <w:tbl>
      <w:tblPr>
        <w:tblW w:w="10205" w:type="dxa"/>
        <w:jc w:val="left"/>
        <w:tblInd w:w="0" w:type="dxa"/>
        <w:tblLayout w:type="fixed"/>
        <w:tblCellMar>
          <w:top w:w="0" w:type="dxa"/>
          <w:left w:w="0" w:type="dxa"/>
          <w:bottom w:w="0" w:type="dxa"/>
          <w:right w:w="0" w:type="dxa"/>
        </w:tblCellMar>
      </w:tblPr>
      <w:tblGrid>
        <w:gridCol w:w="2513"/>
        <w:gridCol w:w="346"/>
        <w:gridCol w:w="211"/>
        <w:gridCol w:w="1010"/>
        <w:gridCol w:w="346"/>
        <w:gridCol w:w="211"/>
        <w:gridCol w:w="1010"/>
        <w:gridCol w:w="346"/>
        <w:gridCol w:w="211"/>
        <w:gridCol w:w="1010"/>
        <w:gridCol w:w="346"/>
        <w:gridCol w:w="991"/>
        <w:gridCol w:w="346"/>
        <w:gridCol w:w="991"/>
        <w:gridCol w:w="317"/>
      </w:tblGrid>
      <w:tr>
        <w:trPr/>
        <w:tc>
          <w:tcPr>
            <w:tcW w:w="2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95755" cy="175260"/>
                      <wp:effectExtent l="0" t="0" r="0" b="0"/>
                      <wp:wrapNone/>
                      <wp:docPr id="45" name="Frame42"/>
                      <a:graphic xmlns:a="http://schemas.openxmlformats.org/drawingml/2006/main">
                        <a:graphicData uri="http://schemas.microsoft.com/office/word/2010/wordprocessingShape">
                          <wps:wsp>
                            <wps:cNvSpPr txBox="1"/>
                            <wps:spPr>
                              <a:xfrm>
                                <a:off x="0" y="0"/>
                                <a:ext cx="1595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6"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7"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1350" cy="175260"/>
                      <wp:effectExtent l="0" t="0" r="0" b="0"/>
                      <wp:wrapNone/>
                      <wp:docPr id="48" name="Frame45"/>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9"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0"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1350" cy="175260"/>
                      <wp:effectExtent l="0" t="0" r="0" b="0"/>
                      <wp:wrapNone/>
                      <wp:docPr id="51" name="Frame48"/>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2"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3"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1350" cy="175260"/>
                      <wp:effectExtent l="0" t="0" r="0" b="0"/>
                      <wp:wrapNone/>
                      <wp:docPr id="54" name="Frame51"/>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5"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29285" cy="175260"/>
                      <wp:effectExtent l="0" t="0" r="0" b="0"/>
                      <wp:wrapNone/>
                      <wp:docPr id="56" name="Frame5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7"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29285" cy="175260"/>
                      <wp:effectExtent l="0" t="0" r="0" b="0"/>
                      <wp:wrapNone/>
                      <wp:docPr id="58" name="Frame5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1295" cy="175260"/>
                      <wp:effectExtent l="0" t="0" r="0" b="0"/>
                      <wp:wrapNone/>
                      <wp:docPr id="59" name="Frame5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  ​ ​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  ​ ​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  ​ ​ ​</w:t>
            </w:r>
          </w:p>
        </w:tc>
        <w:tc>
          <w:tcPr>
            <w:tcW w:w="346" w:type="dxa"/>
            <w:tcBorders/>
            <w:vAlign w:val="center"/>
          </w:tcPr>
          <w:p>
            <w:pPr>
              <w:pStyle w:val="TableContents"/>
              <w:bidi w:val="0"/>
              <w:spacing w:before="0" w:after="0"/>
              <w:ind w:left="0" w:right="0" w:hanging="0"/>
              <w:jc w:val="left"/>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46" w:type="dxa"/>
            <w:tcBorders/>
            <w:vAlign w:val="center"/>
          </w:tcPr>
          <w:p>
            <w:pPr>
              <w:pStyle w:val="TableContents"/>
              <w:bidi w:val="0"/>
              <w:spacing w:before="0" w:after="0"/>
              <w:ind w:left="0" w:right="0" w:hanging="0"/>
              <w:jc w:val="left"/>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7" w:type="dxa"/>
            <w:tcBorders/>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7" w:type="dxa"/>
            <w:tcBorders/>
            <w:vAlign w:val="center"/>
          </w:tcPr>
          <w:p>
            <w:pPr>
              <w:pStyle w:val="TableContents"/>
              <w:bidi w:val="0"/>
              <w:spacing w:before="0" w:after="0"/>
              <w:ind w:left="0" w:right="0" w:hanging="0"/>
              <w:jc w:val="left"/>
              <w:rPr/>
            </w:pPr>
            <w:r>
              <w:rPr/>
              <w:t>​</w:t>
            </w:r>
          </w:p>
        </w:tc>
      </w:tr>
      <w:tr>
        <w:trPr/>
        <w:tc>
          <w:tcPr>
            <w:tcW w:w="2513"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0"/>
              <w:ind w:left="0" w:right="0" w:hanging="0"/>
              <w:jc w:val="left"/>
              <w:rPr/>
            </w:pPr>
            <w:r>
              <w:rPr/>
              <w:t> </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 vs. 24</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 vs. 23</w:t>
            </w:r>
          </w:p>
        </w:tc>
        <w:tc>
          <w:tcPr>
            <w:tcW w:w="317" w:type="dxa"/>
            <w:tcBorders/>
            <w:vAlign w:val="center"/>
          </w:tcPr>
          <w:p>
            <w:pPr>
              <w:pStyle w:val="TableContents"/>
              <w:bidi w:val="0"/>
              <w:spacing w:before="0" w:after="0"/>
              <w:ind w:left="0" w:right="0" w:hanging="0"/>
              <w:jc w:val="left"/>
              <w:rPr/>
            </w:pPr>
            <w:r>
              <w:rPr/>
              <w:t>​</w:t>
            </w:r>
          </w:p>
        </w:tc>
      </w:tr>
      <w:tr>
        <w:trPr/>
        <w:tc>
          <w:tcPr>
            <w:tcW w:w="2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9,827,659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8,735,661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8,229,709</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39,955</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Promotional allowances, commissions and 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(1,282,887)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(1,129,637)</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8,294,343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16"/>
        </w:rPr>
      </w:pPr>
      <w:r>
        <w:rPr>
          <w:rFonts w:ascii="Times New Roman;Times;serif" w:hAnsi="Times New Roman;Times;serif"/>
          <w:i/>
          <w:sz w:val="16"/>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our energy drink products for the years ended December 31, 2025 and 2024 were (i) to increase sales volume and trial, (ii) to address market conditions, and (iii) to secure shelf and display space at retail. Promotional and other allowances for our Alcohol Brands segment primarily include price promotions where permitted.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set forth below discloses selected quarterly data regarding sales for the past three years. Data from any one or more quarters is not necessarily indicative of annual results or continuing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and/or increased advertising and promotional expenses. (See “Part I, Item 1 – Business – Seasonality”).</w:t>
      </w:r>
    </w:p>
    <w:tbl>
      <w:tblPr>
        <w:tblW w:w="9925" w:type="dxa"/>
        <w:jc w:val="left"/>
        <w:tblInd w:w="0" w:type="dxa"/>
        <w:tblLayout w:type="fixed"/>
        <w:tblCellMar>
          <w:top w:w="0" w:type="dxa"/>
          <w:left w:w="0" w:type="dxa"/>
          <w:bottom w:w="0" w:type="dxa"/>
          <w:right w:w="0" w:type="dxa"/>
        </w:tblCellMar>
      </w:tblPr>
      <w:tblGrid>
        <w:gridCol w:w="5416"/>
        <w:gridCol w:w="346"/>
        <w:gridCol w:w="211"/>
        <w:gridCol w:w="931"/>
        <w:gridCol w:w="346"/>
        <w:gridCol w:w="211"/>
        <w:gridCol w:w="931"/>
        <w:gridCol w:w="346"/>
        <w:gridCol w:w="211"/>
        <w:gridCol w:w="976"/>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439160" cy="175260"/>
                      <wp:effectExtent l="0" t="0" r="0" b="0"/>
                      <wp:wrapNone/>
                      <wp:docPr id="60" name="Frame57"/>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1"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2"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91185" cy="175260"/>
                      <wp:effectExtent l="0" t="0" r="0" b="0"/>
                      <wp:wrapNone/>
                      <wp:docPr id="63" name="Frame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4"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5"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1185" cy="175260"/>
                      <wp:effectExtent l="0" t="0" r="0" b="0"/>
                      <wp:wrapNone/>
                      <wp:docPr id="66"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7"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8"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19760" cy="175260"/>
                      <wp:effectExtent l="0" t="0" r="0" b="0"/>
                      <wp:wrapNone/>
                      <wp:docPr id="69" name="Frame6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(in Thousands)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1,854,558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1,899,098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1,698,930</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2,111,593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1,900,597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1,854,961</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2,197,139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1,880,973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1,856,028</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1,812,041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1,730,108</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8,294,343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r>
      <w:tr>
        <w:trPr/>
        <w:tc>
          <w:tcPr>
            <w:tcW w:w="54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and Other segment net sales (in Thousands)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(50,904)</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(68,384)</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(49,024)</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(40,037)</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(208,349)</w:t>
            </w:r>
          </w:p>
        </w:tc>
      </w:tr>
      <w:tr>
        <w:trPr/>
        <w:tc>
          <w:tcPr>
            <w:tcW w:w="5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Sales (in Thousands)¹</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1,813,880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1,837,495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1,648,026</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2,067,214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1,786,577</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2,157,344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1,807,004</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1,690,071</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8,134,587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7,296,830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6,931,678</w:t>
            </w:r>
          </w:p>
        </w:tc>
      </w:tr>
      <w:tr>
        <w:trPr/>
        <w:tc>
          <w:tcPr>
            <w:tcW w:w="54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Drink Case Volume / Sales (in Thousands)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182,444</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198,406</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203,088</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185,303</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958,955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846,663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769,241</w:t>
            </w:r>
          </w:p>
        </w:tc>
      </w:tr>
      <w:tr>
        <w:trPr/>
        <w:tc>
          <w:tcPr>
            <w:tcW w:w="5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Drink Adjusted Average Net Sales Per Case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9.01</w:t>
            </w:r>
          </w:p>
        </w:tc>
      </w:tr>
    </w:tbl>
    <w:p>
      <w:pPr>
        <w:pStyle w:val="TextBody"/>
        <w:bidi w:val="0"/>
        <w:spacing w:before="0" w:after="0"/>
        <w:ind w:left="0" w:right="0" w:hanging="0"/>
        <w:jc w:val="left"/>
        <w:rPr/>
      </w:pPr>
      <w:r>
        <w:rPr/>
        <w:t>​</w:t>
      </w:r>
    </w:p>
    <w:p>
      <w:pPr>
        <w:pStyle w:val="TextBody"/>
        <w:pBdr/>
        <w:bidi w:val="0"/>
        <w:spacing w:lineRule="auto" w:line="240" w:before="0" w:after="0"/>
        <w:ind w:left="0" w:right="0" w:hanging="36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Excludes Alcohol Brands segment and Other segment net sales.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energy drink case sales by segment for the years ended December 31:</w:t>
      </w:r>
    </w:p>
    <w:tbl>
      <w:tblPr>
        <w:tblW w:w="8515" w:type="dxa"/>
        <w:jc w:val="left"/>
        <w:tblInd w:w="0" w:type="dxa"/>
        <w:tblLayout w:type="fixed"/>
        <w:tblCellMar>
          <w:top w:w="0" w:type="dxa"/>
          <w:left w:w="0" w:type="dxa"/>
          <w:bottom w:w="0" w:type="dxa"/>
          <w:right w:w="0" w:type="dxa"/>
        </w:tblCellMar>
      </w:tblPr>
      <w:tblGrid>
        <w:gridCol w:w="4006"/>
        <w:gridCol w:w="346"/>
        <w:gridCol w:w="211"/>
        <w:gridCol w:w="931"/>
        <w:gridCol w:w="346"/>
        <w:gridCol w:w="211"/>
        <w:gridCol w:w="931"/>
        <w:gridCol w:w="346"/>
        <w:gridCol w:w="211"/>
        <w:gridCol w:w="97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543810" cy="175260"/>
                      <wp:effectExtent l="0" t="0" r="0" b="0"/>
                      <wp:wrapNone/>
                      <wp:docPr id="70" name="Frame6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1"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2"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91185" cy="175260"/>
                      <wp:effectExtent l="0" t="0" r="0" b="0"/>
                      <wp:wrapNone/>
                      <wp:docPr id="73" name="Frame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4"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5"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91185" cy="175260"/>
                      <wp:effectExtent l="0" t="0" r="0" b="0"/>
                      <wp:wrapNone/>
                      <wp:docPr id="76" name="Frame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7"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8"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19760" cy="175260"/>
                      <wp:effectExtent l="0" t="0" r="0" b="0"/>
                      <wp:wrapNone/>
                      <wp:docPr id="79" name="Frame7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segment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(23,494)</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8,134,587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7,296,830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6,931,678</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632,950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136,291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case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958,955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846,663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769,241</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Energy Drinks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9.01</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Excludes Alcohol Brands segment and Other segment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both net sales and the overall average net sales per case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case sales for our craft beers, FMBs and hard seltzers, in 192-ounce equivalents, for the years ended December 31:</w:t>
      </w:r>
    </w:p>
    <w:tbl>
      <w:tblPr>
        <w:tblW w:w="7828" w:type="dxa"/>
        <w:jc w:val="left"/>
        <w:tblInd w:w="0" w:type="dxa"/>
        <w:tblLayout w:type="fixed"/>
        <w:tblCellMar>
          <w:top w:w="0" w:type="dxa"/>
          <w:left w:w="0" w:type="dxa"/>
          <w:bottom w:w="0" w:type="dxa"/>
          <w:right w:w="0" w:type="dxa"/>
        </w:tblCellMar>
      </w:tblPr>
      <w:tblGrid>
        <w:gridCol w:w="4006"/>
        <w:gridCol w:w="346"/>
        <w:gridCol w:w="211"/>
        <w:gridCol w:w="781"/>
        <w:gridCol w:w="346"/>
        <w:gridCol w:w="211"/>
        <w:gridCol w:w="781"/>
        <w:gridCol w:w="109"/>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43810" cy="175260"/>
                      <wp:effectExtent l="0" t="0" r="0" b="0"/>
                      <wp:wrapNone/>
                      <wp:docPr id="80" name="Frame7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1"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2"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83"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4"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5"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6"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7"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8"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24510" cy="175260"/>
                      <wp:effectExtent l="0" t="0" r="0" b="0"/>
                      <wp:wrapNone/>
                      <wp:docPr id="89" name="Frame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 segment net sales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134,720</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Case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Alcohol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14.08</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Inflation did not have a significant impact on our results of operations for the year ended December 31, 2025. Inflation had an impact on our results of operations for the year ended December 31, 2024, primarily due to domestic inflation as well as inflation related local currency price increases in certain international markets. Inflation did not have a significant impact on our results of operations for the year ended December 31, 2023. To mitigate the impact of inflation, we implemented the Pricing Actions.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and cash equivalents.</w:t>
      </w:r>
      <w:r>
        <w:rPr>
          <w:rFonts w:ascii="Times New Roman;Times;serif" w:hAnsi="Times New Roman;Times;serif"/>
          <w:sz w:val="20"/>
        </w:rPr>
        <w:t xml:space="preserve"> As of December 31, 2025, we had $2.09 billion in cash and cash equivalents, $677.1 million in short-term investments, and $487.3 million in long-term investments, including commercial paper, certificates of deposit, municipal securities, U.S. treasuries and corporate bonds.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the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Of our $2.09 billion of cash and cash equivalents held at December 31, 2025, $1.00 billion was held by our foreign subsidiaries. No short-term or long-term investments were held by our foreign subsidiaries at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Long-term debt.</w:t>
      </w:r>
      <w:r>
        <w:rPr>
          <w:rFonts w:ascii="Times New Roman;Times;serif" w:hAnsi="Times New Roman;Times;serif"/>
          <w:sz w:val="20"/>
        </w:rPr>
        <w:t xml:space="preserve"> In May 2024, the Company entered into a credit agreement with JPMorgan Chase Bank, N.A., as administrative agent, and certain other lenders (the “Original Credit Agreement”), which provided for senior unsecured credit facilities in an aggregate principal amount of $1.50 billion (collectively, the “Credit Facilities”). The Credit Facilities previously consisted of a $750.0 million term loan (the “Term Loan”) and up to $750.0 million in multicurrency revolving loan commitments (the “Revolving Credit Facility”). The Term Loan was repaid in April 2025 with no additional borrowings permitted. In addition, pursuant to Amendment No. 1 to the Original Credit Agreement, dated as of October 17, 2025, among the Company, JPMorgan Chase Bank, N.A., as administrative agent, and certain other lenders (the “Amended Credit Agreement”), the Company’s aggregate borrowing capacity under the Revolving Credit Facility has been reduced to $500.0 million. Borrowings under the Revolving Credit Facility bear interest at a variable rate per annum equal to the applicable rate plus margin (as defined in the Amended Credit Agreement). Borrowings may be repaid at any time during the term of the Revolving Credit Facility and may be reborrowed prior to the maturity date, which is set to occur in May 2029. As of December 31, 2025, no borrowings were outstanding under the Credit Facilities, and the Company was in compliance with all covenants under the Amended Credit Agreement. As of February 26, 2026, the Revolving Credit Facility had remaining availability of $500.0 million.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requirements, purchases of capital assets, purchases of equipment, purchases of real property and purchases of shares of our common stock, through at least the next 12 months. Based on our current plans, capital expenditures (exclusive of common stock repurchases) are likely to be less than $250.0 million through December 31, 2026. However, future business opportunities may cause a change in this estimate.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years ended December 31, 2025, 2024 and 2023 (in thousands):</w:t>
      </w:r>
    </w:p>
    <w:p>
      <w:pPr>
        <w:pStyle w:val="TextBody"/>
        <w:bidi w:val="0"/>
        <w:spacing w:before="0" w:after="0"/>
        <w:ind w:left="0" w:right="0" w:hanging="0"/>
        <w:jc w:val="left"/>
        <w:rPr/>
      </w:pPr>
      <w:r>
        <w:rPr/>
        <w:t>​</w:t>
      </w:r>
    </w:p>
    <w:tbl>
      <w:tblPr>
        <w:tblW w:w="7405" w:type="dxa"/>
        <w:jc w:val="left"/>
        <w:tblInd w:w="0" w:type="dxa"/>
        <w:tblLayout w:type="fixed"/>
        <w:tblCellMar>
          <w:top w:w="0" w:type="dxa"/>
          <w:left w:w="0" w:type="dxa"/>
          <w:bottom w:w="0" w:type="dxa"/>
          <w:right w:w="0" w:type="dxa"/>
        </w:tblCellMar>
      </w:tblPr>
      <w:tblGrid>
        <w:gridCol w:w="2656"/>
        <w:gridCol w:w="346"/>
        <w:gridCol w:w="211"/>
        <w:gridCol w:w="1051"/>
        <w:gridCol w:w="346"/>
        <w:gridCol w:w="211"/>
        <w:gridCol w:w="1051"/>
        <w:gridCol w:w="346"/>
        <w:gridCol w:w="211"/>
        <w:gridCol w:w="97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686560" cy="175260"/>
                      <wp:effectExtent l="0" t="0" r="0" b="0"/>
                      <wp:wrapNone/>
                      <wp:docPr id="90" name="Frame8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1"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2"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7385" cy="175260"/>
                      <wp:effectExtent l="0" t="0" r="0" b="0"/>
                      <wp:wrapNone/>
                      <wp:docPr id="93" name="Frame9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4"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5"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7385" cy="175260"/>
                      <wp:effectExtent l="0" t="0" r="0" b="0"/>
                      <wp:wrapNone/>
                      <wp:docPr id="96" name="Frame9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7"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8"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19760" cy="175260"/>
                      <wp:effectExtent l="0" t="0" r="0" b="0"/>
                      <wp:wrapNone/>
                      <wp:docPr id="99" name="Frame9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2,098,177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1,717,753</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(1,316,778)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733,727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(193,395)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(542,599)</w:t>
            </w:r>
          </w:p>
        </w:tc>
      </w:tr>
    </w:tbl>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operating activities. </w:t>
      </w:r>
      <w:r>
        <w:rPr>
          <w:rFonts w:ascii="Times New Roman;Times;serif" w:hAnsi="Times New Roman;Times;serif"/>
          <w:sz w:val="20"/>
        </w:rPr>
        <w:t>Cash provided by operating activities was $2.10 billion for the year ended December 31, 2025, as compared with cash provided by operating activities of $1.93 billion for the year ended December 31, 2024.</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the year ended December 31, 2025, cash provided by operating activities was primarily attributable to net income earned of $1.91 billion and adjustments for certain non-cash expenses, consisting of $129.8 million of depreciation and amortization and non-cash lease expense, $125.7 million of stock-based compensation, $38.4 million impairment of intangibles, and $12.0 million impairment of property and equipment. For the year ended December 31, 2025, cash provided by operating activities also increased due to a $98.3 million increase in accrued promotional allowances, an $81.3 million increase in accrued liabilities, a $78.5 million increase in accounts payable, a $27.8 million increase in income taxes payable, and a $17.8 million increase in accrued compensation. For the year ended December 31, 2025, cash used in operating activities was primarily attributable to a $300.6 million increase in accounts receivable, a $39.3 million increase in prepaid expenses and other assets, a $34.9 million increase in inventories, a $23.0 million decrease in deferred revenue, and a $21.1 million increase in prepaid income taxes.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cash provided by operating activities was primarily attributable to net income earned of $1.51 billion and adjustments for certain non-cash expenses, consisting of $127.1 million impairment of goodwill and other intangibles, $91.0 million of stock-based compensation, $80.4 million of depreciation and amortization, $13.5 million of non-cash lease expense and $8.2 million impairment of property and equipment. For the year ended December 31, 2024, cash provided by operating activities also increased due to a $211.5 million decrease in inventories, an $18.4 million increase in accrued liabilities, a $13.4 million increase in other liabilities, a $9.7 million increase in accrued promotional allowances, a $9.4 million increase in income taxes payable, a $9.0 million decrease in prepaid expenses and other assets, a $5.9 million increase in accrued compensation and a $3.1 million decrease in prepaid income taxes. For the year ended December 31, 2024, cash used in operating activities was primarily attributable to a $93.9 million increase in accounts receivable, a $61.5 million decrease in accounts payable and a $17.4 million decrease in deferred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(used in) provided by investing activities.</w:t>
      </w:r>
      <w:r>
        <w:rPr>
          <w:rFonts w:ascii="Times New Roman;Times;serif" w:hAnsi="Times New Roman;Times;serif"/>
          <w:sz w:val="20"/>
        </w:rPr>
        <w:t xml:space="preserve"> Net cash used in investing activities was $1.32 billion for the year ended December 31, 2025, as compared to cash provided by investing activities of $733.7 million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both the years ended December 31, 2025 and 2024, cash provided by investing activities was primarily attributable to sales of available-for-sale investments. For both the years ended December 31, 2025 and 2024, cash used in investing activities was primarily attributable to purchases of available-for-sale investments. To a lesser extent, for both the years ended December 31, 2025 and 2024, cash used in investing activities also included the acquisition of real property,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improvements to real property as well as the acquisition, defense and maintenance of trademarks. We expect to continue to use a portion of our cash in excess of our requirements for operations to purchase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used in financing activities.</w:t>
      </w:r>
      <w:r>
        <w:rPr>
          <w:rFonts w:ascii="Times New Roman;Times;serif" w:hAnsi="Times New Roman;Times;serif"/>
          <w:sz w:val="20"/>
        </w:rPr>
        <w:t xml:space="preserve"> Cash used in financing activities was $324.4 million for the year ended December 31, 2025 as compared to cash used in financing activities of $3.33 billion for the year ended December 31, 2024. The cash flows used in financing activities for both the years ended December 31, 2025 and 2024, were attributable to repayments on the Credit Facilities as well as repurchases of our common stock. The cash flows provided by financing activities for the year ended December 31, 2025 was primarily attributable to the issuance of our common stock under our stock-based compensation plans. The cash provided by financing activities for the year ended December 31, 2024 was primarily attributable to borrowings under the Credit Facilities and, to a lesser extent, the issuance of our common stock under our stock-based compensation plans.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December 31, 2025:</w:t>
      </w:r>
    </w:p>
    <w:tbl>
      <w:tblPr>
        <w:tblW w:w="8745" w:type="dxa"/>
        <w:jc w:val="left"/>
        <w:tblInd w:w="0" w:type="dxa"/>
        <w:tblLayout w:type="fixed"/>
        <w:tblCellMar>
          <w:top w:w="0" w:type="dxa"/>
          <w:left w:w="0" w:type="dxa"/>
          <w:bottom w:w="0" w:type="dxa"/>
          <w:right w:w="0" w:type="dxa"/>
        </w:tblCellMar>
      </w:tblPr>
      <w:tblGrid>
        <w:gridCol w:w="2161"/>
        <w:gridCol w:w="346"/>
        <w:gridCol w:w="211"/>
        <w:gridCol w:w="781"/>
        <w:gridCol w:w="346"/>
        <w:gridCol w:w="211"/>
        <w:gridCol w:w="781"/>
        <w:gridCol w:w="346"/>
        <w:gridCol w:w="211"/>
        <w:gridCol w:w="781"/>
        <w:gridCol w:w="346"/>
        <w:gridCol w:w="211"/>
        <w:gridCol w:w="676"/>
        <w:gridCol w:w="346"/>
        <w:gridCol w:w="235"/>
        <w:gridCol w:w="75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72235" cy="175260"/>
                      <wp:effectExtent l="0" t="0" r="0" b="0"/>
                      <wp:wrapNone/>
                      <wp:docPr id="100" name="Frame9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1"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2"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3"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4"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5"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6" name="Frame1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7"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08"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09" name="Frame1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0"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1"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12"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3"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9225" cy="175260"/>
                      <wp:effectExtent l="0" t="0" r="0" b="0"/>
                      <wp:wrapNone/>
                      <wp:docPr id="114" name="Frame11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80060" cy="175260"/>
                      <wp:effectExtent l="0" t="0" r="0" b="0"/>
                      <wp:wrapNone/>
                      <wp:docPr id="115" name="Frame112"/>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3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59,322</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17,576</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w:t>
            </w:r>
          </w:p>
        </w:tc>
      </w:tr>
      <w:tr>
        <w:trPr/>
        <w:tc>
          <w:tcPr>
            <w:tcW w:w="21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76,904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7,434</w:t>
            </w:r>
          </w:p>
        </w:tc>
      </w:tr>
    </w:tbl>
    <w:p>
      <w:pPr>
        <w:pStyle w:val="TextBody"/>
        <w:bidi w:val="0"/>
        <w:spacing w:before="0" w:after="0"/>
        <w:ind w:left="0" w:right="0" w:hanging="0"/>
        <w:jc w:val="left"/>
        <w:rPr/>
      </w:pPr>
      <w:r>
        <w:rPr/>
        <w:t>​</w:t>
      </w:r>
    </w:p>
    <w:p>
      <w:pPr>
        <w:pStyle w:val="TextBody"/>
        <w:bidi w:val="0"/>
        <w:spacing w:lineRule="auto" w:line="240" w:before="0" w:after="20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Contractual obligations include our obligations related to sponsorships and other commitments.</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Purchase commitments include obligations made by us and our subsidiaries to various suppliers for raw materials used in the production of our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approximately $3.2 million of unrecognized tax benefits have been recorded as liabilities as of December 31, 2025. It is expected that the amount of unrecognized tax benefits will not significantly change within the next 12 months. As of December 31, 2025, we had $0.9 million of accrued interest and penalties related to unrecognized tax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Accounting Policies and Pronouncements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See “Part II, Item 8 – Financial Statements and Supplementary Data – Note 1 – Organization and Summary of Significant Accounting Policies” for a summary of our significant 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summarizes our most significant 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Goodwill</w:t>
      </w:r>
      <w:r>
        <w:rPr>
          <w:rFonts w:ascii="Times New Roman;Times;serif" w:hAnsi="Times New Roman;Times;serif"/>
          <w:sz w:val="20"/>
        </w:rPr>
        <w:t xml:space="preserve"> – The Company records goodwill when the consideration paid for an acquisition exceeds the fair value of 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Application of the goodwill impairment test requires significant judgment, including the identification of reporting units, assignment of assets and liabilities to reporting units, assignment of goodwill to reporting units, and determination of the fair value of each reporting unit. The fair value of each reporting unit is estimated through the use of a discounted cash flow methodology. This analysis requires significant assumptions, including discount rate, projected future revenues, projected future operating margins and terminal growth rates. 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 The Company will recognize an impairment for the amount by which the carrying amount exceeds a reporting unit’s fair value. For the years ended December 31, 2025 and 2023, there were no goodwill impairments recorded. For the year ended December 31, 2024, goodwill impairment charges of $86.3 million were recorded related to the Alcohol Brands reporting unit. Subsequent to the impairment charges recorded, there was no remaining goodwill for the Alcohol Brands reporting unit. As of December 31, 2025, the accumulated goodwill impairment balance was $86.3 million related entirely to the Alcohol Brands reporting unit.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Intangibles</w:t>
      </w:r>
      <w:r>
        <w:rPr>
          <w:rFonts w:ascii="Times New Roman;Times;serif" w:hAnsi="Times New Roman;Times;serif"/>
          <w:sz w:val="20"/>
        </w:rPr>
        <w:t xml:space="preserve"> – In accordance with FASB ASC 350, intangible assets with indefinite lives are not amortized but instead are measured for impairment at least annually, or when events indicate that an impairment exists. Recoverability of indefinite-lived intangible assets is determined on a relief from royalty methodology, which is based on the implied royalty paid, at an appropriate discount rate, to license the use of an asset rather than owning the asset. The present value of the after-tax cost savings (i.e. royalty relief) indicates the estimated fair value of the asset. Any excess of the carrying value over the estimated fair value is recognized as an impairment loss equal to that excess. This analysis requires significant assumptions, including discount rate, projected future revenues and terminal growth rates. A significant change in any or a combination of the assumptions used to estimate fair value of our indefinite-lived intangible assets could have a negative impact on the estimated fair values. For the year ended December 31, 2025, no impairment charges were recorded to indefinite-lived intangible assets. For the years ended December 31, 2024 and 2023, impairment charges of $40.8 million and $38.7 million were recorded to indefinite-lived intangible assets primarily related to tradenames in our Alcohol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 Promotional and other allowances (variable consideration) recorded as a reduction to net sales for our energy drink products primarily include consideration given to the Company’s non-alcohol bottlers/distributors or customers including, but not limited to, the following:</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discounts granted off list prices to support price promotions to end-consumers by retailers;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reimbursements given to the Company’s bottlers/distributors for agreed portions of their promotional spend with retailers, including slotting, shelf space allowances and other fees for both new and existing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agreed share of fees given to bottlers/distributors and/or directly to retailers for advertising, in-store marketing and promotional activities;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agreed share of slotting, shelf space allowances and other fees given directly to retailers, club stores and/or wholesalers;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incentives given to the Company’s bottlers/distributors and/or retailers for achieving or exceeding certain predetermined sales goals; </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discounted and/or free products or cash rebates;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contractual fees given to the Company’s bottlers/distributors related to sales made directly by the Company to certain customers that fall within the bottlers’/distributors’ sales territories;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paid to TCCC based on our sales to wholly-owned subsidiaries of TCCC and/or to TCCC bottlers/distributors accounted for under the equity method by TCCC.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and/or surpass the current level of sales of our products, to adapt to changing consumer preferences, and to effectively respond to competitive products and pricing pressures;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growth strategy, including expanding our business in existing and new sectors and achieving profitability within our Alcohol Brands segment;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the changing retail landscape with the rapid growth in e-commerce retailers and e-commerce websites;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absorb, reduce or pass on to our bottlers/distributors increases in costs and expenses, including the Midwest Premium, and freight costs;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current U.S. presidential administration’s policies on our energy drinks due to concerns about sugar-sweetened beverages, particular ingredients, such as food dyes, and the “generally recognized as safe” (GRAS) process;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proposed or adopted domestic and/or foreign legislation to limit or restrict the sale of energy drinks (including the prohibition of the sale of energy drinks to certain demographics, at certain establishments, in certain container sizes or pursuant to certain governmental programs, such as the Supplemental Nutrition Assistance Program (SNAP));</w:t>
            </w:r>
          </w:p>
        </w:tc>
      </w:tr>
    </w:tbl>
    <w:tbl>
      <w:tblPr>
        <w:tblW w:w="7697" w:type="dxa"/>
        <w:jc w:val="left"/>
        <w:tblInd w:w="0" w:type="dxa"/>
        <w:tblLayout w:type="fixed"/>
        <w:tblCellMar>
          <w:top w:w="0" w:type="dxa"/>
          <w:left w:w="0" w:type="dxa"/>
          <w:bottom w:w="0" w:type="dxa"/>
          <w:right w:w="0" w:type="dxa"/>
        </w:tblCellMar>
      </w:tblPr>
      <w:tblGrid>
        <w:gridCol w:w="271"/>
        <w:gridCol w:w="7426"/>
      </w:tblGrid>
      <w:tr>
        <w:trPr/>
        <w:tc>
          <w:tcPr>
            <w:tcW w:w="271" w:type="dxa"/>
            <w:tcBorders/>
            <w:vAlign w:val="center"/>
          </w:tcPr>
          <w:p>
            <w:pPr>
              <w:pStyle w:val="TableContents"/>
              <w:bidi w:val="0"/>
              <w:spacing w:before="0" w:after="283"/>
              <w:jc w:val="left"/>
              <w:rPr/>
            </w:pPr>
            <w:r>
              <w:rPr/>
              <w:t>●</w:t>
            </w:r>
          </w:p>
        </w:tc>
        <w:tc>
          <w:tcPr>
            <w:tcW w:w="7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changes in U.S. trade policies, including the imposition of additional tariffs;</w:t>
            </w:r>
          </w:p>
        </w:tc>
      </w:tr>
    </w:tbl>
    <w:tbl>
      <w:tblPr>
        <w:tblW w:w="8882" w:type="dxa"/>
        <w:jc w:val="left"/>
        <w:tblInd w:w="0" w:type="dxa"/>
        <w:tblLayout w:type="fixed"/>
        <w:tblCellMar>
          <w:top w:w="0" w:type="dxa"/>
          <w:left w:w="0" w:type="dxa"/>
          <w:bottom w:w="0" w:type="dxa"/>
          <w:right w:w="0" w:type="dxa"/>
        </w:tblCellMar>
      </w:tblPr>
      <w:tblGrid>
        <w:gridCol w:w="271"/>
        <w:gridCol w:w="8611"/>
      </w:tblGrid>
      <w:tr>
        <w:trPr/>
        <w:tc>
          <w:tcPr>
            <w:tcW w:w="271" w:type="dxa"/>
            <w:tcBorders/>
            <w:vAlign w:val="center"/>
          </w:tcPr>
          <w:p>
            <w:pPr>
              <w:pStyle w:val="TableContents"/>
              <w:bidi w:val="0"/>
              <w:spacing w:before="0" w:after="283"/>
              <w:jc w:val="left"/>
              <w:rPr/>
            </w:pPr>
            <w:r>
              <w:rPr/>
              <w:t>●</w:t>
            </w:r>
          </w:p>
        </w:tc>
        <w:tc>
          <w:tcPr>
            <w:tcW w:w="8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adverse changes in our costs, supply chain, inflation or consumer demand for our products;</w:t>
            </w:r>
          </w:p>
        </w:tc>
      </w:tr>
    </w:tbl>
    <w:tbl>
      <w:tblPr>
        <w:tblW w:w="7442" w:type="dxa"/>
        <w:jc w:val="left"/>
        <w:tblInd w:w="0" w:type="dxa"/>
        <w:tblLayout w:type="fixed"/>
        <w:tblCellMar>
          <w:top w:w="0" w:type="dxa"/>
          <w:left w:w="0" w:type="dxa"/>
          <w:bottom w:w="0" w:type="dxa"/>
          <w:right w:w="0" w:type="dxa"/>
        </w:tblCellMar>
      </w:tblPr>
      <w:tblGrid>
        <w:gridCol w:w="271"/>
        <w:gridCol w:w="7171"/>
      </w:tblGrid>
      <w:tr>
        <w:trPr/>
        <w:tc>
          <w:tcPr>
            <w:tcW w:w="271" w:type="dxa"/>
            <w:tcBorders/>
            <w:vAlign w:val="center"/>
          </w:tcPr>
          <w:p>
            <w:pPr>
              <w:pStyle w:val="TableContents"/>
              <w:bidi w:val="0"/>
              <w:spacing w:before="0" w:after="283"/>
              <w:jc w:val="left"/>
              <w:rPr/>
            </w:pPr>
            <w:r>
              <w:rPr/>
              <w:t>●</w:t>
            </w:r>
          </w:p>
        </w:tc>
        <w:tc>
          <w:tcPr>
            <w:tcW w:w="7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new and/or increased excise sales and/or other taxes on our products;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extensive commercial arrangements with The Coca-Cola Company (TCCC) and, as a result, our future performance’s substantial dependence on the success of our relationship with TCCC;</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unilateral decisions by bottlers/distributors and/or retailers on our business, including their distribution and placement of our products, their consolidation, their discontinuation, or restriction of the range of, all or any of our products that they carry, their limitations on the sale or sizes of our products and/or their allocation of less resources to the sale of our products;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price and/or availability of raw materials and other supply chain issues, such as the availability of products, suitable production facilities and/or co-packing arrangements;</w:t>
            </w:r>
          </w:p>
        </w:tc>
      </w:tr>
    </w:tbl>
    <w:tbl>
      <w:tblPr>
        <w:tblW w:w="7787" w:type="dxa"/>
        <w:jc w:val="left"/>
        <w:tblInd w:w="0" w:type="dxa"/>
        <w:tblLayout w:type="fixed"/>
        <w:tblCellMar>
          <w:top w:w="0" w:type="dxa"/>
          <w:left w:w="0" w:type="dxa"/>
          <w:bottom w:w="0" w:type="dxa"/>
          <w:right w:w="0" w:type="dxa"/>
        </w:tblCellMar>
      </w:tblPr>
      <w:tblGrid>
        <w:gridCol w:w="271"/>
        <w:gridCol w:w="7516"/>
      </w:tblGrid>
      <w:tr>
        <w:trPr/>
        <w:tc>
          <w:tcPr>
            <w:tcW w:w="271" w:type="dxa"/>
            <w:tcBorders/>
            <w:vAlign w:val="center"/>
          </w:tcPr>
          <w:p>
            <w:pPr>
              <w:pStyle w:val="TableContents"/>
              <w:bidi w:val="0"/>
              <w:spacing w:before="0" w:after="283"/>
              <w:jc w:val="left"/>
              <w:rPr/>
            </w:pPr>
            <w:r>
              <w:rPr/>
              <w:t>●</w:t>
            </w:r>
          </w:p>
        </w:tc>
        <w:tc>
          <w:tcPr>
            <w:tcW w:w="7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recalls of our products and/or the consequences and costs of defective production;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manufacturing facilities and operations related to climate, labor, production difficulties, capacity limitations, regulations or other causes;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and/or lack of effectiveness of our information technology systems, including internal and external cybersecurity threats and breaches;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surrounding obesity, alcohol consumption and other health concerns related to our products, product safety and quality;</w:t>
            </w:r>
          </w:p>
        </w:tc>
      </w:tr>
    </w:tbl>
    <w:tbl>
      <w:tblPr>
        <w:tblW w:w="8882" w:type="dxa"/>
        <w:jc w:val="left"/>
        <w:tblInd w:w="0" w:type="dxa"/>
        <w:tblLayout w:type="fixed"/>
        <w:tblCellMar>
          <w:top w:w="0" w:type="dxa"/>
          <w:left w:w="0" w:type="dxa"/>
          <w:bottom w:w="0" w:type="dxa"/>
          <w:right w:w="0" w:type="dxa"/>
        </w:tblCellMar>
      </w:tblPr>
      <w:tblGrid>
        <w:gridCol w:w="271"/>
        <w:gridCol w:w="8611"/>
      </w:tblGrid>
      <w:tr>
        <w:trPr/>
        <w:tc>
          <w:tcPr>
            <w:tcW w:w="271" w:type="dxa"/>
            <w:tcBorders/>
            <w:vAlign w:val="center"/>
          </w:tcPr>
          <w:p>
            <w:pPr>
              <w:pStyle w:val="TableContents"/>
              <w:bidi w:val="0"/>
              <w:spacing w:before="0" w:after="283"/>
              <w:jc w:val="left"/>
              <w:rPr/>
            </w:pPr>
            <w:r>
              <w:rPr/>
              <w:t>●</w:t>
            </w:r>
          </w:p>
        </w:tc>
        <w:tc>
          <w:tcPr>
            <w:tcW w:w="8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resulting from legal or regulatory proceedings, government investigations, and/or injunctions;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inherent operational risks, including the abuse or misuse of our products, presented by the alcoholic beverage industry and/or related claims that may not be adequately covered by insurance or may lead to litigation;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uncertainty and volatility in the national and global economy and changes in demand due to such economic conditions, including a slowdown in consumer spending generally;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military and geopolitical conflicts, including supply chain disruptions, volatility in commodity prices, increased economic uncertainty and escalating geopolitical tensions.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46" w:name="ITEM7AQUANTITATIVEANDQUALITATIVEDISCLOSU"/>
      <w:bookmarkStart w:id="47" w:name="_59539a3f_e8c4_47b3_ad59_d16ca2d7ac48"/>
      <w:bookmarkEnd w:id="46"/>
      <w:bookmarkEnd w:id="47"/>
      <w:r>
        <w:rPr>
          <w:rFonts w:ascii="Times New Roman;Times;serif" w:hAnsi="Times New Roman;Times;serif"/>
          <w:b/>
          <w:i w:val="false"/>
          <w:caps w:val="false"/>
          <w:smallCaps w:val="false"/>
          <w:sz w:val="20"/>
        </w:rPr>
        <w:t>ITEM 7A.</w:t>
      </w:r>
      <w:r>
        <w:rPr>
          <w:rFonts w:ascii="Times New Roman;Times;serif" w:hAnsi="Times New Roman;Times;serif"/>
          <w:b/>
          <w:sz w:val="20"/>
        </w:rPr>
        <w:t>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normal course of business our financial position is routinely subject to a variety of risks. The principal market risks (i.e., the risk of loss arising from adverse changes in market rates and prices) to which we are exposed are fluctuations in commodity and other input prices affecting the costs of our raw materials (including, but not limited to, increases in the costs of aluminum cans, as well as sugar, sucralose and other sweeteners, glucose, sucrose, juice concentrates, milk, cream, coffee, tea, hops, malt and yeast, all of which are used in some or many of our products), fluctuations in energy and fuel prices, tariffs, as well as limitations in the availability of aluminum cans and certain other raw materials and packaging materials. We generally do not use hedging agreements or alternative instruments to manage the risks associated with securing sufficient ingredients or raw materials. We are also subject to market risks with respect to the cost of commodities and other inputs because our ability to recover increased costs through higher pricing is limited by the competitive environment in which we operate.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use derivative financial instruments to protect ourselves from fluctuations in interest rates and, except for aluminum, generally do not hedge against fluctuations in commodity prices.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to customers outside of the United States were approximately 41% and 40% of consolidated net sales for the years ended December 31, 2025 and 2024, respectively. Our growth strategy includes expanding our international business. As a result, we are subject to risks from changes in foreign currency exchange rates. During the year ended December 31, 2025,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2025 have terms of three months or less. We do not enter into forward currency exchange contracts for speculation or trading purposes.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generally do not designate our foreign currency exchange contracts as hedge transactions under FASB ASC 815. Therefore, gains and losses on our foreign currency exchange contracts are recognized in interest and other income,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2025 to be significant.</w:t>
      </w:r>
    </w:p>
    <w:p>
      <w:pPr>
        <w:pStyle w:val="TextBody"/>
        <w:bidi w:val="0"/>
        <w:spacing w:before="0" w:after="160"/>
        <w:ind w:left="0" w:right="0" w:hanging="0"/>
        <w:jc w:val="left"/>
        <w:rPr>
          <w:rFonts w:ascii="Times New Roman;Times;serif" w:hAnsi="Times New Roman;Times;serif"/>
          <w:b/>
          <w:sz w:val="20"/>
        </w:rPr>
      </w:pPr>
      <w:bookmarkStart w:id="48" w:name="ITEM8FINANCIALSTATEMENTSANDSUPPLEMENTARY"/>
      <w:bookmarkStart w:id="49" w:name="_ff71f364_0d6d_4790_83f1_4d0cd3e8d4a3"/>
      <w:bookmarkEnd w:id="48"/>
      <w:bookmarkEnd w:id="49"/>
      <w:r>
        <w:rPr>
          <w:rFonts w:ascii="Times New Roman;Times;serif" w:hAnsi="Times New Roman;Times;serif"/>
          <w:b/>
          <w:i w:val="false"/>
          <w:caps w:val="false"/>
          <w:smallCaps w:val="false"/>
          <w:sz w:val="20"/>
        </w:rPr>
        <w:t>ITEM 8.</w:t>
      </w:r>
      <w:r>
        <w:rPr>
          <w:rFonts w:ascii="Times New Roman;Times;serif" w:hAnsi="Times New Roman;Times;serif"/>
          <w:b/>
          <w:sz w:val="20"/>
        </w:rPr>
        <w:t>FINANCIAL STATEMENTS AND SUPPLEMENTARY DATA</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to be furnished in response to this Item 8 follows the signature page and Index to Exhibits hereto at pages 69 through 109.</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50" w:name="ITEM9CHANGESINANDDISAGREEMENTSWITHACCOUN"/>
      <w:bookmarkStart w:id="51" w:name="_e92f11bd_78f4_4391_a06d_2bc6563db205"/>
      <w:bookmarkEnd w:id="50"/>
      <w:bookmarkEnd w:id="51"/>
      <w:r>
        <w:rPr>
          <w:rFonts w:ascii="Times New Roman;Times;serif" w:hAnsi="Times New Roman;Times;serif"/>
          <w:b/>
          <w:i w:val="false"/>
          <w:caps w:val="false"/>
          <w:smallCaps w:val="false"/>
          <w:sz w:val="20"/>
        </w:rPr>
        <w:t>ITEM 9.</w:t>
      </w:r>
      <w:r>
        <w:rPr>
          <w:rFonts w:ascii="Times New Roman;Times;serif" w:hAnsi="Times New Roman;Times;serif"/>
          <w:b/>
          <w:sz w:val="20"/>
        </w:rPr>
        <w:t>CHANGES IN AND DISAGREEMENTS WITH ACCOUNTANTS ON ACCOUNTING AND FINANCIAL DISCLOSURE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2" w:name="ITEM9ACONTROLSANDPROCEDURES_106507"/>
      <w:bookmarkStart w:id="53" w:name="_abecb5a1_939d_4ab5_b632_008ab60aacc2"/>
      <w:bookmarkEnd w:id="52"/>
      <w:bookmarkEnd w:id="53"/>
      <w:r>
        <w:rPr>
          <w:rFonts w:ascii="Times New Roman;Times;serif" w:hAnsi="Times New Roman;Times;serif"/>
          <w:b/>
          <w:i w:val="false"/>
          <w:caps w:val="false"/>
          <w:smallCaps w:val="false"/>
          <w:sz w:val="20"/>
        </w:rPr>
        <w:t>ITEM 9A.</w:t>
      </w:r>
      <w:r>
        <w:rPr>
          <w:rFonts w:ascii="Times New Roman;Times;serif" w:hAnsi="Times New Roman;Times;serif"/>
          <w:b/>
          <w:sz w:val="20"/>
        </w:rPr>
        <w:t>CONTROLS AND PROCEDURES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Management’s Report on Internal Control Over Financial Reporting</w:t>
      </w:r>
      <w:r>
        <w:rPr>
          <w:rFonts w:ascii="Times New Roman;Times;serif" w:hAnsi="Times New Roman;Times;serif"/>
          <w:sz w:val="20"/>
        </w:rPr>
        <w:t xml:space="preserve"> – Our management is responsible for establishing and maintaining 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2025, based on the framework in </w:t>
      </w:r>
      <w:r>
        <w:rPr>
          <w:rFonts w:ascii="Times New Roman;Times;serif" w:hAnsi="Times New Roman;Times;serif"/>
          <w:i/>
          <w:sz w:val="20"/>
        </w:rPr>
        <w:t>Internal Control – Integrated Framework</w:t>
      </w:r>
      <w:r>
        <w:rPr>
          <w:rFonts w:ascii="Times New Roman;Times;serif" w:hAnsi="Times New Roman;Times;serif"/>
          <w:sz w:val="20"/>
        </w:rPr>
        <w:t xml:space="preserve"> </w:t>
      </w:r>
      <w:r>
        <w:rPr>
          <w:rFonts w:ascii="Times New Roman;Times;serif" w:hAnsi="Times New Roman;Times;serif"/>
          <w:i/>
          <w:sz w:val="20"/>
        </w:rPr>
        <w:t>(2013)</w:t>
      </w:r>
      <w:r>
        <w:rPr>
          <w:rFonts w:ascii="Times New Roman;Times;serif" w:hAnsi="Times New Roman;Times;serif"/>
          <w:sz w:val="20"/>
        </w:rPr>
        <w:t xml:space="preserve"> issued by the Committee of Sponsoring Organizations of the Treadway Commission. Based on our management’s evaluation under the framework in </w:t>
      </w:r>
      <w:r>
        <w:rPr>
          <w:rFonts w:ascii="Times New Roman;Times;serif" w:hAnsi="Times New Roman;Times;serif"/>
          <w:i/>
          <w:sz w:val="20"/>
        </w:rPr>
        <w:t>Internal Control – Integrated Framework (2013)</w:t>
      </w:r>
      <w:r>
        <w:rPr>
          <w:rFonts w:ascii="Times New Roman;Times;serif" w:hAnsi="Times New Roman;Times;serif"/>
          <w:sz w:val="20"/>
        </w:rPr>
        <w:t>, our management concluded that our internal control over financial reporting was effective as of December 31, 2025.</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internal control over financial reporting as of December 31, 2025 has been audited by Ernst &amp; Young LLP, an independent registered public accounting firm, as stated in their attestation.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 There were no changes in the Company’s internal controls over financial reporting during the quarter ended December 31, 2025, that have materially affected, or are reasonably likely to materially affect, our internal control over financial reporting.</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4" w:name="_3cd03dfa_59bd_4fe5_b5d5_8939090bcbdb"/>
      <w:bookmarkEnd w:id="54"/>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Monster Beverage Corporation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audited Monster Beverage Corporation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Monster Beverage Corporation and subsidiaries (the Company) maintained, in all material respects, effective internal control over financial reporting as of December 31, 2025, based on the COSO criteria.</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sheets of the Company as of December 31, 2025 and 2024, the related consolidated statements of income, comprehensive income, stockholders’ equity and cash flows for each of the three years in the period ended December 31, 2025, and the related notes and financial statement schedule listed in the Index at Item 15(a) and our report dated February 26, 2026 expressed an unqualified opinion thereon.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tbl>
      <w:tblPr>
        <w:tblW w:w="3602" w:type="dxa"/>
        <w:jc w:val="left"/>
        <w:tblInd w:w="0" w:type="dxa"/>
        <w:tblLayout w:type="fixed"/>
        <w:tblCellMar>
          <w:top w:w="0" w:type="dxa"/>
          <w:left w:w="0" w:type="dxa"/>
          <w:bottom w:w="0" w:type="dxa"/>
          <w:right w:w="0" w:type="dxa"/>
        </w:tblCellMar>
      </w:tblPr>
      <w:tblGrid>
        <w:gridCol w:w="1606"/>
        <w:gridCol w:w="199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019810" cy="175260"/>
                      <wp:effectExtent l="0" t="0" r="0" b="0"/>
                      <wp:wrapNone/>
                      <wp:docPr id="116" name="Frame113"/>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267460" cy="175260"/>
                      <wp:effectExtent l="0" t="0" r="0" b="0"/>
                      <wp:wrapNone/>
                      <wp:docPr id="117" name="Frame114"/>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Irvine, California</w:t>
            </w:r>
          </w:p>
        </w:tc>
        <w:tc>
          <w:tcPr>
            <w:tcW w:w="1996"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c>
          <w:tcPr>
            <w:tcW w:w="199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5" w:name="ITEM9BOTHERINFORMATION_368767"/>
      <w:bookmarkStart w:id="56" w:name="_cd4f611c_d422_4a96_b351_c3cca3dbac75"/>
      <w:bookmarkEnd w:id="55"/>
      <w:bookmarkEnd w:id="56"/>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Trading Arrangements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During the three-months ended December 31, 2025, none of the Company’s directors or officers adopted, modified</w:t>
      </w:r>
      <w:r>
        <w:rPr>
          <w:rFonts w:ascii="Times New Roman;Times;serif" w:hAnsi="Times New Roman;Times;serif"/>
          <w:sz w:val="22"/>
        </w:rPr>
        <w:t xml:space="preserve"> </w:t>
      </w:r>
      <w:r>
        <w:rPr>
          <w:rFonts w:ascii="Times New Roman;Times;serif" w:hAnsi="Times New Roman;Times;serif"/>
          <w:sz w:val="20"/>
        </w:rPr>
        <w:t>or terminated</w:t>
      </w:r>
      <w:r>
        <w:rPr>
          <w:rFonts w:ascii="Times New Roman;Times;serif" w:hAnsi="Times New Roman;Times;serif"/>
          <w:sz w:val="22"/>
        </w:rPr>
        <w:t xml:space="preserve"> </w:t>
      </w:r>
      <w:r>
        <w:rPr>
          <w:rFonts w:ascii="Times New Roman;Times;serif" w:hAnsi="Times New Roman;Times;serif"/>
          <w:sz w:val="20"/>
        </w:rPr>
        <w:t>a Rule 10b5-1 trading arrangement or a non-Rule 10b5-1 trading arrangement (each as defined in Item 408 of Regulation S-K under the Securities Exchange Act of 1934, as amended).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Monster Beverage Corporation Executive Severance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25, 2026, the Compensation Committee of the Board of Directors of the Company (the “Compensation Committee”) approved and adopted the Monster Beverage Corporation Executive Severance Plan (the “Severance Plan”), effective immediately. The Severance Plan provides for severance pay and benefits to Eligible Employees whose employment with any member of the Company Group is terminated either (i) by any member of the Company Group without “Cause” (which does not include termination due to death or Disability) or (ii) due to an Eligible Employee’s resignation for “Good Reason” (with each of the reasons set forth in clauses (i) and (ii) being a “Qualifying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Upon a Qualifying Termination, an Eligible Employee will be entitled to receive: (i) all accrued and unpaid Base Salary through the Date of Termination; (ii) reimbursement for all incurred but unreimbursed expenses for which the Eligible Employee is entitled to; and (iii) benefits to which an Eligible Employee may be entitled pursuant to the terms of any Company-sponsored plan or policy (collectively, the “Accrued Amounts”).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the Accrued Amounts, if a Qualifying Termination occurs outside of a Change in Control Period and the Eligible Employee has been continuously employed by a Company Group member for at least three hundred and sixty-five days prior to such Qualifying Termination, such Eligible Employee shall be entitled to receive: (i) a cash severance payment in an amount equal to twelve months of such Eligible Employee’s Base Salary, payable in substantially equal installments over twelve months, beginning on the sixtieth day following termination; (ii) a pro-rated Annual Bonus, paid when bonuses are paid to similarly situated employees (but no later than March 15 of the following year); and (iii) continued payment by the Company of the employer portion of health, dental, and vision insurance premiums for up to twelve months.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If a Qualifying Termination occurs during a Change in Control Period, an Eligible Employee shall instead be entitled to receive the following in addition to the Accrued Amounts (without being subject to a minimum employment period): (i) a cash severance payment in an amount equal to the sum of (a) eighteen months of such Eligible Employee’s Base Salary and (b) one and one half times such Eligible Employee’s Annual Bonus, payable in a lump sum within sixty days following termination; (ii) a pro-rated Annual Bonus, paid in a lump sum within sixty days of termination; and (iii) continued payment by the Company of the employer portion of health, dental, and vision insurance premiums for up to eighteen months.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Regardless of whether a Qualifying Termination occurs during or outside of a Change in Control Period, the Eligible Employee must also execute (and not revoke) a general release within sixty days of termination and abide by the terms of any restrictive covenant obligations to which the Eligible Employee is subject in respect of the Company Group.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foregoing description of the Severance Plan does not purport to be complete and is qualified in its entirety by the full text of the Severance Plan, which is filed as Exhibit 10.27 to this Annual Report on Form 10-K and is incorporated herein by reference. Each capitalized but undefined term in the above paragraphs shall have the meaning ascribed to it in the Severance Plan.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Employment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Emelie Tirre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25, 2026, the Compensation Committee approved an amended and restated employment agreement between Monster Energy Company (“MEC”) and Emilie Tirre, effective as of the same date (the “Tirre Employment Agreement”). As compared to the original employment agreement between MEC and Ms. Tirre, dated as of June 13, 2024, the Tirre Employment Agreement appoints Ms. Tirre, who previously served as Chief Commercial Officer of MEC, as Chief Strategy Officer of MEC, extends her employment period to February 25, 2028, and provides for an increase in Ms. Tirre’s annual base salary to $945,000, which amount will be reviewed annually and is subject to adjustment by the Compensation Committee. The Tirre Employment Agreement also conforms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provisions of Ms. Tirre’s employment agreement to those of the Severance Plan, as detailed above. The foregoing description of the Tirre Employment Agreement is qualified in its entirety by reference to the complete text of such agreement, which is attached as Exhibit 10.8 to this Annual Report on Form 10-K and is incorporated by reference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Biographical information regarding Ms. Tirre is set forth in the Company’s Definitive Proxy Statement on Schedule 14A filed with the Securities and Exchange Commission on April 25, 2025 (the “Proxy Statement”), and such information is incorporated by reference herein. No arrangement or understanding exists between Ms. Tirre and any other person pursuant to which Ms. Tirre was selected to serve as Chief Strategy Officer of MEC. There have been no related party transactions between the Company or any of its subsidiaries and Ms. Tirre reportable under Item 404(a) of Regulation S-K. Ms. Tirre does not have a family relationship with any of the Company’s directors or 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Rob Gehring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25, 2026, the Compensation Committee approved an amended and restated employment agreement between MEC and Rob Gehring, effective as of the same date (the “Gehring Employment Agreement”). The Gehring Employment Agreement appoints Mr. Gehring, who previously served as Chief Growth Officer of MEC, as Chief Executive Officer, Americas of MEC. The Gehring Employment Agreement provides for an annual base salary of $875,000, which amount will be reviewed annually and is subject to adjustment by MEC. The Gehring Employment Agreement also conforms certain provisions of Mr. Gehring’s employment agreement to those of the Severance Plan, as detailed above. The foregoing description of the Gehring Employment Agreement is qualified in its entirety by reference to the complete text of such agreement, which is attached as Exhibit 10.9 to this Annual Report on Form 10-K and is incorporated by reference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Mr. Gehring, 59, served as Chief Growth Officer from August 2024 until February 25, 2026 and was primarily responsible for overseeing MEC’s business operations in North America. Prior to Mr. Gehring’s employment with MEC, he served as Chief Operating Officer, and subsequently President &amp; Chief Executive Officer, of Swire Coca-Cola, USA from 2018 to August 2024. Prior to Swire Coca-Cola, USA, Mr. Gehring acted as Global Chief Sales Officer for The Hershey Company and as President of the Walmart and Sam’s Club Global team for Coca-Cola North America. Mr. Gehring has over thirty years’ experience in the consumer product goods business.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 arrangement or understanding exists between Mr. Gehring and any other person pursuant to which Mr. Gehring was selected to serve as Chief Executive Officer, Americas. There have been no related party transactions between the Company or any of its subsidiaries and Mr. Gehring reportable under Item 404(a) of Regulation S-K. Mr. Gehring does not have a family relationship with any of the Company’s directors or executive officers.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57" w:name="ITEM9CDISCLOSUREREGARDINGFOREIGNJURISDIC"/>
      <w:bookmarkStart w:id="58" w:name="_c07b6de7_7661_42a2_ab02_4b00f79721d5"/>
      <w:bookmarkEnd w:id="57"/>
      <w:bookmarkEnd w:id="58"/>
      <w:r>
        <w:rPr>
          <w:rFonts w:ascii="Times New Roman;Times;serif" w:hAnsi="Times New Roman;Times;serif"/>
          <w:b/>
          <w:i w:val="false"/>
          <w:caps w:val="false"/>
          <w:smallCaps w:val="false"/>
          <w:sz w:val="20"/>
        </w:rPr>
        <w:t>ITEM 9C.</w:t>
      </w:r>
      <w:r>
        <w:rPr>
          <w:rFonts w:ascii="Times New Roman;Times;serif" w:hAnsi="Times New Roman;Times;serif"/>
          <w:b/>
          <w:sz w:val="20"/>
        </w:rPr>
        <w:t>DISCLOSURE REGARDING FOREIGN JURISDICTIONS THAT PREVENT INSPECTIONS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9" w:name="PARTIII_53101"/>
      <w:bookmarkStart w:id="60" w:name="_43a25fba_9c80_4af8_adad_a97a4d07f1ed"/>
      <w:bookmarkEnd w:id="59"/>
      <w:bookmarkEnd w:id="60"/>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61" w:name="ITEM10DIRECTORSEXECUTIVEOFFICERSANDCORPO"/>
      <w:bookmarkEnd w:id="61"/>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regarding our directors is included under the caption “Proposal One – Election of Directors” in our Proxy Statement for our 2026 Annual Meeting of Stockholders to be filed with the SEC within 120 days after the end of the fiscal year ended December 31, 2025 (the “2026 Proxy Statement”) and is incorporated herein by reference.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Information concerning compliance with Section 16(a) of the Exchange Act is included under the caption “Delinquent Section 16(a) Reports” in our 2026 Proxy Statement and is incorporated herein by reference.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Information concerning the Audit Committee and the Audit Committee Financial Expert is reported under the caption “Audit Committee; Report of the Audit Committee; Duties and Responsibilities” in our 2026 Proxy Statement and is incorporated herein by reference.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 Code of Business Conduct and Ethics that applies to all our directors, officers (including our principal executive officers, principal financial officer, principal accounting officer and controllers) and employees. The Code of Business Conduct and Ethics and any amendment thereto, as well as any waivers that are required to be disclosed by the rules of the SEC or NASDAQ, may be obtained at http://investors.monsterbevcorp.com/corporate-governance or at no cost to you by writing or telephoning us at the following address or telephone number: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Beverage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 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739-6200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(800) 426-7367</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 w:name="ITEM11EXECUTIVECOMPENSATION_330828"/>
      <w:bookmarkStart w:id="63" w:name="_a0cc9763_697c_4c9a_89f5_b01451b793a0"/>
      <w:bookmarkEnd w:id="62"/>
      <w:bookmarkEnd w:id="63"/>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the compensation of our directors and executive officers and Compensation Committee Interlocks and Insider Participation is reported under the captions “Compensation Discussion and Analysis,” and “Compensation Committee,” respectively, in our 2026 Proxy Statement and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 w:name="ITEM12SECURITYOWNERSHIPOFCERTAINBENEFICI"/>
      <w:bookmarkStart w:id="65" w:name="_7a5fabb7_9812_40e9_9e7a_7410aefcab26"/>
      <w:bookmarkEnd w:id="64"/>
      <w:bookmarkEnd w:id="65"/>
      <w:r>
        <w:rPr>
          <w:rFonts w:ascii="Times New Roman;Times;serif" w:hAnsi="Times New Roman;Times;serif"/>
          <w:b/>
          <w:i w:val="false"/>
          <w:caps w:val="false"/>
          <w:smallCaps w:val="false"/>
          <w:sz w:val="20"/>
        </w:rPr>
        <w:t>ITEM 12.</w:t>
      </w:r>
      <w:r>
        <w:rPr>
          <w:rFonts w:ascii="Times New Roman;Times;serif" w:hAnsi="Times New Roman;Times;serif"/>
          <w:b/>
          <w:sz w:val="20"/>
        </w:rPr>
        <w:t>SECURITY OWNERSHIP OF CERTAIN BENEFICIAL OWNERS AND MANAGEMENT AND RELATED STOCKHOLDER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disclosure set forth in Item 5, “Market for the Registrant’s Common Equity, Related Stockholder Matters and Issuer Repurchases of Equity Securities”, of this report is incorporated herein.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 and executive officers as a group is reported under the caption “Principal Stockholders and Security Ownership of Management” in our 2026 Proxy Statement and is incorporated herein by reference.</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shares of the Company’s Common Stock authorized for issuance under the Company’s equity compensation plans is reported under the caption “Employee Equity Compensation Plan Information” in our 2026 Proxy Statement and is incorporated herein by reference.</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66" w:name="ITEM13CERTAINRELATIONSHIPSANDRELATEDTRAN"/>
      <w:bookmarkStart w:id="67" w:name="_7d03fbc5_a90c_4a43_811a_0da35791b884"/>
      <w:bookmarkEnd w:id="66"/>
      <w:bookmarkEnd w:id="67"/>
      <w:r>
        <w:rPr>
          <w:rFonts w:ascii="Times New Roman;Times;serif" w:hAnsi="Times New Roman;Times;serif"/>
          <w:b/>
          <w:i w:val="false"/>
          <w:caps w:val="false"/>
          <w:smallCaps w:val="false"/>
          <w:sz w:val="20"/>
        </w:rPr>
        <w:t>ITEM 13.</w:t>
      </w:r>
      <w:r>
        <w:rPr>
          <w:rFonts w:ascii="Times New Roman;Times;serif" w:hAnsi="Times New Roman;Times;serif"/>
          <w:b/>
          <w:sz w:val="20"/>
        </w:rPr>
        <w:t>CERTAIN RELATIONSHIPS AND RELATED TRANSACTIONS AND DIRECTOR INDEPENDENCE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certain relationships and related transactions is reported under the caption “Certain Relationships and Related Transactions and Director Independence” in our 2026 Proxy Statement and is incorporated herein by reference.</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68" w:name="ITEM14PRINCIPALACCOUNTINGFEESANDSERVICES"/>
      <w:bookmarkStart w:id="69" w:name="_53cd487e_ad5e_4ce5_9cd1_4504e3d71b29"/>
      <w:bookmarkEnd w:id="68"/>
      <w:bookmarkEnd w:id="69"/>
      <w:r>
        <w:rPr>
          <w:rFonts w:ascii="Times New Roman;Times;serif" w:hAnsi="Times New Roman;Times;serif"/>
          <w:b/>
          <w:i w:val="false"/>
          <w:caps w:val="false"/>
          <w:smallCaps w:val="false"/>
          <w:sz w:val="20"/>
        </w:rPr>
        <w:t>ITEM 14.</w:t>
      </w:r>
      <w:r>
        <w:rPr>
          <w:rFonts w:ascii="Times New Roman;Times;serif" w:hAnsi="Times New Roman;Times;serif"/>
          <w:b/>
          <w:sz w:val="20"/>
        </w:rPr>
        <w:t>PRINCIPAL ACCOUNTING FEES AND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2026 Proxy Statement and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70" w:name="PARTIV_523093"/>
      <w:bookmarkStart w:id="71" w:name="_001df539_8915_4b95_b70f_68944d277da2"/>
      <w:bookmarkEnd w:id="70"/>
      <w:bookmarkEnd w:id="71"/>
      <w:r>
        <w:rPr>
          <w:rFonts w:ascii="Times New Roman;Times;serif" w:hAnsi="Times New Roman;Times;serif"/>
          <w:b/>
          <w:sz w:val="20"/>
        </w:rPr>
        <w:t>PART IV</w:t>
      </w:r>
    </w:p>
    <w:p>
      <w:pPr>
        <w:pStyle w:val="TextBody"/>
        <w:bidi w:val="0"/>
        <w:spacing w:before="0" w:after="200"/>
        <w:ind w:left="0" w:right="0" w:hanging="0"/>
        <w:jc w:val="left"/>
        <w:rPr>
          <w:rFonts w:ascii="Times New Roman;Times;serif" w:hAnsi="Times New Roman;Times;serif"/>
          <w:b/>
          <w:sz w:val="20"/>
        </w:rPr>
      </w:pPr>
      <w:bookmarkStart w:id="72" w:name="ITEM15EXHIBITSANDFINANCIALSTATEMENTSCHED"/>
      <w:bookmarkEnd w:id="72"/>
      <w:r>
        <w:rPr>
          <w:rFonts w:ascii="Times New Roman;Times;serif" w:hAnsi="Times New Roman;Times;serif"/>
          <w:b/>
          <w:i w:val="false"/>
          <w:caps w:val="false"/>
          <w:smallCaps w:val="false"/>
          <w:sz w:val="20"/>
        </w:rPr>
        <w:t>ITEM 15.</w:t>
      </w:r>
      <w:r>
        <w:rPr>
          <w:rFonts w:ascii="Times New Roman;Times;serif" w:hAnsi="Times New Roman;Times;serif"/>
          <w:b/>
          <w:sz w:val="20"/>
        </w:rPr>
        <w:t>EXHIBITS AND FINANCIAL STATEMENT SCHEDULES</w:t>
      </w:r>
    </w:p>
    <w:tbl>
      <w:tblPr>
        <w:tblW w:w="5616" w:type="dxa"/>
        <w:jc w:val="left"/>
        <w:tblInd w:w="0" w:type="dxa"/>
        <w:tblLayout w:type="fixed"/>
        <w:tblCellMar>
          <w:top w:w="0" w:type="dxa"/>
          <w:left w:w="0" w:type="dxa"/>
          <w:bottom w:w="0" w:type="dxa"/>
          <w:right w:w="0" w:type="dxa"/>
        </w:tblCellMar>
      </w:tblPr>
      <w:tblGrid>
        <w:gridCol w:w="124"/>
        <w:gridCol w:w="31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1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following documents are filed as a part of this Form 10-K:</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46"/>
        <w:gridCol w:w="8923"/>
        <w:gridCol w:w="346"/>
        <w:gridCol w:w="466"/>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95910" cy="29210"/>
                      <wp:effectExtent l="0" t="0" r="0" b="0"/>
                      <wp:wrapNone/>
                      <wp:docPr id="118" name="Frame115"/>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23"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No. 42)</w:t>
            </w:r>
          </w:p>
        </w:tc>
        <w:tc>
          <w:tcPr>
            <w:tcW w:w="346" w:type="dxa"/>
            <w:tcBorders/>
            <w:vAlign w:val="center"/>
          </w:tcPr>
          <w:p>
            <w:pPr>
              <w:pStyle w:val="TableContents"/>
              <w:bidi w:val="0"/>
              <w:spacing w:before="0" w:after="0"/>
              <w:ind w:left="0" w:right="0" w:hanging="0"/>
              <w:jc w:val="left"/>
              <w:rPr/>
            </w:pPr>
            <w:r>
              <w:rPr/>
              <w:t>  ​ ​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hyperlink w:anchor="BALANCESHEETS_625207">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hyperlink w:anchor="CONSOLIDATEDSTATEMENTSOFINCOME_622029">
              <w:r>
                <w:rPr>
                  <w:rStyle w:val="InternetLink"/>
                  <w:rFonts w:ascii="Times New Roman;Times;serif" w:hAnsi="Times New Roman;Times;serif"/>
                  <w:b w:val="false"/>
                  <w:i w:val="false"/>
                  <w:caps w:val="false"/>
                  <w:smallCaps w:val="false"/>
                  <w:sz w:val="20"/>
                </w:rPr>
                <w:t>Consolidated Statements of Income for the years ended December 31, 2025, 2024 and 2023</w:t>
              </w:r>
            </w:hyperlink>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hyperlink w:anchor="COMPREHENSIVEINCOME_444106">
              <w:r>
                <w:rPr>
                  <w:rStyle w:val="InternetLink"/>
                  <w:rFonts w:ascii="Times New Roman;Times;serif" w:hAnsi="Times New Roman;Times;serif"/>
                  <w:b w:val="false"/>
                  <w:i w:val="false"/>
                  <w:caps w:val="false"/>
                  <w:smallCaps w:val="false"/>
                  <w:sz w:val="20"/>
                </w:rPr>
                <w:t>Consolidated Statements of Comprehensive Income for the years ended December 31, 2025, 2024 and 2023</w:t>
              </w:r>
            </w:hyperlink>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hyperlink w:anchor="EQUITY_813398">
              <w:r>
                <w:rPr>
                  <w:rStyle w:val="InternetLink"/>
                  <w:rFonts w:ascii="Times New Roman;Times;serif" w:hAnsi="Times New Roman;Times;serif"/>
                  <w:b w:val="false"/>
                  <w:i w:val="false"/>
                  <w:caps w:val="false"/>
                  <w:smallCaps w:val="false"/>
                  <w:sz w:val="20"/>
                </w:rPr>
                <w:t>Consolidated Statements of Stockholders’ Equity for the years ended December 31, 2025, 2024 and 2023</w:t>
              </w:r>
            </w:hyperlink>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hyperlink w:anchor="CASHFLOWS_256883">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hyperlink w:anchor="a1ORGANIZATIONANDSUMMARYOFSIGNIFICANTACC">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hyperlink w:anchor="SCH">
              <w:r>
                <w:rPr>
                  <w:rStyle w:val="InternetLink"/>
                  <w:rFonts w:ascii="Times New Roman;Times;serif" w:hAnsi="Times New Roman;Times;serif"/>
                  <w:b w:val="false"/>
                  <w:i w:val="false"/>
                  <w:caps w:val="false"/>
                  <w:smallCaps w:val="false"/>
                  <w:sz w:val="20"/>
                </w:rPr>
                <w:t>Valuation and Qualifying Accounts for the years ended December 31, 2025, 2024 and 2023</w:t>
              </w:r>
            </w:hyperlink>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Exhibits listed in the Index of Exhibits, which appears immediately preceding the signature page and is incorporated herein by reference, as filed as part of this Form 10-K.</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 w:name="ITEM16FORM10KSUMMARY_855159"/>
      <w:bookmarkStart w:id="74" w:name="_9173a6e4_675c_47e1_8d45_3cee85cb496f"/>
      <w:bookmarkEnd w:id="73"/>
      <w:bookmarkEnd w:id="74"/>
      <w:r>
        <w:rPr>
          <w:rFonts w:ascii="Times New Roman;Times;serif" w:hAnsi="Times New Roman;Times;serif"/>
          <w:b/>
          <w:i w:val="false"/>
          <w:caps w:val="false"/>
          <w:smallCaps w:val="false"/>
          <w:sz w:val="20"/>
        </w:rPr>
        <w:t>ITEM 16.</w:t>
      </w:r>
      <w:r>
        <w:rPr>
          <w:rFonts w:ascii="Times New Roman;Times;serif" w:hAnsi="Times New Roman;Times;serif"/>
          <w:b/>
          <w:sz w:val="20"/>
        </w:rPr>
        <w:t>FORM 10-K SUMMARY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5" w:name="_0b72de43_3bb5_44d2_8130_42718ddfa231"/>
      <w:bookmarkEnd w:id="75"/>
      <w:r>
        <w:rPr>
          <w:rFonts w:ascii="Times New Roman;Times;serif" w:hAnsi="Times New Roman;Times;serif"/>
          <w:b/>
          <w:sz w:val="20"/>
        </w:rPr>
        <w:t>INDEX TO EXHIBITS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w:t>
      </w:r>
    </w:p>
    <w:tbl>
      <w:tblPr>
        <w:tblW w:w="10205" w:type="dxa"/>
        <w:jc w:val="left"/>
        <w:tblInd w:w="0" w:type="dxa"/>
        <w:tblLayout w:type="fixed"/>
        <w:tblCellMar>
          <w:top w:w="0" w:type="dxa"/>
          <w:left w:w="0" w:type="dxa"/>
          <w:bottom w:w="0" w:type="dxa"/>
          <w:right w:w="0" w:type="dxa"/>
        </w:tblCellMar>
      </w:tblPr>
      <w:tblGrid>
        <w:gridCol w:w="652"/>
        <w:gridCol w:w="9553"/>
      </w:tblGrid>
      <w:tr>
        <w:trPr/>
        <w:tc>
          <w:tcPr>
            <w:tcW w:w="652" w:type="dxa"/>
            <w:tcBorders/>
            <w:vAlign w:val="center"/>
          </w:tcPr>
          <w:p>
            <w:pPr>
              <w:pStyle w:val="TableContents"/>
              <w:bidi w:val="0"/>
              <w:spacing w:before="0" w:after="283"/>
              <w:ind w:left="0" w:right="0" w:hanging="0"/>
              <w:jc w:val="left"/>
              <w:rPr>
                <w:sz w:val="4"/>
                <w:szCs w:val="4"/>
              </w:rPr>
            </w:pPr>
            <w:r>
              <w:rPr>
                <w:sz w:val="4"/>
                <w:szCs w:val="4"/>
              </w:rPr>
            </w:r>
          </w:p>
        </w:tc>
        <w:tc>
          <w:tcPr>
            <w:tcW w:w="9553" w:type="dxa"/>
            <w:tcBorders/>
            <w:vAlign w:val="center"/>
          </w:tcPr>
          <w:p>
            <w:pPr>
              <w:pStyle w:val="TableContents"/>
              <w:bidi w:val="0"/>
              <w:spacing w:before="0" w:after="283"/>
              <w:ind w:left="0" w:right="0" w:hanging="0"/>
              <w:jc w:val="left"/>
              <w:rPr>
                <w:sz w:val="4"/>
                <w:szCs w:val="4"/>
              </w:rPr>
            </w:pPr>
            <w:r>
              <w:rPr>
                <w:sz w:val="4"/>
                <w:szCs w:val="4"/>
              </w:rPr>
            </w:r>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Transaction Agreement, dated as of August 14, 2014, by and among Monster Beverage Corporation, New Laser Corporation, New Laser Merger Corp, The Coca-Cola Company and European Refreshments (incorporated by reference to Exhibit 2.1 to our Form 8-K dated August 18, 2014).</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Amendment to Transaction Agreement, dated as of March 16, 2018, by and among Monster Beverage Corporation, New Laser Corporation, New Laser Merger Corp., The Coca-Cola Company and European Refreshments (incorporated by reference to Exhibit 2.1 to our Form 8-K dated March 20, 2018).</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Asset Transfer Agreement, dated as of August 14, 2014, by and among Monster Beverage Corporation, New Laser Corporation and The Coca-Cola Company (incorporated by reference to Exhibit 2.2 to our Form 8-K dated August 18, 2014).</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Second Amended and Restated Certificate of Incorporation of the Company (incorporated by reference to Exhibit 3.1 to our Form 8-K dated June 27, 2023).</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Fourth Amended and Restated By-laws of the Company (incorporated by reference to Exhibit 3.2 to our Form 8-K dated November 7, 2024).</w:t>
              </w:r>
            </w:hyperlink>
            <w:r>
              <w:rPr>
                <w:rFonts w:ascii="Times New Roman;Times;serif" w:hAnsi="Times New Roman;Times;serif"/>
                <w:sz w:val="20"/>
              </w:rPr>
              <w:t xml:space="preserve"> </w:t>
            </w:r>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Description of Common Stock (incorporated by reference to Exhibit 4.1 to our Form 10-K dated February 28, 2020).</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Amended and Restated Distribution Coordination Agreement, dated as of June 12, 2015, between Monster Energy Company and The Coca-Cola Company (incorporated by reference to Exhibit 10.1 to our Form 10-Q dated August 10, 2015).</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Amended and Restated International Distribution Coordination Agreement, dated as of June 12, 2015, between Monster Energy Ltd. and Monster Energy Company and The Coca-Cola Company (incorporated by reference to Exhibit 10.2 to our Form 10-Q dated August 10, 2015).</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Credit Agreement dated as of May 22, 2024 among Monster Beverage Corporation, Monster Energy Company, Monster Energy US LLC, JP Morgan Chase Bank, N.A., as administrative agent and the lenders party thereto (incorporated by reference to Exhibit 10.1 to our Form 8-K dated May 23, 2024).</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10.3.1</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Amendment No. 1 to the Credit Agreement, dated as of October 17, 2025, among Monster Beverage Corporation, JPMorgan Chase Bank, N.A., as administrative agent, and the lenders party thereto (incorporated by reference to Exhibit 10.1 to our Form 10-Q dated November 7, 2025).</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Indemnification Agreement (to be provided by Monster Beverage Corporation to its directors and officers) (incorporated by reference to Exhibit 10.1 to our Form 8-K dated June 11, 2019).</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Employment Agreement between Monster Beverage Corporation and Rodney C. Sacks (incorporated by reference to Exhibit 10.1 to our Form 8-K dated March 19, 2014).</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Rodney C. Sacks Transition Letter, dated March 10, 2025 (incorporated by reference to Exhibit 10.1 to our Form 8-K dated March 10, 2025).</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Employment Agreement between Monster Beverage Corporation and Hilton H. Schlosberg (incorporated by reference to Exhibit 10.2 to our Form 8-K dated March 19, 2014).</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w:anchor="mnst-20251231xex10d8.htm">
              <w:r>
                <w:rPr>
                  <w:rStyle w:val="InternetLink"/>
                  <w:rFonts w:ascii="Times New Roman;Times;serif" w:hAnsi="Times New Roman;Times;serif"/>
                  <w:b w:val="false"/>
                  <w:i w:val="false"/>
                  <w:caps w:val="false"/>
                  <w:smallCaps w:val="false"/>
                  <w:sz w:val="20"/>
                </w:rPr>
                <w:t>Amended and Restated Employment Agreement between Monster Energy Company and Emelie Tirre.</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w:anchor="mnst-20251231xex10d9.htm">
              <w:r>
                <w:rPr>
                  <w:rStyle w:val="InternetLink"/>
                  <w:rFonts w:ascii="Times New Roman;Times;serif" w:hAnsi="Times New Roman;Times;serif"/>
                  <w:b w:val="false"/>
                  <w:i w:val="false"/>
                  <w:caps w:val="false"/>
                  <w:smallCaps w:val="false"/>
                  <w:sz w:val="20"/>
                </w:rPr>
                <w:t>Amended and Restated Employment Agreement between Monster Energy Company and Rob Gehring.</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Monster Beverage Corporation 2011 Omnibus Incentive Plan (incorporated by reference to Exhibit 10.1 to our Form 8-K dated May 24, 2011).</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Form of Stock Option Agreement for grants under the Monster Beverage Corporation 2011 Omnibus Incentive Plan (incorporated by reference to Exhibit 10.10 to our Form 10-K dated March 1, 2018).</w:t>
              </w:r>
            </w:hyperlink>
            <w:r>
              <w:rPr>
                <w:rFonts w:ascii="Times New Roman;Times;serif" w:hAnsi="Times New Roman;Times;serif"/>
                <w:sz w:val="20"/>
              </w:rPr>
              <w:t xml:space="preserve"> </w:t>
            </w:r>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Stock Option Agreement of Co-Chief Executive Officers for grants under the Monster Beverage Corporation 2011 Omnibus Incentive Plan (incorporated by reference to Exhibit 10.11 to our Form 10-K dated March 1, 2018).</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Form of Restricted Stock Agreement (incorporated by reference to Exhibit 10.1 to our Form 10-Q dated August 9, 2011).</w:t>
              </w:r>
            </w:hyperlink>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Form of Restricted Stock Unit Agreement for grants under the Monster Beverage Corporation 2011 Omnibus Incentive Plan (incorporated by reference to Exhibit 10.13 to our Form 10-K dated March 1, 2021).</w:t>
              </w:r>
            </w:hyperlink>
            <w:r>
              <w:rPr>
                <w:rFonts w:ascii="Times New Roman;Times;serif" w:hAnsi="Times New Roman;Times;serif"/>
                <w:sz w:val="20"/>
              </w:rPr>
              <w:t xml:space="preserve"> </w:t>
            </w:r>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9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72" w:right="0" w:hanging="0"/>
              <w:jc w:val="left"/>
              <w:rPr/>
            </w:pPr>
            <w:hyperlink r:id="rId24">
              <w:r>
                <w:rPr>
                  <w:rStyle w:val="InternetLink"/>
                  <w:rFonts w:ascii="Times New Roman;Times;serif" w:hAnsi="Times New Roman;Times;serif"/>
                  <w:b w:val="false"/>
                  <w:i w:val="false"/>
                  <w:caps w:val="false"/>
                  <w:smallCaps w:val="false"/>
                  <w:sz w:val="20"/>
                </w:rPr>
                <w:t>Amended and Restated Monster Beverage Corporation Deferred Compensation Plan (incorporated by reference to Exhibit 10.14 to our Form 10-K dated March 1, 2018).</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613"/>
        <w:gridCol w:w="9592"/>
      </w:tblGrid>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Monster Beverage Corporation Deferred Compensation Plan for Non-Employee Directors (incorporated by reference to Exhibit 4.2 to our Form S-8 dated June 21, 2017).</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Monster Beverage Corporation 2017 Compensation Plan for Non-Employee Directors as Amended and Restated on February 23, 2022 (incorporated by reference to Exhibit 10.1 to our Form 10-Q</w:t>
              </w:r>
            </w:hyperlink>
            <w:hyperlink r:id="rId27">
              <w:r>
                <w:rPr>
                  <w:rStyle w:val="InternetLink"/>
                  <w:rFonts w:ascii="Times New Roman;Times;serif" w:hAnsi="Times New Roman;Times;serif"/>
                  <w:caps w:val="false"/>
                  <w:smallCaps w:val="false"/>
                  <w:sz w:val="20"/>
                </w:rPr>
                <w:t xml:space="preserve"> </w:t>
              </w:r>
            </w:hyperlink>
            <w:hyperlink r:id="rId28">
              <w:r>
                <w:rPr>
                  <w:rStyle w:val="InternetLink"/>
                  <w:rFonts w:ascii="Times New Roman;Times;serif" w:hAnsi="Times New Roman;Times;serif"/>
                  <w:b w:val="false"/>
                  <w:i w:val="false"/>
                  <w:caps w:val="false"/>
                  <w:smallCaps w:val="false"/>
                  <w:sz w:val="20"/>
                </w:rPr>
                <w:t>dated May 6, 2022).</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Form of Restricted Stock Unit Agreement pursuant to the Monster Beverage Corporation 2017 Compensation Plan for Non-Employee Directors (incorporated by reference to Exhibit 10.4 to our Form 10-K dated March 1, 2021).</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"https://www.sec.gov/Archives/edgar/data/865752/000110465920049271/tm202064-1_def14a.htm" \l "g_004"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Monster Beverage Corporation 2020 Omnibus Incentive Plan (incorporated by reference to Appendix A to our Definitive Proxy Statement on Schedule 14A, filed April 21, 2020).</w:t>
            </w:r>
            <w:r>
              <w:rPr>
                <w:rStyle w:val="InternetLink"/>
                <w:smallCaps w:val="false"/>
                <w:caps w:val="false"/>
                <w:sz w:val="20"/>
                <w:i w:val="false"/>
                <w:b w:val="false"/>
                <w:rFonts w:ascii="Times New Roman;Times;serif" w:hAnsi="Times New Roman;Times;serif"/>
              </w:rPr>
              <w:fldChar w:fldCharType="end"/>
            </w:r>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Form of Stock Option Award Agreement for grants under the Monster Beverage Corporation 2020 Omnibus Incentive Plan (incorporated by reference to Exhibit 10.1 to our Form 10-Q dated May 7, 2021).</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Form of Annual Incentive Award Agreement for grants under the Monster Beverage Corporation 2020 Omnibus Incentive Plan (incorporated by reference to Exhibit 10.2 to our Form 10-Q dated May 7, 2021).</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Form of Performance Share Unit Award Agreement for grants under the Monster Beverage Corporation 2020 Omnibus Incentive Plan (incorporated by reference to Exhibit 10.3 to our Form 10-Q dated May 7, 2021).</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Form of Restricted Stock Unit Award Agreement for grants under the Monster Beverage Corporation 2020 Omnibus Incentive Plan (incorporated by reference to Exhibit 10.4 to our Form 10-Q dated May 7, 2021).</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Form of 2025 Stock Option Award Agreement for grants under the Monster Beverage Corporation 2020 Omnibus Incentive Plan (incorporated by reference to Exhibit 10.2 to our Form 10-Q dated May 9, 2025).</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Form of 2025 Restricted Stock Unit Award Agreement for grants under the Monster Beverage Corporation 2020 Omnibus Incentive Plan (incorporated by reference to Exhibit 10.3 to our Form 10-Q dated May 9, 2025).</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Form of 2025 Performance Share Unit Award Agreement for grants under the Monster Beverage Corporation 2020 Omnibus Incentive Plan (incorporated by reference to Exhibit 10.4 to our Form 10-Q dated May 9, 2025).</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51231xex10d27.htm">
              <w:r>
                <w:rPr>
                  <w:rStyle w:val="InternetLink"/>
                  <w:rFonts w:ascii="Times New Roman;Times;serif" w:hAnsi="Times New Roman;Times;serif"/>
                  <w:b w:val="false"/>
                  <w:i w:val="false"/>
                  <w:caps w:val="false"/>
                  <w:smallCaps w:val="false"/>
                  <w:sz w:val="20"/>
                </w:rPr>
                <w:t>Monster Beverage Corporation Executive Severance Plan, effective as of February 25, 2025.</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Monster Beverage Corporation Insider Trading Policy, effective as of June 22, 2023 (incorporated by reference to Exhibit 19.1 to our Form 10-K dated February 28, 2025).</w:t>
              </w:r>
            </w:hyperlink>
            <w:r>
              <w:rPr>
                <w:rFonts w:ascii="Times New Roman;Times;serif" w:hAnsi="Times New Roman;Times;serif"/>
                <w:sz w:val="20"/>
              </w:rPr>
              <w:t xml:space="preserve"> </w:t>
            </w:r>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51231xex21d1.htm">
              <w:r>
                <w:rPr>
                  <w:rStyle w:val="InternetLink"/>
                  <w:rFonts w:ascii="Times New Roman;Times;serif" w:hAnsi="Times New Roman;Times;serif"/>
                  <w:b w:val="false"/>
                  <w:i w:val="false"/>
                  <w:caps w:val="false"/>
                  <w:smallCaps w:val="false"/>
                  <w:sz w:val="20"/>
                </w:rPr>
                <w:t>Subsidiaries</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51231xex23d1.htm">
              <w:r>
                <w:rPr>
                  <w:rStyle w:val="InternetLink"/>
                  <w:rFonts w:ascii="Times New Roman;Times;serif" w:hAnsi="Times New Roman;Times;serif"/>
                  <w:b w:val="false"/>
                  <w:i w:val="false"/>
                  <w:caps w:val="false"/>
                  <w:smallCaps w:val="false"/>
                  <w:sz w:val="20"/>
                </w:rPr>
                <w:t>Consent of Ernst &amp; Young LLP, independent registered public accounting firm</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51231xex31d1.htm">
              <w:r>
                <w:rPr>
                  <w:rStyle w:val="InternetLink"/>
                  <w:rFonts w:ascii="Times New Roman;Times;serif" w:hAnsi="Times New Roman;Times;serif"/>
                  <w:b w:val="false"/>
                  <w:i w:val="false"/>
                  <w:caps w:val="false"/>
                  <w:smallCaps w:val="false"/>
                  <w:sz w:val="20"/>
                </w:rPr>
                <w:t>Certification by Chief Executive Officer pursuant to Rule 13A-14(a) or 15D-14(a) of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51231xex31d2.htm">
              <w:r>
                <w:rPr>
                  <w:rStyle w:val="InternetLink"/>
                  <w:rFonts w:ascii="Times New Roman;Times;serif" w:hAnsi="Times New Roman;Times;serif"/>
                  <w:b w:val="false"/>
                  <w:i w:val="false"/>
                  <w:caps w:val="false"/>
                  <w:smallCaps w:val="false"/>
                  <w:sz w:val="20"/>
                </w:rPr>
                <w:t>Certification by Chief Financial Officer pursuant to Rule 13A-14(a) or 15D-14(a) of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51231xex32d1.htm">
              <w:r>
                <w:rPr>
                  <w:rStyle w:val="InternetLink"/>
                  <w:rFonts w:ascii="Times New Roman;Times;serif" w:hAnsi="Times New Roman;Times;serif"/>
                  <w:b w:val="false"/>
                  <w:i w:val="false"/>
                  <w:caps w:val="false"/>
                  <w:smallCaps w:val="false"/>
                  <w:sz w:val="20"/>
                </w:rPr>
                <w:t>Certification by Chief Executive Officer pursuant to 18 U.S.C. Section 1350, as adopted pursuant to Section 906 of the Sarbanes-Oxley Act of 2002</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51231xex32d2.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Monster Beverage Corporation Clawback Policy, effective as of December 1, 2023 (incorporated by reference to Exhibit 97 to our Form 10-K dated February 29, 2024).</w:t>
              </w:r>
            </w:hyperlink>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materials from Monster Beverage Corporation’s Annual Report on Form 10-K for the fiscal year ended December 31, 2025 are furnished herewith, formatted in iXBRL (Inline eXtensible Business Reporting Language): (i) Consolidated Balance Sheets as of December 31, 2025 and 2024, (ii) Consolidated Statements of Income for the years ended December 31, 2025, 2024 and 2023, (iii) Consolidated Statements of Comprehensive Income for the years ended December 31, 2025, 2024 and 2023, (iv) Consolidated Statements of Stockholders’ Equity for the years ended December 31, 2025, 2024 and 2023, (v) Consolidated Statements of Cash Flows for the years ended December 31, 2025, 2024 and 2023, and (vi) Notes to Consolidated Financial Statements.</w:t>
            </w:r>
          </w:p>
        </w:tc>
      </w:tr>
      <w:tr>
        <w:trPr/>
        <w:tc>
          <w:tcPr>
            <w:tcW w:w="6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72" w:right="0" w:hanging="0"/>
              <w:jc w:val="both"/>
              <w:rPr>
                <w:rFonts w:ascii="Times New Roman;Times;serif" w:hAnsi="Times New Roman;Times;serif"/>
                <w:sz w:val="20"/>
              </w:rPr>
            </w:pPr>
            <w:r>
              <w:rPr>
                <w:rFonts w:ascii="Times New Roman;Times;serif" w:hAnsi="Times New Roman;Times;serif"/>
                <w:sz w:val="20"/>
              </w:rPr>
              <w:t>The cover page from Monster Beverage Corporation’s Annual Report on Form 10-K for the fiscal year ended December 31, 2025, formatted in iXBRL (Inline eXtensible Business Reporting Language) and contained in Exhibit 101.</w:t>
            </w:r>
          </w:p>
        </w:tc>
      </w:tr>
    </w:tbl>
    <w:p>
      <w:pPr>
        <w:pStyle w:val="TextBody"/>
        <w:bidi w:val="0"/>
        <w:spacing w:before="0" w:after="0"/>
        <w:ind w:left="0" w:right="0" w:hanging="0"/>
        <w:jc w:val="left"/>
        <w:rPr/>
      </w:pPr>
      <w:r>
        <w:rPr/>
        <w:t>​</w:t>
      </w:r>
    </w:p>
    <w:tbl>
      <w:tblPr>
        <w:tblW w:w="1367" w:type="dxa"/>
        <w:jc w:val="left"/>
        <w:tblInd w:w="0" w:type="dxa"/>
        <w:tblLayout w:type="fixed"/>
        <w:tblCellMar>
          <w:top w:w="0" w:type="dxa"/>
          <w:left w:w="0" w:type="dxa"/>
          <w:bottom w:w="0" w:type="dxa"/>
          <w:right w:w="0" w:type="dxa"/>
        </w:tblCellMar>
      </w:tblPr>
      <w:tblGrid>
        <w:gridCol w:w="181"/>
        <w:gridCol w:w="1186"/>
      </w:tblGrid>
      <w:tr>
        <w:trPr/>
        <w:tc>
          <w:tcPr>
            <w:tcW w:w="181"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w:t>
            </w:r>
          </w:p>
        </w:tc>
        <w:tc>
          <w:tcPr>
            <w:tcW w:w="1186"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Filed herewith.</w:t>
            </w:r>
          </w:p>
        </w:tc>
      </w:tr>
    </w:tbl>
    <w:tbl>
      <w:tblPr>
        <w:tblW w:w="4682" w:type="dxa"/>
        <w:jc w:val="left"/>
        <w:tblInd w:w="0" w:type="dxa"/>
        <w:tblLayout w:type="fixed"/>
        <w:tblCellMar>
          <w:top w:w="0" w:type="dxa"/>
          <w:left w:w="0" w:type="dxa"/>
          <w:bottom w:w="0" w:type="dxa"/>
          <w:right w:w="0" w:type="dxa"/>
        </w:tblCellMar>
      </w:tblPr>
      <w:tblGrid>
        <w:gridCol w:w="196"/>
        <w:gridCol w:w="4486"/>
      </w:tblGrid>
      <w:tr>
        <w:trPr/>
        <w:tc>
          <w:tcPr>
            <w:tcW w:w="196"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w:t>
            </w:r>
          </w:p>
        </w:tc>
        <w:tc>
          <w:tcPr>
            <w:tcW w:w="4486"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Management contract or compensatory plans or arrangements.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6" w:name="SIGNATURES_717339"/>
      <w:bookmarkStart w:id="77" w:name="_51082046_b9aa_4e9c_bd76_62683065e507"/>
      <w:bookmarkEnd w:id="76"/>
      <w:bookmarkEnd w:id="77"/>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Sections 13 or 15(d) of the Securities Exchange Act of 1934, as amended, the registrant has duly caused this report to be signed on its behalf by the undersigned, thereunto duly authorized.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MONSTER BEVERAGE CORPORATION</w:t>
      </w:r>
    </w:p>
    <w:tbl>
      <w:tblPr>
        <w:tblW w:w="7511" w:type="dxa"/>
        <w:jc w:val="left"/>
        <w:tblInd w:w="0" w:type="dxa"/>
        <w:tblLayout w:type="fixed"/>
        <w:tblCellMar>
          <w:top w:w="0" w:type="dxa"/>
          <w:left w:w="0" w:type="dxa"/>
          <w:bottom w:w="28" w:type="dxa"/>
          <w:right w:w="0" w:type="dxa"/>
        </w:tblCellMar>
      </w:tblPr>
      <w:tblGrid>
        <w:gridCol w:w="2596"/>
        <w:gridCol w:w="109"/>
        <w:gridCol w:w="2581"/>
        <w:gridCol w:w="109"/>
        <w:gridCol w:w="2116"/>
      </w:tblGrid>
      <w:tr>
        <w:trPr/>
        <w:tc>
          <w:tcPr>
            <w:tcW w:w="25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26, 2026</w:t>
            </w:r>
          </w:p>
        </w:tc>
      </w:tr>
      <w:tr>
        <w:trPr/>
        <w:tc>
          <w:tcPr>
            <w:tcW w:w="259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and Chief</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Officer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26, 2026</w:t>
            </w:r>
          </w:p>
        </w:tc>
      </w:tr>
      <w:tr>
        <w:trPr/>
        <w:tc>
          <w:tcPr>
            <w:tcW w:w="259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8600" w:type="dxa"/>
        <w:jc w:val="left"/>
        <w:tblInd w:w="0" w:type="dxa"/>
        <w:tblLayout w:type="fixed"/>
        <w:tblCellMar>
          <w:top w:w="0" w:type="dxa"/>
          <w:left w:w="0" w:type="dxa"/>
          <w:bottom w:w="28" w:type="dxa"/>
          <w:right w:w="0" w:type="dxa"/>
        </w:tblCellMar>
      </w:tblPr>
      <w:tblGrid>
        <w:gridCol w:w="2701"/>
        <w:gridCol w:w="346"/>
        <w:gridCol w:w="3571"/>
        <w:gridCol w:w="346"/>
        <w:gridCol w:w="1636"/>
      </w:tblGrid>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5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6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Chief Executive Officer (principal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executive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 principal accounting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ANA DEMEL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Ana Demel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L. DINKINS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L. Dinkins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WILLIAM W. DOUGLAS III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W. Douglas III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J. HALL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J. Hall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TIFFANY M. HALL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Tiffany M. Hall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JEANNE P. JACKSON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Jeanne P. Jackson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G. PIZULA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G. Pizula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S. VIDERGAUZ</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S. Vidergauz</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8" w:name="INDEX"/>
      <w:bookmarkStart w:id="79" w:name="_61efbb4b_e508_499a_bdd2_9fbbbfe6d3f9"/>
      <w:bookmarkEnd w:id="78"/>
      <w:bookmarkEnd w:id="79"/>
      <w:r>
        <w:rPr>
          <w:rFonts w:ascii="Times New Roman;Times;serif" w:hAnsi="Times New Roman;Times;serif"/>
          <w:b/>
          <w:sz w:val="20"/>
        </w:rPr>
        <w:t>INDEX TO CONSOLIDATED FINANCIAL STATEMENTS AND FINANCIAL STATEMENT SCHEDULE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664"/>
        <w:gridCol w:w="541"/>
      </w:tblGrid>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43535" cy="29210"/>
                      <wp:effectExtent l="0" t="0" r="0" b="0"/>
                      <wp:wrapNone/>
                      <wp:docPr id="119" name="Frame116"/>
                      <a:graphic xmlns:a="http://schemas.openxmlformats.org/drawingml/2006/main">
                        <a:graphicData uri="http://schemas.microsoft.com/office/word/2010/wordprocessingShape">
                          <wps:wsp>
                            <wps:cNvSpPr txBox="1"/>
                            <wps:spPr>
                              <a:xfrm>
                                <a:off x="0" y="0"/>
                                <a:ext cx="343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6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 AND SUBSIDIARIES</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BALANCESHEETS_625207">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STATEMENTSOFINCOME_553557">
              <w:r>
                <w:rPr>
                  <w:rStyle w:val="InternetLink"/>
                  <w:rFonts w:ascii="Times New Roman;Times;serif" w:hAnsi="Times New Roman;Times;serif"/>
                  <w:b w:val="false"/>
                  <w:i w:val="false"/>
                  <w:caps w:val="false"/>
                  <w:smallCaps w:val="false"/>
                  <w:sz w:val="20"/>
                </w:rPr>
                <w:t>Consolidated Statements of Income for the years ended December 31, 2025, 2024 and 2023</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COMPREHENSIVEINCOME_444106">
              <w:r>
                <w:rPr>
                  <w:rStyle w:val="InternetLink"/>
                  <w:rFonts w:ascii="Times New Roman;Times;serif" w:hAnsi="Times New Roman;Times;serif"/>
                  <w:b w:val="false"/>
                  <w:i w:val="false"/>
                  <w:caps w:val="false"/>
                  <w:smallCaps w:val="false"/>
                  <w:sz w:val="20"/>
                </w:rPr>
                <w:t>Consolidated Statements of Comprehensive Income for the years ended December 31, 2025, 2024 and 2023</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EQUITY_813398">
              <w:r>
                <w:rPr>
                  <w:rStyle w:val="InternetLink"/>
                  <w:rFonts w:ascii="Times New Roman;Times;serif" w:hAnsi="Times New Roman;Times;serif"/>
                  <w:b w:val="false"/>
                  <w:i w:val="false"/>
                  <w:caps w:val="false"/>
                  <w:smallCaps w:val="false"/>
                  <w:sz w:val="20"/>
                </w:rPr>
                <w:t>Consolidated Statements of Stockholders’ Equity for the years ended December 31, 2025, 2024 and 2023</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CASHFLOWS_256883">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a1ORGANIZATIONANDSUMMARYOFSIGNIFICANTACC">
              <w:r>
                <w:rPr>
                  <w:rStyle w:val="InternetLink"/>
                  <w:rFonts w:ascii="Times New Roman;Times;serif" w:hAnsi="Times New Roman;Times;serif"/>
                  <w:b w:val="false"/>
                  <w:i w:val="false"/>
                  <w:caps w:val="false"/>
                  <w:smallCaps w:val="false"/>
                  <w:sz w:val="20"/>
                </w:rPr>
                <w:t>Notes to Consolidated 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SCH">
              <w:r>
                <w:rPr>
                  <w:rStyle w:val="InternetLink"/>
                  <w:rFonts w:ascii="Times New Roman;Times;serif" w:hAnsi="Times New Roman;Times;serif"/>
                  <w:b w:val="false"/>
                  <w:i w:val="false"/>
                  <w:caps w:val="false"/>
                  <w:smallCaps w:val="false"/>
                  <w:sz w:val="20"/>
                </w:rPr>
                <w:t>Financial Statement Schedule – Valuation and Qualifying Accounts for the years ended December 31, 2025, 2024 and 2023</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0" w:name="REPORTOFINDEPENDENTREGISTEREDPUBLICACCOU"/>
      <w:bookmarkStart w:id="81" w:name="_3ff8d416_3dec_4c72_9da7_27eb06806103"/>
      <w:bookmarkEnd w:id="80"/>
      <w:bookmarkEnd w:id="81"/>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Monster Beverage Corporation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Monster Beverage Corporation and subsidiaries (the Company) as of December 31, 2025 and 2024, the related consolidated statements of income, comprehensive income, stockholders’ equity and cash flows for each of the three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tbl>
      <w:tblPr>
        <w:tblW w:w="10205" w:type="dxa"/>
        <w:jc w:val="left"/>
        <w:tblInd w:w="0" w:type="dxa"/>
        <w:tblLayout w:type="fixed"/>
        <w:tblCellMar>
          <w:top w:w="0" w:type="dxa"/>
          <w:left w:w="0" w:type="dxa"/>
          <w:bottom w:w="0" w:type="dxa"/>
          <w:right w:w="0" w:type="dxa"/>
        </w:tblCellMar>
      </w:tblPr>
      <w:tblGrid>
        <w:gridCol w:w="1310"/>
        <w:gridCol w:w="109"/>
        <w:gridCol w:w="8786"/>
      </w:tblGrid>
      <w:tr>
        <w:trPr/>
        <w:tc>
          <w:tcPr>
            <w:tcW w:w="13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86" w:type="dxa"/>
            <w:tcBorders/>
            <w:vAlign w:val="center"/>
          </w:tcPr>
          <w:p>
            <w:pPr>
              <w:pStyle w:val="TableContents"/>
              <w:bidi w:val="0"/>
              <w:spacing w:before="0" w:after="283"/>
              <w:ind w:left="0" w:right="0" w:hanging="0"/>
              <w:jc w:val="left"/>
              <w:rPr>
                <w:sz w:val="4"/>
                <w:szCs w:val="4"/>
              </w:rPr>
            </w:pPr>
            <w:r>
              <w:rPr>
                <w:sz w:val="4"/>
                <w:szCs w:val="4"/>
              </w:rPr>
            </w:r>
          </w:p>
        </w:tc>
      </w:tr>
      <w:tr>
        <w:trPr/>
        <w:tc>
          <w:tcPr>
            <w:tcW w:w="1310"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86" w:type="dxa"/>
            <w:tcBorders/>
            <w:vAlign w:val="center"/>
          </w:tcPr>
          <w:p>
            <w:pPr>
              <w:pStyle w:val="TableContents"/>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Accrued Promotional Allowances</w:t>
            </w:r>
          </w:p>
        </w:tc>
      </w:tr>
      <w:tr>
        <w:trPr/>
        <w:tc>
          <w:tcPr>
            <w:tcW w:w="1310" w:type="dxa"/>
            <w:tcBorders/>
            <w:vAlign w:val="center"/>
          </w:tcPr>
          <w:p>
            <w:pPr>
              <w:pStyle w:val="TableContents"/>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vAlign w:val="center"/>
          </w:tcPr>
          <w:p>
            <w:pPr>
              <w:pStyle w:val="TableContents"/>
              <w:bidi w:val="0"/>
              <w:spacing w:before="0" w:after="240"/>
              <w:ind w:left="0" w:right="0" w:hanging="0"/>
              <w:jc w:val="both"/>
              <w:rPr/>
            </w:pPr>
            <w:r>
              <w:rPr/>
              <w:t>​</w:t>
            </w:r>
          </w:p>
        </w:tc>
        <w:tc>
          <w:tcPr>
            <w:tcW w:w="8786"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$384.1 million in accrued promotional allowances as of December 31, 2025. As described in Notes 1 and 2 of the consolidated financial statements, the Company’s promotional allowances are calculated based on various programs and agreements with its bottlers/distributors and retail customers, and accruals are established at the time of the initial product sale. These accruals are based on agreed-upon terms as well as the Company’s historical experience with similar programs. Promotional allowances for the Company’s energy drink products primarily include consideration given to its non-alcohol bottlers/distributors or retail customers. The promotional expenditures are recorded as a reduction to net sales in the period the underlying sale occurs.</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Auditing the United States accrued promotional allowances process was challenging due to the amount of data utilized to compute the accrual as a result of the number of bottlers/distributors and retail customers.</w:t>
            </w:r>
          </w:p>
        </w:tc>
      </w:tr>
      <w:tr>
        <w:trPr/>
        <w:tc>
          <w:tcPr>
            <w:tcW w:w="1310" w:type="dxa"/>
            <w:tcBorders/>
            <w:vAlign w:val="center"/>
          </w:tcPr>
          <w:p>
            <w:pPr>
              <w:pStyle w:val="TableContents"/>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109" w:type="dxa"/>
            <w:tcBorders/>
            <w:vAlign w:val="center"/>
          </w:tcPr>
          <w:p>
            <w:pPr>
              <w:pStyle w:val="TableContents"/>
              <w:bidi w:val="0"/>
              <w:spacing w:before="0" w:after="240"/>
              <w:ind w:left="0" w:right="0" w:hanging="0"/>
              <w:jc w:val="both"/>
              <w:rPr/>
            </w:pPr>
            <w:r>
              <w:rPr/>
              <w:t>​</w:t>
            </w:r>
          </w:p>
        </w:tc>
        <w:tc>
          <w:tcPr>
            <w:tcW w:w="8786"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management’s controls over the United States promotional allowances process. We also tested controls over management’s review of the amount of the recorded promotional allowances and tested management’s controls to validate the completeness and accuracy of data used in management’s estimate.</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substantive audit procedures included, among others, testing the data underlying the United States  promotional allowances process and testing the completeness and accuracy of the accrued promotional allowances. We evaluated the completeness of the accrual by selecting accrued promotional allowances recorded, sending confirmation requests to the bottlers/distributors and retail customers and testing a sample of payments made subsequent to year end. We performed analytical procedures considering historical relationships between the promotional allowances recorded to sales. We additionally performed detail testing over the current year promotional expenditures and performed testing over management’s lookback analysis comparing the previous year-end accrued promotional allowances amounts to actual payments. Lastly, we performed inquiries of the Company’s sales and marketing personnel in order to corroborate our understanding of new and existing promotional programs that could impact the amounts recorded.</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82" w:name="Tc_CAyxgsKks0qyRfALK0XJfw_6_0"/>
      <w:bookmarkStart w:id="83" w:name="Tc_rjhfgy30GEGkiqlf5Nvx1g_3_0"/>
      <w:bookmarkStart w:id="84" w:name="Tc_40OGnXPlnEGITG1WUaOXRw_1_1"/>
      <w:bookmarkStart w:id="85" w:name="_452648b9_ac73_4444_8945_8392fdb29905"/>
      <w:bookmarkStart w:id="86" w:name="Tc_CAyxgsKks0qyRfALK0XJfw_6_0"/>
      <w:bookmarkStart w:id="87" w:name="Tc_rjhfgy30GEGkiqlf5Nvx1g_3_0"/>
      <w:bookmarkStart w:id="88" w:name="Tc_40OGnXPlnEGITG1WUaOXRw_1_1"/>
      <w:bookmarkStart w:id="89" w:name="_452648b9_ac73_4444_8945_8392fdb29905"/>
      <w:bookmarkEnd w:id="86"/>
      <w:bookmarkEnd w:id="87"/>
      <w:bookmarkEnd w:id="88"/>
      <w:bookmarkEnd w:id="89"/>
    </w:p>
    <w:tbl>
      <w:tblPr>
        <w:tblW w:w="6482" w:type="dxa"/>
        <w:jc w:val="left"/>
        <w:tblInd w:w="0" w:type="dxa"/>
        <w:tblLayout w:type="fixed"/>
        <w:tblCellMar>
          <w:top w:w="0" w:type="dxa"/>
          <w:left w:w="0" w:type="dxa"/>
          <w:bottom w:w="0" w:type="dxa"/>
          <w:right w:w="0" w:type="dxa"/>
        </w:tblCellMar>
      </w:tblPr>
      <w:tblGrid>
        <w:gridCol w:w="4486"/>
        <w:gridCol w:w="199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848610" cy="175260"/>
                      <wp:effectExtent l="0" t="0" r="0" b="0"/>
                      <wp:wrapNone/>
                      <wp:docPr id="120" name="Frame11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67460" cy="175260"/>
                      <wp:effectExtent l="0" t="0" r="0" b="0"/>
                      <wp:wrapNone/>
                      <wp:docPr id="121" name="Frame118"/>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r>
      <w:tr>
        <w:trPr/>
        <w:tc>
          <w:tcPr>
            <w:tcW w:w="448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2023.</w:t>
            </w:r>
          </w:p>
        </w:tc>
        <w:tc>
          <w:tcPr>
            <w:tcW w:w="1996"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Irvine, California</w:t>
            </w:r>
          </w:p>
        </w:tc>
        <w:tc>
          <w:tcPr>
            <w:tcW w:w="1996"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c>
          <w:tcPr>
            <w:tcW w:w="199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0" w:name="_f1a54565_a732_4d2a_a49d_0b9c18521ce6"/>
      <w:bookmarkEnd w:id="90"/>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91" w:name="CONSOLIDATEDBALANCESHEETS_945777"/>
      <w:bookmarkStart w:id="92" w:name="BALANCESHEETS_625207"/>
      <w:bookmarkEnd w:id="91"/>
      <w:bookmarkEnd w:id="92"/>
      <w:r>
        <w:rPr>
          <w:rFonts w:ascii="Times New Roman;Times;serif" w:hAnsi="Times New Roman;Times;serif"/>
          <w:b/>
          <w:sz w:val="20"/>
        </w:rPr>
        <w:t>CONSOLIDATED BALANCE SHEETS</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AS OF DECEMBER 31, 2025 AND 2024 (In Thousands, Except Par Value)</w:t>
      </w:r>
    </w:p>
    <w:p>
      <w:pPr>
        <w:pStyle w:val="Normal"/>
        <w:bidi w:val="0"/>
        <w:spacing w:before="0" w:after="0"/>
        <w:jc w:val="left"/>
        <w:rPr>
          <w:sz w:val="4"/>
          <w:szCs w:val="4"/>
        </w:rPr>
      </w:pPr>
      <w:r>
        <w:rPr>
          <w:sz w:val="4"/>
          <w:szCs w:val="4"/>
        </w:rPr>
      </w:r>
      <w:bookmarkStart w:id="93" w:name="Tc_S3MndnHeGkCHnMU3iGo47w_46_5"/>
      <w:bookmarkStart w:id="94" w:name="Tc_Z4SeWNgayUChZtZgnNTUCQ_46_2"/>
      <w:bookmarkStart w:id="95" w:name="Tc_CVVjQB24gUqaiS8LM7wnug_46_0"/>
      <w:bookmarkStart w:id="96" w:name="Tc_1cwUUDGHcku2fktrnw4Ynw_45_0"/>
      <w:bookmarkStart w:id="97" w:name="Tc_7xRh649xDkCkn1LJWmd1Tg_44_0"/>
      <w:bookmarkStart w:id="98" w:name="Tc_qCbq9AprOkqUL7f94nxYPg_43_0"/>
      <w:bookmarkStart w:id="99" w:name="Tc_c3k0pPSbtE2Gj3Tg3-sdSA_42_0"/>
      <w:bookmarkStart w:id="100" w:name="Tc_7CRb4R1Bi0qB2Pk0ZZ8R1Q_41_0"/>
      <w:bookmarkStart w:id="101" w:name="Tc_iGJIBYFBjUy0AcBRRb1AiA_40_0"/>
      <w:bookmarkStart w:id="102" w:name="Tc_51ZojYm_00GST2Q3WVx1fA_39_0"/>
      <w:bookmarkStart w:id="103" w:name="Tc_7qe-eaHOoEKqijLMFvOlXw_37_0"/>
      <w:bookmarkStart w:id="104" w:name="Tc_l92MSjzzoUCgnfSe35B0oQ_35_3"/>
      <w:bookmarkStart w:id="105" w:name="Tc_j1CzhoNeYkmmk6okNqYR8A_35_0"/>
      <w:bookmarkStart w:id="106" w:name="Tc_ovkJ6gaP70-4GI3I_ks-7w_33_0"/>
      <w:bookmarkStart w:id="107" w:name="Tc_LM-Z4lGs0U-bDMhaBDt_xw_31_0"/>
      <w:bookmarkStart w:id="108" w:name="Tc_KwZObxtim0uks2AuGwiTAw_29_0"/>
      <w:bookmarkStart w:id="109" w:name="Tc_u41QK2CXNkGn9uWbCezJ1A_28_0"/>
      <w:bookmarkStart w:id="110" w:name="Tc_D0a-nV2JkE-6Mc8-adJ39g_27_0"/>
      <w:bookmarkStart w:id="111" w:name="Tc_PtDVEoHd-kGOCum2w4Mp_Q_26_0"/>
      <w:bookmarkStart w:id="112" w:name="Tc_ScnomAc-VEueBHZKCbND9g_25_0"/>
      <w:bookmarkStart w:id="113" w:name="Tc_b5I4bY13YEKi-TOdo30SDg_24_0"/>
      <w:bookmarkStart w:id="114" w:name="Tc_vJhDatEb00eHf_Fm3v-CeA_23_5"/>
      <w:bookmarkStart w:id="115" w:name="Tc_X4NQT2OrG0mAy90RuaoRLw_23_2"/>
      <w:bookmarkStart w:id="116" w:name="Tc_cGkeMj6UZEeLLLe6ciKUrw_23_0"/>
      <w:bookmarkStart w:id="117" w:name="Tc_VTOqWuj3g0Gp833fjWe61g_22_0"/>
      <w:bookmarkStart w:id="118" w:name="Tc_AsFal6iYYEav07Exl2zkYA_21_0"/>
      <w:bookmarkStart w:id="119" w:name="Tc_GO1f3zzAe0y1QTCqD2BCuQ_19_5"/>
      <w:bookmarkStart w:id="120" w:name="Tc_vCwbambWMEO2RUWv5LaRDw_19_2"/>
      <w:bookmarkStart w:id="121" w:name="Tc_e3CsgxpeE0OGvU7500Y-zw_19_0"/>
      <w:bookmarkStart w:id="122" w:name="Tc_eDUaBjkMJE-3yXevZjKFOQ_18_0"/>
      <w:bookmarkStart w:id="123" w:name="Tc_aN5t9ElRWES-Bu28bJkUdA_17_0"/>
      <w:bookmarkStart w:id="124" w:name="Tc_3faFgzg9hkqjkc_FfdLRLQ_16_0"/>
      <w:bookmarkStart w:id="125" w:name="Tc_HibwJ1-g0k6rMqjvKSO9sg_15_0"/>
      <w:bookmarkStart w:id="126" w:name="Tc_nBrQUth4RUqUzp7BtLfllw_14_0"/>
      <w:bookmarkStart w:id="127" w:name="Tc_gVFCcyr5jEe1Vi69Lhn6DQ_13_6"/>
      <w:bookmarkStart w:id="128" w:name="Tc_3_n88OovakifEd15IZJWNg_13_0"/>
      <w:bookmarkStart w:id="129" w:name="Tc_Y7_qC3XhXkmLq5gCBTmWIg_11_0"/>
      <w:bookmarkStart w:id="130" w:name="Tc_WCLe-7WD40CBv4rncWr3dA_10_0"/>
      <w:bookmarkStart w:id="131" w:name="Tc_tWtbeD1UCUmCaKivMR-xkA_9_0"/>
      <w:bookmarkStart w:id="132" w:name="Tc_g7ysqN8Qt0yrxxKq9tdcjA_8_0"/>
      <w:bookmarkStart w:id="133" w:name="Tc_1h5KK36LoU-IEvE7lz781w_7_0"/>
      <w:bookmarkStart w:id="134" w:name="Tc_AAbMHcXxEki-gCTzoyYY4Q_6_6"/>
      <w:bookmarkStart w:id="135" w:name="Tc_fad2BHYOTEagVNsCF0x-JA_6_0"/>
      <w:bookmarkStart w:id="136" w:name="Tc_iDytD8kIEU2_EdQtgcoN6w_5_5"/>
      <w:bookmarkStart w:id="137" w:name="Tc_ftBmc2v2PE-dPznTS5IvuQ_5_2"/>
      <w:bookmarkStart w:id="138" w:name="Tc_XaVZVOFBYUax4jBbxv32Ig_5_0"/>
      <w:bookmarkStart w:id="139" w:name="Tc_c9qi5BOYgkKMn88IROa5sA_4_0"/>
      <w:bookmarkStart w:id="140" w:name="Tc_9tR6QcTb2Uin_tUS-Fui4g_3_0"/>
      <w:bookmarkStart w:id="141" w:name="Tc__3ZrxXKfjUmezUV_QhYwbw_2_5"/>
      <w:bookmarkStart w:id="142" w:name="Tc_EqzJEMT94UK0g5qi6OuulQ_2_2"/>
      <w:bookmarkStart w:id="143" w:name="Tc_mlnDAFohdku9449nV7knRw_1_5"/>
      <w:bookmarkStart w:id="144" w:name="Tc_dfUkTkGetk2xUruGdVMRrQ_1_2"/>
      <w:bookmarkStart w:id="145" w:name="_8b913a17_d713_4c2e_b9dd_3b645b802f84"/>
      <w:bookmarkStart w:id="146" w:name="Tc_S3MndnHeGkCHnMU3iGo47w_46_5"/>
      <w:bookmarkStart w:id="147" w:name="Tc_Z4SeWNgayUChZtZgnNTUCQ_46_2"/>
      <w:bookmarkStart w:id="148" w:name="Tc_CVVjQB24gUqaiS8LM7wnug_46_0"/>
      <w:bookmarkStart w:id="149" w:name="Tc_1cwUUDGHcku2fktrnw4Ynw_45_0"/>
      <w:bookmarkStart w:id="150" w:name="Tc_7xRh649xDkCkn1LJWmd1Tg_44_0"/>
      <w:bookmarkStart w:id="151" w:name="Tc_qCbq9AprOkqUL7f94nxYPg_43_0"/>
      <w:bookmarkStart w:id="152" w:name="Tc_c3k0pPSbtE2Gj3Tg3-sdSA_42_0"/>
      <w:bookmarkStart w:id="153" w:name="Tc_7CRb4R1Bi0qB2Pk0ZZ8R1Q_41_0"/>
      <w:bookmarkStart w:id="154" w:name="Tc_iGJIBYFBjUy0AcBRRb1AiA_40_0"/>
      <w:bookmarkStart w:id="155" w:name="Tc_51ZojYm_00GST2Q3WVx1fA_39_0"/>
      <w:bookmarkStart w:id="156" w:name="Tc_7qe-eaHOoEKqijLMFvOlXw_37_0"/>
      <w:bookmarkStart w:id="157" w:name="Tc_l92MSjzzoUCgnfSe35B0oQ_35_3"/>
      <w:bookmarkStart w:id="158" w:name="Tc_j1CzhoNeYkmmk6okNqYR8A_35_0"/>
      <w:bookmarkStart w:id="159" w:name="Tc_ovkJ6gaP70-4GI3I_ks-7w_33_0"/>
      <w:bookmarkStart w:id="160" w:name="Tc_LM-Z4lGs0U-bDMhaBDt_xw_31_0"/>
      <w:bookmarkStart w:id="161" w:name="Tc_KwZObxtim0uks2AuGwiTAw_29_0"/>
      <w:bookmarkStart w:id="162" w:name="Tc_u41QK2CXNkGn9uWbCezJ1A_28_0"/>
      <w:bookmarkStart w:id="163" w:name="Tc_D0a-nV2JkE-6Mc8-adJ39g_27_0"/>
      <w:bookmarkStart w:id="164" w:name="Tc_PtDVEoHd-kGOCum2w4Mp_Q_26_0"/>
      <w:bookmarkStart w:id="165" w:name="Tc_ScnomAc-VEueBHZKCbND9g_25_0"/>
      <w:bookmarkStart w:id="166" w:name="Tc_b5I4bY13YEKi-TOdo30SDg_24_0"/>
      <w:bookmarkStart w:id="167" w:name="Tc_vJhDatEb00eHf_Fm3v-CeA_23_5"/>
      <w:bookmarkStart w:id="168" w:name="Tc_X4NQT2OrG0mAy90RuaoRLw_23_2"/>
      <w:bookmarkStart w:id="169" w:name="Tc_cGkeMj6UZEeLLLe6ciKUrw_23_0"/>
      <w:bookmarkStart w:id="170" w:name="Tc_VTOqWuj3g0Gp833fjWe61g_22_0"/>
      <w:bookmarkStart w:id="171" w:name="Tc_AsFal6iYYEav07Exl2zkYA_21_0"/>
      <w:bookmarkStart w:id="172" w:name="Tc_GO1f3zzAe0y1QTCqD2BCuQ_19_5"/>
      <w:bookmarkStart w:id="173" w:name="Tc_vCwbambWMEO2RUWv5LaRDw_19_2"/>
      <w:bookmarkStart w:id="174" w:name="Tc_e3CsgxpeE0OGvU7500Y-zw_19_0"/>
      <w:bookmarkStart w:id="175" w:name="Tc_eDUaBjkMJE-3yXevZjKFOQ_18_0"/>
      <w:bookmarkStart w:id="176" w:name="Tc_aN5t9ElRWES-Bu28bJkUdA_17_0"/>
      <w:bookmarkStart w:id="177" w:name="Tc_3faFgzg9hkqjkc_FfdLRLQ_16_0"/>
      <w:bookmarkStart w:id="178" w:name="Tc_HibwJ1-g0k6rMqjvKSO9sg_15_0"/>
      <w:bookmarkStart w:id="179" w:name="Tc_nBrQUth4RUqUzp7BtLfllw_14_0"/>
      <w:bookmarkStart w:id="180" w:name="Tc_gVFCcyr5jEe1Vi69Lhn6DQ_13_6"/>
      <w:bookmarkStart w:id="181" w:name="Tc_3_n88OovakifEd15IZJWNg_13_0"/>
      <w:bookmarkStart w:id="182" w:name="Tc_Y7_qC3XhXkmLq5gCBTmWIg_11_0"/>
      <w:bookmarkStart w:id="183" w:name="Tc_WCLe-7WD40CBv4rncWr3dA_10_0"/>
      <w:bookmarkStart w:id="184" w:name="Tc_tWtbeD1UCUmCaKivMR-xkA_9_0"/>
      <w:bookmarkStart w:id="185" w:name="Tc_g7ysqN8Qt0yrxxKq9tdcjA_8_0"/>
      <w:bookmarkStart w:id="186" w:name="Tc_1h5KK36LoU-IEvE7lz781w_7_0"/>
      <w:bookmarkStart w:id="187" w:name="Tc_AAbMHcXxEki-gCTzoyYY4Q_6_6"/>
      <w:bookmarkStart w:id="188" w:name="Tc_fad2BHYOTEagVNsCF0x-JA_6_0"/>
      <w:bookmarkStart w:id="189" w:name="Tc_iDytD8kIEU2_EdQtgcoN6w_5_5"/>
      <w:bookmarkStart w:id="190" w:name="Tc_ftBmc2v2PE-dPznTS5IvuQ_5_2"/>
      <w:bookmarkStart w:id="191" w:name="Tc_XaVZVOFBYUax4jBbxv32Ig_5_0"/>
      <w:bookmarkStart w:id="192" w:name="Tc_c9qi5BOYgkKMn88IROa5sA_4_0"/>
      <w:bookmarkStart w:id="193" w:name="Tc_9tR6QcTb2Uin_tUS-Fui4g_3_0"/>
      <w:bookmarkStart w:id="194" w:name="Tc__3ZrxXKfjUmezUV_QhYwbw_2_5"/>
      <w:bookmarkStart w:id="195" w:name="Tc_EqzJEMT94UK0g5qi6OuulQ_2_2"/>
      <w:bookmarkStart w:id="196" w:name="Tc_mlnDAFohdku9449nV7knRw_1_5"/>
      <w:bookmarkStart w:id="197" w:name="Tc_dfUkTkGetk2xUruGdVMRrQ_1_2"/>
      <w:bookmarkStart w:id="198" w:name="_8b913a17_d713_4c2e_b9dd_3b645b802f84"/>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tbl>
      <w:tblPr>
        <w:tblW w:w="10205" w:type="dxa"/>
        <w:jc w:val="left"/>
        <w:tblInd w:w="0" w:type="dxa"/>
        <w:tblLayout w:type="fixed"/>
        <w:tblCellMar>
          <w:top w:w="0" w:type="dxa"/>
          <w:left w:w="0" w:type="dxa"/>
          <w:bottom w:w="0" w:type="dxa"/>
          <w:right w:w="0" w:type="dxa"/>
        </w:tblCellMar>
      </w:tblPr>
      <w:tblGrid>
        <w:gridCol w:w="7209"/>
        <w:gridCol w:w="346"/>
        <w:gridCol w:w="198"/>
        <w:gridCol w:w="930"/>
        <w:gridCol w:w="346"/>
        <w:gridCol w:w="198"/>
        <w:gridCol w:w="978"/>
      </w:tblGrid>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2"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5730" cy="175260"/>
                      <wp:effectExtent l="0" t="0" r="0" b="0"/>
                      <wp:wrapNone/>
                      <wp:docPr id="123" name="Frame120"/>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90550" cy="175260"/>
                      <wp:effectExtent l="0" t="0" r="0" b="0"/>
                      <wp:wrapNone/>
                      <wp:docPr id="124" name="Frame121"/>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5"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5730" cy="175260"/>
                      <wp:effectExtent l="0" t="0" r="0" b="0"/>
                      <wp:wrapNone/>
                      <wp:docPr id="126" name="Frame123"/>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21030" cy="175260"/>
                      <wp:effectExtent l="0" t="0" r="0" b="0"/>
                      <wp:wrapNone/>
                      <wp:docPr id="127" name="Frame124"/>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46" w:type="dxa"/>
            <w:tcBorders/>
            <w:vAlign w:val="center"/>
          </w:tcPr>
          <w:p>
            <w:pPr>
              <w:pStyle w:val="TableContents"/>
              <w:bidi w:val="0"/>
              <w:spacing w:before="0" w:after="0"/>
              <w:ind w:left="0" w:right="0" w:hanging="0"/>
              <w:jc w:val="left"/>
              <w:rPr/>
            </w:pPr>
            <w:r>
              <w:rPr/>
              <w:t>​</w:t>
            </w:r>
          </w:p>
        </w:tc>
        <w:tc>
          <w:tcPr>
            <w:tcW w:w="117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209"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2,088,117</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1,533,287</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677,084</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1,618,072</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1,221,646</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799,623</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737,107</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103,551</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107,262</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74,637</w:t>
            </w:r>
          </w:p>
        </w:tc>
        <w:tc>
          <w:tcPr>
            <w:tcW w:w="34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42,202</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5,361,084</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3,641,504</w: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487,329</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1,081,544</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1,047,024</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188,646</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184,260</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1,379,268</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1,414,252</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159,431</w:t>
            </w:r>
          </w:p>
        </w:tc>
        <w:tc>
          <w:tcPr>
            <w:tcW w:w="34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100,406</w:t>
            </w:r>
          </w:p>
        </w:tc>
      </w:tr>
      <w:tr>
        <w:trPr/>
        <w:tc>
          <w:tcPr>
            <w:tcW w:w="7209"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9,988,945</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7,719,089</w:t>
            </w:r>
          </w:p>
        </w:tc>
      </w:tr>
      <w:tr>
        <w:trPr/>
        <w:tc>
          <w:tcPr>
            <w:tcW w:w="72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565,974</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466,775</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306,085</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220,764</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384,070</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267,711</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45,323</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45,809</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114,023</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92,454</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32,305</w:t>
            </w:r>
          </w:p>
        </w:tc>
        <w:tc>
          <w:tcPr>
            <w:tcW w:w="34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4,006</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1,447,780</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1,097,519</w: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159,991</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179,008</w: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127,066</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110,893</w: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373,951</w: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 $0.005 par value; 5,000,000 shares authorized; 1,132,906 shares issued and 978,113 shares outstanding as of December 31, 2025; 1,126,329 shares issued and 973,079 shares outstanding as of December 31, 2024</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5,665</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5,632</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5,430,847</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5,144,922</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9,354,216</w:t>
            </w:r>
          </w:p>
        </w:tc>
        <w:tc>
          <w:tcPr>
            <w:tcW w:w="3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7,448,784</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(60,841)</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(269,487)</w:t>
            </w:r>
          </w:p>
        </w:tc>
      </w:tr>
      <w:tr>
        <w:trPr/>
        <w:tc>
          <w:tcPr>
            <w:tcW w:w="720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Common stock in treasury, at cost; 154,793 shares and 153,250 shares as of December 31, 2025 and December 31, 2024, respectively </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(6,475,779)</w:t>
            </w:r>
          </w:p>
        </w:tc>
        <w:tc>
          <w:tcPr>
            <w:tcW w:w="34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(6,372,133)</w:t>
            </w:r>
          </w:p>
        </w:tc>
      </w:tr>
      <w:tr>
        <w:trPr/>
        <w:tc>
          <w:tcPr>
            <w:tcW w:w="72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8,254,108</w:t>
            </w:r>
          </w:p>
        </w:tc>
        <w:tc>
          <w:tcPr>
            <w:tcW w:w="346" w:type="dxa"/>
            <w:tcBorders/>
            <w:shd w:fill="CCEEFF" w:val="cle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5,957,718</w:t>
            </w:r>
          </w:p>
        </w:tc>
      </w:tr>
      <w:tr>
        <w:trPr/>
        <w:tc>
          <w:tcPr>
            <w:tcW w:w="7209" w:type="dxa"/>
            <w:tcBorders/>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9,988,945</w:t>
            </w:r>
          </w:p>
        </w:tc>
        <w:tc>
          <w:tcPr>
            <w:tcW w:w="346" w:type="dxa"/>
            <w:tcBorders/>
            <w:vAlign w:val="center"/>
          </w:tcPr>
          <w:p>
            <w:pPr>
              <w:pStyle w:val="TableContents"/>
              <w:bidi w:val="0"/>
              <w:spacing w:before="0" w:after="0"/>
              <w:ind w:left="0" w:right="0" w:hanging="0"/>
              <w:jc w:val="left"/>
              <w:rPr/>
            </w:pPr>
            <w:r>
              <w:rPr/>
              <w:t> </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7,719,089</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99" w:name="_0c0aa89e_5fdb_4c06_b99b_10ba552746a4"/>
      <w:bookmarkEnd w:id="199"/>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200" w:name="CONSOLIDATEDSTATEMENTSOFINCOME_622029"/>
      <w:bookmarkStart w:id="201" w:name="STATEMENTSOFINCOME_553557"/>
      <w:bookmarkEnd w:id="200"/>
      <w:bookmarkEnd w:id="201"/>
      <w:r>
        <w:rPr>
          <w:rFonts w:ascii="Times New Roman;Times;serif" w:hAnsi="Times New Roman;Times;serif"/>
          <w:b/>
          <w:sz w:val="20"/>
        </w:rPr>
        <w:t>CONSOLIDATED STATEMENTS OF INCOME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202" w:name="Tc_oTokJCgBx0-AemHjiTo-6Q_27_0"/>
      <w:bookmarkStart w:id="203" w:name="Tc_t9WQTxAHQU67lmonkq-rWg_26_0"/>
      <w:bookmarkStart w:id="204" w:name="Tc_E8yRNRHqPke2xiSDIi8lGA_25_0"/>
      <w:bookmarkStart w:id="205" w:name="Tc_aIirW9ePt02WTVcMENVt3A_23_8"/>
      <w:bookmarkStart w:id="206" w:name="Tc_LX3myv1KSUmTfdd6IiJvPQ_23_5"/>
      <w:bookmarkStart w:id="207" w:name="Tc_Vul2uLUUdkyq-5oLqRyMaA_23_2"/>
      <w:bookmarkStart w:id="208" w:name="Tc_-7NbD2eAHEqb7PetsOJrjA_23_0"/>
      <w:bookmarkStart w:id="209" w:name="Tc_t_XjtSJXH0STpph2v3jf4g_22_8"/>
      <w:bookmarkStart w:id="210" w:name="Tc_c4-t3aQD4kSOXOHE9Iw9PQ_22_5"/>
      <w:bookmarkStart w:id="211" w:name="Tc_ExpTqhJtlUKwR9yzG63VqQ_22_2"/>
      <w:bookmarkStart w:id="212" w:name="Tc_595ZZZKNyEeM1H1cVgu8wg_22_0"/>
      <w:bookmarkStart w:id="213" w:name="Tc_EyTfxc3IiEyncLV7Xl8Llw_21_0"/>
      <w:bookmarkStart w:id="214" w:name="Tc_piBMQFo4lkS4vkNGMJ0Rdw_19_8"/>
      <w:bookmarkStart w:id="215" w:name="Tc_sVBn8SP-d0eGEHYW1s_ESA_19_5"/>
      <w:bookmarkStart w:id="216" w:name="Tc_yFkMUK7qtEqHQoD6nRclcw_19_2"/>
      <w:bookmarkStart w:id="217" w:name="Tc_aKTVdMgCVEaP4l0bsrj0pA_19_0"/>
      <w:bookmarkStart w:id="218" w:name="Tc_T8X087LL4EieIUMWNAVq7g_17_0"/>
      <w:bookmarkStart w:id="219" w:name="Tc_jbpncryihEmHUfFtQ8Zbxg_15_0"/>
      <w:bookmarkStart w:id="220" w:name="Tc_H5hJZW1qlEWone_FEU8f4A_13_0"/>
      <w:bookmarkStart w:id="221" w:name="Tc_57Fg0MmUlk2oGsAICY_eBA_11_0"/>
      <w:bookmarkStart w:id="222" w:name="Tc_rwOY5qNrl0SZ363tiMLT8Q_9_0"/>
      <w:bookmarkStart w:id="223" w:name="Tc_C43d5Wb0wEeb3Q4Z8tEPLg_7_0"/>
      <w:bookmarkStart w:id="224" w:name="Tc_Gpy7jEZoNUWT9m79M9BM_g_5_0"/>
      <w:bookmarkStart w:id="225" w:name="Tc_DCPCjSzpEEmrpqn1fXFsLA_3_8"/>
      <w:bookmarkStart w:id="226" w:name="Tc_Y5eHF-wmAE-jHLotlvMSrg_3_5"/>
      <w:bookmarkStart w:id="227" w:name="Tc_DHvGBID8XEqggr_QKsPuGQ_3_2"/>
      <w:bookmarkStart w:id="228" w:name="Tc_HxrM3Ng09EO56AH070lL3w_3_0"/>
      <w:bookmarkStart w:id="229" w:name="Tc_-s0Z4XiewkCmAVeMMqzw1w_1_8"/>
      <w:bookmarkStart w:id="230" w:name="Tc_agh3zlpgX0iwe3w8SBpn5w_1_5"/>
      <w:bookmarkStart w:id="231" w:name="Tc_LhKzbn7x8ECKOVjVh-HEcw_1_2"/>
      <w:bookmarkStart w:id="232" w:name="_2bda3e07_ac22_4ca0_965b_640ec5f5df95"/>
      <w:bookmarkStart w:id="233" w:name="Tc_oTokJCgBx0-AemHjiTo-6Q_27_0"/>
      <w:bookmarkStart w:id="234" w:name="Tc_t9WQTxAHQU67lmonkq-rWg_26_0"/>
      <w:bookmarkStart w:id="235" w:name="Tc_E8yRNRHqPke2xiSDIi8lGA_25_0"/>
      <w:bookmarkStart w:id="236" w:name="Tc_aIirW9ePt02WTVcMENVt3A_23_8"/>
      <w:bookmarkStart w:id="237" w:name="Tc_LX3myv1KSUmTfdd6IiJvPQ_23_5"/>
      <w:bookmarkStart w:id="238" w:name="Tc_Vul2uLUUdkyq-5oLqRyMaA_23_2"/>
      <w:bookmarkStart w:id="239" w:name="Tc_-7NbD2eAHEqb7PetsOJrjA_23_0"/>
      <w:bookmarkStart w:id="240" w:name="Tc_t_XjtSJXH0STpph2v3jf4g_22_8"/>
      <w:bookmarkStart w:id="241" w:name="Tc_c4-t3aQD4kSOXOHE9Iw9PQ_22_5"/>
      <w:bookmarkStart w:id="242" w:name="Tc_ExpTqhJtlUKwR9yzG63VqQ_22_2"/>
      <w:bookmarkStart w:id="243" w:name="Tc_595ZZZKNyEeM1H1cVgu8wg_22_0"/>
      <w:bookmarkStart w:id="244" w:name="Tc_EyTfxc3IiEyncLV7Xl8Llw_21_0"/>
      <w:bookmarkStart w:id="245" w:name="Tc_piBMQFo4lkS4vkNGMJ0Rdw_19_8"/>
      <w:bookmarkStart w:id="246" w:name="Tc_sVBn8SP-d0eGEHYW1s_ESA_19_5"/>
      <w:bookmarkStart w:id="247" w:name="Tc_yFkMUK7qtEqHQoD6nRclcw_19_2"/>
      <w:bookmarkStart w:id="248" w:name="Tc_aKTVdMgCVEaP4l0bsrj0pA_19_0"/>
      <w:bookmarkStart w:id="249" w:name="Tc_T8X087LL4EieIUMWNAVq7g_17_0"/>
      <w:bookmarkStart w:id="250" w:name="Tc_jbpncryihEmHUfFtQ8Zbxg_15_0"/>
      <w:bookmarkStart w:id="251" w:name="Tc_H5hJZW1qlEWone_FEU8f4A_13_0"/>
      <w:bookmarkStart w:id="252" w:name="Tc_57Fg0MmUlk2oGsAICY_eBA_11_0"/>
      <w:bookmarkStart w:id="253" w:name="Tc_rwOY5qNrl0SZ363tiMLT8Q_9_0"/>
      <w:bookmarkStart w:id="254" w:name="Tc_C43d5Wb0wEeb3Q4Z8tEPLg_7_0"/>
      <w:bookmarkStart w:id="255" w:name="Tc_Gpy7jEZoNUWT9m79M9BM_g_5_0"/>
      <w:bookmarkStart w:id="256" w:name="Tc_DCPCjSzpEEmrpqn1fXFsLA_3_8"/>
      <w:bookmarkStart w:id="257" w:name="Tc_Y5eHF-wmAE-jHLotlvMSrg_3_5"/>
      <w:bookmarkStart w:id="258" w:name="Tc_DHvGBID8XEqggr_QKsPuGQ_3_2"/>
      <w:bookmarkStart w:id="259" w:name="Tc_HxrM3Ng09EO56AH070lL3w_3_0"/>
      <w:bookmarkStart w:id="260" w:name="Tc_-s0Z4XiewkCmAVeMMqzw1w_1_8"/>
      <w:bookmarkStart w:id="261" w:name="Tc_agh3zlpgX0iwe3w8SBpn5w_1_5"/>
      <w:bookmarkStart w:id="262" w:name="Tc_LhKzbn7x8ECKOVjVh-HEcw_1_2"/>
      <w:bookmarkStart w:id="263" w:name="_2bda3e07_ac22_4ca0_965b_640ec5f5df95"/>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tbl>
      <w:tblPr>
        <w:tblW w:w="10205" w:type="dxa"/>
        <w:jc w:val="left"/>
        <w:tblInd w:w="0" w:type="dxa"/>
        <w:tblLayout w:type="fixed"/>
        <w:tblCellMar>
          <w:top w:w="0" w:type="dxa"/>
          <w:left w:w="0" w:type="dxa"/>
          <w:bottom w:w="0" w:type="dxa"/>
          <w:right w:w="0" w:type="dxa"/>
        </w:tblCellMar>
      </w:tblPr>
      <w:tblGrid>
        <w:gridCol w:w="5636"/>
        <w:gridCol w:w="346"/>
        <w:gridCol w:w="211"/>
        <w:gridCol w:w="931"/>
        <w:gridCol w:w="346"/>
        <w:gridCol w:w="211"/>
        <w:gridCol w:w="931"/>
        <w:gridCol w:w="346"/>
        <w:gridCol w:w="211"/>
        <w:gridCol w:w="1036"/>
      </w:tblGrid>
      <w:tr>
        <w:trPr/>
        <w:tc>
          <w:tcPr>
            <w:tcW w:w="5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578860" cy="175260"/>
                      <wp:effectExtent l="0" t="0" r="0" b="0"/>
                      <wp:wrapNone/>
                      <wp:docPr id="128" name="Frame125"/>
                      <a:graphic xmlns:a="http://schemas.openxmlformats.org/drawingml/2006/main">
                        <a:graphicData uri="http://schemas.microsoft.com/office/word/2010/wordprocessingShape">
                          <wps:wsp>
                            <wps:cNvSpPr txBox="1"/>
                            <wps:spPr>
                              <a:xfrm>
                                <a:off x="0" y="0"/>
                                <a:ext cx="357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9"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0"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91185" cy="175260"/>
                      <wp:effectExtent l="0" t="0" r="0" b="0"/>
                      <wp:wrapNone/>
                      <wp:docPr id="131" name="Frame1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2"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3"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91185" cy="175260"/>
                      <wp:effectExtent l="0" t="0" r="0" b="0"/>
                      <wp:wrapNone/>
                      <wp:docPr id="134" name="Frame1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5"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6"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57860" cy="175260"/>
                      <wp:effectExtent l="0" t="0" r="0" b="0"/>
                      <wp:wrapNone/>
                      <wp:docPr id="137" name="Frame1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3,345,821</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4,632,195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4,048,878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3,794,206</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1,840,851</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1,953,355</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115,127</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2,482,529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2,068,482</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577,097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437,494</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1,905,432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1,630,988</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OF COMMON STOCK AND COMMON STOCK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975,887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1,004,566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1,044,887</w:t>
            </w:r>
          </w:p>
        </w:tc>
      </w:tr>
      <w:tr>
        <w:trPr/>
        <w:tc>
          <w:tcPr>
            <w:tcW w:w="56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1,057,981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64" w:name="_e627046c_b439_4df0_94e5_f68898c92c94"/>
      <w:bookmarkEnd w:id="264"/>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265" w:name="CONSOLIDATEDSTATEMENTSOFCOMPREHENSIVEINC"/>
      <w:bookmarkStart w:id="266" w:name="COMPREHENSIVEINCOME_444106"/>
      <w:bookmarkEnd w:id="265"/>
      <w:bookmarkEnd w:id="266"/>
      <w:r>
        <w:rPr>
          <w:rFonts w:ascii="Times New Roman;Times;serif" w:hAnsi="Times New Roman;Times;serif"/>
          <w:b/>
          <w:sz w:val="20"/>
        </w:rPr>
        <w:t>CONSOLIDATED STATEMENTS OF COMPREHENSIVE INCOME</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2025, 2024 AND 2023 (In Thousands)</w:t>
      </w:r>
    </w:p>
    <w:p>
      <w:pPr>
        <w:pStyle w:val="Normal"/>
        <w:bidi w:val="0"/>
        <w:spacing w:before="0" w:after="0"/>
        <w:jc w:val="left"/>
        <w:rPr>
          <w:sz w:val="4"/>
          <w:szCs w:val="4"/>
        </w:rPr>
      </w:pPr>
      <w:r>
        <w:rPr>
          <w:sz w:val="4"/>
          <w:szCs w:val="4"/>
        </w:rPr>
      </w:r>
      <w:bookmarkStart w:id="267" w:name="Tc_z1QqWJwFJkeeuJ94tiP38g_8_8"/>
      <w:bookmarkStart w:id="268" w:name="Tc_KBJWSjI4z0C0S-lmJxXLNw_8_5"/>
      <w:bookmarkStart w:id="269" w:name="Tc_cGVpBTf7bkOBr0NSRMXchw_8_2"/>
      <w:bookmarkStart w:id="270" w:name="Tc_D-FSlFZlakWLTa1Qrqqy_g_8_0"/>
      <w:bookmarkStart w:id="271" w:name="Tc_-Wa-MGUCF02deL0M4BlJmQ_7_0"/>
      <w:bookmarkStart w:id="272" w:name="Tc_bqZ439VVCkeqprdaRm3UjA_6_0"/>
      <w:bookmarkStart w:id="273" w:name="Tc_bU01gLHEgUKpmNkQXcrSgA_5_0"/>
      <w:bookmarkStart w:id="274" w:name="Tc_vHSs08TNBk65u9gR4XlqIw_4_0"/>
      <w:bookmarkStart w:id="275" w:name="Tc__cGX175cykGS3cb5wH9_0A_3_0"/>
      <w:bookmarkStart w:id="276" w:name="Tc_NOMlxjyZzkiUlfWW5BCUbg_2_8"/>
      <w:bookmarkStart w:id="277" w:name="Tc_bR8KTEVVHEKBwBu24YDXJg_2_5"/>
      <w:bookmarkStart w:id="278" w:name="Tc_YTej6W0dqUmP7Ic4pIrCnQ_2_2"/>
      <w:bookmarkStart w:id="279" w:name="Tc_JgKENu7a1k6o4GpD7LPhmA_2_0"/>
      <w:bookmarkStart w:id="280" w:name="Tc_prMr23Ool0CyrercDWCMow_1_8"/>
      <w:bookmarkStart w:id="281" w:name="Tc_Sd1mpfES8USOoVy-BM3tBA_1_5"/>
      <w:bookmarkStart w:id="282" w:name="Tc_WfHOln4Py0aEr5QV4ulAAQ_1_2"/>
      <w:bookmarkStart w:id="283" w:name="_b2810f67_95f7_4f8f_bfb1_c37984ef119f"/>
      <w:bookmarkStart w:id="284" w:name="Tc_z1QqWJwFJkeeuJ94tiP38g_8_8"/>
      <w:bookmarkStart w:id="285" w:name="Tc_KBJWSjI4z0C0S-lmJxXLNw_8_5"/>
      <w:bookmarkStart w:id="286" w:name="Tc_cGVpBTf7bkOBr0NSRMXchw_8_2"/>
      <w:bookmarkStart w:id="287" w:name="Tc_D-FSlFZlakWLTa1Qrqqy_g_8_0"/>
      <w:bookmarkStart w:id="288" w:name="Tc_-Wa-MGUCF02deL0M4BlJmQ_7_0"/>
      <w:bookmarkStart w:id="289" w:name="Tc_bqZ439VVCkeqprdaRm3UjA_6_0"/>
      <w:bookmarkStart w:id="290" w:name="Tc_bU01gLHEgUKpmNkQXcrSgA_5_0"/>
      <w:bookmarkStart w:id="291" w:name="Tc_vHSs08TNBk65u9gR4XlqIw_4_0"/>
      <w:bookmarkStart w:id="292" w:name="Tc__cGX175cykGS3cb5wH9_0A_3_0"/>
      <w:bookmarkStart w:id="293" w:name="Tc_NOMlxjyZzkiUlfWW5BCUbg_2_8"/>
      <w:bookmarkStart w:id="294" w:name="Tc_bR8KTEVVHEKBwBu24YDXJg_2_5"/>
      <w:bookmarkStart w:id="295" w:name="Tc_YTej6W0dqUmP7Ic4pIrCnQ_2_2"/>
      <w:bookmarkStart w:id="296" w:name="Tc_JgKENu7a1k6o4GpD7LPhmA_2_0"/>
      <w:bookmarkStart w:id="297" w:name="Tc_prMr23Ool0CyrercDWCMow_1_8"/>
      <w:bookmarkStart w:id="298" w:name="Tc_Sd1mpfES8USOoVy-BM3tBA_1_5"/>
      <w:bookmarkStart w:id="299" w:name="Tc_WfHOln4Py0aEr5QV4ulAAQ_1_2"/>
      <w:bookmarkStart w:id="300" w:name="_b2810f67_95f7_4f8f_bfb1_c37984ef119f"/>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tbl>
      <w:tblPr>
        <w:tblW w:w="10205" w:type="dxa"/>
        <w:jc w:val="left"/>
        <w:tblInd w:w="0" w:type="dxa"/>
        <w:tblLayout w:type="fixed"/>
        <w:tblCellMar>
          <w:top w:w="0" w:type="dxa"/>
          <w:left w:w="0" w:type="dxa"/>
          <w:bottom w:w="0" w:type="dxa"/>
          <w:right w:w="0" w:type="dxa"/>
        </w:tblCellMar>
      </w:tblPr>
      <w:tblGrid>
        <w:gridCol w:w="5636"/>
        <w:gridCol w:w="346"/>
        <w:gridCol w:w="211"/>
        <w:gridCol w:w="931"/>
        <w:gridCol w:w="346"/>
        <w:gridCol w:w="211"/>
        <w:gridCol w:w="931"/>
        <w:gridCol w:w="346"/>
        <w:gridCol w:w="211"/>
        <w:gridCol w:w="1036"/>
      </w:tblGrid>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8"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39"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91185" cy="175260"/>
                      <wp:effectExtent l="0" t="0" r="0" b="0"/>
                      <wp:wrapNone/>
                      <wp:docPr id="140" name="Frame1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1"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2"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91185" cy="175260"/>
                      <wp:effectExtent l="0" t="0" r="0" b="0"/>
                      <wp:wrapNone/>
                      <wp:docPr id="143" name="Frame1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4"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5"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57860" cy="175260"/>
                      <wp:effectExtent l="0" t="0" r="0" b="0"/>
                      <wp:wrapNone/>
                      <wp:docPr id="146" name="Frame14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1,905,432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1,630,988</w:t>
            </w:r>
          </w:p>
        </w:tc>
      </w:tr>
      <w:tr>
        <w:trPr/>
        <w:tc>
          <w:tcPr>
            <w:tcW w:w="5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24,241</w:t>
            </w:r>
          </w:p>
        </w:tc>
      </w:tr>
      <w:tr>
        <w:trPr/>
        <w:tc>
          <w:tcPr>
            <w:tcW w:w="5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unrealized gain (loss) on available-for-sale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5,085</w:t>
            </w:r>
          </w:p>
        </w:tc>
      </w:tr>
      <w:tr>
        <w:trPr/>
        <w:tc>
          <w:tcPr>
            <w:tcW w:w="5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gain (loss) on 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r>
      <w:tr>
        <w:trPr/>
        <w:tc>
          <w:tcPr>
            <w:tcW w:w="5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33,736</w:t>
            </w:r>
          </w:p>
        </w:tc>
      </w:tr>
      <w:tr>
        <w:trPr/>
        <w:tc>
          <w:tcPr>
            <w:tcW w:w="5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1,664,724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01" w:name="_2d02c171_c186_40eb_a56f_7a1a0cff5d68"/>
      <w:bookmarkEnd w:id="301"/>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302" w:name="CONSOLIDATEDSTATEMENTSOFSTOCKHOLDERSEQUI"/>
      <w:bookmarkStart w:id="303" w:name="EQUITY_813398"/>
      <w:bookmarkEnd w:id="302"/>
      <w:bookmarkEnd w:id="303"/>
      <w:r>
        <w:rPr>
          <w:rFonts w:ascii="Times New Roman;Times;serif" w:hAnsi="Times New Roman;Times;serif"/>
          <w:b/>
          <w:sz w:val="20"/>
        </w:rPr>
        <w:t>CONSOLIDATED STATEMENTS OF STOCKHOLDERS’ EQUITY</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2025, 2024 AND 2023 (In Thousands)</w:t>
      </w:r>
    </w:p>
    <w:p>
      <w:pPr>
        <w:pStyle w:val="Normal"/>
        <w:bidi w:val="0"/>
        <w:spacing w:before="0" w:after="0"/>
        <w:jc w:val="left"/>
        <w:rPr>
          <w:sz w:val="4"/>
          <w:szCs w:val="4"/>
        </w:rPr>
      </w:pPr>
      <w:r>
        <w:rPr>
          <w:sz w:val="4"/>
          <w:szCs w:val="4"/>
        </w:rPr>
      </w:r>
      <w:bookmarkStart w:id="304" w:name="Tc_T86Hk7meKEmTIy-LEOGU3g_30_21"/>
      <w:bookmarkStart w:id="305" w:name="Tc_Irk6gISkvEikPbrmazwQYA_30_18"/>
      <w:bookmarkStart w:id="306" w:name="Tc_Ku5bibzROUauhGmTmiSS_A_30_13"/>
      <w:bookmarkStart w:id="307" w:name="Tc_XUOJtUlYlEeyasvae0lgdw_30_10"/>
      <w:bookmarkStart w:id="308" w:name="Tc_BgAfU3xJ2USSoF3hJ2FBJw_30_7"/>
      <w:bookmarkStart w:id="309" w:name="Tc_PxupKzPFkkG93OZcCXLqGA_30_4"/>
      <w:bookmarkStart w:id="310" w:name="Tc_xEeZaVR61kqsZcRUfNVd6w_30_0"/>
      <w:bookmarkStart w:id="311" w:name="Tc_-HTCMh5EJ0SHdNEArMa1zg_29_19"/>
      <w:bookmarkStart w:id="312" w:name="Tc_DWYPstDrfEyrK1R2h-p8Nw_29_16"/>
      <w:bookmarkStart w:id="313" w:name="Tc_ZDKfhmBv40uei3xA4YhKHQ_29_14"/>
      <w:bookmarkStart w:id="314" w:name="Tc_sncCBEnH6kyoH3oMQPPSyw_29_8"/>
      <w:bookmarkStart w:id="315" w:name="Tc_RqK_c6AbzESKNDjdsXrc1Q_29_5"/>
      <w:bookmarkStart w:id="316" w:name="Tc_DbQ7k3JJO0mM1GzclwT6mg_29_2"/>
      <w:bookmarkStart w:id="317" w:name="Tc_MdhhKwdnekOdk6d2CuBiBw_29_0"/>
      <w:bookmarkStart w:id="318" w:name="Tc_td6Cjc8hBUqlOHe6ncVdnw_28_19"/>
      <w:bookmarkStart w:id="319" w:name="Tc__4UZQSInIEWxkMGSR4ykRA_28_16"/>
      <w:bookmarkStart w:id="320" w:name="Tc_bhER0asNBEepCvKcM1_PEA_28_11"/>
      <w:bookmarkStart w:id="321" w:name="Tc_JbcQVT-66UKyYxPjtO1kqg_28_8"/>
      <w:bookmarkStart w:id="322" w:name="Tc_XRZMPiPQikiDDtQspfvTlg_28_5"/>
      <w:bookmarkStart w:id="323" w:name="Tc_3mHMW7etuE6RkmTj0G_l2g_28_2"/>
      <w:bookmarkStart w:id="324" w:name="Tc_lAtueDBWbUeiU41mqL0c5g_28_0"/>
      <w:bookmarkStart w:id="325" w:name="Tc_WmnA9Z9ikU2oaxP3_IakdQ_27_19"/>
      <w:bookmarkStart w:id="326" w:name="Tc_EJoP9aegRkyiSgrGyBN3XQ_27_16"/>
      <w:bookmarkStart w:id="327" w:name="Tc_y8yzTOp9oUy2kscl_9HPLQ_27_11"/>
      <w:bookmarkStart w:id="328" w:name="Tc_3YCPec8hNkmq5lEL9KWaZw_27_8"/>
      <w:bookmarkStart w:id="329" w:name="Tc_rmbGpvk8pkmLshSYJO2NCw_27_5"/>
      <w:bookmarkStart w:id="330" w:name="Tc_6oyamKKnpkW0NHcrRgiSVw_27_2"/>
      <w:bookmarkStart w:id="331" w:name="Tc_uky8TYTNVkOV6PnbsTf2yw_27_0"/>
      <w:bookmarkStart w:id="332" w:name="Tc_Lz8wglLmGUSxlX4GU6Wslw_26_14"/>
      <w:bookmarkStart w:id="333" w:name="Tc_ycBfMYOZ6ka2cCeEKV3WOA_26_11"/>
      <w:bookmarkStart w:id="334" w:name="Tc_R9EEqFxQGUeKm88f677CeA_26_8"/>
      <w:bookmarkStart w:id="335" w:name="Tc_yRAHM-t6aE-NBBDWr5DOBg_26_5"/>
      <w:bookmarkStart w:id="336" w:name="Tc_JNbkjwjlHECiW3yJNQwGQg_26_2"/>
      <w:bookmarkStart w:id="337" w:name="Tc_VaYxDPbtu0CiHVxj2HTlkA_26_0"/>
      <w:bookmarkStart w:id="338" w:name="Tc_E5QAgm-wbkiTH3bWi5kvLA_25_19"/>
      <w:bookmarkStart w:id="339" w:name="Tc_FPrtJup_W06jIeBCcG5CzQ_25_16"/>
      <w:bookmarkStart w:id="340" w:name="Tc_XvDS4b43jEC_qVej29Ejgg_25_11"/>
      <w:bookmarkStart w:id="341" w:name="Tc_f131o2p02ECkoVAV6I5WyA_25_8"/>
      <w:bookmarkStart w:id="342" w:name="Tc_260c-32w9E2qm1mvqQ9JPA_25_5"/>
      <w:bookmarkStart w:id="343" w:name="Tc_NvX4fybimUy9b62oj7VsOQ_25_2"/>
      <w:bookmarkStart w:id="344" w:name="Tc_0KYPutl9JEamyjUm8xNwcg_25_0"/>
      <w:bookmarkStart w:id="345" w:name="Tc_QZ3dv1vbdkaNpn9rqsTVDg_24_19"/>
      <w:bookmarkStart w:id="346" w:name="Tc_i_taCn7yqkGwbu8xJszLkA_24_16"/>
      <w:bookmarkStart w:id="347" w:name="Tc_WogAPu18tU6UAsYXVyqzWA_24_14"/>
      <w:bookmarkStart w:id="348" w:name="Tc_GzjYTQVeWUiD-CkHG8DwsQ_24_11"/>
      <w:bookmarkStart w:id="349" w:name="Tc_RYgRP-9CGUiXl5iFlww8dQ_24_0"/>
      <w:bookmarkStart w:id="350" w:name="Tc_YgPg6MnIRkmpSbaHEozUog_23_19"/>
      <w:bookmarkStart w:id="351" w:name="Tc_iu5VOSIyN0mlWyq5r4PrVQ_23_16"/>
      <w:bookmarkStart w:id="352" w:name="Tc_9-DKH0WyOUqChZwlQpa0ng_23_14"/>
      <w:bookmarkStart w:id="353" w:name="Tc_KmpJsXE8dUK28eHIXzMRag_23_11"/>
      <w:bookmarkStart w:id="354" w:name="Tc_-6EUZD4AXUCVLSmm4EH7hA_23_5"/>
      <w:bookmarkStart w:id="355" w:name="Tc_IY8hKmpKMUm81DwSWtprUA_23_2"/>
      <w:bookmarkStart w:id="356" w:name="Tc_jGRdI023fEa97jRbI1jRgQ_23_0"/>
      <w:bookmarkStart w:id="357" w:name="Tc_2HKKm9VWbk2d4DAs_Yf2ow_22_21"/>
      <w:bookmarkStart w:id="358" w:name="Tc_Lq77nBkBq0KVCssqQgnEJg_22_18"/>
      <w:bookmarkStart w:id="359" w:name="Tc_HA_vhps6f0-jD3ISCuq80A_22_13"/>
      <w:bookmarkStart w:id="360" w:name="Tc_8pXCDXHhT0WI8FrInbWNTQ_22_10"/>
      <w:bookmarkStart w:id="361" w:name="Tc_TA_l_9qcjUSaxGUgA3o05Q_22_7"/>
      <w:bookmarkStart w:id="362" w:name="Tc_3d_iiK9d90yLMqi2ZFr-IQ_22_4"/>
      <w:bookmarkStart w:id="363" w:name="Tc_nE2oESw4MUiktD86jNiw4g_22_0"/>
      <w:bookmarkStart w:id="364" w:name="Tc_LtqpflT2Dk-Rw7ecFMchhQ_21_19"/>
      <w:bookmarkStart w:id="365" w:name="Tc_pj_ba0EnokSnZYuSRR1YGg_21_16"/>
      <w:bookmarkStart w:id="366" w:name="Tc_y8vgZl_xjEWm7nAEPwLFrg_21_14"/>
      <w:bookmarkStart w:id="367" w:name="Tc_lwwapPnINE-b8futMRdVnQ_21_8"/>
      <w:bookmarkStart w:id="368" w:name="Tc_6eMwgnyEvkKqUcgG7Kx0Ew_21_5"/>
      <w:bookmarkStart w:id="369" w:name="Tc_3paPM6ar70e3wYY6XCErUg_21_2"/>
      <w:bookmarkStart w:id="370" w:name="Tc_SFUi1rg3EUWxN7lV-tQIgQ_21_0"/>
      <w:bookmarkStart w:id="371" w:name="Tc_JP3D3JAd2U-emn3VTH4utw_20_19"/>
      <w:bookmarkStart w:id="372" w:name="Tc_1qMj0FqQ6E-nHLw970E4nw_20_16"/>
      <w:bookmarkStart w:id="373" w:name="Tc_-ofgQBgEs0OPt1wX-p0idQ_20_11"/>
      <w:bookmarkStart w:id="374" w:name="Tc_NopdYBxuFEieXMQa63Oefw_20_8"/>
      <w:bookmarkStart w:id="375" w:name="Tc_vSENkYJ0VEiCjU_XLnqS-A_20_5"/>
      <w:bookmarkStart w:id="376" w:name="Tc_r81Rwm6Opky8CJhnz9YC5A_20_2"/>
      <w:bookmarkStart w:id="377" w:name="Tc_qAhbPWFFXUq1Kk82-BvVdg_20_0"/>
      <w:bookmarkStart w:id="378" w:name="Tc_nvAmm9uhCkW9j7Ir6zFvgw_19_19"/>
      <w:bookmarkStart w:id="379" w:name="Tc_9hMQuHzzAkqHvBGD-Lfdag_19_16"/>
      <w:bookmarkStart w:id="380" w:name="Tc_H23DpaliTkOIx-l1cg5-SQ_19_11"/>
      <w:bookmarkStart w:id="381" w:name="Tc_rEUBy9vgK0ijNEOtRT9zRA_19_8"/>
      <w:bookmarkStart w:id="382" w:name="Tc_DZxcNt7FFk-_wFl5gf-6lg_19_5"/>
      <w:bookmarkStart w:id="383" w:name="Tc_71DYD4Nj2EC4bLUFCk8X5g_19_2"/>
      <w:bookmarkStart w:id="384" w:name="Tc_M5md55JMrEynF7Z6IMudgg_19_0"/>
      <w:bookmarkStart w:id="385" w:name="Tc_pp94e14y2UirEPELB1ZYCA_18_14"/>
      <w:bookmarkStart w:id="386" w:name="Tc_BMgQ7V0Jjk6amjpew5e5dQ_18_11"/>
      <w:bookmarkStart w:id="387" w:name="Tc_ypmAnp52sUeFzqp_BIGu1w_18_8"/>
      <w:bookmarkStart w:id="388" w:name="Tc_MyRy_L2FIkKnhoOg0zYBWQ_18_5"/>
      <w:bookmarkStart w:id="389" w:name="Tc_bqR9cCYaU0SxhWa_I9sTIg_18_2"/>
      <w:bookmarkStart w:id="390" w:name="Tc_LNMkQR3Nk0WnRPImGwGJmw_18_0"/>
      <w:bookmarkStart w:id="391" w:name="Tc_GD5Bw69lRUeT5Jw9dt2vYQ_17_19"/>
      <w:bookmarkStart w:id="392" w:name="Tc_usnWZYV3_06lrFzFYS0Xjg_17_16"/>
      <w:bookmarkStart w:id="393" w:name="Tc_dpcg1txdDEWeRabKynoD4A_17_11"/>
      <w:bookmarkStart w:id="394" w:name="Tc_zy3PbRuKGkG5N5ASTYYy6A_17_8"/>
      <w:bookmarkStart w:id="395" w:name="Tc_Fug-hlDWl0mXCmHItTDpZw_17_5"/>
      <w:bookmarkStart w:id="396" w:name="Tc_HZjM0pPOy06ICKJwGI0OIA_17_2"/>
      <w:bookmarkStart w:id="397" w:name="Tc_yQzjJrckiU-TIO_MXHwCgA_17_0"/>
      <w:bookmarkStart w:id="398" w:name="Tc_xRETjjRctk6v6ivzVxoJ7w_16_19"/>
      <w:bookmarkStart w:id="399" w:name="Tc_4zXYxbHFqkuVYbVcZtymdQ_16_16"/>
      <w:bookmarkStart w:id="400" w:name="Tc_AlAbOOFJHkK_Q8ZPCTBASQ_16_14"/>
      <w:bookmarkStart w:id="401" w:name="Tc_vFVdGBz5rUqcCmv2XhUrwg_16_11"/>
      <w:bookmarkStart w:id="402" w:name="Tc_C1V03DefwEmKklJSzpLA0g_16_0"/>
      <w:bookmarkStart w:id="403" w:name="Tc_p35bmfoyBUaRVrLO-bg_dA_15_19"/>
      <w:bookmarkStart w:id="404" w:name="Tc_ex9NcvoMLkakQt-aKjlQIA_15_16"/>
      <w:bookmarkStart w:id="405" w:name="Tc_uuJBJ41X5kGUZFVv55w17A_15_14"/>
      <w:bookmarkStart w:id="406" w:name="Tc_giOBPLpHCE6Xkmy7nBKdRQ_15_11"/>
      <w:bookmarkStart w:id="407" w:name="Tc_yDax1q899UmCokFvqiJY1A_15_5"/>
      <w:bookmarkStart w:id="408" w:name="Tc_-q-1B0kYDUCl7r5tRMIOHA_15_2"/>
      <w:bookmarkStart w:id="409" w:name="Tc_6xWVHx6LjUeckDN7gOUYbw_15_0"/>
      <w:bookmarkStart w:id="410" w:name="Tc_7HNi6qhIz0C6rzRUs99xbg_14_21"/>
      <w:bookmarkStart w:id="411" w:name="Tc_hN95hJPgBESmZyCdegbyfw_14_18"/>
      <w:bookmarkStart w:id="412" w:name="Tc_3wpIRseWA0yVyplHm93Zpw_14_13"/>
      <w:bookmarkStart w:id="413" w:name="Tc_mTbyst_7JkG5VHb7R9Oulw_14_10"/>
      <w:bookmarkStart w:id="414" w:name="Tc_dElqTwiTV0Kj3Dw2vkrtnQ_14_7"/>
      <w:bookmarkStart w:id="415" w:name="Tc_yJFrbvxWsUmyDkFDVt6qgQ_14_4"/>
      <w:bookmarkStart w:id="416" w:name="Tc_qcSCwK9JokqjzktEao_Trg_14_0"/>
      <w:bookmarkStart w:id="417" w:name="Tc_Ovw5J8gCjEuc87rcsUTEFw_13_19"/>
      <w:bookmarkStart w:id="418" w:name="Tc_Bc23K-sEMUuSZ4n8maznvQ_13_16"/>
      <w:bookmarkStart w:id="419" w:name="Tc_seTMgvHq6EaOgoQ3Xa-V9g_13_14"/>
      <w:bookmarkStart w:id="420" w:name="Tc_voavxusdPkKm4Xxd7DwfdQ_13_8"/>
      <w:bookmarkStart w:id="421" w:name="Tc_crgvxF-fpEuqnW7tSiF8sw_13_5"/>
      <w:bookmarkStart w:id="422" w:name="Tc_ecXI4DC5qUy8t4iUv4udeg_13_2"/>
      <w:bookmarkStart w:id="423" w:name="Tc_B_9QqxHKDkG0eSP0CBCE4g_13_0"/>
      <w:bookmarkStart w:id="424" w:name="Tc_IIdI4DhcaUqpgo8-eBTSPw_12_19"/>
      <w:bookmarkStart w:id="425" w:name="Tc_JU9sNIttS0yyWhloDz83Eg_12_16"/>
      <w:bookmarkStart w:id="426" w:name="Tc_RH2V71IZ90uUl7EW3Ldmng_12_11"/>
      <w:bookmarkStart w:id="427" w:name="Tc_2jx3djpyX02Q1bdG7l89UQ_12_8"/>
      <w:bookmarkStart w:id="428" w:name="Tc_5I0PLAVZGU-QK4x7NgV2Mg_12_5"/>
      <w:bookmarkStart w:id="429" w:name="Tc_XVgURDwT_ECm919DoEVo3g_12_2"/>
      <w:bookmarkStart w:id="430" w:name="Tc_dJwl137YUUix6ANuCIhYjA_12_0"/>
      <w:bookmarkStart w:id="431" w:name="Tc_u-w-AOCx0UejSMdW3CnTNA_11_19"/>
      <w:bookmarkStart w:id="432" w:name="Tc_qYRz4zIoH0OuATPQUIy8wA_11_16"/>
      <w:bookmarkStart w:id="433" w:name="Tc_rmdd-zSVAE6ZClQOyZjEWA_11_11"/>
      <w:bookmarkStart w:id="434" w:name="Tc_G6XtXmV--EKoobRkUQjKPw_11_8"/>
      <w:bookmarkStart w:id="435" w:name="Tc_jeUpJaGvlEic9S8nPQenFg_11_5"/>
      <w:bookmarkStart w:id="436" w:name="Tc_E1UdWXi4H0mjbzvQet1nzQ_11_2"/>
      <w:bookmarkStart w:id="437" w:name="Tc_hldLpYM-aEq1Wyf1TNKrgw_11_0"/>
      <w:bookmarkStart w:id="438" w:name="Tc_9Xm4EBZx40iV3U7lFz_F9g_10_14"/>
      <w:bookmarkStart w:id="439" w:name="Tc_ne6OV9bTVEmUPfJDUoIG8g_10_11"/>
      <w:bookmarkStart w:id="440" w:name="Tc_nKC0ZKxcU0-K4ydISkC87Q_10_8"/>
      <w:bookmarkStart w:id="441" w:name="Tc_7xU4UUGksEaNuLwPGyLI-A_10_5"/>
      <w:bookmarkStart w:id="442" w:name="Tc_94isODOGVEOVDt0Cp3uS3g_10_2"/>
      <w:bookmarkStart w:id="443" w:name="Tc_qSEjstSvkki2adpL4U_j2A_10_0"/>
      <w:bookmarkStart w:id="444" w:name="Tc_P_ymKy_Yd0iJZ3aGxVXtkw_9_22"/>
      <w:bookmarkStart w:id="445" w:name="Tc_LrWUClmT1UySuvGUZs5gxA_9_14"/>
      <w:bookmarkStart w:id="446" w:name="Tc_qautHpe1kkS3IZaiwcr4yQ_9_0"/>
      <w:bookmarkStart w:id="447" w:name="Tc_MU37k5uJSUGsV6DnbtU9AA_8_19"/>
      <w:bookmarkStart w:id="448" w:name="Tc_yFjlehviZUOk4FX3fWlvLA_8_16"/>
      <w:bookmarkStart w:id="449" w:name="Tc_wXo6QrqhZ0ynTBeR5iJ8_g_8_11"/>
      <w:bookmarkStart w:id="450" w:name="Tc_hDqkOH4uZkqBn_SuzeUAPA_8_8"/>
      <w:bookmarkStart w:id="451" w:name="Tc_dZKVsqittEC6arIPZ56Ccg_8_5"/>
      <w:bookmarkStart w:id="452" w:name="Tc_RpbOogdM0EK9aZcMOWp6bg_8_2"/>
      <w:bookmarkStart w:id="453" w:name="Tc_EtZKslX-mkOgxzwvvId3zg_8_0"/>
      <w:bookmarkStart w:id="454" w:name="Tc_18izFko9yEWSj-2WYw2s9g_7_19"/>
      <w:bookmarkStart w:id="455" w:name="Tc_IC1Fw5RtfUKAsydx9PtHrg_7_16"/>
      <w:bookmarkStart w:id="456" w:name="Tc_HvjzYBNHVEeI44msmfdbhg_7_14"/>
      <w:bookmarkStart w:id="457" w:name="Tc_L7dSKqkzw0u7J0MIFK-s9Q_7_11"/>
      <w:bookmarkStart w:id="458" w:name="Tc_ouZrzUob4kyRGW6eQ7UILw_7_0"/>
      <w:bookmarkStart w:id="459" w:name="Tc_JyOqQRUT_k6bOOSEnWwoAw_6_19"/>
      <w:bookmarkStart w:id="460" w:name="Tc_3jRqoLOrBEStA7-SuNm2EQ_6_16"/>
      <w:bookmarkStart w:id="461" w:name="Tc_XnScSflu_k6teHa-1ety8g_6_14"/>
      <w:bookmarkStart w:id="462" w:name="Tc_VH5uIgzYJ02hEno40cQTDw_6_11"/>
      <w:bookmarkStart w:id="463" w:name="Tc_z7mlxp250Emmmq-dcT2PEQ_6_5"/>
      <w:bookmarkStart w:id="464" w:name="Tc_4S0DDgh140uGvep36No7ig_6_2"/>
      <w:bookmarkStart w:id="465" w:name="Tc_Np1sCSswUUSmLbFmgocesg_6_0"/>
      <w:bookmarkStart w:id="466" w:name="Tc_b8rK7UrblE6zWzI8ItThOw_5_21"/>
      <w:bookmarkStart w:id="467" w:name="Tc_QqTGv6smcEGWc79KJsQGpw_5_18"/>
      <w:bookmarkStart w:id="468" w:name="Tc_ZE83MlCW5kWRu1_rvL4Vig_5_13"/>
      <w:bookmarkStart w:id="469" w:name="Tc_LUa_v9S7tkSlXDRl7wQsqw_5_10"/>
      <w:bookmarkStart w:id="470" w:name="Tc_PwmLaqpaC0C7xrOW3dhiYw_5_7"/>
      <w:bookmarkStart w:id="471" w:name="Tc_mmXvHCAI70WDgcnHhgWfog_5_4"/>
      <w:bookmarkStart w:id="472" w:name="Tc_FMrt6HL1dEKSsBNZkBQxxQ_5_0"/>
      <w:bookmarkStart w:id="473" w:name="Tc_D4kZ7K6kk0qPkPKMria9YQ_4_21"/>
      <w:bookmarkStart w:id="474" w:name="Tc__f6K0Opie0qisB1qCm0Z8Q_4_18"/>
      <w:bookmarkStart w:id="475" w:name="Tc_zcaxVCRn-ki30IEttvMeKQ_4_16"/>
      <w:bookmarkStart w:id="476" w:name="Tc_AeCZ-4NwkUuRA9VJbEB-tw_4_13"/>
      <w:bookmarkStart w:id="477" w:name="Tc_qxLOJj-9kUmEtRq46UzHXg_4_10"/>
      <w:bookmarkStart w:id="478" w:name="Tc_oqKi7Gp1yke35o0hkWmgDA_4_7"/>
      <w:bookmarkStart w:id="479" w:name="Tc_XekpEGELRE6jzWC2k9jtzQ_4_4"/>
      <w:bookmarkStart w:id="480" w:name="Tc_Vof-BzGtxUCGKI821VRhFA_4_2"/>
      <w:bookmarkStart w:id="481" w:name="Tc_asOWk7nkMUe96DbHfhStiw_3_21"/>
      <w:bookmarkStart w:id="482" w:name="Tc_Fd_JVId1D06qBgSKrpna5w_3_16"/>
      <w:bookmarkStart w:id="483" w:name="Tc_PtnTsc2LOE2vS37w9dsYCw_3_13"/>
      <w:bookmarkStart w:id="484" w:name="Tc_ZJTNOVUfg0u7s63HfhpzAg_3_10"/>
      <w:bookmarkStart w:id="485" w:name="Tc_MwVVGLH7XEuTGxUplS61Jg_3_7"/>
      <w:bookmarkStart w:id="486" w:name="Tc_CNdcQfKugkGAlGPnU5RXWQ_3_2"/>
      <w:bookmarkStart w:id="487" w:name="Tc_yWE9gWSqfUqZ5fXmKFExrw_2_21"/>
      <w:bookmarkStart w:id="488" w:name="Tc_C14WtHMFMUGGooDZSH_ivw_2_13"/>
      <w:bookmarkStart w:id="489" w:name="Tc_Hyp5NasQ6UuNu9o6L3hiQg_2_7"/>
      <w:bookmarkStart w:id="490" w:name="Tc_SkHBTLa2eEmTzQbvne41wg_1_13"/>
      <w:bookmarkStart w:id="491" w:name="_36bf2bfb_1ced_48b8_bf80_97f746a80463"/>
      <w:bookmarkStart w:id="492" w:name="Tc_T86Hk7meKEmTIy-LEOGU3g_30_21"/>
      <w:bookmarkStart w:id="493" w:name="Tc_Irk6gISkvEikPbrmazwQYA_30_18"/>
      <w:bookmarkStart w:id="494" w:name="Tc_Ku5bibzROUauhGmTmiSS_A_30_13"/>
      <w:bookmarkStart w:id="495" w:name="Tc_XUOJtUlYlEeyasvae0lgdw_30_10"/>
      <w:bookmarkStart w:id="496" w:name="Tc_BgAfU3xJ2USSoF3hJ2FBJw_30_7"/>
      <w:bookmarkStart w:id="497" w:name="Tc_PxupKzPFkkG93OZcCXLqGA_30_4"/>
      <w:bookmarkStart w:id="498" w:name="Tc_xEeZaVR61kqsZcRUfNVd6w_30_0"/>
      <w:bookmarkStart w:id="499" w:name="Tc_-HTCMh5EJ0SHdNEArMa1zg_29_19"/>
      <w:bookmarkStart w:id="500" w:name="Tc_DWYPstDrfEyrK1R2h-p8Nw_29_16"/>
      <w:bookmarkStart w:id="501" w:name="Tc_ZDKfhmBv40uei3xA4YhKHQ_29_14"/>
      <w:bookmarkStart w:id="502" w:name="Tc_sncCBEnH6kyoH3oMQPPSyw_29_8"/>
      <w:bookmarkStart w:id="503" w:name="Tc_RqK_c6AbzESKNDjdsXrc1Q_29_5"/>
      <w:bookmarkStart w:id="504" w:name="Tc_DbQ7k3JJO0mM1GzclwT6mg_29_2"/>
      <w:bookmarkStart w:id="505" w:name="Tc_MdhhKwdnekOdk6d2CuBiBw_29_0"/>
      <w:bookmarkStart w:id="506" w:name="Tc_td6Cjc8hBUqlOHe6ncVdnw_28_19"/>
      <w:bookmarkStart w:id="507" w:name="Tc__4UZQSInIEWxkMGSR4ykRA_28_16"/>
      <w:bookmarkStart w:id="508" w:name="Tc_bhER0asNBEepCvKcM1_PEA_28_11"/>
      <w:bookmarkStart w:id="509" w:name="Tc_JbcQVT-66UKyYxPjtO1kqg_28_8"/>
      <w:bookmarkStart w:id="510" w:name="Tc_XRZMPiPQikiDDtQspfvTlg_28_5"/>
      <w:bookmarkStart w:id="511" w:name="Tc_3mHMW7etuE6RkmTj0G_l2g_28_2"/>
      <w:bookmarkStart w:id="512" w:name="Tc_lAtueDBWbUeiU41mqL0c5g_28_0"/>
      <w:bookmarkStart w:id="513" w:name="Tc_WmnA9Z9ikU2oaxP3_IakdQ_27_19"/>
      <w:bookmarkStart w:id="514" w:name="Tc_EJoP9aegRkyiSgrGyBN3XQ_27_16"/>
      <w:bookmarkStart w:id="515" w:name="Tc_y8yzTOp9oUy2kscl_9HPLQ_27_11"/>
      <w:bookmarkStart w:id="516" w:name="Tc_3YCPec8hNkmq5lEL9KWaZw_27_8"/>
      <w:bookmarkStart w:id="517" w:name="Tc_rmbGpvk8pkmLshSYJO2NCw_27_5"/>
      <w:bookmarkStart w:id="518" w:name="Tc_6oyamKKnpkW0NHcrRgiSVw_27_2"/>
      <w:bookmarkStart w:id="519" w:name="Tc_uky8TYTNVkOV6PnbsTf2yw_27_0"/>
      <w:bookmarkStart w:id="520" w:name="Tc_Lz8wglLmGUSxlX4GU6Wslw_26_14"/>
      <w:bookmarkStart w:id="521" w:name="Tc_ycBfMYOZ6ka2cCeEKV3WOA_26_11"/>
      <w:bookmarkStart w:id="522" w:name="Tc_R9EEqFxQGUeKm88f677CeA_26_8"/>
      <w:bookmarkStart w:id="523" w:name="Tc_yRAHM-t6aE-NBBDWr5DOBg_26_5"/>
      <w:bookmarkStart w:id="524" w:name="Tc_JNbkjwjlHECiW3yJNQwGQg_26_2"/>
      <w:bookmarkStart w:id="525" w:name="Tc_VaYxDPbtu0CiHVxj2HTlkA_26_0"/>
      <w:bookmarkStart w:id="526" w:name="Tc_E5QAgm-wbkiTH3bWi5kvLA_25_19"/>
      <w:bookmarkStart w:id="527" w:name="Tc_FPrtJup_W06jIeBCcG5CzQ_25_16"/>
      <w:bookmarkStart w:id="528" w:name="Tc_XvDS4b43jEC_qVej29Ejgg_25_11"/>
      <w:bookmarkStart w:id="529" w:name="Tc_f131o2p02ECkoVAV6I5WyA_25_8"/>
      <w:bookmarkStart w:id="530" w:name="Tc_260c-32w9E2qm1mvqQ9JPA_25_5"/>
      <w:bookmarkStart w:id="531" w:name="Tc_NvX4fybimUy9b62oj7VsOQ_25_2"/>
      <w:bookmarkStart w:id="532" w:name="Tc_0KYPutl9JEamyjUm8xNwcg_25_0"/>
      <w:bookmarkStart w:id="533" w:name="Tc_QZ3dv1vbdkaNpn9rqsTVDg_24_19"/>
      <w:bookmarkStart w:id="534" w:name="Tc_i_taCn7yqkGwbu8xJszLkA_24_16"/>
      <w:bookmarkStart w:id="535" w:name="Tc_WogAPu18tU6UAsYXVyqzWA_24_14"/>
      <w:bookmarkStart w:id="536" w:name="Tc_GzjYTQVeWUiD-CkHG8DwsQ_24_11"/>
      <w:bookmarkStart w:id="537" w:name="Tc_RYgRP-9CGUiXl5iFlww8dQ_24_0"/>
      <w:bookmarkStart w:id="538" w:name="Tc_YgPg6MnIRkmpSbaHEozUog_23_19"/>
      <w:bookmarkStart w:id="539" w:name="Tc_iu5VOSIyN0mlWyq5r4PrVQ_23_16"/>
      <w:bookmarkStart w:id="540" w:name="Tc_9-DKH0WyOUqChZwlQpa0ng_23_14"/>
      <w:bookmarkStart w:id="541" w:name="Tc_KmpJsXE8dUK28eHIXzMRag_23_11"/>
      <w:bookmarkStart w:id="542" w:name="Tc_-6EUZD4AXUCVLSmm4EH7hA_23_5"/>
      <w:bookmarkStart w:id="543" w:name="Tc_IY8hKmpKMUm81DwSWtprUA_23_2"/>
      <w:bookmarkStart w:id="544" w:name="Tc_jGRdI023fEa97jRbI1jRgQ_23_0"/>
      <w:bookmarkStart w:id="545" w:name="Tc_2HKKm9VWbk2d4DAs_Yf2ow_22_21"/>
      <w:bookmarkStart w:id="546" w:name="Tc_Lq77nBkBq0KVCssqQgnEJg_22_18"/>
      <w:bookmarkStart w:id="547" w:name="Tc_HA_vhps6f0-jD3ISCuq80A_22_13"/>
      <w:bookmarkStart w:id="548" w:name="Tc_8pXCDXHhT0WI8FrInbWNTQ_22_10"/>
      <w:bookmarkStart w:id="549" w:name="Tc_TA_l_9qcjUSaxGUgA3o05Q_22_7"/>
      <w:bookmarkStart w:id="550" w:name="Tc_3d_iiK9d90yLMqi2ZFr-IQ_22_4"/>
      <w:bookmarkStart w:id="551" w:name="Tc_nE2oESw4MUiktD86jNiw4g_22_0"/>
      <w:bookmarkStart w:id="552" w:name="Tc_LtqpflT2Dk-Rw7ecFMchhQ_21_19"/>
      <w:bookmarkStart w:id="553" w:name="Tc_pj_ba0EnokSnZYuSRR1YGg_21_16"/>
      <w:bookmarkStart w:id="554" w:name="Tc_y8vgZl_xjEWm7nAEPwLFrg_21_14"/>
      <w:bookmarkStart w:id="555" w:name="Tc_lwwapPnINE-b8futMRdVnQ_21_8"/>
      <w:bookmarkStart w:id="556" w:name="Tc_6eMwgnyEvkKqUcgG7Kx0Ew_21_5"/>
      <w:bookmarkStart w:id="557" w:name="Tc_3paPM6ar70e3wYY6XCErUg_21_2"/>
      <w:bookmarkStart w:id="558" w:name="Tc_SFUi1rg3EUWxN7lV-tQIgQ_21_0"/>
      <w:bookmarkStart w:id="559" w:name="Tc_JP3D3JAd2U-emn3VTH4utw_20_19"/>
      <w:bookmarkStart w:id="560" w:name="Tc_1qMj0FqQ6E-nHLw970E4nw_20_16"/>
      <w:bookmarkStart w:id="561" w:name="Tc_-ofgQBgEs0OPt1wX-p0idQ_20_11"/>
      <w:bookmarkStart w:id="562" w:name="Tc_NopdYBxuFEieXMQa63Oefw_20_8"/>
      <w:bookmarkStart w:id="563" w:name="Tc_vSENkYJ0VEiCjU_XLnqS-A_20_5"/>
      <w:bookmarkStart w:id="564" w:name="Tc_r81Rwm6Opky8CJhnz9YC5A_20_2"/>
      <w:bookmarkStart w:id="565" w:name="Tc_qAhbPWFFXUq1Kk82-BvVdg_20_0"/>
      <w:bookmarkStart w:id="566" w:name="Tc_nvAmm9uhCkW9j7Ir6zFvgw_19_19"/>
      <w:bookmarkStart w:id="567" w:name="Tc_9hMQuHzzAkqHvBGD-Lfdag_19_16"/>
      <w:bookmarkStart w:id="568" w:name="Tc_H23DpaliTkOIx-l1cg5-SQ_19_11"/>
      <w:bookmarkStart w:id="569" w:name="Tc_rEUBy9vgK0ijNEOtRT9zRA_19_8"/>
      <w:bookmarkStart w:id="570" w:name="Tc_DZxcNt7FFk-_wFl5gf-6lg_19_5"/>
      <w:bookmarkStart w:id="571" w:name="Tc_71DYD4Nj2EC4bLUFCk8X5g_19_2"/>
      <w:bookmarkStart w:id="572" w:name="Tc_M5md55JMrEynF7Z6IMudgg_19_0"/>
      <w:bookmarkStart w:id="573" w:name="Tc_pp94e14y2UirEPELB1ZYCA_18_14"/>
      <w:bookmarkStart w:id="574" w:name="Tc_BMgQ7V0Jjk6amjpew5e5dQ_18_11"/>
      <w:bookmarkStart w:id="575" w:name="Tc_ypmAnp52sUeFzqp_BIGu1w_18_8"/>
      <w:bookmarkStart w:id="576" w:name="Tc_MyRy_L2FIkKnhoOg0zYBWQ_18_5"/>
      <w:bookmarkStart w:id="577" w:name="Tc_bqR9cCYaU0SxhWa_I9sTIg_18_2"/>
      <w:bookmarkStart w:id="578" w:name="Tc_LNMkQR3Nk0WnRPImGwGJmw_18_0"/>
      <w:bookmarkStart w:id="579" w:name="Tc_GD5Bw69lRUeT5Jw9dt2vYQ_17_19"/>
      <w:bookmarkStart w:id="580" w:name="Tc_usnWZYV3_06lrFzFYS0Xjg_17_16"/>
      <w:bookmarkStart w:id="581" w:name="Tc_dpcg1txdDEWeRabKynoD4A_17_11"/>
      <w:bookmarkStart w:id="582" w:name="Tc_zy3PbRuKGkG5N5ASTYYy6A_17_8"/>
      <w:bookmarkStart w:id="583" w:name="Tc_Fug-hlDWl0mXCmHItTDpZw_17_5"/>
      <w:bookmarkStart w:id="584" w:name="Tc_HZjM0pPOy06ICKJwGI0OIA_17_2"/>
      <w:bookmarkStart w:id="585" w:name="Tc_yQzjJrckiU-TIO_MXHwCgA_17_0"/>
      <w:bookmarkStart w:id="586" w:name="Tc_xRETjjRctk6v6ivzVxoJ7w_16_19"/>
      <w:bookmarkStart w:id="587" w:name="Tc_4zXYxbHFqkuVYbVcZtymdQ_16_16"/>
      <w:bookmarkStart w:id="588" w:name="Tc_AlAbOOFJHkK_Q8ZPCTBASQ_16_14"/>
      <w:bookmarkStart w:id="589" w:name="Tc_vFVdGBz5rUqcCmv2XhUrwg_16_11"/>
      <w:bookmarkStart w:id="590" w:name="Tc_C1V03DefwEmKklJSzpLA0g_16_0"/>
      <w:bookmarkStart w:id="591" w:name="Tc_p35bmfoyBUaRVrLO-bg_dA_15_19"/>
      <w:bookmarkStart w:id="592" w:name="Tc_ex9NcvoMLkakQt-aKjlQIA_15_16"/>
      <w:bookmarkStart w:id="593" w:name="Tc_uuJBJ41X5kGUZFVv55w17A_15_14"/>
      <w:bookmarkStart w:id="594" w:name="Tc_giOBPLpHCE6Xkmy7nBKdRQ_15_11"/>
      <w:bookmarkStart w:id="595" w:name="Tc_yDax1q899UmCokFvqiJY1A_15_5"/>
      <w:bookmarkStart w:id="596" w:name="Tc_-q-1B0kYDUCl7r5tRMIOHA_15_2"/>
      <w:bookmarkStart w:id="597" w:name="Tc_6xWVHx6LjUeckDN7gOUYbw_15_0"/>
      <w:bookmarkStart w:id="598" w:name="Tc_7HNi6qhIz0C6rzRUs99xbg_14_21"/>
      <w:bookmarkStart w:id="599" w:name="Tc_hN95hJPgBESmZyCdegbyfw_14_18"/>
      <w:bookmarkStart w:id="600" w:name="Tc_3wpIRseWA0yVyplHm93Zpw_14_13"/>
      <w:bookmarkStart w:id="601" w:name="Tc_mTbyst_7JkG5VHb7R9Oulw_14_10"/>
      <w:bookmarkStart w:id="602" w:name="Tc_dElqTwiTV0Kj3Dw2vkrtnQ_14_7"/>
      <w:bookmarkStart w:id="603" w:name="Tc_yJFrbvxWsUmyDkFDVt6qgQ_14_4"/>
      <w:bookmarkStart w:id="604" w:name="Tc_qcSCwK9JokqjzktEao_Trg_14_0"/>
      <w:bookmarkStart w:id="605" w:name="Tc_Ovw5J8gCjEuc87rcsUTEFw_13_19"/>
      <w:bookmarkStart w:id="606" w:name="Tc_Bc23K-sEMUuSZ4n8maznvQ_13_16"/>
      <w:bookmarkStart w:id="607" w:name="Tc_seTMgvHq6EaOgoQ3Xa-V9g_13_14"/>
      <w:bookmarkStart w:id="608" w:name="Tc_voavxusdPkKm4Xxd7DwfdQ_13_8"/>
      <w:bookmarkStart w:id="609" w:name="Tc_crgvxF-fpEuqnW7tSiF8sw_13_5"/>
      <w:bookmarkStart w:id="610" w:name="Tc_ecXI4DC5qUy8t4iUv4udeg_13_2"/>
      <w:bookmarkStart w:id="611" w:name="Tc_B_9QqxHKDkG0eSP0CBCE4g_13_0"/>
      <w:bookmarkStart w:id="612" w:name="Tc_IIdI4DhcaUqpgo8-eBTSPw_12_19"/>
      <w:bookmarkStart w:id="613" w:name="Tc_JU9sNIttS0yyWhloDz83Eg_12_16"/>
      <w:bookmarkStart w:id="614" w:name="Tc_RH2V71IZ90uUl7EW3Ldmng_12_11"/>
      <w:bookmarkStart w:id="615" w:name="Tc_2jx3djpyX02Q1bdG7l89UQ_12_8"/>
      <w:bookmarkStart w:id="616" w:name="Tc_5I0PLAVZGU-QK4x7NgV2Mg_12_5"/>
      <w:bookmarkStart w:id="617" w:name="Tc_XVgURDwT_ECm919DoEVo3g_12_2"/>
      <w:bookmarkStart w:id="618" w:name="Tc_dJwl137YUUix6ANuCIhYjA_12_0"/>
      <w:bookmarkStart w:id="619" w:name="Tc_u-w-AOCx0UejSMdW3CnTNA_11_19"/>
      <w:bookmarkStart w:id="620" w:name="Tc_qYRz4zIoH0OuATPQUIy8wA_11_16"/>
      <w:bookmarkStart w:id="621" w:name="Tc_rmdd-zSVAE6ZClQOyZjEWA_11_11"/>
      <w:bookmarkStart w:id="622" w:name="Tc_G6XtXmV--EKoobRkUQjKPw_11_8"/>
      <w:bookmarkStart w:id="623" w:name="Tc_jeUpJaGvlEic9S8nPQenFg_11_5"/>
      <w:bookmarkStart w:id="624" w:name="Tc_E1UdWXi4H0mjbzvQet1nzQ_11_2"/>
      <w:bookmarkStart w:id="625" w:name="Tc_hldLpYM-aEq1Wyf1TNKrgw_11_0"/>
      <w:bookmarkStart w:id="626" w:name="Tc_9Xm4EBZx40iV3U7lFz_F9g_10_14"/>
      <w:bookmarkStart w:id="627" w:name="Tc_ne6OV9bTVEmUPfJDUoIG8g_10_11"/>
      <w:bookmarkStart w:id="628" w:name="Tc_nKC0ZKxcU0-K4ydISkC87Q_10_8"/>
      <w:bookmarkStart w:id="629" w:name="Tc_7xU4UUGksEaNuLwPGyLI-A_10_5"/>
      <w:bookmarkStart w:id="630" w:name="Tc_94isODOGVEOVDt0Cp3uS3g_10_2"/>
      <w:bookmarkStart w:id="631" w:name="Tc_qSEjstSvkki2adpL4U_j2A_10_0"/>
      <w:bookmarkStart w:id="632" w:name="Tc_P_ymKy_Yd0iJZ3aGxVXtkw_9_22"/>
      <w:bookmarkStart w:id="633" w:name="Tc_LrWUClmT1UySuvGUZs5gxA_9_14"/>
      <w:bookmarkStart w:id="634" w:name="Tc_qautHpe1kkS3IZaiwcr4yQ_9_0"/>
      <w:bookmarkStart w:id="635" w:name="Tc_MU37k5uJSUGsV6DnbtU9AA_8_19"/>
      <w:bookmarkStart w:id="636" w:name="Tc_yFjlehviZUOk4FX3fWlvLA_8_16"/>
      <w:bookmarkStart w:id="637" w:name="Tc_wXo6QrqhZ0ynTBeR5iJ8_g_8_11"/>
      <w:bookmarkStart w:id="638" w:name="Tc_hDqkOH4uZkqBn_SuzeUAPA_8_8"/>
      <w:bookmarkStart w:id="639" w:name="Tc_dZKVsqittEC6arIPZ56Ccg_8_5"/>
      <w:bookmarkStart w:id="640" w:name="Tc_RpbOogdM0EK9aZcMOWp6bg_8_2"/>
      <w:bookmarkStart w:id="641" w:name="Tc_EtZKslX-mkOgxzwvvId3zg_8_0"/>
      <w:bookmarkStart w:id="642" w:name="Tc_18izFko9yEWSj-2WYw2s9g_7_19"/>
      <w:bookmarkStart w:id="643" w:name="Tc_IC1Fw5RtfUKAsydx9PtHrg_7_16"/>
      <w:bookmarkStart w:id="644" w:name="Tc_HvjzYBNHVEeI44msmfdbhg_7_14"/>
      <w:bookmarkStart w:id="645" w:name="Tc_L7dSKqkzw0u7J0MIFK-s9Q_7_11"/>
      <w:bookmarkStart w:id="646" w:name="Tc_ouZrzUob4kyRGW6eQ7UILw_7_0"/>
      <w:bookmarkStart w:id="647" w:name="Tc_JyOqQRUT_k6bOOSEnWwoAw_6_19"/>
      <w:bookmarkStart w:id="648" w:name="Tc_3jRqoLOrBEStA7-SuNm2EQ_6_16"/>
      <w:bookmarkStart w:id="649" w:name="Tc_XnScSflu_k6teHa-1ety8g_6_14"/>
      <w:bookmarkStart w:id="650" w:name="Tc_VH5uIgzYJ02hEno40cQTDw_6_11"/>
      <w:bookmarkStart w:id="651" w:name="Tc_z7mlxp250Emmmq-dcT2PEQ_6_5"/>
      <w:bookmarkStart w:id="652" w:name="Tc_4S0DDgh140uGvep36No7ig_6_2"/>
      <w:bookmarkStart w:id="653" w:name="Tc_Np1sCSswUUSmLbFmgocesg_6_0"/>
      <w:bookmarkStart w:id="654" w:name="Tc_b8rK7UrblE6zWzI8ItThOw_5_21"/>
      <w:bookmarkStart w:id="655" w:name="Tc_QqTGv6smcEGWc79KJsQGpw_5_18"/>
      <w:bookmarkStart w:id="656" w:name="Tc_ZE83MlCW5kWRu1_rvL4Vig_5_13"/>
      <w:bookmarkStart w:id="657" w:name="Tc_LUa_v9S7tkSlXDRl7wQsqw_5_10"/>
      <w:bookmarkStart w:id="658" w:name="Tc_PwmLaqpaC0C7xrOW3dhiYw_5_7"/>
      <w:bookmarkStart w:id="659" w:name="Tc_mmXvHCAI70WDgcnHhgWfog_5_4"/>
      <w:bookmarkStart w:id="660" w:name="Tc_FMrt6HL1dEKSsBNZkBQxxQ_5_0"/>
      <w:bookmarkStart w:id="661" w:name="Tc_D4kZ7K6kk0qPkPKMria9YQ_4_21"/>
      <w:bookmarkStart w:id="662" w:name="Tc__f6K0Opie0qisB1qCm0Z8Q_4_18"/>
      <w:bookmarkStart w:id="663" w:name="Tc_zcaxVCRn-ki30IEttvMeKQ_4_16"/>
      <w:bookmarkStart w:id="664" w:name="Tc_AeCZ-4NwkUuRA9VJbEB-tw_4_13"/>
      <w:bookmarkStart w:id="665" w:name="Tc_qxLOJj-9kUmEtRq46UzHXg_4_10"/>
      <w:bookmarkStart w:id="666" w:name="Tc_oqKi7Gp1yke35o0hkWmgDA_4_7"/>
      <w:bookmarkStart w:id="667" w:name="Tc_XekpEGELRE6jzWC2k9jtzQ_4_4"/>
      <w:bookmarkStart w:id="668" w:name="Tc_Vof-BzGtxUCGKI821VRhFA_4_2"/>
      <w:bookmarkStart w:id="669" w:name="Tc_asOWk7nkMUe96DbHfhStiw_3_21"/>
      <w:bookmarkStart w:id="670" w:name="Tc_Fd_JVId1D06qBgSKrpna5w_3_16"/>
      <w:bookmarkStart w:id="671" w:name="Tc_PtnTsc2LOE2vS37w9dsYCw_3_13"/>
      <w:bookmarkStart w:id="672" w:name="Tc_ZJTNOVUfg0u7s63HfhpzAg_3_10"/>
      <w:bookmarkStart w:id="673" w:name="Tc_MwVVGLH7XEuTGxUplS61Jg_3_7"/>
      <w:bookmarkStart w:id="674" w:name="Tc_CNdcQfKugkGAlGPnU5RXWQ_3_2"/>
      <w:bookmarkStart w:id="675" w:name="Tc_yWE9gWSqfUqZ5fXmKFExrw_2_21"/>
      <w:bookmarkStart w:id="676" w:name="Tc_C14WtHMFMUGGooDZSH_ivw_2_13"/>
      <w:bookmarkStart w:id="677" w:name="Tc_Hyp5NasQ6UuNu9o6L3hiQg_2_7"/>
      <w:bookmarkStart w:id="678" w:name="Tc_SkHBTLa2eEmTzQbvne41wg_1_13"/>
      <w:bookmarkStart w:id="679" w:name="_36bf2bfb_1ced_48b8_bf80_97f746a80463"/>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tbl>
      <w:tblPr>
        <w:tblW w:w="10522" w:type="dxa"/>
        <w:jc w:val="left"/>
        <w:tblInd w:w="0" w:type="dxa"/>
        <w:tblLayout w:type="fixed"/>
        <w:tblCellMar>
          <w:top w:w="0" w:type="dxa"/>
          <w:left w:w="0" w:type="dxa"/>
          <w:bottom w:w="0" w:type="dxa"/>
          <w:right w:w="0" w:type="dxa"/>
        </w:tblCellMar>
      </w:tblPr>
      <w:tblGrid>
        <w:gridCol w:w="1126"/>
        <w:gridCol w:w="346"/>
        <w:gridCol w:w="691"/>
        <w:gridCol w:w="346"/>
        <w:gridCol w:w="181"/>
        <w:gridCol w:w="436"/>
        <w:gridCol w:w="346"/>
        <w:gridCol w:w="181"/>
        <w:gridCol w:w="691"/>
        <w:gridCol w:w="346"/>
        <w:gridCol w:w="181"/>
        <w:gridCol w:w="736"/>
        <w:gridCol w:w="346"/>
        <w:gridCol w:w="227"/>
        <w:gridCol w:w="794"/>
        <w:gridCol w:w="346"/>
        <w:gridCol w:w="631"/>
        <w:gridCol w:w="346"/>
        <w:gridCol w:w="181"/>
        <w:gridCol w:w="736"/>
        <w:gridCol w:w="346"/>
        <w:gridCol w:w="181"/>
        <w:gridCol w:w="781"/>
      </w:tblGrid>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7"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8785" cy="175260"/>
                      <wp:effectExtent l="0" t="0" r="0" b="0"/>
                      <wp:wrapNone/>
                      <wp:docPr id="148"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9"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4935" cy="175260"/>
                      <wp:effectExtent l="0" t="0" r="0" b="0"/>
                      <wp:wrapNone/>
                      <wp:docPr id="150" name="Frame1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76860" cy="175260"/>
                      <wp:effectExtent l="0" t="0" r="0" b="0"/>
                      <wp:wrapNone/>
                      <wp:docPr id="151" name="Frame14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2"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14935" cy="175260"/>
                      <wp:effectExtent l="0" t="0" r="0" b="0"/>
                      <wp:wrapNone/>
                      <wp:docPr id="153" name="Frame1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38785" cy="175260"/>
                      <wp:effectExtent l="0" t="0" r="0" b="0"/>
                      <wp:wrapNone/>
                      <wp:docPr id="154" name="Frame1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5"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14935" cy="175260"/>
                      <wp:effectExtent l="0" t="0" r="0" b="0"/>
                      <wp:wrapNone/>
                      <wp:docPr id="156" name="Frame1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67360" cy="175260"/>
                      <wp:effectExtent l="0" t="0" r="0" b="0"/>
                      <wp:wrapNone/>
                      <wp:docPr id="157" name="Frame1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8"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4145" cy="175260"/>
                      <wp:effectExtent l="0" t="0" r="0" b="0"/>
                      <wp:wrapNone/>
                      <wp:docPr id="159" name="Frame15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04190" cy="175260"/>
                      <wp:effectExtent l="0" t="0" r="0" b="0"/>
                      <wp:wrapNone/>
                      <wp:docPr id="160" name="Frame157"/>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1"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00685" cy="175260"/>
                      <wp:effectExtent l="0" t="0" r="0" b="0"/>
                      <wp:wrapNone/>
                      <wp:docPr id="162" name="Frame15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3"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14935" cy="175260"/>
                      <wp:effectExtent l="0" t="0" r="0" b="0"/>
                      <wp:wrapNone/>
                      <wp:docPr id="164" name="Frame1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67360" cy="175260"/>
                      <wp:effectExtent l="0" t="0" r="0" b="0"/>
                      <wp:wrapNone/>
                      <wp:docPr id="165" name="Frame16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6"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14935" cy="175260"/>
                      <wp:effectExtent l="0" t="0" r="0" b="0"/>
                      <wp:wrapNone/>
                      <wp:docPr id="167" name="Frame1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68" name="Frame1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346" w:type="dxa"/>
            <w:tcBorders/>
            <w:vAlign w:val="center"/>
          </w:tcPr>
          <w:p>
            <w:pPr>
              <w:pStyle w:val="TableContents"/>
              <w:bidi w:val="0"/>
              <w:spacing w:before="0" w:after="0"/>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January 1, 2023</w:t>
            </w:r>
          </w:p>
        </w:tc>
        <w:tc>
          <w:tcPr>
            <w:tcW w:w="346" w:type="dxa"/>
            <w:tcBorders/>
            <w:shd w:fill="CCEEFF" w:val="clear"/>
            <w:vAlign w:val="center"/>
          </w:tcPr>
          <w:p>
            <w:pPr>
              <w:pStyle w:val="TableContents"/>
              <w:bidi w:val="0"/>
              <w:spacing w:before="0" w:after="0"/>
              <w:ind w:left="0" w:right="0" w:hanging="0"/>
              <w:jc w:val="left"/>
              <w:rPr/>
            </w:pPr>
            <w:r>
              <w:rPr/>
              <w:t>  ​ ​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1,283,688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6,418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4,776,804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9,001,173</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(159,073)</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(239,088)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(6,600,281)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7,025,041</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67,664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67,664</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8,904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130,222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130,267</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5,085</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5,085</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Retirement of 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(4,692,425)</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4,692,850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(11,933)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(658,952)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(658,952)</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24,241</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24,241</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gain (loss) on commodity derivatives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4,410</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4,410</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1,630,988</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1,630,988</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2023</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1,122,592</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5,613</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4,975,115</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5,939,736</w:t>
            </w:r>
          </w:p>
        </w:tc>
        <w:tc>
          <w:tcPr>
            <w:tcW w:w="3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(125,337)</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(81,021)</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(2,566,383)</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8,228,744</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90,853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90,853</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3,737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78,954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78,973</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758</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758</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(72,229)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(3,805,750)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(3,805,750)</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(140,941)</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(140,941)</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gain (loss) on commodity derivatives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(3,967)</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(3,967)</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1,509,048</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1,509,048</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1,126,329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5,144,922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7,448,784</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(269,487)</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(153,250)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(6,372,133)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5,957,718</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121,390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121,390</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6,577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164,535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164,568</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1,263</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1,263</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(103,646)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(103,646)</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161,871</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161,871</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gain (loss) on commodity derivatives </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45,512</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45,512</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1,905,432</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1,905,432</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2025</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1,132,906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5,430,847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9,354,216</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(60,841)</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(154,793)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(6,475,779)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8,254,108</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80" w:name="_68e25d88_b280_44bb_839a_a5e4708d1d30"/>
      <w:bookmarkEnd w:id="680"/>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681" w:name="CONSOLIDATEDSTATEMENTSOFCASHFLOWS_111089"/>
      <w:bookmarkStart w:id="682" w:name="CASHFLOWS_256883"/>
      <w:bookmarkEnd w:id="681"/>
      <w:bookmarkEnd w:id="682"/>
      <w:r>
        <w:rPr>
          <w:rFonts w:ascii="Times New Roman;Times;serif" w:hAnsi="Times New Roman;Times;serif"/>
          <w:b/>
          <w:sz w:val="20"/>
        </w:rPr>
        <w:t>CONSOLIDATED STATEMENTS OF CASH FLOWS</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2025, 2024 AND 2023 (In Thousands)</w:t>
      </w:r>
    </w:p>
    <w:p>
      <w:pPr>
        <w:pStyle w:val="Normal"/>
        <w:bidi w:val="0"/>
        <w:spacing w:before="0" w:after="0"/>
        <w:jc w:val="left"/>
        <w:rPr>
          <w:sz w:val="4"/>
          <w:szCs w:val="4"/>
        </w:rPr>
      </w:pPr>
      <w:r>
        <w:rPr>
          <w:sz w:val="4"/>
          <w:szCs w:val="4"/>
        </w:rPr>
      </w:r>
      <w:bookmarkStart w:id="683" w:name="Tc_Tc5z6ahdAE6COxseONn5zw_54_8"/>
      <w:bookmarkStart w:id="684" w:name="Tc_julLpgvduUmbWeN5u5KMxg_54_5"/>
      <w:bookmarkStart w:id="685" w:name="Tc_N9N6YG56RUKp-8nLpcaYKA_54_2"/>
      <w:bookmarkStart w:id="686" w:name="Tc_c48gSHljWECGRkA6shflaQ_54_0"/>
      <w:bookmarkStart w:id="687" w:name="Tc_nxxNssOpZUe4R7hBGquz4Q_53_0"/>
      <w:bookmarkStart w:id="688" w:name="Tc_QHc5CV0mtUOmr-4ZWtB0sA_52_0"/>
      <w:bookmarkStart w:id="689" w:name="Tc_AbZv0Dy7lUCuboqlBVVLUA_50_8"/>
      <w:bookmarkStart w:id="690" w:name="Tc_q4jtfyLLnUmHj1L3RcOYKw_50_5"/>
      <w:bookmarkStart w:id="691" w:name="Tc_RV4-yB3a4U-5YjXeDIMVjA_50_2"/>
      <w:bookmarkStart w:id="692" w:name="Tc_iKQSC37zVUa7tdoH8R6vIw_50_0"/>
      <w:bookmarkStart w:id="693" w:name="Tc_3Ew1pmd2wk-dL7GbBXGw4Q_49_0"/>
      <w:bookmarkStart w:id="694" w:name="Tc_Wj4l0GpVykeWe2nYyNgy8g_48_0"/>
      <w:bookmarkStart w:id="695" w:name="Tc_4ry_u_0xkUCzWP6Z2enT7w_46_0"/>
      <w:bookmarkStart w:id="696" w:name="Tc_nP6f1kkiWECz61gz5LBzZA_44_0"/>
      <w:bookmarkStart w:id="697" w:name="Tc_3qNKBiBh50OkGNN6JJEhtw_43_0"/>
      <w:bookmarkStart w:id="698" w:name="Tc_PBC1UxePuky5V-JBkQwCTw_42_0"/>
      <w:bookmarkStart w:id="699" w:name="Tc_-p4E3FqrjEaRP3vcdPtRBA_41_9"/>
      <w:bookmarkStart w:id="700" w:name="Tc_EwuXXv309UW_YZx_b7l6mA_41_3"/>
      <w:bookmarkStart w:id="701" w:name="Tc_p6NqbjCWGUaeZAE4CAy3ag_41_0"/>
      <w:bookmarkStart w:id="702" w:name="Tc_q20V0BZGBkaJXKcxQsEmrw_40_9"/>
      <w:bookmarkStart w:id="703" w:name="Tc_jVhOfOZ840aAc4TRViOEMg_40_0"/>
      <w:bookmarkStart w:id="704" w:name="Tc_iS6iSqLhQUWQI7Q1IY5m2A_39_9"/>
      <w:bookmarkStart w:id="705" w:name="Tc_rWwgYjei2E-_wq7avFh6SA_39_3"/>
      <w:bookmarkStart w:id="706" w:name="Tc_VJq61AhKtE-XRsIkdUIP6g_39_0"/>
      <w:bookmarkStart w:id="707" w:name="Tc_GiHT0Jpkj06yAtvJ-utqiw_38_0"/>
      <w:bookmarkStart w:id="708" w:name="Tc_tnn4ODinl0y6sfvMfQgkSQ_37_0"/>
      <w:bookmarkStart w:id="709" w:name="Tc_Dgx-Dv8HVkq5GdIgzv-OMQ_35_0"/>
      <w:bookmarkStart w:id="710" w:name="Tc_LodQ_V6_lUmOiO6Ikp79GA_34_0"/>
      <w:bookmarkStart w:id="711" w:name="Tc_pRiiJyDTMku2yHHmyYn4rA_33_0"/>
      <w:bookmarkStart w:id="712" w:name="Tc_X-sYhWTxOEWNbFDin3FD2g_32_0"/>
      <w:bookmarkStart w:id="713" w:name="Tc_NhBeWm28o0uVxpEffWY5EQ_31_0"/>
      <w:bookmarkStart w:id="714" w:name="Tc_VdGdwWu-10Sa-KU3aRJEAg_30_6"/>
      <w:bookmarkStart w:id="715" w:name="Tc_A1ePS7zqNkKGg7e-TVB35Q_30_3"/>
      <w:bookmarkStart w:id="716" w:name="Tc_98sbZAZwlEyg-GwQN6e8-g_30_0"/>
      <w:bookmarkStart w:id="717" w:name="Tc_2jbAD6UZiUKIKEDvGz1mQg_29_0"/>
      <w:bookmarkStart w:id="718" w:name="Tc_IowFGnNuc0GwXtwev6UoRQ_28_0"/>
      <w:bookmarkStart w:id="719" w:name="Tc_NX_OHtwlcEu8lXChtq9o-g_27_0"/>
      <w:bookmarkStart w:id="720" w:name="Tc_iinmrwODHkmw21DcAqctLQ_25_0"/>
      <w:bookmarkStart w:id="721" w:name="Tc_DgFxqVBWJkeCPAzLR-lx_w_24_0"/>
      <w:bookmarkStart w:id="722" w:name="Tc_yDJJMdYk7UWhV_7fFTGFNg_23_0"/>
      <w:bookmarkStart w:id="723" w:name="Tc_cP2yjVvewUeh45EUw-3bqA_22_0"/>
      <w:bookmarkStart w:id="724" w:name="Tc_tuZI2D-ieE6AvafO3iyyQw_21_0"/>
      <w:bookmarkStart w:id="725" w:name="Tc_WxIfpn9JPUC1XIdtyAuzow_20_0"/>
      <w:bookmarkStart w:id="726" w:name="Tc_Kuvu1AYpn0CN3V8xhaQIHg_19_0"/>
      <w:bookmarkStart w:id="727" w:name="Tc_2a15mFsVLkCjE57Gcbqw1Q_18_0"/>
      <w:bookmarkStart w:id="728" w:name="Tc_3Bsh6U9EskGwp60BQWHMXw_17_0"/>
      <w:bookmarkStart w:id="729" w:name="Tc_SNS_eQqYlESFGA98abwHvQ_16_0"/>
      <w:bookmarkStart w:id="730" w:name="Tc_SsVl56k63keaiHM5TmUTJg_15_0"/>
      <w:bookmarkStart w:id="731" w:name="Tc_WSTqUkSg7EKMCTWUv6K0DA_14_0"/>
      <w:bookmarkStart w:id="732" w:name="Tc_GI097jUs9kGLDwGsXYz9pA_13_0"/>
      <w:bookmarkStart w:id="733" w:name="Tc_81BkpefiPEKIw8GNbDPitg_12_0"/>
      <w:bookmarkStart w:id="734" w:name="Tc_sEnw79BeMk2Tn1yt96Mcxg_11_0"/>
      <w:bookmarkStart w:id="735" w:name="Tc_vf594BrwN0-5Xw9PKn5HKA_10_0"/>
      <w:bookmarkStart w:id="736" w:name="Tc_Opt7a1xeNkustcaBDWUTZQ_9_0"/>
      <w:bookmarkStart w:id="737" w:name="Tc_GW_KZrRNyEGJbS-7s0jNGw_8_6"/>
      <w:bookmarkStart w:id="738" w:name="Tc_mLWE0yJk2k-5HLFDp4pNVw_8_3"/>
      <w:bookmarkStart w:id="739" w:name="Tc_WYwBDKUnnkqEsnqVl2Xepw_8_0"/>
      <w:bookmarkStart w:id="740" w:name="Tc_bgpYOB66wEagRh8vNDxAvQ_7_0"/>
      <w:bookmarkStart w:id="741" w:name="Tc_pNdamsLFbEOm9Erg-wQDgQ_6_0"/>
      <w:bookmarkStart w:id="742" w:name="Tc_T-mI7qbC-0Ge3B8Jg996Xg_5_0"/>
      <w:bookmarkStart w:id="743" w:name="Tc_qXKwB_CACkKgDrJWeAuXIQ_4_0"/>
      <w:bookmarkStart w:id="744" w:name="Tc_vBYW04HcQUunkjI4FEv9gw_3_8"/>
      <w:bookmarkStart w:id="745" w:name="Tc_e3AZhFkSI0OnUnku-adxTA_3_5"/>
      <w:bookmarkStart w:id="746" w:name="Tc_SE_OG1fka0W9k8pOeOmjew_3_2"/>
      <w:bookmarkStart w:id="747" w:name="Tc_lFcga5jANki67fYbHqiTVg_3_0"/>
      <w:bookmarkStart w:id="748" w:name="Tc_YLj3nm4zr0mFZs-QDU-_sA_2_0"/>
      <w:bookmarkStart w:id="749" w:name="Tc_qBPU77mFVUqmcV7TpCOHuw_1_8"/>
      <w:bookmarkStart w:id="750" w:name="Tc_bCmemTgdqU2VFWly4qU8WQ_1_5"/>
      <w:bookmarkStart w:id="751" w:name="Tc_qmEkXCUA_0u4BZLS6n2W6A_1_2"/>
      <w:bookmarkStart w:id="752" w:name="_a8e9e73f_00e1_47e5_ae35_198d4dde8de3"/>
      <w:bookmarkStart w:id="753" w:name="Tc_Tc5z6ahdAE6COxseONn5zw_54_8"/>
      <w:bookmarkStart w:id="754" w:name="Tc_julLpgvduUmbWeN5u5KMxg_54_5"/>
      <w:bookmarkStart w:id="755" w:name="Tc_N9N6YG56RUKp-8nLpcaYKA_54_2"/>
      <w:bookmarkStart w:id="756" w:name="Tc_c48gSHljWECGRkA6shflaQ_54_0"/>
      <w:bookmarkStart w:id="757" w:name="Tc_nxxNssOpZUe4R7hBGquz4Q_53_0"/>
      <w:bookmarkStart w:id="758" w:name="Tc_QHc5CV0mtUOmr-4ZWtB0sA_52_0"/>
      <w:bookmarkStart w:id="759" w:name="Tc_AbZv0Dy7lUCuboqlBVVLUA_50_8"/>
      <w:bookmarkStart w:id="760" w:name="Tc_q4jtfyLLnUmHj1L3RcOYKw_50_5"/>
      <w:bookmarkStart w:id="761" w:name="Tc_RV4-yB3a4U-5YjXeDIMVjA_50_2"/>
      <w:bookmarkStart w:id="762" w:name="Tc_iKQSC37zVUa7tdoH8R6vIw_50_0"/>
      <w:bookmarkStart w:id="763" w:name="Tc_3Ew1pmd2wk-dL7GbBXGw4Q_49_0"/>
      <w:bookmarkStart w:id="764" w:name="Tc_Wj4l0GpVykeWe2nYyNgy8g_48_0"/>
      <w:bookmarkStart w:id="765" w:name="Tc_4ry_u_0xkUCzWP6Z2enT7w_46_0"/>
      <w:bookmarkStart w:id="766" w:name="Tc_nP6f1kkiWECz61gz5LBzZA_44_0"/>
      <w:bookmarkStart w:id="767" w:name="Tc_3qNKBiBh50OkGNN6JJEhtw_43_0"/>
      <w:bookmarkStart w:id="768" w:name="Tc_PBC1UxePuky5V-JBkQwCTw_42_0"/>
      <w:bookmarkStart w:id="769" w:name="Tc_-p4E3FqrjEaRP3vcdPtRBA_41_9"/>
      <w:bookmarkStart w:id="770" w:name="Tc_EwuXXv309UW_YZx_b7l6mA_41_3"/>
      <w:bookmarkStart w:id="771" w:name="Tc_p6NqbjCWGUaeZAE4CAy3ag_41_0"/>
      <w:bookmarkStart w:id="772" w:name="Tc_q20V0BZGBkaJXKcxQsEmrw_40_9"/>
      <w:bookmarkStart w:id="773" w:name="Tc_jVhOfOZ840aAc4TRViOEMg_40_0"/>
      <w:bookmarkStart w:id="774" w:name="Tc_iS6iSqLhQUWQI7Q1IY5m2A_39_9"/>
      <w:bookmarkStart w:id="775" w:name="Tc_rWwgYjei2E-_wq7avFh6SA_39_3"/>
      <w:bookmarkStart w:id="776" w:name="Tc_VJq61AhKtE-XRsIkdUIP6g_39_0"/>
      <w:bookmarkStart w:id="777" w:name="Tc_GiHT0Jpkj06yAtvJ-utqiw_38_0"/>
      <w:bookmarkStart w:id="778" w:name="Tc_tnn4ODinl0y6sfvMfQgkSQ_37_0"/>
      <w:bookmarkStart w:id="779" w:name="Tc_Dgx-Dv8HVkq5GdIgzv-OMQ_35_0"/>
      <w:bookmarkStart w:id="780" w:name="Tc_LodQ_V6_lUmOiO6Ikp79GA_34_0"/>
      <w:bookmarkStart w:id="781" w:name="Tc_pRiiJyDTMku2yHHmyYn4rA_33_0"/>
      <w:bookmarkStart w:id="782" w:name="Tc_X-sYhWTxOEWNbFDin3FD2g_32_0"/>
      <w:bookmarkStart w:id="783" w:name="Tc_NhBeWm28o0uVxpEffWY5EQ_31_0"/>
      <w:bookmarkStart w:id="784" w:name="Tc_VdGdwWu-10Sa-KU3aRJEAg_30_6"/>
      <w:bookmarkStart w:id="785" w:name="Tc_A1ePS7zqNkKGg7e-TVB35Q_30_3"/>
      <w:bookmarkStart w:id="786" w:name="Tc_98sbZAZwlEyg-GwQN6e8-g_30_0"/>
      <w:bookmarkStart w:id="787" w:name="Tc_2jbAD6UZiUKIKEDvGz1mQg_29_0"/>
      <w:bookmarkStart w:id="788" w:name="Tc_IowFGnNuc0GwXtwev6UoRQ_28_0"/>
      <w:bookmarkStart w:id="789" w:name="Tc_NX_OHtwlcEu8lXChtq9o-g_27_0"/>
      <w:bookmarkStart w:id="790" w:name="Tc_iinmrwODHkmw21DcAqctLQ_25_0"/>
      <w:bookmarkStart w:id="791" w:name="Tc_DgFxqVBWJkeCPAzLR-lx_w_24_0"/>
      <w:bookmarkStart w:id="792" w:name="Tc_yDJJMdYk7UWhV_7fFTGFNg_23_0"/>
      <w:bookmarkStart w:id="793" w:name="Tc_cP2yjVvewUeh45EUw-3bqA_22_0"/>
      <w:bookmarkStart w:id="794" w:name="Tc_tuZI2D-ieE6AvafO3iyyQw_21_0"/>
      <w:bookmarkStart w:id="795" w:name="Tc_WxIfpn9JPUC1XIdtyAuzow_20_0"/>
      <w:bookmarkStart w:id="796" w:name="Tc_Kuvu1AYpn0CN3V8xhaQIHg_19_0"/>
      <w:bookmarkStart w:id="797" w:name="Tc_2a15mFsVLkCjE57Gcbqw1Q_18_0"/>
      <w:bookmarkStart w:id="798" w:name="Tc_3Bsh6U9EskGwp60BQWHMXw_17_0"/>
      <w:bookmarkStart w:id="799" w:name="Tc_SNS_eQqYlESFGA98abwHvQ_16_0"/>
      <w:bookmarkStart w:id="800" w:name="Tc_SsVl56k63keaiHM5TmUTJg_15_0"/>
      <w:bookmarkStart w:id="801" w:name="Tc_WSTqUkSg7EKMCTWUv6K0DA_14_0"/>
      <w:bookmarkStart w:id="802" w:name="Tc_GI097jUs9kGLDwGsXYz9pA_13_0"/>
      <w:bookmarkStart w:id="803" w:name="Tc_81BkpefiPEKIw8GNbDPitg_12_0"/>
      <w:bookmarkStart w:id="804" w:name="Tc_sEnw79BeMk2Tn1yt96Mcxg_11_0"/>
      <w:bookmarkStart w:id="805" w:name="Tc_vf594BrwN0-5Xw9PKn5HKA_10_0"/>
      <w:bookmarkStart w:id="806" w:name="Tc_Opt7a1xeNkustcaBDWUTZQ_9_0"/>
      <w:bookmarkStart w:id="807" w:name="Tc_GW_KZrRNyEGJbS-7s0jNGw_8_6"/>
      <w:bookmarkStart w:id="808" w:name="Tc_mLWE0yJk2k-5HLFDp4pNVw_8_3"/>
      <w:bookmarkStart w:id="809" w:name="Tc_WYwBDKUnnkqEsnqVl2Xepw_8_0"/>
      <w:bookmarkStart w:id="810" w:name="Tc_bgpYOB66wEagRh8vNDxAvQ_7_0"/>
      <w:bookmarkStart w:id="811" w:name="Tc_pNdamsLFbEOm9Erg-wQDgQ_6_0"/>
      <w:bookmarkStart w:id="812" w:name="Tc_T-mI7qbC-0Ge3B8Jg996Xg_5_0"/>
      <w:bookmarkStart w:id="813" w:name="Tc_qXKwB_CACkKgDrJWeAuXIQ_4_0"/>
      <w:bookmarkStart w:id="814" w:name="Tc_vBYW04HcQUunkjI4FEv9gw_3_8"/>
      <w:bookmarkStart w:id="815" w:name="Tc_e3AZhFkSI0OnUnku-adxTA_3_5"/>
      <w:bookmarkStart w:id="816" w:name="Tc_SE_OG1fka0W9k8pOeOmjew_3_2"/>
      <w:bookmarkStart w:id="817" w:name="Tc_lFcga5jANki67fYbHqiTVg_3_0"/>
      <w:bookmarkStart w:id="818" w:name="Tc_YLj3nm4zr0mFZs-QDU-_sA_2_0"/>
      <w:bookmarkStart w:id="819" w:name="Tc_qBPU77mFVUqmcV7TpCOHuw_1_8"/>
      <w:bookmarkStart w:id="820" w:name="Tc_bCmemTgdqU2VFWly4qU8WQ_1_5"/>
      <w:bookmarkStart w:id="821" w:name="Tc_qmEkXCUA_0u4BZLS6n2W6A_1_2"/>
      <w:bookmarkStart w:id="822" w:name="_a8e9e73f_00e1_47e5_ae35_198d4dde8de3"/>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tbl>
      <w:tblPr>
        <w:tblW w:w="10205" w:type="dxa"/>
        <w:jc w:val="left"/>
        <w:tblInd w:w="0" w:type="dxa"/>
        <w:tblLayout w:type="fixed"/>
        <w:tblCellMar>
          <w:top w:w="0" w:type="dxa"/>
          <w:left w:w="0" w:type="dxa"/>
          <w:bottom w:w="0" w:type="dxa"/>
          <w:right w:w="0" w:type="dxa"/>
        </w:tblCellMar>
      </w:tblPr>
      <w:tblGrid>
        <w:gridCol w:w="5697"/>
        <w:gridCol w:w="346"/>
        <w:gridCol w:w="196"/>
        <w:gridCol w:w="945"/>
        <w:gridCol w:w="346"/>
        <w:gridCol w:w="196"/>
        <w:gridCol w:w="945"/>
        <w:gridCol w:w="346"/>
        <w:gridCol w:w="196"/>
        <w:gridCol w:w="992"/>
      </w:tblGrid>
      <w:tr>
        <w:trPr/>
        <w:tc>
          <w:tcPr>
            <w:tcW w:w="56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69" name="Frame1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00075" cy="175260"/>
                      <wp:effectExtent l="0" t="0" r="0" b="0"/>
                      <wp:wrapNone/>
                      <wp:docPr id="170" name="Frame167"/>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1"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72"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00075" cy="175260"/>
                      <wp:effectExtent l="0" t="0" r="0" b="0"/>
                      <wp:wrapNone/>
                      <wp:docPr id="173" name="Frame170"/>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4"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5"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29920" cy="175260"/>
                      <wp:effectExtent l="0" t="0" r="0" b="0"/>
                      <wp:wrapNone/>
                      <wp:docPr id="176" name="Frame173"/>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pPr>
            <w:r>
              <w:rPr/>
              <w:t>​</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1,905,432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1,509,048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1,630,988</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pPr>
            <w:r>
              <w:rPr/>
              <w:t>​</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68,898</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9,043</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Bang Transaction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(45,382)</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goodwill and other intangibles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38,700</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4,336</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125,687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68,836</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2,040</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on cash of changes in operating assets and liabilities net of acquisition: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(300,600)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(163,158)</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7,898</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(10,215)</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(18,833)</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112,786</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(10,393)</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promotional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98,266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8,418</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13,398</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1,748</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22,951</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(24,472)</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2,098,177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1,928,533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1,717,753</w:t>
            </w:r>
          </w:p>
        </w:tc>
      </w:tr>
      <w:tr>
        <w:trPr/>
        <w:tc>
          <w:tcPr>
            <w:tcW w:w="569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pPr>
            <w:r>
              <w:rPr/>
              <w:t>​</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of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1,377,915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2,029,737</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available-for-sale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(1,268,944)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(342,121)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(1,620,718)</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Bang Energy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(363,385)</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(132,275)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(264,074)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(221,428)</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2,520</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to intangibles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(13,296)</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(6,825)</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(1,316,778)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733,727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(193,395)</w:t>
            </w:r>
          </w:p>
        </w:tc>
      </w:tr>
      <w:tr>
        <w:trPr/>
        <w:tc>
          <w:tcPr>
            <w:tcW w:w="569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pPr>
            <w:r>
              <w:rPr/>
              <w:t>​</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short-term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(13,914)</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on credit facilities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credit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pPr>
            <w:r>
              <w:rPr/>
              <w:t>—</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for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164,568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130,267</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common stock held in treasury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(103,646)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(3,771,875)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(658,952)</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(324,422)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(3,329,029)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(542,599)</w:t>
            </w:r>
          </w:p>
        </w:tc>
      </w:tr>
      <w:tr>
        <w:trPr/>
        <w:tc>
          <w:tcPr>
            <w:tcW w:w="56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97,853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(97,619)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8,775</w:t>
            </w:r>
          </w:p>
        </w:tc>
      </w:tr>
      <w:tr>
        <w:trPr/>
        <w:tc>
          <w:tcPr>
            <w:tcW w:w="56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554,830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(764,388)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990,534</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beginning of year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1,533,287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2,297,675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1,307,141</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2,088,117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1,533,287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2,297,675</w:t>
            </w:r>
          </w:p>
        </w:tc>
      </w:tr>
      <w:tr>
        <w:trPr/>
        <w:tc>
          <w:tcPr>
            <w:tcW w:w="56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2" w:type="dxa"/>
            <w:tcBorders/>
            <w:shd w:fill="CCEEFF" w:val="clear"/>
            <w:vAlign w:val="center"/>
          </w:tcPr>
          <w:p>
            <w:pPr>
              <w:pStyle w:val="TableContents"/>
              <w:bidi w:val="0"/>
              <w:spacing w:before="0" w:after="0"/>
              <w:ind w:left="0" w:right="0" w:hanging="0"/>
              <w:jc w:val="right"/>
              <w:rPr/>
            </w:pPr>
            <w:r>
              <w:rPr/>
              <w:t>​</w:t>
            </w:r>
          </w:p>
        </w:tc>
      </w:tr>
      <w:tr>
        <w:trPr/>
        <w:tc>
          <w:tcPr>
            <w:tcW w:w="5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year for: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5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363</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23" w:name="_b39e2f58_f544_42a6_bb8e_466dbfe3089f"/>
      <w:bookmarkEnd w:id="823"/>
      <w:r>
        <w:rPr>
          <w:rFonts w:ascii="Times New Roman;Times;serif" w:hAnsi="Times New Roman;Times;serif"/>
          <w:sz w:val="20"/>
        </w:rPr>
        <w:t>SUPPLEMENTAL DISCLOSURE OF NON-CASH ITEMS: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December 31, 2025, 2024 and 2023 were additions to other intangible assets of $2.3 million, $5.0 million and $15.4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December 31, 2025, 2024 and 2023 were property and equipment purchases of $1.8 million, $6.3 million and $16.9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Included in accounts receivable as of December 31, 2023 were sales of available-for-sale short-term investments of $3.0 million. </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824" w:name="a1ORGANIZATIONANDSUMMARYOFSIGNIFICANTACC"/>
      <w:bookmarkEnd w:id="824"/>
      <w:r>
        <w:rPr>
          <w:rFonts w:ascii="Times New Roman;Times;serif" w:hAnsi="Times New Roman;Times;serif"/>
          <w:b w:val="false"/>
          <w:i w:val="false"/>
          <w:caps w:val="false"/>
          <w:smallCaps w:val="false"/>
          <w:sz w:val="20"/>
        </w:rPr>
        <w:t>1.</w:t>
      </w:r>
      <w:r>
        <w:rPr>
          <w:rFonts w:ascii="Times New Roman;Times;serif" w:hAnsi="Times New Roman;Times;serif"/>
          <w:sz w:val="20"/>
        </w:rPr>
        <w:t>ORGANIZATION AND SUMMARY OF SIGNIFICANT 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xml:space="preserve"> – Monster Beverage Corporation (the “Company”) was incorporated in the state of Delaware. The Company is a holding company and has no operating business except through its consolidated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Nature of Operations</w:t>
      </w:r>
      <w:r>
        <w:rPr>
          <w:rFonts w:ascii="Times New Roman;Times;serif" w:hAnsi="Times New Roman;Times;serif"/>
          <w:sz w:val="20"/>
        </w:rPr>
        <w:t xml:space="preserve"> – The Company develops, markets, sells and distributes energy drink beverages and concentrates for energy drink beverages, primarily under the following brand names: Monster Energy®, Monster Energy Ultra®, Rehab Monster®, Monster Energy® Nitro, Java Monster®, Punch Monster®, Juice Monster®, Reign Total Body Fuel®, Reign Storm®, Bang Energy®, NOS®, Full Throttle®, Burn®, Mother®, Nalu®, Ultra Energy®, Play® and Power Play® (stylized), Relentless®, BPM®, BU®, Samurai®, Live+®, Predator® and Fury®.</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develops, markets, sells and distributes craft beers, flavored malt beverages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Beast® Tea, Blind Lemon®, Blinder Lemon</w:t>
      </w:r>
      <w:r>
        <w:rPr>
          <w:rFonts w:ascii="Times New Roman;Times;serif" w:hAnsi="Times New Roman;Times;serif"/>
          <w:sz w:val="15"/>
        </w:rPr>
        <w:t>TM</w:t>
      </w:r>
      <w:r>
        <w:rPr>
          <w:rFonts w:ascii="Times New Roman;Times;serif" w:hAnsi="Times New Roman;Times;serif"/>
          <w:sz w:val="20"/>
        </w:rPr>
        <w:t xml:space="preserve"> and other brands.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 The accompanying consolidated financial statements have been prepared in accordance with accounting principles generally accepted in the United States of America (“GAAP”) and include the accounts of the Company and its consolidated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Principles of Consolidation</w:t>
      </w:r>
      <w:r>
        <w:rPr>
          <w:rFonts w:ascii="Times New Roman;Times;serif" w:hAnsi="Times New Roman;Times;serif"/>
          <w:sz w:val="20"/>
        </w:rPr>
        <w:t xml:space="preserve"> – The Company consolidates all entities that it controls by ownership of a majority voting interest. All intercompany balances and transactions have been eliminated in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Business Combinations – </w:t>
      </w:r>
      <w:r>
        <w:rPr>
          <w:rFonts w:ascii="Times New Roman;Times;serif" w:hAnsi="Times New Roman;Times;serif"/>
          <w:sz w:val="20"/>
        </w:rPr>
        <w:t>Business acquisitions are accounted for in accordance with Financial Accounting Standards 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w:t>
      </w:r>
      <w:r>
        <w:rPr>
          <w:rFonts w:ascii="Times New Roman;Times;serif" w:hAnsi="Times New Roman;Times;serif"/>
          <w:sz w:val="20"/>
        </w:rPr>
        <w:t>– The Company considers all highly liquid investments with an original maturity of three 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Investments</w:t>
      </w:r>
      <w:r>
        <w:rPr>
          <w:rFonts w:ascii="Times New Roman;Times;serif" w:hAnsi="Times New Roman;Times;serif"/>
          <w:sz w:val="20"/>
        </w:rPr>
        <w:t xml:space="preserve"> – The Company’s investments in debt securities are classified as either held-to-maturity, available-for-sale or trading, in 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326-30-35, a security is considered to be impaired if the fair value of the security is less than its amortized cost basis. Where the decline in fair value below the amortized cost basis has resulted from a credit loss, the Company will record an impairment relating to credit losses through an allowance for credit losses. The allowance is limited by the amount that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less than the amortized cost basis. Impairment that has not been recorded through an allowance for credit losses is recorded through other comprehensive income (loss), net of applicable taxes. The Company evaluates whether the decline in fair value of its investments has resulted from credit loss or other factors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an impairment has resulted from credit loss or other factors include the length of time and extent to which the investment’s fair value has been less than its cost basis, the financial condition and near-term prospects of the issuer and guarantors, including any specific events which may influence the operations of the issuer and the Company’s intent and ability to retain the investment for a reasonable period of time sufficient to allow for any anticipated recovery of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Accounts Receivable – </w:t>
      </w:r>
      <w:r>
        <w:rPr>
          <w:rFonts w:ascii="Times New Roman;Times;serif" w:hAnsi="Times New Roman;Times;serif"/>
          <w:sz w:val="20"/>
        </w:rPr>
        <w:t>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Inventories</w:t>
      </w:r>
      <w:r>
        <w:rPr>
          <w:rFonts w:ascii="Times New Roman;Times;serif" w:hAnsi="Times New Roman;Times;serif"/>
          <w:sz w:val="20"/>
        </w:rPr>
        <w:t xml:space="preserve"> – Inventories are valued at the lower of first-in, first-out, cost or market value (net realizable value).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i/>
          <w:sz w:val="20"/>
        </w:rPr>
        <w:t>Property and Equipment</w:t>
      </w:r>
      <w:r>
        <w:rPr>
          <w:rFonts w:ascii="Times New Roman;Times;serif" w:hAnsi="Times New Roman;Times;serif"/>
          <w:sz w:val="22"/>
        </w:rPr>
        <w:t xml:space="preserve"> – </w:t>
      </w:r>
      <w:r>
        <w:rPr>
          <w:rFonts w:ascii="Times New Roman;Times;serif" w:hAnsi="Times New Roman;Times;serif"/>
          <w:sz w:val="20"/>
        </w:rPr>
        <w:t xml:space="preserve">Property and equipment are stated at cost. Depreciation of furniture and fixtures, office and computer equipment, equipment, real property and vehicles is based on their estimated useful lives (generally </w:t>
      </w:r>
      <w:r>
        <w:rPr>
          <w:rFonts w:ascii="Times New Roman;Times;serif" w:hAnsi="Times New Roman;Times;serif"/>
          <w:b w:val="false"/>
          <w:i w:val="false"/>
          <w:caps w:val="false"/>
          <w:smallCaps w:val="false"/>
          <w:sz w:val="20"/>
        </w:rPr>
        <w:t>five</w:t>
      </w:r>
      <w:r>
        <w:rPr>
          <w:rFonts w:ascii="Times New Roman;Times;serif" w:hAnsi="Times New Roman;Times;serif"/>
          <w:sz w:val="22"/>
        </w:rPr>
        <w:t xml:space="preserve"> </w:t>
      </w:r>
      <w:r>
        <w:rPr>
          <w:rFonts w:ascii="Times New Roman;Times;serif" w:hAnsi="Times New Roman;Times;serif"/>
          <w:sz w:val="20"/>
        </w:rPr>
        <w:t>to thirty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Goodwill</w:t>
      </w:r>
      <w:r>
        <w:rPr>
          <w:rFonts w:ascii="Times New Roman;Times;serif" w:hAnsi="Times New Roman;Times;serif"/>
          <w:sz w:val="20"/>
        </w:rPr>
        <w:t xml:space="preserve"> – The Company records goodwill when the consideration paid for an acquisition exceeds the fair value of 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The Company will recognize an impairment for the amount by which the carrying amount exceeds a reporting unit’s fair value. For the years ended December 31, 2025 and 2023 there were no goodwill impairments recorded. For the year ended December 31, 2024, goodwill impairment charges of $86.3 million were recorded related to the Alcohol Brands reporting unit with no goodwill balance remaining in the Alcohol Brands reporting unit following the impairment charges. As of December 31, 2025, the accumulated goodwill impairment balance was $86.3 million related entirely to the Alcohol Brands reporting unit.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i/>
          <w:sz w:val="20"/>
        </w:rPr>
        <w:t>Other Intangibles</w:t>
      </w:r>
      <w:r>
        <w:rPr>
          <w:rFonts w:ascii="Times New Roman;Times;serif" w:hAnsi="Times New Roman;Times;serif"/>
          <w:sz w:val="20"/>
        </w:rPr>
        <w:t xml:space="preserve"> – Other Intangibles are comprised primarily of trademarks that represent the Company’s exclusive ownership of the Monster Energy®, </w:t>
      </w:r>
      <w:r>
        <w:rPr>
          <w:rFonts w:ascii="Times New Roman;Times;serif" w:hAnsi="Times New Roman;Times;serif"/>
          <w:sz w:val="20"/>
        </w:rPr>
        <w:drawing>
          <wp:inline distT="0" distB="0" distL="0" distR="0">
            <wp:extent cx="114300" cy="152400"/>
            <wp:effectExtent l="0" t="0" r="0" b="0"/>
            <wp:docPr id="17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4" descr=""/>
                    <pic:cNvPicPr>
                      <a:picLocks noChangeAspect="1" noChangeArrowheads="1"/>
                    </pic:cNvPicPr>
                  </pic:nvPicPr>
                  <pic:blipFill>
                    <a:blip r:embed="rId39"/>
                    <a:stretch>
                      <a:fillRect/>
                    </a:stretch>
                  </pic:blipFill>
                  <pic:spPr bwMode="auto">
                    <a:xfrm>
                      <a:off x="0" y="0"/>
                      <a:ext cx="114300" cy="152400"/>
                    </a:xfrm>
                    <a:prstGeom prst="rect">
                      <a:avLst/>
                    </a:prstGeom>
                  </pic:spPr>
                </pic:pic>
              </a:graphicData>
            </a:graphic>
          </wp:inline>
        </w:drawing>
      </w:r>
      <w:r>
        <w:rPr>
          <w:rFonts w:ascii="Times New Roman;Times;serif" w:hAnsi="Times New Roman;Times;serif"/>
          <w:sz w:val="20"/>
        </w:rPr>
        <w:t>®, Monster Energy Ultra®, Unleash the Beast!®, Rehab Monster®, Java Monster®, Punch Monster®, Juice Monster®, Monster Energy® Nitro, Reign Total Body Fuel®, Reign Storm®, Predator®, Fury®, NOS®, Full Throttle®, Burn®, Mother®, Nalu®, Ultra Energy®, Play® and Power Play® (stylized), Relentless®, BPM®, BU®, Samurai®, Bang Energy®, Oskar Blues Brewery®, Cigar City®, Deep Ellum Brewing Co®, Perrin Brewing Company®, Squatters®, Wasatch®, Jai Alai®, Dale’s Pale Ale®, Dallas Blonde®, Wild Basin®, Dale’s®, Mama’s Little Yella Pils®, Hop Rising®, The Beast</w:t>
      </w:r>
      <w:r>
        <w:rPr>
          <w:rFonts w:ascii="Times New Roman;Times;serif" w:hAnsi="Times New Roman;Times;serif"/>
          <w:sz w:val="15"/>
        </w:rPr>
        <w:t>TM</w:t>
      </w:r>
      <w:r>
        <w:rPr>
          <w:rFonts w:ascii="Times New Roman;Times;serif" w:hAnsi="Times New Roman;Times;serif"/>
          <w:sz w:val="20"/>
        </w:rPr>
        <w:t>, The Beast Unleashed®, Beast® Tea, Blind Lemon® and Blinder Lemon</w:t>
      </w:r>
      <w:r>
        <w:rPr>
          <w:rFonts w:ascii="Times New Roman;Times;serif" w:hAnsi="Times New Roman;Times;serif"/>
          <w:sz w:val="15"/>
        </w:rPr>
        <w:t>TM</w:t>
      </w:r>
      <w:r>
        <w:rPr>
          <w:rFonts w:ascii="Times New Roman;Times;serif" w:hAnsi="Times New Roman;Times;serif"/>
          <w:sz w:val="20"/>
        </w:rPr>
        <w:t xml:space="preserve"> trademarks, all used in connection with the manufacture, sale and distribution of beverages. The Company also owns a number of other trademarks, flavors and formulas in the United States, as well as in a number of countries around the world.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write-down is recorded. The Company amortizes intangible assets with finite useful lives over their respective useful lives. External legal costs incurred in the defense of the Company’s trademarks are capitalized when the future economic benefit of the intangible asset will be increased, and a successful defense is probable. In the event of a successful defense, the settlements received are netted against the external legal costs that were capitalized. The external legal costs incurred and settlements received may not occur in the same period. For the year ended December 31, 2025, no impairment charges were recorded to indefinite-lived intangibles. For the years ended December 31, 2024 and 2023, impairment charges of $40.8 million and $38.7 million, respectively, were recorded to indefinite-lived intangibles.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presently has more than 21,600 registered trademarks and pending applications in various countries worldwide, and the Company applies for new trademarks on an ongoing basis. The Company regards its trademarks, service marks, copyrights, domain names, trade dress and other intellectual property as very important to its business. The Company considers Monster®, Monster Energy®, </w:t>
      </w:r>
      <w:r>
        <w:rPr>
          <w:rFonts w:ascii="Times New Roman;Times;serif" w:hAnsi="Times New Roman;Times;serif"/>
          <w:sz w:val="20"/>
        </w:rPr>
        <w:drawing>
          <wp:inline distT="0" distB="0" distL="0" distR="0">
            <wp:extent cx="114300" cy="152400"/>
            <wp:effectExtent l="0" t="0" r="0" b="0"/>
            <wp:docPr id="17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 descr=""/>
                    <pic:cNvPicPr>
                      <a:picLocks noChangeAspect="1" noChangeArrowheads="1"/>
                    </pic:cNvPicPr>
                  </pic:nvPicPr>
                  <pic:blipFill>
                    <a:blip r:embed="rId40"/>
                    <a:stretch>
                      <a:fillRect/>
                    </a:stretch>
                  </pic:blipFill>
                  <pic:spPr bwMode="auto">
                    <a:xfrm>
                      <a:off x="0" y="0"/>
                      <a:ext cx="114300" cy="152400"/>
                    </a:xfrm>
                    <a:prstGeom prst="rect">
                      <a:avLst/>
                    </a:prstGeom>
                  </pic:spPr>
                </pic:pic>
              </a:graphicData>
            </a:graphic>
          </wp:inline>
        </w:drawing>
      </w:r>
      <w:r>
        <w:rPr>
          <w:rFonts w:ascii="Times New Roman;Times;serif" w:hAnsi="Times New Roman;Times;serif"/>
          <w:sz w:val="20"/>
        </w:rPr>
        <w:t>®, Monster Energy Ultra®, Unleash the Beast!®, Rehab Monster®, Java Monster®, Punch Monster®, Juice Monster®, Monster Energy® Nitro, Reign Total Body Fuel®, Reign Storm®, BU®, Nalu®, NOS®, Full Throttle®, Burn®, Mother®, Ultra Energy®, Play® and Power Play® (stylized), Relentless®, Predator®, Fury®, Live+®, BPM®, Samurai®, Bang Energy®, Oskar Blues Brewery®, Cigar City®, Deep Ellum Brewing Co®, Perrin Brewing Company®, Squatters®, Wasatch®, Jai Alai®, Dale’s Pale Ale®, Dallas Blonde®, Wild Basin®, Dale’s®, Hop Rising®, The Beast</w:t>
      </w:r>
      <w:r>
        <w:rPr>
          <w:rFonts w:ascii="Times New Roman;Times;serif" w:hAnsi="Times New Roman;Times;serif"/>
          <w:sz w:val="15"/>
        </w:rPr>
        <w:t>TM</w:t>
      </w:r>
      <w:r>
        <w:rPr>
          <w:rFonts w:ascii="Times New Roman;Times;serif" w:hAnsi="Times New Roman;Times;serif"/>
          <w:sz w:val="20"/>
        </w:rPr>
        <w:t>, The Beast Unleashed®, Beast® Tea, Blind Lemon® and Blinder Lemon</w:t>
      </w:r>
      <w:r>
        <w:rPr>
          <w:rFonts w:ascii="Times New Roman;Times;serif" w:hAnsi="Times New Roman;Times;serif"/>
          <w:sz w:val="15"/>
        </w:rPr>
        <w:t>TM</w:t>
      </w:r>
      <w:r>
        <w:rPr>
          <w:rFonts w:ascii="Times New Roman;Times;serif" w:hAnsi="Times New Roman;Times;serif"/>
          <w:sz w:val="20"/>
        </w:rPr>
        <w:t xml:space="preserve"> to be its core trademarks. The Company also owns the intellectual property of its most important flavors for certain of its Monster Energy® Brand energy drinks in perpetuity.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Long-Lived Assets </w:t>
      </w:r>
      <w:r>
        <w:rPr>
          <w:rFonts w:ascii="Times New Roman;Times;serif" w:hAnsi="Times New Roman;Times;serif"/>
          <w:sz w:val="20"/>
        </w:rPr>
        <w:t>– Management regularly reviews property and equipment and other long-lived assets, including 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2025, 2024 and 2023, impairment charges of $53.7 million, $8.2 million and $4.3 million, respectively, were recognized on long-lived assets, consisting of property and equipment and finite-lived intangible assets related to the Company’s alcohol products. Long-lived assets held for sale are recorded at the lower of their carrying amount or fair value less cost to sell.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Foreign Currency Translation and Transactions</w:t>
      </w:r>
      <w:r>
        <w:rPr>
          <w:rFonts w:ascii="Times New Roman;Times;serif" w:hAnsi="Times New Roman;Times;serif"/>
          <w:sz w:val="20"/>
        </w:rPr>
        <w:t xml:space="preserve"> – The accounts of the Company’s foreign subsidiaries are translated in accordance with FASB ASC 830. Foreign currency transaction gains and losses are recognized in other income (expense),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 During the years ended December 31, 2025, 2024 and 2023,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2025 have terms of three months or less. The Company does not enter into forward currency exchange contracts for speculation or trading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generally does not designate its foreign currency exchange contracts as hedge transactions under FASB ASC 815. Therefore, gains and losses on the Company’s foreign currency exchange contracts are recognized in interest and other income, net, in the consolidated statements of income, and are largely offset by the changes in the fair value of the underlying economically hedged item. For the years ended December 31, 2025, 2024 and 2023, aggregate foreign currency transaction gains (losses), including the gains or losses on forward currency exchange contracts, amounted to $(11.9) million, $(26.4) million and $(60.2) million, respectively, and have been recorded in interest and other income, net, in the accompanying consolidated statements of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xml:space="preserve"> – See Note 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 </w:t>
      </w:r>
      <w:r>
        <w:rPr>
          <w:rFonts w:ascii="Times New Roman;Times;serif" w:hAnsi="Times New Roman;Times;serif"/>
          <w:sz w:val="20"/>
        </w:rPr>
        <w:t>Cost of sales consists of the costs of flavors, concentrates, supplement ingredients and/or beverage bases, the costs of raw materials utilized in 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Expenses</w:t>
      </w:r>
      <w:r>
        <w:rPr>
          <w:rFonts w:ascii="Times New Roman;Times;serif" w:hAnsi="Times New Roman;Times;serif"/>
          <w:sz w:val="20"/>
        </w:rPr>
        <w:t xml:space="preserve"> – Operating expenses include selling expenses such as distribution expenses to transport products to customers and 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impairment charges on goodwill and other intangible assets, depreciation and other general and administrative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Freight-Out Costs </w:t>
      </w:r>
      <w:r>
        <w:rPr>
          <w:rFonts w:ascii="Times New Roman;Times;serif" w:hAnsi="Times New Roman;Times;serif"/>
          <w:sz w:val="20"/>
        </w:rPr>
        <w:t>– For the years ended December 31, 2025, 2024 and 2023, freight-out costs amounted to $237.0 million, $224.2 million and $223.6 million, respectively, and have been recorded in operating expenses in the accompanying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Advertising and Promotional Expenses </w:t>
      </w:r>
      <w:r>
        <w:rPr>
          <w:rFonts w:ascii="Times New Roman;Times;serif" w:hAnsi="Times New Roman;Times;serif"/>
          <w:sz w:val="20"/>
        </w:rPr>
        <w:t>– The Company accounts for advertising production costs by expensing such production costs the first time the related advertising takes place. A significant amount of the Company’s promotional expenses result from payments under sponsorship and endorsement contracts. Accounting for sponsorship and endorsement payments is based upon specific contract provisions. Generally, sponsorship and endorsement payments are expensed on a straight-line basis over the term of the contract after giving recognition to the periodic performance compliance provisions of the contracts. Advertising and promotional expenses, including, but not limited to, production costs amounted to $599.9 million, $584.1 million and $528.9 million for the years ended December 31, 2025, 2024 and 2023, respectively. Advertising and promotional expenses that are not subject to FASB ASC 606 are included in operating expenses in the accompanying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 The Company utilizes the liability method of accounting for income taxes as set forth in FASB 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Stock-Based Compensation</w:t>
      </w:r>
      <w:r>
        <w:rPr>
          <w:rFonts w:ascii="Times New Roman;Times;serif" w:hAnsi="Times New Roman;Times;serif"/>
          <w:sz w:val="20"/>
        </w:rPr>
        <w:t xml:space="preserve"> – The Company accounts for stock-based compensation under the provisions of FASB ASC 718. The Company 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 See Note 13.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Income Per Common Share</w:t>
      </w:r>
      <w:r>
        <w:rPr>
          <w:rFonts w:ascii="Times New Roman;Times;serif" w:hAnsi="Times New Roman;Times;serif"/>
          <w:sz w:val="20"/>
        </w:rPr>
        <w:t xml:space="preserve"> – In accordance with FASB ASC 260, net income per common share, on a basic and diluted 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Concentration of Risk – </w:t>
      </w:r>
      <w:r>
        <w:rPr>
          <w:rFonts w:ascii="Times New Roman;Times;serif" w:hAnsi="Times New Roman;Times;serif"/>
          <w:sz w:val="20"/>
        </w:rPr>
        <w:t>Certain of the Company’s products utilize components (raw materials and/or co-packing 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endeavor to secure the availability of alternative sources for such components and minimize the risk of any disruption in production.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Coca-Cola Company (“TCCC”), through certain wholly-owned subsidiaries (the “TCCC Subsidiaries”), accounted for approximately 3%, 3% and 2% of the Company’s net sales for the years ended December 31, 2025, 2024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15%, 14% and 13% of the Company’s net sales for the years ended December 31, 2025, 2024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of the Company’s net sales for each of the years ended December 31, 2025, 2024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Credit Risk</w:t>
      </w:r>
      <w:r>
        <w:rPr>
          <w:rFonts w:ascii="Times New Roman;Times;serif" w:hAnsi="Times New Roman;Times;serif"/>
          <w:sz w:val="20"/>
        </w:rPr>
        <w:t xml:space="preserve"> – The Company sells its products nationally and internationally, primarily to bottlers and full service beverage distributors (“bottlers/distributors”), retail grocery and specialty chains, wholesalers, club stores, mass merchandisers, convenience and gas chains, drug stores, foodservice customers, value stores, e-commerce retailers and the military. The Company performs ongoing credit evaluations of its customers and generally does not require collateral. The Company maintains reserves for estimated credit losses, and historically, such losses have been within management’s expectations.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Fair Value of Financial Instruments</w:t>
      </w:r>
      <w:r>
        <w:rPr>
          <w:rFonts w:ascii="Times New Roman;Times;serif" w:hAnsi="Times New Roman;Times;serif"/>
          <w:sz w:val="20"/>
        </w:rPr>
        <w:t xml:space="preserve"> – The carrying value of the Company’s financial instruments, including cash and cash equivalents, accounts receivable, accounts payable and accrued liabilities, approximate fair value due to the relatively short maturity of the respective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Use of Estimates</w:t>
      </w:r>
      <w:r>
        <w:rPr>
          <w:rFonts w:ascii="Times New Roman;Times;serif" w:hAnsi="Times New Roman;Times;serif"/>
          <w:sz w:val="20"/>
        </w:rPr>
        <w:t xml:space="preserve"> – 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Recent Accounting Pronouncements –</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i w:val="false"/>
          <w:caps w:val="false"/>
          <w:smallCaps w:val="false"/>
          <w:sz w:val="20"/>
        </w:rPr>
        <w:t xml:space="preserve">. The amendments in this update primarily require more detailed disclosures related to the rate reconciliation and income taxes paid. The amendments in ASU 2023-09 are effective for fiscal years beginning after December 15,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2024. The Company adopted ASU 2023-09 on a prospective basis during the year ended December 31, 2025, which did not have a material impact on the Company’s financial position, results of operations and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The amendments in this update require the Company to disaggregate key expense categories such as purchases of inventory, employee compensation, depreciation and intangible asset amortization, within its financial statements. The amendments in ASU 2024-03 are effective for fiscal years beginning after December 15, 2026. Early adoption is permitted. The Company is evaluating the impact ASU 2024-03 will have on its consolidated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Targeted Improvements to the Accounting for Internal-Use Software</w:t>
      </w:r>
      <w:r>
        <w:rPr>
          <w:rFonts w:ascii="Times New Roman;Times;serif" w:hAnsi="Times New Roman;Times;serif"/>
          <w:sz w:val="20"/>
        </w:rPr>
        <w:t>. The amendments in this update require internal-use software development cost capitalization to begin when both of the following occur: management has authorized and committed to funding the software project, and it is probable that the project will be completed and that the software will be used to perform its intended function. The amendments also eliminate the accounting considerations of software development stages. The amendments in ASU 2025-06 are effective for fiscal years beginning after December 15, 2027. Early adoption is permitted. The Company is evaluating the impact ASU 2025-06 will have on its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b w:val="false"/>
          <w:i w:val="false"/>
          <w:caps w:val="false"/>
          <w:smallCaps w:val="false"/>
          <w:sz w:val="20"/>
        </w:rPr>
        <w:t>.</w:t>
      </w:r>
      <w:r>
        <w:rPr>
          <w:rFonts w:ascii="Times New Roman;Times;serif" w:hAnsi="Times New Roman;Times;serif"/>
          <w:sz w:val="20"/>
        </w:rPr>
        <w:t>REVENUE RECOGNITION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FASB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 after manufacture are accounted for within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customers including, but not limited to, the following:</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discounts granted off list prices to support price promotions to end-consumers by retailers;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reimbursements given to the Company’s bottlers/distributors for agreed portions of their promotional spend with retailers, including slotting, shelf space allowances and other fees for both new and existing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agreed share of fees given to bottlers/distributors and/or directly to retailers for advertising, in-store marketing and promotional activities;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agreed share of slotting, shelf space allowances and other fees given directly to retailers, club stores and/or wholesalers;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incentives given to the Company’s bottlers/distributors and/or retailers for achieving or exceeding certain predetermined sales goals; </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discounted and/ or free products</w:t>
            </w:r>
            <w:r>
              <w:rPr>
                <w:caps w:val="false"/>
                <w:smallCaps w:val="false"/>
              </w:rPr>
              <w:t xml:space="preserve"> </w:t>
            </w:r>
            <w:r>
              <w:rPr>
                <w:rFonts w:ascii="Times New Roman;Times;serif" w:hAnsi="Times New Roman;Times;serif"/>
                <w:b w:val="false"/>
                <w:i w:val="false"/>
                <w:caps w:val="false"/>
                <w:smallCaps w:val="false"/>
                <w:sz w:val="20"/>
              </w:rPr>
              <w:t xml:space="preserve">or cash rebates;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contractual fees given to the Company’s bottlers/distributors related to sales made directly by the Company to certain customers that fall within the bottlers’/distributors’ sales territories;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bookmarkStart w:id="825" w:name="Tc_0Gwu404-20eTdU9I65vVtw_10_14"/>
      <w:bookmarkStart w:id="826" w:name="Tc_nG_wll9bXEixUjIFtcFtnA_10_11"/>
      <w:bookmarkStart w:id="827" w:name="Tc_kTHCoKd-6kKN3pjeoJFluA_10_8"/>
      <w:bookmarkStart w:id="828" w:name="Tc_sScK8rjvWEW7OO6OdaG3GQ_10_5"/>
      <w:bookmarkStart w:id="829" w:name="Tc__EXRJfgs_Uewfz-ZjJtE6g_10_2"/>
      <w:bookmarkStart w:id="830" w:name="Tc_bU6pQdMXq0WcKuCZIU4_Sg_10_0"/>
      <w:bookmarkStart w:id="831" w:name="Tc_l82U47Lb7kSTQvdh6ExMcQ_9_12"/>
      <w:bookmarkStart w:id="832" w:name="Tc_ENLylopsjkqVe3YsmSykpw_9_9"/>
      <w:bookmarkStart w:id="833" w:name="Tc_gaIsve7L4kKJTDA2pTS4sA_9_6"/>
      <w:bookmarkStart w:id="834" w:name="Tc_vEt01eJWWU65ebLjR_3Hmw_9_0"/>
      <w:bookmarkStart w:id="835" w:name="Tc_wonmemRC-kmSSpvEsUa06A_8_12"/>
      <w:bookmarkStart w:id="836" w:name="Tc_7YDrw1wp60S8HmBWeP06SQ_8_9"/>
      <w:bookmarkStart w:id="837" w:name="Tc_IJlOMvC_x0ulSuHhemYwoQ_8_6"/>
      <w:bookmarkStart w:id="838" w:name="Tc_yjDtOfhe80-2_EEhFmkBAQ_8_0"/>
      <w:bookmarkStart w:id="839" w:name="Tc_K1zRH8sPnUuLd3e5rpv7pg_7_0"/>
      <w:bookmarkStart w:id="840" w:name="Tc_W0oSiiYHpECpt6Mkt5_PCg_6_14"/>
      <w:bookmarkStart w:id="841" w:name="Tc_98NX-THJ10aYMLEYRM1S6w_6_11"/>
      <w:bookmarkStart w:id="842" w:name="Tc_NYrs1YchuUOtqyJ_Mhhejw_6_8"/>
      <w:bookmarkStart w:id="843" w:name="Tc_hcAn2WrwekuAHjS1muN-vw_6_5"/>
      <w:bookmarkStart w:id="844" w:name="Tc_691xis8Ht0CAE2U8deybcQ_6_2"/>
      <w:bookmarkStart w:id="845" w:name="Tc_dFN0YP--gka47Z8rFv89rw_6_0"/>
      <w:bookmarkStart w:id="846" w:name="Tc_3yAKomJ4FE2EjVe9Ioc6ZA_5_14"/>
      <w:bookmarkStart w:id="847" w:name="Tc_GlaG0Viwn0eBuvWQmIqeNA_5_11"/>
      <w:bookmarkStart w:id="848" w:name="Tc_zGBa45wZ6kWANoXSUi6ohA_5_8"/>
      <w:bookmarkStart w:id="849" w:name="Tc_Nxz1Sg9n6k-YDT7oYz2FNQ_5_5"/>
      <w:bookmarkStart w:id="850" w:name="Tc_Dr7u1IaJyk6pBaw4Moa4tA_5_2"/>
      <w:bookmarkStart w:id="851" w:name="Tc_KkZ_xNAOk0ebVK2CxVWgtw_5_0"/>
      <w:bookmarkStart w:id="852" w:name="Tc_rdeiWKp3DkOejax1kCj0Eg_4_11"/>
      <w:bookmarkStart w:id="853" w:name="Tc_UMFscuo5t0mgkteILJ7fGw_4_8"/>
      <w:bookmarkStart w:id="854" w:name="Tc_sG14blLzsUGnGOMRqkoaSg_4_2"/>
      <w:bookmarkStart w:id="855" w:name="Tc_LJ1LMQ0ztUmJq-JJg6N6mg_3_11"/>
      <w:bookmarkStart w:id="856" w:name="Tc_Qb0b_mggTEa-6tl0Y04R5w_3_8"/>
      <w:bookmarkStart w:id="857" w:name="Tc_3-ppXMZ53UaFBIWsy0y1tw_2_11"/>
      <w:bookmarkStart w:id="858" w:name="Tc_CKmw3Xs8nUuVWB3wqDwtGw_1_2"/>
      <w:bookmarkStart w:id="859" w:name="_c44bbef0_0f8b_46db_b433_75705cfd2398"/>
      <w:bookmarkStart w:id="860" w:name="Tc_jsetnpfFTES6dQSL_KY9RA_10_14"/>
      <w:bookmarkStart w:id="861" w:name="Tc_ZNeNkxuLWEKCYAieHOqveA_10_11"/>
      <w:bookmarkStart w:id="862" w:name="Tc_C5Rgc5W-pUeVc45JOc5Hrw_10_8"/>
      <w:bookmarkStart w:id="863" w:name="Tc_PHt97SR2z0yLwXoLwvjexA_10_5"/>
      <w:bookmarkStart w:id="864" w:name="Tc_UmMJQcUAt0e-nLxBmkTe9A_10_2"/>
      <w:bookmarkStart w:id="865" w:name="Tc_BfbjsVauOUm00F3cQwph3w_10_0"/>
      <w:bookmarkStart w:id="866" w:name="Tc_pZcvpQdmiU6X8Qh-hZBKNQ_9_12"/>
      <w:bookmarkStart w:id="867" w:name="Tc_BudiB1fEjkmsaP5VIjFd-A_9_9"/>
      <w:bookmarkStart w:id="868" w:name="Tc_Zt_b9JVD_U6S-mb3aOrRoA_9_6"/>
      <w:bookmarkStart w:id="869" w:name="Tc_ssyJrdRP8U6OrvWv25ihEA_9_0"/>
      <w:bookmarkStart w:id="870" w:name="Tc_kIBQGAy8SkmfbZQU1UcMtw_8_12"/>
      <w:bookmarkStart w:id="871" w:name="Tc_HXXpparyL06ctoC2hSCkVQ_8_9"/>
      <w:bookmarkStart w:id="872" w:name="Tc_2TIDocycAUChS3RSn5Oq-w_8_6"/>
      <w:bookmarkStart w:id="873" w:name="Tc_YHG2Tct1cUSDLgsQhETaMA_8_0"/>
      <w:bookmarkStart w:id="874" w:name="Tc_sgzjA518cEaGE_wb6iEHbQ_7_0"/>
      <w:bookmarkStart w:id="875" w:name="Tc_Oh6_bDbv602PtQymVSX-NQ_6_14"/>
      <w:bookmarkStart w:id="876" w:name="Tc_2qS11QMJYUmhcbJFwuEy_w_6_11"/>
      <w:bookmarkStart w:id="877" w:name="Tc__PNofF5zVESq5ZvPFXUabQ_6_8"/>
      <w:bookmarkStart w:id="878" w:name="Tc_VYW9ajz5p0KqAm0_xm1gJA_6_5"/>
      <w:bookmarkStart w:id="879" w:name="Tc_kdD-MYltC0ik7hXOvnWcZg_6_2"/>
      <w:bookmarkStart w:id="880" w:name="Tc_l_E3MliS7UK1cyxB7vW2yw_6_0"/>
      <w:bookmarkStart w:id="881" w:name="Tc_b86onNYnQEq1w3jTz2xmOg_5_14"/>
      <w:bookmarkStart w:id="882" w:name="Tc_ZxI-0iW4nU2dR3k7Fp0daw_5_11"/>
      <w:bookmarkStart w:id="883" w:name="Tc_hNGhVfFzBk2gRPvRhRAI4A_5_8"/>
      <w:bookmarkStart w:id="884" w:name="Tc_J3JlOA3bHEOzNcGihBCwig_5_5"/>
      <w:bookmarkStart w:id="885" w:name="Tc_16MDnEIHeEOL2CK6XroxpA_5_2"/>
      <w:bookmarkStart w:id="886" w:name="Tc_Ib21mzuLxUKCwF03RW6cfg_5_0"/>
      <w:bookmarkStart w:id="887" w:name="Tc_HNN6pOQSJ02e4mOEXtiusA_4_11"/>
      <w:bookmarkStart w:id="888" w:name="Tc__K6KrHf8p02YtBf1Db-dCQ_4_8"/>
      <w:bookmarkStart w:id="889" w:name="Tc_FPHqOZ0FPEqcclbQqbRh8Q_4_2"/>
      <w:bookmarkStart w:id="890" w:name="Tc_9Pe8mNxjqkqMSXeZWV780Q_3_11"/>
      <w:bookmarkStart w:id="891" w:name="Tc_yFWNqptAREWIeiwocRTh0Q_3_8"/>
      <w:bookmarkStart w:id="892" w:name="Tc_0LJ83ie6iUWZa4oQUAGPMQ_2_11"/>
      <w:bookmarkStart w:id="893" w:name="Tc_uPm95F1-lEqd-uYZjuG6Pw_1_2"/>
      <w:bookmarkStart w:id="894" w:name="_db33dd62_8bf8_46a6_92f8_9b2dd99b72a2"/>
      <w:bookmarkStart w:id="895" w:name="Tc_dUEQk2OGREmGOBB7pLvt5A_10_14"/>
      <w:bookmarkStart w:id="896" w:name="Tc_aS_VwJ2P6UqajhLcGI3iDw_10_11"/>
      <w:bookmarkStart w:id="897" w:name="Tc_RTCNRlmOzEGXE3Hk0pPJpw_10_8"/>
      <w:bookmarkStart w:id="898" w:name="Tc_Ec98ztD5h0C3RCxmT5uxHA_10_5"/>
      <w:bookmarkStart w:id="899" w:name="Tc_ZuFxFrB-NUiZtNcSLRjyTw_10_2"/>
      <w:bookmarkStart w:id="900" w:name="Tc_61_FtSGSgUO9-R5FLZO2eg_10_0"/>
      <w:bookmarkStart w:id="901" w:name="Tc_raxmhYt560W4qwJdYoXgkg_9_12"/>
      <w:bookmarkStart w:id="902" w:name="Tc__EmvFdhNlUiaCVsWmr_szQ_9_9"/>
      <w:bookmarkStart w:id="903" w:name="Tc_K4ZgEjAPmUaSuoWvMSpHwQ_9_6"/>
      <w:bookmarkStart w:id="904" w:name="Tc_bzoPbel2QEuL0T8zw9c2hA_9_0"/>
      <w:bookmarkStart w:id="905" w:name="Tc_YvTrHN4Wm0y8JSVBmoP9Ew_8_12"/>
      <w:bookmarkStart w:id="906" w:name="Tc_w-cmWwGZI0-rGQ9gUN2Yfw_8_9"/>
      <w:bookmarkStart w:id="907" w:name="Tc_4CdyAVG0-UmKfCJ7NI0-Eg_8_6"/>
      <w:bookmarkStart w:id="908" w:name="Tc_JSrCoFyQH0S29RGpQ4eT3A_8_0"/>
      <w:bookmarkStart w:id="909" w:name="Tc_SUd4EcyC80GpDpMJFXbmZA_7_0"/>
      <w:bookmarkStart w:id="910" w:name="Tc_g-PLyJGZMEKiV0GrQDHehw_6_14"/>
      <w:bookmarkStart w:id="911" w:name="Tc_WgPy_wKqqkOFxJAiAX0zsg_6_11"/>
      <w:bookmarkStart w:id="912" w:name="Tc_t4PNJD74x0m3SI-5zyV4Cg_6_8"/>
      <w:bookmarkStart w:id="913" w:name="Tc_8mm-TelbyEWju1BACHXCZQ_6_5"/>
      <w:bookmarkStart w:id="914" w:name="Tc_VTJ4uekhTkuajF-31PYb-w_6_2"/>
      <w:bookmarkStart w:id="915" w:name="Tc_KhPmoVXQf0m43nwxWvXxVQ_6_0"/>
      <w:bookmarkStart w:id="916" w:name="Tc_iiu0JBFOYEi4xdjtXX8Jmg_5_14"/>
      <w:bookmarkStart w:id="917" w:name="Tc__PAjqpXb-0GEDtqktKyShA_5_11"/>
      <w:bookmarkStart w:id="918" w:name="Tc_h6CsTIfJLkGsqdaKlBNaiQ_5_8"/>
      <w:bookmarkStart w:id="919" w:name="Tc_BZjibgNAX0SMCv1COgbldA_5_5"/>
      <w:bookmarkStart w:id="920" w:name="Tc_uWSyPrstFUWUn0eoWFdznA_5_2"/>
      <w:bookmarkStart w:id="921" w:name="Tc_TTUl3rLBvEKv5ZJ9s7Fi5Q_5_0"/>
      <w:bookmarkStart w:id="922" w:name="Tc_k7r_fFiIM0m4qruLOR4pTQ_4_11"/>
      <w:bookmarkStart w:id="923" w:name="Tc_r7vjj2hLM0Kh94rsOYo1lQ_4_8"/>
      <w:bookmarkStart w:id="924" w:name="Tc_SxNp__2Yv0aQFxzYrwwYkQ_4_2"/>
      <w:bookmarkStart w:id="925" w:name="Tc_d1GxrZVfEkyA0_LIZoG6pg_3_11"/>
      <w:bookmarkStart w:id="926" w:name="Tc_mG6S3XdKfEy8x0Q3cApX8w_3_8"/>
      <w:bookmarkStart w:id="927" w:name="Tc_-eRx-e9Z2EewaS7EMtSoEA_2_11"/>
      <w:bookmarkStart w:id="928" w:name="Tc_eXzDPdoXuUiuXnFJQxinyQ_1_2"/>
      <w:bookmarkStart w:id="929" w:name="_15d31d9a_92ce_4842_aa96_4d1799f5e481"/>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r>
        <w:rPr>
          <w:rFonts w:ascii="Times New Roman;Times;serif" w:hAnsi="Times New Roman;Times;serif"/>
          <w:i/>
          <w:sz w:val="20"/>
        </w:rPr>
        <w:t>Disaggregation of Revenue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disaggregates the Company’s revenue by geographical markets and reportable segments:</w:t>
      </w:r>
    </w:p>
    <w:p>
      <w:pPr>
        <w:pStyle w:val="TextBody"/>
        <w:bidi w:val="0"/>
        <w:spacing w:before="0" w:after="0"/>
        <w:ind w:left="0" w:right="0" w:hanging="0"/>
        <w:jc w:val="both"/>
        <w:rPr/>
      </w:pPr>
      <w:r>
        <w:rPr/>
        <w:t>​</w:t>
      </w:r>
    </w:p>
    <w:tbl>
      <w:tblPr>
        <w:tblW w:w="9480" w:type="dxa"/>
        <w:jc w:val="left"/>
        <w:tblInd w:w="0" w:type="dxa"/>
        <w:tblLayout w:type="fixed"/>
        <w:tblCellMar>
          <w:top w:w="0" w:type="dxa"/>
          <w:left w:w="0" w:type="dxa"/>
          <w:bottom w:w="0" w:type="dxa"/>
          <w:right w:w="0" w:type="dxa"/>
        </w:tblCellMar>
      </w:tblPr>
      <w:tblGrid>
        <w:gridCol w:w="2161"/>
        <w:gridCol w:w="346"/>
        <w:gridCol w:w="211"/>
        <w:gridCol w:w="931"/>
        <w:gridCol w:w="346"/>
        <w:gridCol w:w="211"/>
        <w:gridCol w:w="931"/>
        <w:gridCol w:w="346"/>
        <w:gridCol w:w="226"/>
        <w:gridCol w:w="840"/>
        <w:gridCol w:w="346"/>
        <w:gridCol w:w="211"/>
        <w:gridCol w:w="781"/>
        <w:gridCol w:w="34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72235" cy="175260"/>
                      <wp:effectExtent l="0" t="0" r="0" b="0"/>
                      <wp:wrapNone/>
                      <wp:docPr id="179" name="Frame17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1185" cy="175260"/>
                      <wp:effectExtent l="0" t="0" r="0" b="0"/>
                      <wp:wrapNone/>
                      <wp:docPr id="182" name="Frame1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91185" cy="175260"/>
                      <wp:effectExtent l="0" t="0" r="0" b="0"/>
                      <wp:wrapNone/>
                      <wp:docPr id="185" name="Frame1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43510" cy="175260"/>
                      <wp:effectExtent l="0" t="0" r="0" b="0"/>
                      <wp:wrapNone/>
                      <wp:docPr id="187" name="Frame1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33400" cy="175260"/>
                      <wp:effectExtent l="0" t="0" r="0" b="0"/>
                      <wp:wrapNone/>
                      <wp:docPr id="188" name="Frame18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95935" cy="175260"/>
                      <wp:effectExtent l="0" t="0" r="0" b="0"/>
                      <wp:wrapNone/>
                      <wp:docPr id="191" name="Frame1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57860" cy="175260"/>
                      <wp:effectExtent l="0" t="0" r="0" b="0"/>
                      <wp:wrapNone/>
                      <wp:docPr id="194" name="Frame1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7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2025</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4,704,483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1,702,767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677,331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7,665,871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196,801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468,716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134,720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5,072,691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1,899,568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697,971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8,294,343</w:t>
            </w:r>
          </w:p>
        </w:tc>
      </w:tr>
    </w:tbl>
    <w:p>
      <w:pPr>
        <w:pStyle w:val="TextBody"/>
        <w:bidi w:val="0"/>
        <w:spacing w:before="0" w:after="0"/>
        <w:ind w:left="0" w:right="0" w:hanging="0"/>
        <w:jc w:val="both"/>
        <w:rPr/>
      </w:pPr>
      <w:r>
        <w:rPr/>
        <w:t>​</w:t>
      </w:r>
    </w:p>
    <w:tbl>
      <w:tblPr>
        <w:tblW w:w="9480" w:type="dxa"/>
        <w:jc w:val="left"/>
        <w:tblInd w:w="0" w:type="dxa"/>
        <w:tblLayout w:type="fixed"/>
        <w:tblCellMar>
          <w:top w:w="0" w:type="dxa"/>
          <w:left w:w="0" w:type="dxa"/>
          <w:bottom w:w="0" w:type="dxa"/>
          <w:right w:w="0" w:type="dxa"/>
        </w:tblCellMar>
      </w:tblPr>
      <w:tblGrid>
        <w:gridCol w:w="2161"/>
        <w:gridCol w:w="346"/>
        <w:gridCol w:w="211"/>
        <w:gridCol w:w="931"/>
        <w:gridCol w:w="346"/>
        <w:gridCol w:w="211"/>
        <w:gridCol w:w="931"/>
        <w:gridCol w:w="346"/>
        <w:gridCol w:w="226"/>
        <w:gridCol w:w="840"/>
        <w:gridCol w:w="346"/>
        <w:gridCol w:w="211"/>
        <w:gridCol w:w="781"/>
        <w:gridCol w:w="34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72235" cy="175260"/>
                      <wp:effectExtent l="0" t="0" r="0" b="0"/>
                      <wp:wrapNone/>
                      <wp:docPr id="195" name="Frame19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1185" cy="175260"/>
                      <wp:effectExtent l="0" t="0" r="0" b="0"/>
                      <wp:wrapNone/>
                      <wp:docPr id="198" name="Frame1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91185" cy="175260"/>
                      <wp:effectExtent l="0" t="0" r="0" b="0"/>
                      <wp:wrapNone/>
                      <wp:docPr id="201" name="Frame1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3510" cy="175260"/>
                      <wp:effectExtent l="0" t="0" r="0" b="0"/>
                      <wp:wrapNone/>
                      <wp:docPr id="203" name="Frame1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33400" cy="175260"/>
                      <wp:effectExtent l="0" t="0" r="0" b="0"/>
                      <wp:wrapNone/>
                      <wp:docPr id="204" name="Frame19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95935" cy="175260"/>
                      <wp:effectExtent l="0" t="0" r="0" b="0"/>
                      <wp:wrapNone/>
                      <wp:docPr id="207" name="Frame2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57860" cy="175260"/>
                      <wp:effectExtent l="0" t="0" r="0" b="0"/>
                      <wp:wrapNone/>
                      <wp:docPr id="210" name="Frame20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7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2024</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1,399,461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6,864,597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163,905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432,233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4,721,853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1,563,366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666,454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7,492,709</w:t>
            </w:r>
          </w:p>
        </w:tc>
      </w:tr>
    </w:tbl>
    <w:p>
      <w:pPr>
        <w:pStyle w:val="TextBody"/>
        <w:bidi w:val="0"/>
        <w:spacing w:before="0" w:after="0"/>
        <w:ind w:left="0" w:right="0" w:hanging="0"/>
        <w:jc w:val="both"/>
        <w:rPr/>
      </w:pPr>
      <w:r>
        <w:rPr/>
        <w:t>​</w:t>
      </w:r>
    </w:p>
    <w:tbl>
      <w:tblPr>
        <w:tblW w:w="9480" w:type="dxa"/>
        <w:jc w:val="left"/>
        <w:tblInd w:w="0" w:type="dxa"/>
        <w:tblLayout w:type="fixed"/>
        <w:tblCellMar>
          <w:top w:w="0" w:type="dxa"/>
          <w:left w:w="0" w:type="dxa"/>
          <w:bottom w:w="0" w:type="dxa"/>
          <w:right w:w="0" w:type="dxa"/>
        </w:tblCellMar>
      </w:tblPr>
      <w:tblGrid>
        <w:gridCol w:w="2161"/>
        <w:gridCol w:w="346"/>
        <w:gridCol w:w="211"/>
        <w:gridCol w:w="931"/>
        <w:gridCol w:w="346"/>
        <w:gridCol w:w="211"/>
        <w:gridCol w:w="931"/>
        <w:gridCol w:w="346"/>
        <w:gridCol w:w="226"/>
        <w:gridCol w:w="840"/>
        <w:gridCol w:w="346"/>
        <w:gridCol w:w="211"/>
        <w:gridCol w:w="781"/>
        <w:gridCol w:w="34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72235" cy="175260"/>
                      <wp:effectExtent l="0" t="0" r="0" b="0"/>
                      <wp:wrapNone/>
                      <wp:docPr id="211" name="Frame20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91185" cy="175260"/>
                      <wp:effectExtent l="0" t="0" r="0" b="0"/>
                      <wp:wrapNone/>
                      <wp:docPr id="214" name="Frame2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1185" cy="175260"/>
                      <wp:effectExtent l="0" t="0" r="0" b="0"/>
                      <wp:wrapNone/>
                      <wp:docPr id="217" name="Frame2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3510" cy="175260"/>
                      <wp:effectExtent l="0" t="0" r="0" b="0"/>
                      <wp:wrapNone/>
                      <wp:docPr id="219" name="Frame2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33400" cy="175260"/>
                      <wp:effectExtent l="0" t="0" r="0" b="0"/>
                      <wp:wrapNone/>
                      <wp:docPr id="220" name="Frame21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5935" cy="175260"/>
                      <wp:effectExtent l="0" t="0" r="0" b="0"/>
                      <wp:wrapNone/>
                      <wp:docPr id="223" name="Frame2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57860" cy="175260"/>
                      <wp:effectExtent l="0" t="0" r="0" b="0"/>
                      <wp:wrapNone/>
                      <wp:docPr id="226" name="Frame2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7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2023</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4,202,537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1,257,471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610,622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6,555,089</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133,188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376,589</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23,494</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4,610,069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1,390,659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514,449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7,140,027</w:t>
            </w:r>
          </w:p>
        </w:tc>
      </w:tr>
    </w:tbl>
    <w:p>
      <w:pPr>
        <w:pStyle w:val="TextBody"/>
        <w:bidi w:val="0"/>
        <w:spacing w:before="0" w:after="0"/>
        <w:ind w:left="0" w:right="0" w:hanging="0"/>
        <w:jc w:val="both"/>
        <w:rPr/>
      </w:pPr>
      <w:r>
        <w:rPr/>
        <w:t>​</w:t>
      </w:r>
    </w:p>
    <w:p>
      <w:pPr>
        <w:pStyle w:val="TextBody"/>
        <w:bidi w:val="0"/>
        <w:spacing w:lineRule="auto" w:line="240" w:before="0" w:after="20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Europe, Middle East and Africa (“EMEA”)</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Amounts received from certain bottlers/distributors at inception of their distribution contracts or at the inception of certain sales/marketing programs are accounted for as deferred revenue. As of December 31, 2025 and 2024, the Company had $205.3 million and $224.8 million of deferred revenue, respectively, which is included in current and long-term deferred revenue in the Company’s accompanying consolidated balance sheet. During the years ended December 31, 2025, 2024 and 2023, $40.0 million, $39.9 million and $40.0 million, respectively, of deferred revenue, was recognized in net sales. See Note 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0" w:name="Tc_-tSFG2iKLUyAY-d6Ev5cKg_13_5"/>
      <w:bookmarkStart w:id="931" w:name="Tc_2mubhfxGFEOQ7-BUwTSHwA_13_2"/>
      <w:bookmarkStart w:id="932" w:name="Tc_0CD3EwwPTUCU4uXgIqe3lA_13_0"/>
      <w:bookmarkStart w:id="933" w:name="Tc_18RYyIgONk2ZeoI15MfauQ_12_0"/>
      <w:bookmarkStart w:id="934" w:name="Tc_3P9PvDzIPkyu8YIyCbIMng_11_0"/>
      <w:bookmarkStart w:id="935" w:name="Tc_tr5F-x_XcUm4dhHJF-4T_Q_10_0"/>
      <w:bookmarkStart w:id="936" w:name="Tc_sDZHXbWFC02LdwDOvrQ_xQ_9_0"/>
      <w:bookmarkStart w:id="937" w:name="Tc_56cR7JWyE0OAPJks__luAg_8_0"/>
      <w:bookmarkStart w:id="938" w:name="Tc_jgQ8uPY1IkqOkWLHMK7AtA_7_0"/>
      <w:bookmarkStart w:id="939" w:name="Tc_T5yVk9sEyU2SD6V-OKiQaQ_6_0"/>
      <w:bookmarkStart w:id="940" w:name="Tc_HKqbwgDovEWFZ3oo1oKWDA_5_0"/>
      <w:bookmarkStart w:id="941" w:name="Tc_Sck9f1NzsUeILb0Yb4a8WQ_4_5"/>
      <w:bookmarkStart w:id="942" w:name="Tc_2W1OZ8v4e0mHdnQSC8kqaA_4_2"/>
      <w:bookmarkStart w:id="943" w:name="Tc_KwvrH1d-vEObN7NrH4C6uw_4_0"/>
      <w:bookmarkStart w:id="944" w:name="Tc_Wb4jOW8-_kW420hGJrQQuQ_3_0"/>
      <w:bookmarkStart w:id="945" w:name="Tc_1ZV5ACcQHkiMJg54VEjpGw_2_5"/>
      <w:bookmarkStart w:id="946" w:name="Tc_GkJWzMdayUOFNcab2aFeGg_2_2"/>
      <w:bookmarkStart w:id="947" w:name="Tc_8ug1aA5fzE-SriDwgfbLLg_1_2"/>
      <w:bookmarkStart w:id="948" w:name="Tc_sfpxrdClXUWyV2WZPHfdzw_17_17"/>
      <w:bookmarkStart w:id="949" w:name="Tc_mNOharklW0S24gSZuHDeqw_17_14"/>
      <w:bookmarkStart w:id="950" w:name="Tc_KQ-hZoKGIke3jxuZM_viTg_17_11"/>
      <w:bookmarkStart w:id="951" w:name="Tc_SkVNChNYy0KMwrTV3nL8CQ_17_8"/>
      <w:bookmarkStart w:id="952" w:name="Tc_j3iYov-ZLkmZJJkCo_pbUw_17_5"/>
      <w:bookmarkStart w:id="953" w:name="Tc_W9TZmxRWHECuTMiFtTCHNg_17_2"/>
      <w:bookmarkStart w:id="954" w:name="Tc_AzJJsrAUc0C3A5tNPt5B_w_17_0"/>
      <w:bookmarkStart w:id="955" w:name="Tc_j5MU96K9wkSCqj-TrTYtmg_16_0"/>
      <w:bookmarkStart w:id="956" w:name="Tc_6OqUQRQfN0KEWER21vSOlQ_15_0"/>
      <w:bookmarkStart w:id="957" w:name="Tc_oZmGJaF1dUSK1s18Qmf9Cw_14_0"/>
      <w:bookmarkStart w:id="958" w:name="Tc_0X8nc9NZrUaUNkG0QUUYvw_13_0"/>
      <w:bookmarkStart w:id="959" w:name="Tc_Yitx4wFESUGbUqhgfUCkRQ_12_0"/>
      <w:bookmarkStart w:id="960" w:name="Tc_QlR7isc5q0OqW_2aWMw9Eg_11_0"/>
      <w:bookmarkStart w:id="961" w:name="Tc_xiiTG2LmUEOUbgDlAcXi7A_10_0"/>
      <w:bookmarkStart w:id="962" w:name="Tc_dfCfpUbrPkyRlImecoJx5A_9_0"/>
      <w:bookmarkStart w:id="963" w:name="Tc_wdndnBJdzUS1Dr9A9QMzTw_8_17"/>
      <w:bookmarkStart w:id="964" w:name="Tc_dxTnxVrZ80ybPuywc4aV8Q_8_14"/>
      <w:bookmarkStart w:id="965" w:name="Tc_FJW5ZjSxzEG1gBX-pdD4NQ_8_11"/>
      <w:bookmarkStart w:id="966" w:name="Tc_s0D56QUM1UWcrojYj402fA_8_8"/>
      <w:bookmarkStart w:id="967" w:name="Tc_Q10aeA6iikuoaRvsuor-vA_8_5"/>
      <w:bookmarkStart w:id="968" w:name="Tc_kE8TKcpJoES-Xae4HlMAOQ_8_2"/>
      <w:bookmarkStart w:id="969" w:name="Tc_pnGJQ7VvJk6msUTLyZpBtg_8_0"/>
      <w:bookmarkStart w:id="970" w:name="Tc_bbqRge1EqkGB2nRns2rNIg_7_0"/>
      <w:bookmarkStart w:id="971" w:name="Tc__GWZEGMoZkeODqgl6wsS3A_6_0"/>
      <w:bookmarkStart w:id="972" w:name="Tc_F-fkswLhO0ShHUKJIEkYmA_5_17"/>
      <w:bookmarkStart w:id="973" w:name="Tc_JGnUojkyYkauwfRWuNT8Sw_5_14"/>
      <w:bookmarkStart w:id="974" w:name="Tc_cIu1ae_G6kiqeRbJUyrY8A_5_11"/>
      <w:bookmarkStart w:id="975" w:name="Tc_1t0g2ztlm0yB40oq2JvElg_5_8"/>
      <w:bookmarkStart w:id="976" w:name="Tc_sNGGTTYsVEuYDLMFACHsGw_5_5"/>
      <w:bookmarkStart w:id="977" w:name="Tc_bahbKvUI2EWi1bd7vc-vzw_5_2"/>
      <w:bookmarkStart w:id="978" w:name="Tc_3TR1-jwpokmnB2dqMWkayg_5_0"/>
      <w:bookmarkStart w:id="979" w:name="Tc_BMTSy-ym2UuJ6DboSxnWyw_4_17"/>
      <w:bookmarkStart w:id="980" w:name="Tc_xNDgCFRefkKbBJmuekkX4Q_4_14"/>
      <w:bookmarkStart w:id="981" w:name="Tc_RqUJHeNblUmyRQ_884fNAA_4_11"/>
      <w:bookmarkStart w:id="982" w:name="Tc_Qg5yNLkOJ0eM7XHPy-kZ5w_4_8"/>
      <w:bookmarkStart w:id="983" w:name="Tc_BTspu1IsoESDAQLjVOJA-w_4_5"/>
      <w:bookmarkStart w:id="984" w:name="Tc_IQGLcQutMEyI3QbQx-F2Yg_4_2"/>
      <w:bookmarkStart w:id="985" w:name="Tc_MahIVhV6xESAJ-ZcgPU_LA_3_17"/>
      <w:bookmarkStart w:id="986" w:name="Tc_fRZCHAhvuUqN6AEL5DlSog_3_14"/>
      <w:bookmarkStart w:id="987" w:name="Tc_NLBzAfoHhkysP0-CKr92ag_3_8"/>
      <w:bookmarkStart w:id="988" w:name="Tc_IKv4uoAJXkSAbouNYneE-w_3_5"/>
      <w:bookmarkStart w:id="989" w:name="Tc_oXnI1ToaU02690-mpdA-zA_2_17"/>
      <w:bookmarkStart w:id="990" w:name="Tc_AMaxLQlkUUu6cG9j3kUJCA_2_14"/>
      <w:bookmarkStart w:id="991" w:name="Tc_EA9TtaMEJEuPJdMsaQ3wJg_2_8"/>
      <w:bookmarkStart w:id="992" w:name="Tc_HHj0pIJBok6snuk7NrfpRA_2_5"/>
      <w:bookmarkStart w:id="993" w:name="Tc_9oeB70Dj40KnWVx6h6Ljeg_1_17"/>
      <w:bookmarkStart w:id="994" w:name="Tc_boM7MuPoak2k0gICXNoTrQ_1_14"/>
      <w:bookmarkStart w:id="995" w:name="_5d105083_6902_4520_bdbf_01a807b06f1d"/>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rFonts w:ascii="Times New Roman;Times;serif" w:hAnsi="Times New Roman;Times;serif"/>
          <w:b w:val="false"/>
          <w:i w:val="false"/>
          <w:caps w:val="false"/>
          <w:smallCaps w:val="false"/>
          <w:sz w:val="20"/>
        </w:rPr>
        <w:t>3.</w:t>
      </w:r>
      <w:r>
        <w:rPr>
          <w:rFonts w:ascii="Times New Roman;Times;serif" w:hAnsi="Times New Roman;Times;serif"/>
          <w:b w:val="false"/>
          <w:sz w:val="20"/>
        </w:rPr>
        <w:t>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investments at December 31, 2025. The Company held no short-term or long-term investments at December 31, 2024.</w:t>
      </w:r>
    </w:p>
    <w:p>
      <w:pPr>
        <w:pStyle w:val="TextBody"/>
        <w:bidi w:val="0"/>
        <w:spacing w:before="0" w:after="0"/>
        <w:ind w:left="0" w:right="0" w:hanging="0"/>
        <w:jc w:val="left"/>
        <w:rPr/>
      </w:pPr>
      <w:r>
        <w:rPr/>
        <w:t>​</w:t>
      </w:r>
    </w:p>
    <w:tbl>
      <w:tblPr>
        <w:tblW w:w="10485" w:type="dxa"/>
        <w:jc w:val="left"/>
        <w:tblInd w:w="0" w:type="dxa"/>
        <w:tblLayout w:type="fixed"/>
        <w:tblCellMar>
          <w:top w:w="0" w:type="dxa"/>
          <w:left w:w="0" w:type="dxa"/>
          <w:bottom w:w="0" w:type="dxa"/>
          <w:right w:w="0" w:type="dxa"/>
        </w:tblCellMar>
      </w:tblPr>
      <w:tblGrid>
        <w:gridCol w:w="1696"/>
        <w:gridCol w:w="346"/>
        <w:gridCol w:w="211"/>
        <w:gridCol w:w="931"/>
        <w:gridCol w:w="346"/>
        <w:gridCol w:w="267"/>
        <w:gridCol w:w="724"/>
        <w:gridCol w:w="346"/>
        <w:gridCol w:w="375"/>
        <w:gridCol w:w="616"/>
        <w:gridCol w:w="346"/>
        <w:gridCol w:w="211"/>
        <w:gridCol w:w="931"/>
        <w:gridCol w:w="346"/>
        <w:gridCol w:w="454"/>
        <w:gridCol w:w="747"/>
        <w:gridCol w:w="346"/>
        <w:gridCol w:w="397"/>
        <w:gridCol w:w="849"/>
      </w:tblGrid>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91185" cy="175260"/>
                      <wp:effectExtent l="0" t="0" r="0" b="0"/>
                      <wp:wrapNone/>
                      <wp:docPr id="229" name="Frame2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9545" cy="175260"/>
                      <wp:effectExtent l="0" t="0" r="0" b="0"/>
                      <wp:wrapNone/>
                      <wp:docPr id="231" name="Frame22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59740" cy="175260"/>
                      <wp:effectExtent l="0" t="0" r="0" b="0"/>
                      <wp:wrapNone/>
                      <wp:docPr id="232" name="Frame227"/>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38125" cy="175260"/>
                      <wp:effectExtent l="0" t="0" r="0" b="0"/>
                      <wp:wrapNone/>
                      <wp:docPr id="234" name="Frame22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91160" cy="175260"/>
                      <wp:effectExtent l="0" t="0" r="0" b="0"/>
                      <wp:wrapNone/>
                      <wp:docPr id="235" name="Frame23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1185" cy="175260"/>
                      <wp:effectExtent l="0" t="0" r="0" b="0"/>
                      <wp:wrapNone/>
                      <wp:docPr id="238" name="Frame2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88290" cy="175260"/>
                      <wp:effectExtent l="0" t="0" r="0" b="0"/>
                      <wp:wrapNone/>
                      <wp:docPr id="240" name="Frame235"/>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74345" cy="175260"/>
                      <wp:effectExtent l="0" t="0" r="0" b="0"/>
                      <wp:wrapNone/>
                      <wp:docPr id="241" name="Frame236"/>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52095" cy="175260"/>
                      <wp:effectExtent l="0" t="0" r="0" b="0"/>
                      <wp:wrapNone/>
                      <wp:docPr id="243" name="Frame23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39115" cy="175260"/>
                      <wp:effectExtent l="0" t="0" r="0" b="0"/>
                      <wp:wrapNone/>
                      <wp:docPr id="244" name="Frame239"/>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46"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90,418</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90,419</w:t>
            </w:r>
          </w:p>
        </w:tc>
        <w:tc>
          <w:tcPr>
            <w:tcW w:w="34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12,728</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12,728</w:t>
            </w:r>
          </w:p>
        </w:tc>
        <w:tc>
          <w:tcPr>
            <w:tcW w:w="34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489,007</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489,499</w:t>
            </w:r>
          </w:p>
        </w:tc>
        <w:tc>
          <w:tcPr>
            <w:tcW w:w="34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83,639</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83,763</w:t>
            </w:r>
          </w:p>
        </w:tc>
        <w:tc>
          <w:tcPr>
            <w:tcW w:w="34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259,613</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259,966</w:t>
            </w:r>
          </w:p>
        </w:tc>
        <w:tc>
          <w:tcPr>
            <w:tcW w:w="34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225,867</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226,156</w:t>
            </w:r>
          </w:p>
        </w:tc>
        <w:tc>
          <w:tcPr>
            <w:tcW w:w="346" w:type="dxa"/>
            <w:tcBorders/>
            <w:shd w:fill="CCEEFF" w:val="clear"/>
            <w:vAlign w:val="center"/>
          </w:tcPr>
          <w:p>
            <w:pPr>
              <w:pStyle w:val="TableContents"/>
              <w:bidi w:val="0"/>
              <w:spacing w:before="0" w:after="0"/>
              <w:ind w:left="0" w:right="0" w:hanging="0"/>
              <w:jc w:val="left"/>
              <w:rPr/>
            </w:pPr>
            <w:r>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1,163,152</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34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1,164,413</w:t>
            </w:r>
          </w:p>
        </w:tc>
        <w:tc>
          <w:tcPr>
            <w:tcW w:w="346" w:type="dxa"/>
            <w:tcBorders/>
            <w:vAlign w:val="center"/>
          </w:tcPr>
          <w:p>
            <w:pPr>
              <w:pStyle w:val="TableContents"/>
              <w:bidi w:val="0"/>
              <w:spacing w:before="0" w:after="0"/>
              <w:ind w:left="0" w:right="0" w:hanging="0"/>
              <w:jc w:val="left"/>
              <w:rPr/>
            </w:pPr>
            <w:r>
              <w:rPr/>
              <w:t>​</w:t>
            </w:r>
          </w:p>
        </w:tc>
        <w:tc>
          <w:tcPr>
            <w:tcW w:w="4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years ended December 31, 2025, 2024 and 2023, realized gains or losses recognized on the sale of investments were not significant.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investments at December 31, 2025 carried investment grade credit ratings.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underlying contractual maturities of the Company’s investments at December 31, 2025. The Company held no short-term or long-term investments at December 31, 2024.</w:t>
      </w:r>
    </w:p>
    <w:p>
      <w:pPr>
        <w:pStyle w:val="TextBody"/>
        <w:bidi w:val="0"/>
        <w:spacing w:before="0" w:after="0"/>
        <w:ind w:left="0" w:right="0" w:hanging="0"/>
        <w:jc w:val="left"/>
        <w:rPr/>
      </w:pPr>
      <w:r>
        <w:rPr/>
        <w:t>​</w:t>
      </w:r>
    </w:p>
    <w:tbl>
      <w:tblPr>
        <w:tblW w:w="5271" w:type="dxa"/>
        <w:jc w:val="left"/>
        <w:tblInd w:w="0" w:type="dxa"/>
        <w:tblLayout w:type="fixed"/>
        <w:tblCellMar>
          <w:top w:w="0" w:type="dxa"/>
          <w:left w:w="0" w:type="dxa"/>
          <w:bottom w:w="0" w:type="dxa"/>
          <w:right w:w="0" w:type="dxa"/>
        </w:tblCellMar>
      </w:tblPr>
      <w:tblGrid>
        <w:gridCol w:w="1951"/>
        <w:gridCol w:w="346"/>
        <w:gridCol w:w="255"/>
        <w:gridCol w:w="1126"/>
        <w:gridCol w:w="346"/>
        <w:gridCol w:w="211"/>
        <w:gridCol w:w="1036"/>
      </w:tblGrid>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61925" cy="175260"/>
                      <wp:effectExtent l="0" t="0" r="0" b="0"/>
                      <wp:wrapNone/>
                      <wp:docPr id="246" name="Frame24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715010" cy="175260"/>
                      <wp:effectExtent l="0" t="0" r="0" b="0"/>
                      <wp:wrapNone/>
                      <wp:docPr id="247" name="Frame24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57860" cy="175260"/>
                      <wp:effectExtent l="0" t="0" r="0" b="0"/>
                      <wp:wrapNone/>
                      <wp:docPr id="250" name="Frame2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than 1 year:</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90,419</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12,728</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489,499</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83,763</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1 - 10 years:</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259,613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259,966</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225,867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226,156</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1,163,152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1,164,413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96" w:name="Tc_RUC0Kasx7U-F7gNd3QFCag_20_11"/>
      <w:bookmarkStart w:id="997" w:name="Tc_ygeDiNpk_EmzW9_2z-RP-Q_20_8"/>
      <w:bookmarkStart w:id="998" w:name="Tc_i1Hm6ijC50yyN1wUYi_Glg_20_5"/>
      <w:bookmarkStart w:id="999" w:name="Tc_GDPXPGm_ykWjNFTKuy-5kA_20_2"/>
      <w:bookmarkStart w:id="1000" w:name="Tc_iyqG5KTnCkOWhyJXiAX-2Q_20_0"/>
      <w:bookmarkStart w:id="1001" w:name="Tc_2pCniK9G-0eTvTHNMbNJMA_19_0"/>
      <w:bookmarkStart w:id="1002" w:name="Tc_cVo0KmxtqUKdQ_sz7HIwKg_18_0"/>
      <w:bookmarkStart w:id="1003" w:name="Tc_qHsE_jLAAESqIKpxJfYtYQ_17_0"/>
      <w:bookmarkStart w:id="1004" w:name="Tc_qS3HEc4Hw0alfLhENF1WnA_16_0"/>
      <w:bookmarkStart w:id="1005" w:name="Tc_l8pisC3kakiBVvuHIHxmcg_15_0"/>
      <w:bookmarkStart w:id="1006" w:name="Tc_e2ZBX4Ierki6ukMi96KqQQ_14_11"/>
      <w:bookmarkStart w:id="1007" w:name="Tc_iJedla6nmEScUollvm9now_14_8"/>
      <w:bookmarkStart w:id="1008" w:name="Tc_m8ILNrv_D0mDzqmCcT2m3Q_14_5"/>
      <w:bookmarkStart w:id="1009" w:name="Tc_xg0ONDvtk0e-UU79hsXXcQ_14_2"/>
      <w:bookmarkStart w:id="1010" w:name="Tc_fqsrvvhukUqiFf3Xk4MkKA_14_0"/>
      <w:bookmarkStart w:id="1011" w:name="Tc_RLEt73UdmkeVrBTZ2uLNcA_13_0"/>
      <w:bookmarkStart w:id="1012" w:name="Tc_NNJnhKyZk0-gh6qZ4jpkLw_11_11"/>
      <w:bookmarkStart w:id="1013" w:name="Tc_ro4nDE-DO0urnxZ7NPy3aA_11_8"/>
      <w:bookmarkStart w:id="1014" w:name="Tc_51UGW4__mkyfkIr1EVlmCA_11_5"/>
      <w:bookmarkStart w:id="1015" w:name="Tc_049euDsskkGoD6yQks2LxQ_11_2"/>
      <w:bookmarkStart w:id="1016" w:name="Tc_EM9TiVtO5keLqnOxbCpbXg_11_0"/>
      <w:bookmarkStart w:id="1017" w:name="Tc_KCDUzm02Ske3qjLIQaEbQg_10_0"/>
      <w:bookmarkStart w:id="1018" w:name="Tc_yC4vxl0on02Hl-yqIqE24w_9_0"/>
      <w:bookmarkStart w:id="1019" w:name="Tc_f0Jfu1_T4kaOiRsuhB7zEA_8_0"/>
      <w:bookmarkStart w:id="1020" w:name="Tc_aWyMbBMpp0yxR_PldWMvQA_7_0"/>
      <w:bookmarkStart w:id="1021" w:name="Tc_wzlOkQec9UOFFFe9Zn2HwQ_6_0"/>
      <w:bookmarkStart w:id="1022" w:name="Tc_x7igODSJeU-KBiXcxhjl6Q_5_0"/>
      <w:bookmarkStart w:id="1023" w:name="Tc_TBAnqhNTo02Gfc11nYdpvA_4_0"/>
      <w:bookmarkStart w:id="1024" w:name="Tc_hgd6orC80U-YKsPi9hgNAA_3_0"/>
      <w:bookmarkStart w:id="1025" w:name="Tc_tbtNxaNtlkOezc_Tq_NTpw_2_11"/>
      <w:bookmarkStart w:id="1026" w:name="Tc_023YnXO6TkqZKjV7WwrQ9w_2_8"/>
      <w:bookmarkStart w:id="1027" w:name="Tc_7bLvo5ghLkqFygwBn9LtSQ_2_5"/>
      <w:bookmarkStart w:id="1028" w:name="Tc_txeFknqD9E-aviO7y15RIQ_2_2"/>
      <w:bookmarkStart w:id="1029" w:name="Tc_nbXkLO97y0anQRoKyGvL3A_2_0"/>
      <w:bookmarkStart w:id="1030" w:name="Tc_8oME7pYnbk2Zp18JS-iqTQ_1_11"/>
      <w:bookmarkStart w:id="1031" w:name="Tc_n-lTS3mr10ePP2PtfjoTqA_1_8"/>
      <w:bookmarkStart w:id="1032" w:name="Tc_Y3X6_l6Yzkq8Vq2rPomg_A_1_5"/>
      <w:bookmarkStart w:id="1033" w:name="Tc_tg09PTPhYU2dRUAFQI5THQ_1_2"/>
      <w:bookmarkStart w:id="1034" w:name="Tc_Q0yH9S4OGkG3E7mObd90Ow_1_0"/>
      <w:bookmarkStart w:id="1035" w:name="_c8dd9247_3406_4a6f_8c40_1dc0d6065953"/>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Pr>
          <w:rFonts w:ascii="Times New Roman;Times;serif" w:hAnsi="Times New Roman;Times;serif"/>
          <w:b w:val="false"/>
          <w:i w:val="false"/>
          <w:caps w:val="false"/>
          <w:smallCaps w:val="false"/>
          <w:sz w:val="20"/>
        </w:rPr>
        <w:t>4.</w:t>
      </w:r>
      <w:r>
        <w:rPr>
          <w:rFonts w:ascii="Times New Roman;Times;serif" w:hAnsi="Times New Roman;Times;serif"/>
          <w:b w:val="false"/>
          <w:sz w:val="20"/>
        </w:rPr>
        <w:t>FAIR VALUE OF CERTAIN FINANCIAL ASSETS AND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bidi w:val="0"/>
        <w:spacing w:before="0" w:after="0"/>
        <w:ind w:left="0" w:right="0" w:firstLine="720"/>
        <w:jc w:val="both"/>
        <w:rPr/>
      </w:pPr>
      <w:r>
        <w:rPr/>
        <w:t>​</w:t>
      </w:r>
    </w:p>
    <w:tbl>
      <w:tblPr>
        <w:tblW w:w="8082" w:type="dxa"/>
        <w:jc w:val="left"/>
        <w:tblInd w:w="0" w:type="dxa"/>
        <w:tblLayout w:type="fixed"/>
        <w:tblCellMar>
          <w:top w:w="0" w:type="dxa"/>
          <w:left w:w="0" w:type="dxa"/>
          <w:bottom w:w="0" w:type="dxa"/>
          <w:right w:w="0" w:type="dxa"/>
        </w:tblCellMar>
      </w:tblPr>
      <w:tblGrid>
        <w:gridCol w:w="2446"/>
        <w:gridCol w:w="346"/>
        <w:gridCol w:w="211"/>
        <w:gridCol w:w="931"/>
        <w:gridCol w:w="346"/>
        <w:gridCol w:w="211"/>
        <w:gridCol w:w="931"/>
        <w:gridCol w:w="346"/>
        <w:gridCol w:w="273"/>
        <w:gridCol w:w="448"/>
        <w:gridCol w:w="346"/>
        <w:gridCol w:w="211"/>
        <w:gridCol w:w="103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53210" cy="175260"/>
                      <wp:effectExtent l="0" t="0" r="0" b="0"/>
                      <wp:wrapNone/>
                      <wp:docPr id="251" name="Frame246"/>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91185" cy="175260"/>
                      <wp:effectExtent l="0" t="0" r="0" b="0"/>
                      <wp:wrapNone/>
                      <wp:docPr id="254" name="Frame2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91185" cy="175260"/>
                      <wp:effectExtent l="0" t="0" r="0" b="0"/>
                      <wp:wrapNone/>
                      <wp:docPr id="257" name="Frame25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73355" cy="175260"/>
                      <wp:effectExtent l="0" t="0" r="0" b="0"/>
                      <wp:wrapNone/>
                      <wp:docPr id="259" name="Frame25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84480" cy="175260"/>
                      <wp:effectExtent l="0" t="0" r="0" b="0"/>
                      <wp:wrapNone/>
                      <wp:docPr id="260" name="Frame25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57860" cy="175260"/>
                      <wp:effectExtent l="0" t="0" r="0" b="0"/>
                      <wp:wrapNone/>
                      <wp:docPr id="263" name="Frame2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0"/>
              <w:ind w:left="0" w:right="0" w:hanging="0"/>
              <w:jc w:val="center"/>
              <w:rPr/>
            </w:pPr>
            <w:r>
              <w:rPr/>
              <w:t>  ​ ​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1,244,954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787,293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787,293</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90,419</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90,419</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68,597</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68,597</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749,465</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749,465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309,919</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309,919</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35,188</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35,188</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2,032,247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1,253,996</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3,286,243</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55,870</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2,088,117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677,084</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677,084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33,667</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487,329</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487,329</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1,253,996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3,286,243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36" w:name="_47c35d49_b710_4977_9fb1_98a2b1a585d2_3"/>
      <w:bookmarkStart w:id="1037" w:name="_47c35d49_b710_4977_9fb1_98a2b1a585d2_2"/>
      <w:bookmarkStart w:id="1038" w:name="_47c35d49_b710_4977_9fb1_98a2b1a585d2"/>
      <w:bookmarkStart w:id="1039" w:name="_2deadf74_327f_4cf4_bd08_31472f4df5e1_3"/>
      <w:bookmarkStart w:id="1040" w:name="_2deadf74_327f_4cf4_bd08_31472f4df5e1_2"/>
      <w:bookmarkStart w:id="1041" w:name="_2deadf74_327f_4cf4_bd08_31472f4df5e1"/>
      <w:bookmarkStart w:id="1042" w:name="Tc_H7knOC3v0UOAR6BwbYCKYg_15_11"/>
      <w:bookmarkStart w:id="1043" w:name="Tc_R1iKicQEZkm0C6qYwepyFw_15_8"/>
      <w:bookmarkStart w:id="1044" w:name="Tc_-P_tjTkh_0uw2ZgyyH_0FQ_15_5"/>
      <w:bookmarkStart w:id="1045" w:name="Tc_80PSYKeQdk2oy3KIjCO8Dg_15_2"/>
      <w:bookmarkStart w:id="1046" w:name="Tc_ZROlsaheu02tpPJFoA8e8Q_15_0"/>
      <w:bookmarkStart w:id="1047" w:name="Tc_3CL-d7-sNEi-tqsProLsbw_14_0"/>
      <w:bookmarkStart w:id="1048" w:name="Tc_MoQ_znNXokeOFGpxmrfCyg_13_0"/>
      <w:bookmarkStart w:id="1049" w:name="Tc_eOM7XLSF_06pVxSidqOfLw_12_0"/>
      <w:bookmarkStart w:id="1050" w:name="Tc_emqm7nurQUGEE0YiokzPkw_11_0"/>
      <w:bookmarkStart w:id="1051" w:name="Tc_6pYyRLi5QEemao25F2FGVQ_10_11"/>
      <w:bookmarkStart w:id="1052" w:name="Tc_1F9NSNL0kEWPf-1wrN8V9Q_10_8"/>
      <w:bookmarkStart w:id="1053" w:name="Tc_DdC9Ta2tcUyvs4w7iaGpXw_10_5"/>
      <w:bookmarkStart w:id="1054" w:name="Tc_XMWMQRkV0UyM0kKGlyEYeg_10_2"/>
      <w:bookmarkStart w:id="1055" w:name="Tc_kydL9YBx4Eezpxg8MzoXUw_10_0"/>
      <w:bookmarkStart w:id="1056" w:name="Tc_OUedSr2e2025QTvREECnsw_9_0"/>
      <w:bookmarkStart w:id="1057" w:name="Tc_tSX7_PUJhUSKZds5u_3Yew_7_11"/>
      <w:bookmarkStart w:id="1058" w:name="Tc_xE2L-_KxQEaWnSfZocA7Kg_7_8"/>
      <w:bookmarkStart w:id="1059" w:name="Tc_gK-gcrdtFEi6-IubSWh_2Q_7_5"/>
      <w:bookmarkStart w:id="1060" w:name="Tc__UIUXtfAvUaqtnZfMjNOmQ_7_2"/>
      <w:bookmarkStart w:id="1061" w:name="Tc_3Ri55T1oXEGa5khFtWYo6g_7_0"/>
      <w:bookmarkStart w:id="1062" w:name="Tc_jvvndsr9j0WEmOPuXoUeEg_6_0"/>
      <w:bookmarkStart w:id="1063" w:name="Tc_CWnsv71-HkWudLPWFc5epg_5_0"/>
      <w:bookmarkStart w:id="1064" w:name="Tc_gutWw8SmLk-lCOYOGB1TsQ_4_0"/>
      <w:bookmarkStart w:id="1065" w:name="Tc_Ty311zlnJUWDGfOBJ4iyTQ_3_0"/>
      <w:bookmarkStart w:id="1066" w:name="Tc_LUlg3xBFkkWXiIlgH5-mrw_2_11"/>
      <w:bookmarkStart w:id="1067" w:name="Tc_ayb-B_qFqki2hxn5Jl4t9g_2_8"/>
      <w:bookmarkStart w:id="1068" w:name="Tc_HbRfYP_bD0qzf4tHR7NFUw_2_5"/>
      <w:bookmarkStart w:id="1069" w:name="Tc_JiLiVizHyUuvVlXCFWbZHA_2_2"/>
      <w:bookmarkStart w:id="1070" w:name="Tc_Dsj-MudMj0iWb9HeirFZdQ_2_0"/>
      <w:bookmarkStart w:id="1071" w:name="Tc_jFPyX3xH9k6enpdTjySN0Q_1_11"/>
      <w:bookmarkStart w:id="1072" w:name="Tc_gcn4l0VM-USPZDj7Hytb7g_1_8"/>
      <w:bookmarkStart w:id="1073" w:name="Tc_kasenXwSCUSQQwtaC0AzKA_1_5"/>
      <w:bookmarkStart w:id="1074" w:name="Tc_6s2fn12ZtUeTMD0UNxdopw_1_2"/>
      <w:bookmarkStart w:id="1075" w:name="Tc_PDcjb-s3EUGyOhRCskXNPA_1_0"/>
      <w:bookmarkStart w:id="1076" w:name="_24448934_0c16_4f40_ad02_dac20505b4a6"/>
      <w:bookmarkStart w:id="1077" w:name="_47c35d49_b710_4977_9fb1_98a2b1a585d2_3"/>
      <w:bookmarkStart w:id="1078" w:name="_47c35d49_b710_4977_9fb1_98a2b1a585d2_2"/>
      <w:bookmarkStart w:id="1079" w:name="_47c35d49_b710_4977_9fb1_98a2b1a585d2"/>
      <w:bookmarkStart w:id="1080" w:name="_2deadf74_327f_4cf4_bd08_31472f4df5e1_3"/>
      <w:bookmarkStart w:id="1081" w:name="_2deadf74_327f_4cf4_bd08_31472f4df5e1_2"/>
      <w:bookmarkStart w:id="1082" w:name="_2deadf74_327f_4cf4_bd08_31472f4df5e1"/>
      <w:bookmarkStart w:id="1083" w:name="Tc_H7knOC3v0UOAR6BwbYCKYg_15_11"/>
      <w:bookmarkStart w:id="1084" w:name="Tc_R1iKicQEZkm0C6qYwepyFw_15_8"/>
      <w:bookmarkStart w:id="1085" w:name="Tc_-P_tjTkh_0uw2ZgyyH_0FQ_15_5"/>
      <w:bookmarkStart w:id="1086" w:name="Tc_80PSYKeQdk2oy3KIjCO8Dg_15_2"/>
      <w:bookmarkStart w:id="1087" w:name="Tc_ZROlsaheu02tpPJFoA8e8Q_15_0"/>
      <w:bookmarkStart w:id="1088" w:name="Tc_3CL-d7-sNEi-tqsProLsbw_14_0"/>
      <w:bookmarkStart w:id="1089" w:name="Tc_MoQ_znNXokeOFGpxmrfCyg_13_0"/>
      <w:bookmarkStart w:id="1090" w:name="Tc_eOM7XLSF_06pVxSidqOfLw_12_0"/>
      <w:bookmarkStart w:id="1091" w:name="Tc_emqm7nurQUGEE0YiokzPkw_11_0"/>
      <w:bookmarkStart w:id="1092" w:name="Tc_6pYyRLi5QEemao25F2FGVQ_10_11"/>
      <w:bookmarkStart w:id="1093" w:name="Tc_1F9NSNL0kEWPf-1wrN8V9Q_10_8"/>
      <w:bookmarkStart w:id="1094" w:name="Tc_DdC9Ta2tcUyvs4w7iaGpXw_10_5"/>
      <w:bookmarkStart w:id="1095" w:name="Tc_XMWMQRkV0UyM0kKGlyEYeg_10_2"/>
      <w:bookmarkStart w:id="1096" w:name="Tc_kydL9YBx4Eezpxg8MzoXUw_10_0"/>
      <w:bookmarkStart w:id="1097" w:name="Tc_OUedSr2e2025QTvREECnsw_9_0"/>
      <w:bookmarkStart w:id="1098" w:name="Tc_tSX7_PUJhUSKZds5u_3Yew_7_11"/>
      <w:bookmarkStart w:id="1099" w:name="Tc_xE2L-_KxQEaWnSfZocA7Kg_7_8"/>
      <w:bookmarkStart w:id="1100" w:name="Tc_gK-gcrdtFEi6-IubSWh_2Q_7_5"/>
      <w:bookmarkStart w:id="1101" w:name="Tc__UIUXtfAvUaqtnZfMjNOmQ_7_2"/>
      <w:bookmarkStart w:id="1102" w:name="Tc_3Ri55T1oXEGa5khFtWYo6g_7_0"/>
      <w:bookmarkStart w:id="1103" w:name="Tc_jvvndsr9j0WEmOPuXoUeEg_6_0"/>
      <w:bookmarkStart w:id="1104" w:name="Tc_CWnsv71-HkWudLPWFc5epg_5_0"/>
      <w:bookmarkStart w:id="1105" w:name="Tc_gutWw8SmLk-lCOYOGB1TsQ_4_0"/>
      <w:bookmarkStart w:id="1106" w:name="Tc_Ty311zlnJUWDGfOBJ4iyTQ_3_0"/>
      <w:bookmarkStart w:id="1107" w:name="Tc_LUlg3xBFkkWXiIlgH5-mrw_2_11"/>
      <w:bookmarkStart w:id="1108" w:name="Tc_ayb-B_qFqki2hxn5Jl4t9g_2_8"/>
      <w:bookmarkStart w:id="1109" w:name="Tc_HbRfYP_bD0qzf4tHR7NFUw_2_5"/>
      <w:bookmarkStart w:id="1110" w:name="Tc_JiLiVizHyUuvVlXCFWbZHA_2_2"/>
      <w:bookmarkStart w:id="1111" w:name="Tc_Dsj-MudMj0iWb9HeirFZdQ_2_0"/>
      <w:bookmarkStart w:id="1112" w:name="Tc_jFPyX3xH9k6enpdTjySN0Q_1_11"/>
      <w:bookmarkStart w:id="1113" w:name="Tc_gcn4l0VM-USPZDj7Hytb7g_1_8"/>
      <w:bookmarkStart w:id="1114" w:name="Tc_kasenXwSCUSQQwtaC0AzKA_1_5"/>
      <w:bookmarkStart w:id="1115" w:name="Tc_6s2fn12ZtUeTMD0UNxdopw_1_2"/>
      <w:bookmarkStart w:id="1116" w:name="Tc_PDcjb-s3EUGyOhRCskXNPA_1_0"/>
      <w:bookmarkStart w:id="1117" w:name="_24448934_0c16_4f40_ad02_dac20505b4a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tbl>
      <w:tblPr>
        <w:tblW w:w="7842" w:type="dxa"/>
        <w:jc w:val="left"/>
        <w:tblInd w:w="0" w:type="dxa"/>
        <w:tblLayout w:type="fixed"/>
        <w:tblCellMar>
          <w:top w:w="0" w:type="dxa"/>
          <w:left w:w="0" w:type="dxa"/>
          <w:bottom w:w="0" w:type="dxa"/>
          <w:right w:w="0" w:type="dxa"/>
        </w:tblCellMar>
      </w:tblPr>
      <w:tblGrid>
        <w:gridCol w:w="2446"/>
        <w:gridCol w:w="346"/>
        <w:gridCol w:w="211"/>
        <w:gridCol w:w="931"/>
        <w:gridCol w:w="346"/>
        <w:gridCol w:w="211"/>
        <w:gridCol w:w="691"/>
        <w:gridCol w:w="346"/>
        <w:gridCol w:w="273"/>
        <w:gridCol w:w="448"/>
        <w:gridCol w:w="346"/>
        <w:gridCol w:w="211"/>
        <w:gridCol w:w="1036"/>
      </w:tblGrid>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91185" cy="175260"/>
                      <wp:effectExtent l="0" t="0" r="0" b="0"/>
                      <wp:wrapNone/>
                      <wp:docPr id="266" name="Frame2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38785" cy="175260"/>
                      <wp:effectExtent l="0" t="0" r="0" b="0"/>
                      <wp:wrapNone/>
                      <wp:docPr id="269" name="Frame2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73355" cy="175260"/>
                      <wp:effectExtent l="0" t="0" r="0" b="0"/>
                      <wp:wrapNone/>
                      <wp:docPr id="271" name="Frame26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84480" cy="175260"/>
                      <wp:effectExtent l="0" t="0" r="0" b="0"/>
                      <wp:wrapNone/>
                      <wp:docPr id="272" name="Frame26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57860" cy="175260"/>
                      <wp:effectExtent l="0" t="0" r="0" b="0"/>
                      <wp:wrapNone/>
                      <wp:docPr id="275" name="Frame2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1,533,301</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1,533,287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1,533,301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years ended December 31, 2025 and 2024, and there were no changes in the Company’s valuation techniques.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Assets recognized or disclosed at fair value in the consolidated financial statements on a nonrecurring basis may include items such as property and equipment, goodwill and other intangible assets. These assets are measured at fair value whenever events or changes in circumstances indicate that the carrying amount of an asset may not be recoverable. Nonrecurring fair value measurements were not material for the year ended December 31,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18" w:name="Tc_XotcDMJcZ0Grq1BLPLuJfA_5_5"/>
      <w:bookmarkStart w:id="1119" w:name="Tc_TdPhOUBNWkyT3ZqkFu4-Uw_5_2"/>
      <w:bookmarkStart w:id="1120" w:name="Tc_HjjU6fZbDESxLQlFD-rLCQ_4_0"/>
      <w:bookmarkStart w:id="1121" w:name="Tc_W3ofma00OkWuhX8DwpcSVg_3_0"/>
      <w:bookmarkStart w:id="1122" w:name="Tc_KENA80X85UO2erLv3nRCmw_2_5"/>
      <w:bookmarkStart w:id="1123" w:name="Tc_yjlrFuzwpEe1vW98BAMe7g_2_2"/>
      <w:bookmarkStart w:id="1124" w:name="Tc_oPOJ-98X2U-rzP8eZBCHdQ_2_0"/>
      <w:bookmarkStart w:id="1125" w:name="Tc_UQdvhZ4cvkaKE2B-kVsGog_1_5"/>
      <w:bookmarkStart w:id="1126" w:name="Tc_3T3cNI_yykOvDouickWl8g_1_2"/>
      <w:bookmarkStart w:id="1127" w:name="_9237c8c8_0776_4349_b01a_108f600c275f"/>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b w:val="false"/>
          <w:i w:val="false"/>
          <w:caps w:val="false"/>
          <w:smallCaps w:val="false"/>
          <w:sz w:val="20"/>
        </w:rPr>
        <w:t>5.</w:t>
      </w:r>
      <w:r>
        <w:rPr>
          <w:rFonts w:ascii="Times New Roman;Times;serif" w:hAnsi="Times New Roman;Times;serif"/>
          <w:b w:val="false"/>
          <w:sz w:val="20"/>
        </w:rPr>
        <w:t>INVENTORIES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 December 31:</w:t>
      </w:r>
    </w:p>
    <w:p>
      <w:pPr>
        <w:pStyle w:val="TextBody"/>
        <w:bidi w:val="0"/>
        <w:spacing w:before="0" w:after="0"/>
        <w:ind w:left="0" w:right="0" w:hanging="0"/>
        <w:jc w:val="both"/>
        <w:rPr/>
      </w:pPr>
      <w:r>
        <w:rPr/>
        <w:t>​</w:t>
      </w:r>
    </w:p>
    <w:tbl>
      <w:tblPr>
        <w:tblW w:w="4207" w:type="dxa"/>
        <w:jc w:val="left"/>
        <w:tblInd w:w="0" w:type="dxa"/>
        <w:tblLayout w:type="fixed"/>
        <w:tblCellMar>
          <w:top w:w="0" w:type="dxa"/>
          <w:left w:w="0" w:type="dxa"/>
          <w:bottom w:w="0" w:type="dxa"/>
          <w:right w:w="0" w:type="dxa"/>
        </w:tblCellMar>
      </w:tblPr>
      <w:tblGrid>
        <w:gridCol w:w="1426"/>
        <w:gridCol w:w="346"/>
        <w:gridCol w:w="211"/>
        <w:gridCol w:w="781"/>
        <w:gridCol w:w="346"/>
        <w:gridCol w:w="211"/>
        <w:gridCol w:w="886"/>
      </w:tblGrid>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95935" cy="175260"/>
                      <wp:effectExtent l="0" t="0" r="0" b="0"/>
                      <wp:wrapNone/>
                      <wp:docPr id="278" name="Frame2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62610" cy="175260"/>
                      <wp:effectExtent l="0" t="0" r="0" b="0"/>
                      <wp:wrapNone/>
                      <wp:docPr id="281" name="Frame2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232,698</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475,905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503,209</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799,623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737,107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28" w:name="Tc_-wOChf3q-kaNZcwk4JB3Jw_12_5"/>
      <w:bookmarkStart w:id="1129" w:name="Tc_XtWcLdBBN0mEKMmzcnDg4A_12_2"/>
      <w:bookmarkStart w:id="1130" w:name="Tc_0degEdCLZkqXoSCse95N5w_11_0"/>
      <w:bookmarkStart w:id="1131" w:name="Tc_Axrzl1Yj_kaSb6Gdjq3duQ_9_0"/>
      <w:bookmarkStart w:id="1132" w:name="Tc_qRS3uOGiI0Wyz1ssS9TN8A_8_0"/>
      <w:bookmarkStart w:id="1133" w:name="Tc_LzOTj9Vo5kuzPH5jdza1_w_7_0"/>
      <w:bookmarkStart w:id="1134" w:name="Tc_psXKH1YbHUOYKDZORE-aYw_6_0"/>
      <w:bookmarkStart w:id="1135" w:name="Tc_3PICJBm7ZE-8gdIlzRrFcA_5_0"/>
      <w:bookmarkStart w:id="1136" w:name="Tc_hoz8HpCqskmVrQBQVN8deg_4_0"/>
      <w:bookmarkStart w:id="1137" w:name="Tc_0hpyzXQFL0qNKNXpKrEOTQ_3_0"/>
      <w:bookmarkStart w:id="1138" w:name="Tc_p-7LofvnwE65xtrss75Zyg_2_5"/>
      <w:bookmarkStart w:id="1139" w:name="Tc_43Q-QQmqSUq7gtaQsyhKKQ_2_2"/>
      <w:bookmarkStart w:id="1140" w:name="Tc_JlXg63eO9kyXn497yfh7Jw_2_0"/>
      <w:bookmarkStart w:id="1141" w:name="Tc_O27L2ncQ8Emu5P-i9lZavQ_1_5"/>
      <w:bookmarkStart w:id="1142" w:name="Tc_GhCe4bTAhUqdWkHSNYNxzQ_1_2"/>
      <w:bookmarkStart w:id="1143" w:name="_14726aa9_089d_4397_adfb_c58fec5c0804"/>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ascii="Times New Roman;Times;serif" w:hAnsi="Times New Roman;Times;serif"/>
          <w:b w:val="false"/>
          <w:i w:val="false"/>
          <w:caps w:val="false"/>
          <w:smallCaps w:val="false"/>
          <w:sz w:val="20"/>
        </w:rPr>
        <w:t>6.</w:t>
      </w:r>
      <w:r>
        <w:rPr>
          <w:rFonts w:ascii="Times New Roman;Times;serif" w:hAnsi="Times New Roman;Times;serif"/>
          <w:b w:val="false"/>
          <w:sz w:val="20"/>
        </w:rPr>
        <w:t>PROPERTY AND EQUIPMENT,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 December 31:</w:t>
      </w:r>
    </w:p>
    <w:p>
      <w:pPr>
        <w:pStyle w:val="TextBody"/>
        <w:bidi w:val="0"/>
        <w:spacing w:before="0" w:after="0"/>
        <w:ind w:left="720" w:right="0" w:hanging="0"/>
        <w:jc w:val="both"/>
        <w:rPr/>
      </w:pPr>
      <w:r>
        <w:rPr/>
        <w:t>​</w:t>
      </w:r>
    </w:p>
    <w:tbl>
      <w:tblPr>
        <w:tblW w:w="7192" w:type="dxa"/>
        <w:jc w:val="left"/>
        <w:tblInd w:w="0" w:type="dxa"/>
        <w:tblLayout w:type="fixed"/>
        <w:tblCellMar>
          <w:top w:w="0" w:type="dxa"/>
          <w:left w:w="0" w:type="dxa"/>
          <w:bottom w:w="0" w:type="dxa"/>
          <w:right w:w="0" w:type="dxa"/>
        </w:tblCellMar>
      </w:tblPr>
      <w:tblGrid>
        <w:gridCol w:w="4111"/>
        <w:gridCol w:w="346"/>
        <w:gridCol w:w="211"/>
        <w:gridCol w:w="931"/>
        <w:gridCol w:w="346"/>
        <w:gridCol w:w="211"/>
        <w:gridCol w:w="1036"/>
      </w:tblGrid>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91185" cy="175260"/>
                      <wp:effectExtent l="0" t="0" r="0" b="0"/>
                      <wp:wrapNone/>
                      <wp:docPr id="284" name="Frame2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57860" cy="175260"/>
                      <wp:effectExtent l="0" t="0" r="0" b="0"/>
                      <wp:wrapNone/>
                      <wp:docPr id="287" name="Frame28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178,056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611,269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561,408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280,663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72,564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under construction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178,980</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1,420,575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1,342,248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(295,224)</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1,081,544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1,047,024</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 recorded was $95.1 million, $72.9 million and $63.0 million for the years ended December 31, 2025, 2024 and 2023, respectively. Assets under construction are not depreciated until in service date.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44" w:name="Tc_njOOwn-tiEO8LJZlIUnq5Q_7_14"/>
      <w:bookmarkStart w:id="1145" w:name="Tc_kCpESHe4X0S-iPy4O0l6ug_7_11"/>
      <w:bookmarkStart w:id="1146" w:name="Tc_Ru9V5se_akCB-u3exmxBjw_7_8"/>
      <w:bookmarkStart w:id="1147" w:name="Tc_AG3bRtVSTU2DRGAsLXOkqg_7_5"/>
      <w:bookmarkStart w:id="1148" w:name="Tc_w0RaTnilUUKHgIsmDuCNQw_7_2"/>
      <w:bookmarkStart w:id="1149" w:name="Tc_i5FCsnAEgEiqNkqm7GVd5g_7_0"/>
      <w:bookmarkStart w:id="1150" w:name="Tc_Kn_E5TG-XEKpOQAVJdIA4w_6_0"/>
      <w:bookmarkStart w:id="1151" w:name="Tc__wLSMNjS_EyJyY1PrtiIkQ_5_0"/>
      <w:bookmarkStart w:id="1152" w:name="Tc_8FUzfmRz_kyQf7susU_-iw_4_14"/>
      <w:bookmarkStart w:id="1153" w:name="Tc_XCR8rwnUvEiPGYmlzbnSWw_4_11"/>
      <w:bookmarkStart w:id="1154" w:name="Tc_fuWonk1qckiiHiynsnhtLA_4_8"/>
      <w:bookmarkStart w:id="1155" w:name="Tc_rW551nCRw0SRFJXmK-HXlg_4_5"/>
      <w:bookmarkStart w:id="1156" w:name="Tc_dngGfthG7EKtDMz57vCI3g_4_2"/>
      <w:bookmarkStart w:id="1157" w:name="Tc_E1TI3fUYRE2SZp3cx-G5Pg_4_0"/>
      <w:bookmarkStart w:id="1158" w:name="Tc_WeRWqeCkIUub0L0y6fQIJA_3_14"/>
      <w:bookmarkStart w:id="1159" w:name="Tc_jtHlKU7lCUKKlwIB2LMJMg_3_11"/>
      <w:bookmarkStart w:id="1160" w:name="Tc_ZW_Kx522wku1tNw6pRPrlg_3_8"/>
      <w:bookmarkStart w:id="1161" w:name="Tc_tOFB3qn2QUe7p_YteAPl9w_3_5"/>
      <w:bookmarkStart w:id="1162" w:name="Tc_2aUzW7Mu4Uis3XnOPRH7-Q_3_2"/>
      <w:bookmarkStart w:id="1163" w:name="Tc_8eQBVCgyvUCXVAp5iiwyNg_2_8"/>
      <w:bookmarkStart w:id="1164" w:name="Tc_H4Chij_-wEOU3ecrilwfFA_2_5"/>
      <w:bookmarkStart w:id="1165" w:name="Tc_CroXd687qE2G1RqG4u6dhg_2_2"/>
      <w:bookmarkStart w:id="1166" w:name="Tc_JtnLHZcu6kOR38Ie4u4aSg_1_2"/>
      <w:bookmarkStart w:id="1167" w:name="_f19be1d4_e9c3_4fc0_b76c_b50b33a074a7"/>
      <w:bookmarkStart w:id="1168" w:name="Tc_qQO-0kCrLEyyNvHqGRySbw_6_14"/>
      <w:bookmarkStart w:id="1169" w:name="Tc_aoKCv8tw1EOD_HzWQENH2w_6_11"/>
      <w:bookmarkStart w:id="1170" w:name="Tc_1Pmt3-r0WUis7cwb8r51Kg_6_8"/>
      <w:bookmarkStart w:id="1171" w:name="Tc_uMPd0G7nsUSYdVExVsmnuQ_6_5"/>
      <w:bookmarkStart w:id="1172" w:name="Tc_aTfiRXxVHkuSMzN5KOR9TQ_6_2"/>
      <w:bookmarkStart w:id="1173" w:name="Tc_Outbhd_MWUiCuM7FJLM-Gw_6_0"/>
      <w:bookmarkStart w:id="1174" w:name="Tc_zpyUuntBtE2ycrNIMamLfw_5_0"/>
      <w:bookmarkStart w:id="1175" w:name="Tc_uo8kMWjlZ0eW0XawkQ4CFA_4_14"/>
      <w:bookmarkStart w:id="1176" w:name="Tc_CMuDKAnQLEuo42BhYJUWlg_4_11"/>
      <w:bookmarkStart w:id="1177" w:name="Tc_oC7yJ4q9uEGImZNzwbJVGg_4_8"/>
      <w:bookmarkStart w:id="1178" w:name="Tc_UuO5QiqCBka3Vwq_cHKpAQ_4_5"/>
      <w:bookmarkStart w:id="1179" w:name="Tc_S2CvnDMGGUOx8U-Wcv2svw_4_2"/>
      <w:bookmarkStart w:id="1180" w:name="Tc_k95cp75mg0qDjNd8E8Q5Pw_4_0"/>
      <w:bookmarkStart w:id="1181" w:name="Tc_WVl8CzTzSk-pJTiDh0IfDQ_3_14"/>
      <w:bookmarkStart w:id="1182" w:name="Tc_BFkLhu1c8UKJ17JvCvn1rw_3_11"/>
      <w:bookmarkStart w:id="1183" w:name="Tc_mapgpNMdkkirqUKpSPtH1A_3_8"/>
      <w:bookmarkStart w:id="1184" w:name="Tc_dRTczKq1oUev_EALh4P7dA_3_5"/>
      <w:bookmarkStart w:id="1185" w:name="Tc_MY6UTbTLh0WEGGW71Dq4dQ_3_2"/>
      <w:bookmarkStart w:id="1186" w:name="Tc_RcPQY07CBkK3IM7H8l6keQ_2_8"/>
      <w:bookmarkStart w:id="1187" w:name="Tc_csKDCaPaPUCZhpHcQTo7vQ_2_5"/>
      <w:bookmarkStart w:id="1188" w:name="Tc_Q4gkJIg7zEe9XshDcv59_w_2_2"/>
      <w:bookmarkStart w:id="1189" w:name="Tc_UAoLu1X3uEOffqQFpUwPXA_1_2"/>
      <w:bookmarkStart w:id="1190" w:name="_54df8c52_edc3_4a1f_87d0_b05edce19718"/>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r>
        <w:rPr>
          <w:rFonts w:ascii="Times New Roman;Times;serif" w:hAnsi="Times New Roman;Times;serif"/>
          <w:b w:val="false"/>
          <w:i w:val="false"/>
          <w:caps w:val="false"/>
          <w:smallCaps w:val="false"/>
          <w:sz w:val="20"/>
        </w:rPr>
        <w:t>7.</w:t>
      </w:r>
      <w:r>
        <w:rPr>
          <w:rFonts w:ascii="Times New Roman;Times;serif" w:hAnsi="Times New Roman;Times;serif"/>
          <w:b w:val="false"/>
          <w:sz w:val="20"/>
        </w:rPr>
        <w:t>GOODWILL AND OTHER INTANGIBLE ASSETS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is a roll-forward of goodwill for the years ended December 31, 2025 and 2024 by reportable segment: </w:t>
      </w:r>
    </w:p>
    <w:p>
      <w:pPr>
        <w:pStyle w:val="TextBody"/>
        <w:bidi w:val="0"/>
        <w:spacing w:before="0" w:after="0"/>
        <w:ind w:left="720" w:right="0" w:hanging="0"/>
        <w:jc w:val="both"/>
        <w:rPr/>
      </w:pPr>
      <w:r>
        <w:rPr/>
        <w:t>​</w:t>
      </w:r>
    </w:p>
    <w:tbl>
      <w:tblPr>
        <w:tblW w:w="8924" w:type="dxa"/>
        <w:jc w:val="left"/>
        <w:tblInd w:w="0" w:type="dxa"/>
        <w:tblLayout w:type="fixed"/>
        <w:tblCellMar>
          <w:top w:w="0" w:type="dxa"/>
          <w:left w:w="0" w:type="dxa"/>
          <w:bottom w:w="0" w:type="dxa"/>
          <w:right w:w="0" w:type="dxa"/>
        </w:tblCellMar>
      </w:tblPr>
      <w:tblGrid>
        <w:gridCol w:w="2596"/>
        <w:gridCol w:w="346"/>
        <w:gridCol w:w="211"/>
        <w:gridCol w:w="781"/>
        <w:gridCol w:w="346"/>
        <w:gridCol w:w="211"/>
        <w:gridCol w:w="781"/>
        <w:gridCol w:w="346"/>
        <w:gridCol w:w="307"/>
        <w:gridCol w:w="503"/>
        <w:gridCol w:w="346"/>
        <w:gridCol w:w="211"/>
        <w:gridCol w:w="346"/>
        <w:gridCol w:w="346"/>
        <w:gridCol w:w="211"/>
        <w:gridCol w:w="1036"/>
      </w:tblGrid>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95935" cy="175260"/>
                      <wp:effectExtent l="0" t="0" r="0" b="0"/>
                      <wp:wrapNone/>
                      <wp:docPr id="290" name="Frame2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95935" cy="175260"/>
                      <wp:effectExtent l="0" t="0" r="0" b="0"/>
                      <wp:wrapNone/>
                      <wp:docPr id="293" name="Frame2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94945" cy="175260"/>
                      <wp:effectExtent l="0" t="0" r="0" b="0"/>
                      <wp:wrapNone/>
                      <wp:docPr id="295" name="Frame290"/>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19405" cy="175260"/>
                      <wp:effectExtent l="0" t="0" r="0" b="0"/>
                      <wp:wrapNone/>
                      <wp:docPr id="296" name="Frame29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57860" cy="175260"/>
                      <wp:effectExtent l="0" t="0" r="0" b="0"/>
                      <wp:wrapNone/>
                      <wp:docPr id="302" name="Frame2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46"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bidi w:val="0"/>
        <w:spacing w:before="0" w:after="0"/>
        <w:ind w:left="0" w:right="0" w:hanging="0"/>
        <w:jc w:val="left"/>
        <w:rPr/>
      </w:pPr>
      <w:r>
        <w:rPr/>
        <w:t>​</w:t>
      </w:r>
    </w:p>
    <w:tbl>
      <w:tblPr>
        <w:tblW w:w="9121" w:type="dxa"/>
        <w:jc w:val="left"/>
        <w:tblInd w:w="0" w:type="dxa"/>
        <w:tblLayout w:type="fixed"/>
        <w:tblCellMar>
          <w:top w:w="0" w:type="dxa"/>
          <w:left w:w="0" w:type="dxa"/>
          <w:bottom w:w="0" w:type="dxa"/>
          <w:right w:w="0" w:type="dxa"/>
        </w:tblCellMar>
      </w:tblPr>
      <w:tblGrid>
        <w:gridCol w:w="2596"/>
        <w:gridCol w:w="346"/>
        <w:gridCol w:w="211"/>
        <w:gridCol w:w="781"/>
        <w:gridCol w:w="346"/>
        <w:gridCol w:w="211"/>
        <w:gridCol w:w="781"/>
        <w:gridCol w:w="346"/>
        <w:gridCol w:w="211"/>
        <w:gridCol w:w="796"/>
        <w:gridCol w:w="346"/>
        <w:gridCol w:w="211"/>
        <w:gridCol w:w="346"/>
        <w:gridCol w:w="346"/>
        <w:gridCol w:w="211"/>
        <w:gridCol w:w="1036"/>
      </w:tblGrid>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95935" cy="175260"/>
                      <wp:effectExtent l="0" t="0" r="0" b="0"/>
                      <wp:wrapNone/>
                      <wp:docPr id="305" name="Frame3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95935" cy="175260"/>
                      <wp:effectExtent l="0" t="0" r="0" b="0"/>
                      <wp:wrapNone/>
                      <wp:docPr id="308" name="Frame3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05460" cy="175260"/>
                      <wp:effectExtent l="0" t="0" r="0" b="0"/>
                      <wp:wrapNone/>
                      <wp:docPr id="311" name="Frame3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57860" cy="175260"/>
                      <wp:effectExtent l="0" t="0" r="0" b="0"/>
                      <wp:wrapNone/>
                      <wp:docPr id="317" name="Frame3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46"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6"/>
        </w:rPr>
      </w:pPr>
      <w:r>
        <w:rPr>
          <w:rFonts w:ascii="Times New Roman;Times;serif" w:hAnsi="Times New Roman;Times;serif"/>
          <w:i/>
          <w:sz w:val="16"/>
        </w:rPr>
        <w:t>*Accumulated goodwill impairment balance at December 31, 2025 and 2024 was $86.3</w:t>
      </w:r>
      <w:r>
        <w:rPr>
          <w:rFonts w:ascii="Times New Roman;Times;serif" w:hAnsi="Times New Roman;Times;serif"/>
          <w:sz w:val="16"/>
        </w:rPr>
        <w:t xml:space="preserve"> </w:t>
      </w:r>
      <w:r>
        <w:rPr>
          <w:rFonts w:ascii="Times New Roman;Times;serif" w:hAnsi="Times New Roman;Times;serif"/>
          <w:i/>
          <w:sz w:val="16"/>
        </w:rPr>
        <w:t>million related entirely to Alcohol Brands. There were no</w:t>
      </w:r>
      <w:r>
        <w:rPr>
          <w:rFonts w:ascii="Times New Roman;Times;serif" w:hAnsi="Times New Roman;Times;serif"/>
          <w:sz w:val="16"/>
        </w:rPr>
        <w:t xml:space="preserve"> </w:t>
      </w:r>
      <w:r>
        <w:rPr>
          <w:rFonts w:ascii="Times New Roman;Times;serif" w:hAnsi="Times New Roman;Times;serif"/>
          <w:i/>
          <w:sz w:val="16"/>
        </w:rPr>
        <w:t>impairments prior to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191" w:name="Tc_E5ATYU5_K0CwVAH9HwoW_A_8_2"/>
      <w:bookmarkStart w:id="1192" w:name="Tc_obYROqnYpU-Fzp-JPJjCTw_7_0"/>
      <w:bookmarkStart w:id="1193" w:name="Tc_3mb7Y--cg0GguNscydOY7g_6_0"/>
      <w:bookmarkStart w:id="1194" w:name="Tc_8qdNM_eMWUevIFZOXbgO5g_5_0"/>
      <w:bookmarkStart w:id="1195" w:name="Tc_1U1JHoyzHESBsyvVMG9okQ_4_0"/>
      <w:bookmarkStart w:id="1196" w:name="Tc_9bxmlIVDEEa3ETbf1PRsSA_3_0"/>
      <w:bookmarkStart w:id="1197" w:name="Tc_4kncb6Ta70K4qRFnl1d9rA_2_2"/>
      <w:bookmarkStart w:id="1198" w:name="Tc_EisCN_FgaEmShPfyOnmJZw_2_0"/>
      <w:bookmarkStart w:id="1199" w:name="Tc_zKPh8W47Wk6Elq9F4kdvEw_1_0"/>
      <w:bookmarkStart w:id="1200" w:name="_92c87e0d_46bd_4d23_9f7d_c5203f458c32_3"/>
      <w:bookmarkStart w:id="1201" w:name="_92c87e0d_46bd_4d23_9f7d_c5203f458c32_2"/>
      <w:bookmarkStart w:id="1202" w:name="_92c87e0d_46bd_4d23_9f7d_c5203f458c32"/>
      <w:bookmarkStart w:id="1203" w:name="Tc_Z-inJiRVdU-EkgGFSn9nCQ_7_5"/>
      <w:bookmarkStart w:id="1204" w:name="Tc_dwGL-36Py06FaZTmLf04FA_7_2"/>
      <w:bookmarkStart w:id="1205" w:name="Tc_o1py0F2pWUCk2doY6hfReg_6_0"/>
      <w:bookmarkStart w:id="1206" w:name="Tc_WoDK5ltrmU2dG_X1KNOieA_4_0"/>
      <w:bookmarkStart w:id="1207" w:name="Tc_BK7lW_mywESfz6TB0PIP1w_3_5"/>
      <w:bookmarkStart w:id="1208" w:name="Tc_k4Tgs7AeVEWc0LduiBqclA_3_2"/>
      <w:bookmarkStart w:id="1209" w:name="Tc_okBcqEflMk2FMC-j4E4L1Q_3_0"/>
      <w:bookmarkStart w:id="1210" w:name="Tc_y2wvT0NL20K-IDZdEL-DUw_2_5"/>
      <w:bookmarkStart w:id="1211" w:name="Tc_F7ap1mMWeUKL_Cyezu2FvQ_2_2"/>
      <w:bookmarkStart w:id="1212" w:name="Tc_GC_NhP3aF0qNZ6t2G_gbJQ_1_5"/>
      <w:bookmarkStart w:id="1213" w:name="Tc_np0mkD80ekSzeNzP_3Ll5g_1_2"/>
      <w:bookmarkStart w:id="1214" w:name="_2252e59f_c65a_493d_baae_9ed781e8dde3"/>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r>
        <w:rPr>
          <w:rFonts w:ascii="Times New Roman;Times;serif" w:hAnsi="Times New Roman;Times;serif"/>
          <w:sz w:val="20"/>
        </w:rPr>
        <w:t>Intangible assets consist of the following at:</w:t>
      </w:r>
    </w:p>
    <w:p>
      <w:pPr>
        <w:pStyle w:val="TextBody"/>
        <w:bidi w:val="0"/>
        <w:spacing w:before="0" w:after="0"/>
        <w:ind w:left="0" w:right="0" w:firstLine="720"/>
        <w:jc w:val="both"/>
        <w:rPr/>
      </w:pPr>
      <w:r>
        <w:rPr/>
        <w:t>​</w:t>
      </w:r>
    </w:p>
    <w:tbl>
      <w:tblPr>
        <w:tblW w:w="5628" w:type="dxa"/>
        <w:jc w:val="left"/>
        <w:tblInd w:w="0" w:type="dxa"/>
        <w:tblLayout w:type="fixed"/>
        <w:tblCellMar>
          <w:top w:w="0" w:type="dxa"/>
          <w:left w:w="0" w:type="dxa"/>
          <w:bottom w:w="0" w:type="dxa"/>
          <w:right w:w="0" w:type="dxa"/>
        </w:tblCellMar>
      </w:tblPr>
      <w:tblGrid>
        <w:gridCol w:w="2371"/>
        <w:gridCol w:w="346"/>
        <w:gridCol w:w="232"/>
        <w:gridCol w:w="1028"/>
        <w:gridCol w:w="346"/>
        <w:gridCol w:w="220"/>
        <w:gridCol w:w="1085"/>
      </w:tblGrid>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47320" cy="175260"/>
                      <wp:effectExtent l="0" t="0" r="0" b="0"/>
                      <wp:wrapNone/>
                      <wp:docPr id="319" name="Frame31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52780" cy="175260"/>
                      <wp:effectExtent l="0" t="0" r="0" b="0"/>
                      <wp:wrapNone/>
                      <wp:docPr id="320" name="Frame315"/>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9700" cy="175260"/>
                      <wp:effectExtent l="0" t="0" r="0" b="0"/>
                      <wp:wrapNone/>
                      <wp:docPr id="322" name="Frame31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88975" cy="175260"/>
                      <wp:effectExtent l="0" t="0" r="0" b="0"/>
                      <wp:wrapNone/>
                      <wp:docPr id="323" name="Frame318"/>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Amortizing intangibles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137,664</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183,800</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(86,999)</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(86,703)</w:t>
            </w:r>
          </w:p>
        </w:tc>
      </w:tr>
      <w:tr>
        <w:trPr/>
        <w:tc>
          <w:tcPr>
            <w:tcW w:w="23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50,665</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97,097</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Non-amortizing intangibles</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1,328,603</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1,317,155</w:t>
            </w:r>
          </w:p>
        </w:tc>
      </w:tr>
      <w:tr>
        <w:trPr/>
        <w:tc>
          <w:tcPr>
            <w:tcW w:w="23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1,379,268</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1,414,252</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No</w:t>
      </w:r>
      <w:r>
        <w:rPr>
          <w:rFonts w:ascii="Times New Roman;Times;serif" w:hAnsi="Times New Roman;Times;serif"/>
          <w:sz w:val="22"/>
        </w:rPr>
        <w:t xml:space="preserve"> </w:t>
      </w:r>
      <w:r>
        <w:rPr>
          <w:rFonts w:ascii="Times New Roman;Times;serif" w:hAnsi="Times New Roman;Times;serif"/>
          <w:sz w:val="20"/>
        </w:rPr>
        <w:t xml:space="preserve">impairment charges were recorded to goodwill and other indefinite-lived intangible assets for the year ended December 31, 2025. For the year ended December 31, 2024, as a result of operating and financial performance not meeting projections due in part to challenges in the category, as well as a decrease in projected ongoing operating and financial performance related to the Alcohol Brands reporting unit, the Company determined that the conditions indicated that indefinite-lived intangible assets within the Alcohol Brands reporting unit were more-likely-than-not impaired and performed an impairment test to compare the fair value of these indefinite-lived intangible assets, consisting of goodwill, trademarks and permits, with their respective carrying values and with the carrying value of the Alcohol Brands reporting unit. As a result of this analysis, the Company recorded </w:t>
      </w:r>
      <w:r>
        <w:rPr>
          <w:rFonts w:ascii="Times New Roman;Times;serif" w:hAnsi="Times New Roman;Times;serif"/>
          <w:b w:val="false"/>
          <w:i w:val="false"/>
          <w:caps w:val="false"/>
          <w:smallCaps w:val="false"/>
          <w:sz w:val="20"/>
        </w:rPr>
        <w:t>impairment charges</w:t>
      </w:r>
      <w:r>
        <w:rPr>
          <w:rFonts w:ascii="Times New Roman;Times;serif" w:hAnsi="Times New Roman;Times;serif"/>
          <w:sz w:val="22"/>
        </w:rPr>
        <w:t xml:space="preserve"> </w:t>
      </w:r>
      <w:r>
        <w:rPr>
          <w:rFonts w:ascii="Times New Roman;Times;serif" w:hAnsi="Times New Roman;Times;serif"/>
          <w:sz w:val="20"/>
        </w:rPr>
        <w:t>of $86.3</w:t>
      </w:r>
      <w:r>
        <w:rPr>
          <w:rFonts w:ascii="Times New Roman;Times;serif" w:hAnsi="Times New Roman;Times;serif"/>
          <w:sz w:val="22"/>
        </w:rPr>
        <w:t xml:space="preserve"> </w:t>
      </w:r>
      <w:r>
        <w:rPr>
          <w:rFonts w:ascii="Times New Roman;Times;serif" w:hAnsi="Times New Roman;Times;serif"/>
          <w:sz w:val="20"/>
        </w:rPr>
        <w:t>million related to goodwill of the Alcohol Brands reporting unit for the year ended December 31, 2024. Further, for the years ended December 31, 2024 and 2023, impairment charges</w:t>
      </w:r>
      <w:r>
        <w:rPr>
          <w:rFonts w:ascii="Times New Roman;Times;serif" w:hAnsi="Times New Roman;Times;serif"/>
          <w:sz w:val="22"/>
        </w:rPr>
        <w:t xml:space="preserve"> </w:t>
      </w:r>
      <w:r>
        <w:rPr>
          <w:rFonts w:ascii="Times New Roman;Times;serif" w:hAnsi="Times New Roman;Times;serif"/>
          <w:sz w:val="20"/>
        </w:rPr>
        <w:t>of $40.8</w:t>
      </w:r>
      <w:r>
        <w:rPr>
          <w:rFonts w:ascii="Times New Roman;Times;serif" w:hAnsi="Times New Roman;Times;serif"/>
          <w:sz w:val="22"/>
        </w:rPr>
        <w:t xml:space="preserve"> </w:t>
      </w:r>
      <w:r>
        <w:rPr>
          <w:rFonts w:ascii="Times New Roman;Times;serif" w:hAnsi="Times New Roman;Times;serif"/>
          <w:sz w:val="20"/>
        </w:rPr>
        <w:t>million and $38.7</w:t>
      </w:r>
      <w:r>
        <w:rPr>
          <w:rFonts w:ascii="Times New Roman;Times;serif" w:hAnsi="Times New Roman;Times;serif"/>
          <w:sz w:val="22"/>
        </w:rPr>
        <w:t xml:space="preserve"> </w:t>
      </w:r>
      <w:r>
        <w:rPr>
          <w:rFonts w:ascii="Times New Roman;Times;serif" w:hAnsi="Times New Roman;Times;serif"/>
          <w:sz w:val="20"/>
        </w:rPr>
        <w:t>million were recorded to other indefinite-lived intangible assets related primarily to the Alcohol Brands segment. Impairment charges are included in operating expenses in the consolidated statements of income.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 xml:space="preserve">Amortizing intangibles primarily consist of computer software, tradenames and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0"/>
        </w:rPr>
        <w:t>three</w:t>
      </w:r>
      <w:r>
        <w:rPr>
          <w:rFonts w:ascii="Times New Roman;Times;serif" w:hAnsi="Times New Roman;Times;serif"/>
          <w:sz w:val="22"/>
        </w:rPr>
        <w:t xml:space="preserve"> </w:t>
      </w:r>
      <w:r>
        <w:rPr>
          <w:rFonts w:ascii="Times New Roman;Times;serif" w:hAnsi="Times New Roman;Times;serif"/>
          <w:sz w:val="20"/>
        </w:rPr>
        <w:t>to ten years. Total amortization expense recorded was $19.3</w:t>
      </w:r>
      <w:r>
        <w:rPr>
          <w:rFonts w:ascii="Times New Roman;Times;serif" w:hAnsi="Times New Roman;Times;serif"/>
          <w:sz w:val="22"/>
        </w:rPr>
        <w:t xml:space="preserve"> </w:t>
      </w:r>
      <w:r>
        <w:rPr>
          <w:rFonts w:ascii="Times New Roman;Times;serif" w:hAnsi="Times New Roman;Times;serif"/>
          <w:sz w:val="20"/>
        </w:rPr>
        <w:t>million, $7.5</w:t>
      </w:r>
      <w:r>
        <w:rPr>
          <w:rFonts w:ascii="Times New Roman;Times;serif" w:hAnsi="Times New Roman;Times;serif"/>
          <w:sz w:val="22"/>
        </w:rPr>
        <w:t xml:space="preserve"> </w:t>
      </w:r>
      <w:r>
        <w:rPr>
          <w:rFonts w:ascii="Times New Roman;Times;serif" w:hAnsi="Times New Roman;Times;serif"/>
          <w:sz w:val="20"/>
        </w:rPr>
        <w:t>million and $5.9</w:t>
      </w:r>
      <w:r>
        <w:rPr>
          <w:rFonts w:ascii="Times New Roman;Times;serif" w:hAnsi="Times New Roman;Times;serif"/>
          <w:sz w:val="22"/>
        </w:rPr>
        <w:t xml:space="preserve"> </w:t>
      </w:r>
      <w:r>
        <w:rPr>
          <w:rFonts w:ascii="Times New Roman;Times;serif" w:hAnsi="Times New Roman;Times;serif"/>
          <w:sz w:val="20"/>
        </w:rPr>
        <w:t xml:space="preserve">million for the years ended December 31, 2025, 2024 and 2023, respectively. For the year ended December 31, 2025, </w:t>
      </w:r>
      <w:r>
        <w:rPr>
          <w:rFonts w:ascii="Times New Roman;Times;serif" w:hAnsi="Times New Roman;Times;serif"/>
          <w:b w:val="false"/>
          <w:i w:val="false"/>
          <w:caps w:val="false"/>
          <w:smallCaps w:val="false"/>
          <w:sz w:val="20"/>
        </w:rPr>
        <w:t>impairment charges</w:t>
      </w:r>
      <w:r>
        <w:rPr>
          <w:rFonts w:ascii="Times New Roman;Times;serif" w:hAnsi="Times New Roman;Times;serif"/>
          <w:sz w:val="22"/>
        </w:rPr>
        <w:t xml:space="preserve"> </w:t>
      </w:r>
      <w:r>
        <w:rPr>
          <w:rFonts w:ascii="Times New Roman;Times;serif" w:hAnsi="Times New Roman;Times;serif"/>
          <w:sz w:val="20"/>
        </w:rPr>
        <w:t>of $38.4</w:t>
      </w:r>
      <w:r>
        <w:rPr>
          <w:rFonts w:ascii="Times New Roman;Times;serif" w:hAnsi="Times New Roman;Times;serif"/>
          <w:sz w:val="22"/>
        </w:rPr>
        <w:t xml:space="preserve"> </w:t>
      </w:r>
      <w:r>
        <w:rPr>
          <w:rFonts w:ascii="Times New Roman;Times;serif" w:hAnsi="Times New Roman;Times;serif"/>
          <w:sz w:val="20"/>
        </w:rPr>
        <w:t>million were recorded to certain finite-lived intangible assets related to the Alcohol Brands segment. No</w:t>
      </w:r>
      <w:r>
        <w:rPr>
          <w:rFonts w:ascii="Times New Roman;Times;serif" w:hAnsi="Times New Roman;Times;serif"/>
          <w:sz w:val="22"/>
        </w:rPr>
        <w:t xml:space="preserve"> </w:t>
      </w:r>
      <w:r>
        <w:rPr>
          <w:rFonts w:ascii="Times New Roman;Times;serif" w:hAnsi="Times New Roman;Times;serif"/>
          <w:sz w:val="20"/>
        </w:rPr>
        <w:t>impairment charges were recorded to finite-lived intangible assets for the years ended December 31, 2024 and 2023. Impairment charges are included in operating expenses in the consolidated statements of income.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the future estimated amortization expense related to amortizing intangibles as of December 31, 2025:</w:t>
      </w:r>
    </w:p>
    <w:p>
      <w:pPr>
        <w:pStyle w:val="TextBody"/>
        <w:bidi w:val="0"/>
        <w:spacing w:before="0" w:after="0"/>
        <w:ind w:left="0" w:right="0" w:firstLine="720"/>
        <w:jc w:val="both"/>
        <w:rPr/>
      </w:pPr>
      <w:r>
        <w:rPr/>
        <w:t>​</w:t>
      </w:r>
    </w:p>
    <w:tbl>
      <w:tblPr>
        <w:tblW w:w="3649" w:type="dxa"/>
        <w:jc w:val="left"/>
        <w:tblInd w:w="0" w:type="dxa"/>
        <w:tblLayout w:type="fixed"/>
        <w:tblCellMar>
          <w:top w:w="0" w:type="dxa"/>
          <w:left w:w="0" w:type="dxa"/>
          <w:bottom w:w="0" w:type="dxa"/>
          <w:right w:w="0" w:type="dxa"/>
        </w:tblCellMar>
      </w:tblPr>
      <w:tblGrid>
        <w:gridCol w:w="2311"/>
        <w:gridCol w:w="346"/>
        <w:gridCol w:w="211"/>
        <w:gridCol w:w="781"/>
      </w:tblGrid>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95935" cy="175260"/>
                      <wp:effectExtent l="0" t="0" r="0" b="0"/>
                      <wp:wrapNone/>
                      <wp:docPr id="326" name="Frame3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10,568</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9,104</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6,706</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15,107</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50,665</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December 31, 2025, non-amortizing other intangible assets primarily consist of indefinite-lived tradenames, flavors and formulas.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8.</w:t>
      </w:r>
      <w:r>
        <w:rPr>
          <w:rFonts w:ascii="Times New Roman;Times;serif" w:hAnsi="Times New Roman;Times;serif"/>
          <w:b w:val="false"/>
          <w:sz w:val="20"/>
        </w:rPr>
        <w:t>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420 “Exit or Disposal Cost Obligations”, the Company expenses distributor termination costs in the period in which the written notification of termination occurs. Termination costs recognized were not significant for the years ended December 31, 2025, 2024 and 2023.</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0"/>
        </w:rPr>
        <w:t>In the normal course of business, amounts received pursuant to new and/or amended distribution agreements entered into with certain bottlers/distributors,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$21.4</w:t>
      </w:r>
      <w:r>
        <w:rPr>
          <w:rFonts w:ascii="Times New Roman;Times;serif" w:hAnsi="Times New Roman;Times;serif"/>
          <w:sz w:val="22"/>
        </w:rPr>
        <w:t xml:space="preserve"> </w:t>
      </w:r>
      <w:r>
        <w:rPr>
          <w:rFonts w:ascii="Times New Roman;Times;serif" w:hAnsi="Times New Roman;Times;serif"/>
          <w:sz w:val="20"/>
        </w:rPr>
        <w:t>million, $21.5</w:t>
      </w:r>
      <w:r>
        <w:rPr>
          <w:rFonts w:ascii="Times New Roman;Times;serif" w:hAnsi="Times New Roman;Times;serif"/>
          <w:sz w:val="22"/>
        </w:rPr>
        <w:t xml:space="preserve"> </w:t>
      </w:r>
      <w:r>
        <w:rPr>
          <w:rFonts w:ascii="Times New Roman;Times;serif" w:hAnsi="Times New Roman;Times;serif"/>
          <w:sz w:val="20"/>
        </w:rPr>
        <w:t>million and $21.5</w:t>
      </w:r>
      <w:r>
        <w:rPr>
          <w:rFonts w:ascii="Times New Roman;Times;serif" w:hAnsi="Times New Roman;Times;serif"/>
          <w:sz w:val="22"/>
        </w:rPr>
        <w:t xml:space="preserve"> </w:t>
      </w:r>
      <w:r>
        <w:rPr>
          <w:rFonts w:ascii="Times New Roman;Times;serif" w:hAnsi="Times New Roman;Times;serif"/>
          <w:sz w:val="20"/>
        </w:rPr>
        <w:t>million for the years ended December 31, 2025, 2024 and 2023, respectively.</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15" w:name="Tc_q6sK4hbLfkeLDf59doaEIQ_9_2"/>
      <w:bookmarkStart w:id="1216" w:name="Tc_UTpq3TTwik6Wu7rzWeV-wA_9_0"/>
      <w:bookmarkStart w:id="1217" w:name="Tc_isx6k6qzEES6rNDciCSdrQ_8_3"/>
      <w:bookmarkStart w:id="1218" w:name="Tc_hxPwAxYV50SS7biT6YWIJw_8_0"/>
      <w:bookmarkStart w:id="1219" w:name="Tc_Ly3I17DV-kmOJkpRghBr-w_7_0"/>
      <w:bookmarkStart w:id="1220" w:name="Tc_5BwxZCgP1E-TKqzzNpxfSg_6_0"/>
      <w:bookmarkStart w:id="1221" w:name="Tc_7eizcLsN4UmYKBfvR079Lw_5_0"/>
      <w:bookmarkStart w:id="1222" w:name="Tc_33TKxkUKpEmxayKWbpbmCg_4_3"/>
      <w:bookmarkStart w:id="1223" w:name="Tc_OP4yK_-A8EKJZMGZwW2fKA_4_0"/>
      <w:bookmarkStart w:id="1224" w:name="Tc_bYzgjngcq0yTXI11odKKTQ_3_2"/>
      <w:bookmarkStart w:id="1225" w:name="Tc_EAddLFGd0E2C9gU2B57bLA_3_0"/>
      <w:bookmarkStart w:id="1226" w:name="Tc_t0DoFNlspkyEfeUOPDRjpw_2_2"/>
      <w:bookmarkStart w:id="1227" w:name="Tc_RzKaow8e8UyQb-6yO6NS_g_1_2"/>
      <w:bookmarkEnd w:id="1215"/>
      <w:bookmarkEnd w:id="1216"/>
      <w:bookmarkEnd w:id="1217"/>
      <w:bookmarkEnd w:id="1218"/>
      <w:bookmarkEnd w:id="1219"/>
      <w:bookmarkEnd w:id="1220"/>
      <w:bookmarkEnd w:id="1221"/>
      <w:bookmarkEnd w:id="1222"/>
      <w:bookmarkEnd w:id="1223"/>
      <w:bookmarkEnd w:id="1224"/>
      <w:bookmarkEnd w:id="1225"/>
      <w:bookmarkEnd w:id="1226"/>
      <w:bookmarkEnd w:id="1227"/>
      <w:r>
        <w:rPr>
          <w:rFonts w:ascii="Times New Roman;Times;serif" w:hAnsi="Times New Roman;Times;serif"/>
          <w:b w:val="false"/>
          <w:i w:val="false"/>
          <w:caps w:val="false"/>
          <w:smallCaps w:val="false"/>
          <w:sz w:val="20"/>
        </w:rPr>
        <w:t>9.</w:t>
      </w:r>
      <w:r>
        <w:rPr>
          <w:rFonts w:ascii="Times New Roman;Times;serif" w:hAnsi="Times New Roman;Times;serif"/>
          <w:b w:val="false"/>
          <w:sz w:val="20"/>
        </w:rPr>
        <w:t>DEBT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repaid the outstanding balance on long-term debt in April 2025. As of December 31, 2024, the Company’s long-term debt consisted of the following:</w:t>
      </w:r>
    </w:p>
    <w:p>
      <w:pPr>
        <w:pStyle w:val="TextBody"/>
        <w:bidi w:val="0"/>
        <w:spacing w:before="0" w:after="0"/>
        <w:ind w:left="0" w:right="0" w:hanging="0"/>
        <w:jc w:val="left"/>
        <w:rPr/>
      </w:pPr>
      <w:r>
        <w:rPr/>
        <w:t>​</w:t>
      </w:r>
    </w:p>
    <w:tbl>
      <w:tblPr>
        <w:tblW w:w="5822" w:type="dxa"/>
        <w:jc w:val="left"/>
        <w:tblInd w:w="0" w:type="dxa"/>
        <w:tblLayout w:type="fixed"/>
        <w:tblCellMar>
          <w:top w:w="0" w:type="dxa"/>
          <w:left w:w="0" w:type="dxa"/>
          <w:bottom w:w="0" w:type="dxa"/>
          <w:right w:w="0" w:type="dxa"/>
        </w:tblCellMar>
      </w:tblPr>
      <w:tblGrid>
        <w:gridCol w:w="4171"/>
        <w:gridCol w:w="346"/>
        <w:gridCol w:w="250"/>
        <w:gridCol w:w="1055"/>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648585" cy="175260"/>
                      <wp:effectExtent l="0" t="0" r="0" b="0"/>
                      <wp:wrapNone/>
                      <wp:docPr id="327" name="Frame322"/>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58750" cy="175260"/>
                      <wp:effectExtent l="0" t="0" r="0" b="0"/>
                      <wp:wrapNone/>
                      <wp:docPr id="329" name="Frame32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69925" cy="175260"/>
                      <wp:effectExtent l="0" t="0" r="0" b="0"/>
                      <wp:wrapNone/>
                      <wp:docPr id="330" name="Frame325"/>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1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375,000</w:t>
            </w:r>
          </w:p>
        </w:tc>
      </w:tr>
      <w:tr>
        <w:trPr/>
        <w:tc>
          <w:tcPr>
            <w:tcW w:w="41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10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375,000</w:t>
            </w:r>
          </w:p>
        </w:tc>
      </w:tr>
      <w:tr>
        <w:trPr/>
        <w:tc>
          <w:tcPr>
            <w:tcW w:w="41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41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net of unamortized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10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373,951</w:t>
            </w:r>
          </w:p>
        </w:tc>
      </w:tr>
      <w:tr>
        <w:trPr/>
        <w:tc>
          <w:tcPr>
            <w:tcW w:w="41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373,951</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2024, the Company entered into a credit agreement with JPMorgan Chase Bank, N.A., as administrative agent, and certain other lenders (the “Original Credit Agreement”), which provided for senior unsecured credit facilities in an aggregate principal amount of $1.50 billion (collectively, the “Credit Facilities”). The Credit Facilities previously consisted of a $750.0 million term loan (the “Term Loan”) and up to $750.0 million in multicurrency revolving loan commitments (the “Revolving Credit Facility”). The Term Loan was repaid in April 2025 with no additional borrowings permitted. In addition, pursuant to Amendment No. 1 to the Original Credit Agreement, dated as of October 17, 2025, among the Company, JPMorgan Chase Bank, N.A., as administrative agent, and certain other lenders (the “Amended Credit Agreement”), the Company’s aggregate borrowing capacity under the Revolving Credit Facility has been reduced to $500.0 million. Borrowings under the Revolving Credit Facility bear interest at a variable rate per annum equal to the applicable rate plus margin (as defined in the Amended Credit Agreement). Borrowings may be repaid at any time during the term of the Revolving Credit Facility and may be reborrowed prior to the maturity date, which is set to occur in May 2029. As of December 31, 2025, no borrowings were outstanding under the Credit Facilities, and the Company was in compliance with all covenants under the Amended Credit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the Company has a line of credit of up to $15.0 million with HSBC Bank (China) Company Limited, Shanghai Branch. As of December 31, 2025, no amount was outstanding on this line of credit.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28" w:name="Tc_i5dNajC9TESOUU-KJmf69Q_8_2"/>
      <w:bookmarkStart w:id="1229" w:name="Tc_GdqUjs9umUmkgpFrB5IVHg_7_0"/>
      <w:bookmarkStart w:id="1230" w:name="Tc_c4CB_2zEyUKLAIR-XGV-yg_6_0"/>
      <w:bookmarkStart w:id="1231" w:name="Tc_Fc20gsEcekaaEZ7D9I4oCA_5_0"/>
      <w:bookmarkStart w:id="1232" w:name="Tc_AWyjcx2KL0qRx0x1tJyW-g_4_0"/>
      <w:bookmarkStart w:id="1233" w:name="Tc_kCDWGsMUDEi-FHQf8m4-lw_3_0"/>
      <w:bookmarkStart w:id="1234" w:name="Tc_9JNRBFKdDEWURX3rYyQXqg_2_2"/>
      <w:bookmarkStart w:id="1235" w:name="Tc_7aNkvZydX0SV0I7MGVjUkQ_2_0"/>
      <w:bookmarkStart w:id="1236" w:name="Tc_V4L-wEgzsECIVGal-2kt_g_1_0"/>
      <w:bookmarkEnd w:id="1228"/>
      <w:bookmarkEnd w:id="1229"/>
      <w:bookmarkEnd w:id="1230"/>
      <w:bookmarkEnd w:id="1231"/>
      <w:bookmarkEnd w:id="1232"/>
      <w:bookmarkEnd w:id="1233"/>
      <w:bookmarkEnd w:id="1234"/>
      <w:bookmarkEnd w:id="1235"/>
      <w:bookmarkEnd w:id="1236"/>
      <w:r>
        <w:rPr>
          <w:rFonts w:ascii="Times New Roman;Times;serif" w:hAnsi="Times New Roman;Times;serif"/>
          <w:b w:val="false"/>
          <w:i w:val="false"/>
          <w:caps w:val="false"/>
          <w:smallCaps w:val="false"/>
          <w:sz w:val="20"/>
        </w:rPr>
        <w:t>10.</w:t>
      </w:r>
      <w:r>
        <w:rPr>
          <w:rFonts w:ascii="Times New Roman;Times;serif" w:hAnsi="Times New Roman;Times;serif"/>
          <w:b w:val="false"/>
          <w:sz w:val="20"/>
        </w:rPr>
        <w:t>COMMITMENTS AND CONTINGENCIES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Contractual Obligations</w:t>
      </w:r>
      <w:r>
        <w:rPr>
          <w:rFonts w:ascii="Times New Roman;Times;serif" w:hAnsi="Times New Roman;Times;serif"/>
          <w:sz w:val="20"/>
        </w:rPr>
        <w:t xml:space="preserve"> – The Company had the following contractual obligations related primarily to sponsorships and other marketing activities as of December 31, 2025:</w:t>
      </w:r>
    </w:p>
    <w:p>
      <w:pPr>
        <w:pStyle w:val="TextBody"/>
        <w:bidi w:val="0"/>
        <w:spacing w:before="0" w:after="0"/>
        <w:ind w:left="0" w:right="0" w:hanging="0"/>
        <w:jc w:val="left"/>
        <w:rPr/>
      </w:pPr>
      <w:r>
        <w:rPr/>
        <w:t>​</w:t>
      </w:r>
    </w:p>
    <w:tbl>
      <w:tblPr>
        <w:tblW w:w="3754" w:type="dxa"/>
        <w:jc w:val="left"/>
        <w:tblInd w:w="0" w:type="dxa"/>
        <w:tblLayout w:type="fixed"/>
        <w:tblCellMar>
          <w:top w:w="0" w:type="dxa"/>
          <w:left w:w="0" w:type="dxa"/>
          <w:bottom w:w="0" w:type="dxa"/>
          <w:right w:w="0" w:type="dxa"/>
        </w:tblCellMar>
      </w:tblPr>
      <w:tblGrid>
        <w:gridCol w:w="2311"/>
        <w:gridCol w:w="346"/>
        <w:gridCol w:w="211"/>
        <w:gridCol w:w="88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467485" cy="175260"/>
                      <wp:effectExtent l="0" t="0" r="0" b="0"/>
                      <wp:wrapNone/>
                      <wp:docPr id="331" name="Frame32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62610" cy="175260"/>
                      <wp:effectExtent l="0" t="0" r="0" b="0"/>
                      <wp:wrapNone/>
                      <wp:docPr id="334" name="Frame32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318,009</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75,540</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48,902</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10,420</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570,233</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i/>
          <w:sz w:val="20"/>
        </w:rPr>
        <w:t>Purchase Commitments</w:t>
      </w:r>
      <w:r>
        <w:rPr>
          <w:rFonts w:ascii="Times New Roman;Times;serif" w:hAnsi="Times New Roman;Times;serif"/>
          <w:sz w:val="22"/>
        </w:rPr>
        <w:t xml:space="preserve"> – </w:t>
      </w:r>
      <w:r>
        <w:rPr>
          <w:rFonts w:ascii="Times New Roman;Times;serif" w:hAnsi="Times New Roman;Times;serif"/>
          <w:sz w:val="20"/>
        </w:rPr>
        <w:t>The Company had purchase commitments aggregating approximately $216.6</w:t>
      </w:r>
      <w:r>
        <w:rPr>
          <w:rFonts w:ascii="Times New Roman;Times;serif" w:hAnsi="Times New Roman;Times;serif"/>
          <w:sz w:val="22"/>
        </w:rPr>
        <w:t xml:space="preserve"> </w:t>
      </w:r>
      <w:r>
        <w:rPr>
          <w:rFonts w:ascii="Times New Roman;Times;serif" w:hAnsi="Times New Roman;Times;serif"/>
          <w:sz w:val="20"/>
        </w:rPr>
        <w:t>million at December 31, 2025, which represented commitments made by the Company and its subsidiaries to various suppliers of raw materials for the production of its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purchases various raw material items, including, but not limited to, flavors, ingredients, supplement ingredients, containers, milk, glucose, sucralose and cream, from a limited number of suppliers.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2025, 2024 and 2023 was $661.6 million, $577.0 million and $590.5 million,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Guarantees</w:t>
      </w:r>
      <w:r>
        <w:rPr>
          <w:rFonts w:ascii="Times New Roman;Times;serif" w:hAnsi="Times New Roman;Times;serif"/>
          <w:sz w:val="20"/>
        </w:rPr>
        <w:t xml:space="preserve"> – The Company from time to time enters into certain types of contracts that contingently require the Company to indemnify parties against third-party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Litigation </w:t>
      </w:r>
      <w:r>
        <w:rPr>
          <w:rFonts w:ascii="Times New Roman;Times;serif" w:hAnsi="Times New Roman;Times;serif"/>
          <w:sz w:val="20"/>
        </w:rPr>
        <w:t xml:space="preserve">– </w:t>
      </w:r>
      <w:r>
        <w:rPr>
          <w:rFonts w:ascii="Tms Rmn" w:hAnsi="Tms Rmn"/>
          <w:sz w:val="20"/>
        </w:rPr>
        <w:t>From time to time in the normal course of business, the Company is named in litigation, including mediation, arbitration, administrative proceedings, labor and employment matters, personal injury matters, consumer class actions, intellectual property matters, data privacy matters, and claims, including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evaluates, on a quarterly basis, developments in legal proceedings and other matters that could cause an increase or decrease in the amount of the liability that is accrued, if any, and any related insurance reimbursements. As of December 31, 2025 and 2024, $36.2 million and $16.8 million, respectively, of loss contingencies were included in the Company’s accompanying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37" w:name="Tc_24ocPyZzqEqwRm7IdXsklg_5_5"/>
      <w:bookmarkStart w:id="1238" w:name="Tc_LhuVClfQtkCNLfQGiZkloA_5_2"/>
      <w:bookmarkStart w:id="1239" w:name="Tc_eanJUq8OqEC8aYU9JWPwAA_5_0"/>
      <w:bookmarkStart w:id="1240" w:name="Tc_YTB_EB13PUW_Maw91VtFug_4_0"/>
      <w:bookmarkStart w:id="1241" w:name="Tc_06Yd6Cc3dU-8LjC40VokHg_3_0"/>
      <w:bookmarkStart w:id="1242" w:name="Tc_f8l1YXjb6E-oN8Xe8YyKDw_2_6"/>
      <w:bookmarkStart w:id="1243" w:name="Tc_VZ6zC46Pc0OMEjX06Qg7xA_2_5"/>
      <w:bookmarkStart w:id="1244" w:name="Tc_0Ez2FxVj0EieOPmH3hN_Vw_2_2"/>
      <w:bookmarkStart w:id="1245" w:name="Tc_nsCModkXbUqvzwVsisL_Vg_2_0"/>
      <w:bookmarkStart w:id="1246" w:name="Tc_dTTD1-hFnkydeQG7J3vBJg_1_5"/>
      <w:bookmarkStart w:id="1247" w:name="Tc_fOVZNj9UnkOFbffYk-QAjg_1_2"/>
      <w:bookmarkStart w:id="1248" w:name="_2f4b3b26_d8b1_456b_b94d_0ecfbb454226"/>
      <w:bookmarkEnd w:id="1237"/>
      <w:bookmarkEnd w:id="1238"/>
      <w:bookmarkEnd w:id="1239"/>
      <w:bookmarkEnd w:id="1240"/>
      <w:bookmarkEnd w:id="1241"/>
      <w:bookmarkEnd w:id="1242"/>
      <w:bookmarkEnd w:id="1243"/>
      <w:bookmarkEnd w:id="1244"/>
      <w:bookmarkEnd w:id="1245"/>
      <w:bookmarkEnd w:id="1246"/>
      <w:bookmarkEnd w:id="1247"/>
      <w:bookmarkEnd w:id="1248"/>
      <w:r>
        <w:rPr>
          <w:rFonts w:ascii="Times New Roman;Times;serif" w:hAnsi="Times New Roman;Times;serif"/>
          <w:b w:val="false"/>
          <w:i w:val="false"/>
          <w:caps w:val="false"/>
          <w:smallCaps w:val="false"/>
          <w:sz w:val="20"/>
        </w:rPr>
        <w:t>11.</w:t>
      </w:r>
      <w:r>
        <w:rPr>
          <w:rFonts w:ascii="Times New Roman;Times;serif" w:hAnsi="Times New Roman;Times;serif"/>
          <w:b w:val="false"/>
          <w:sz w:val="20"/>
        </w:rPr>
        <w:t>ACCUMULATED OTHER COMPREHENSIVE LOSS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components of accumulated other comprehensive loss, after tax, are as follows at December 31:</w:t>
      </w:r>
    </w:p>
    <w:p>
      <w:pPr>
        <w:pStyle w:val="TextBody"/>
        <w:bidi w:val="0"/>
        <w:spacing w:before="0" w:after="0"/>
        <w:ind w:left="720" w:right="0" w:hanging="0"/>
        <w:jc w:val="both"/>
        <w:rPr/>
      </w:pPr>
      <w:r>
        <w:rPr/>
        <w:t>​</w:t>
      </w:r>
    </w:p>
    <w:tbl>
      <w:tblPr>
        <w:tblW w:w="8767" w:type="dxa"/>
        <w:jc w:val="left"/>
        <w:tblInd w:w="0" w:type="dxa"/>
        <w:tblLayout w:type="fixed"/>
        <w:tblCellMar>
          <w:top w:w="0" w:type="dxa"/>
          <w:left w:w="0" w:type="dxa"/>
          <w:bottom w:w="0" w:type="dxa"/>
          <w:right w:w="0" w:type="dxa"/>
        </w:tblCellMar>
      </w:tblPr>
      <w:tblGrid>
        <w:gridCol w:w="5806"/>
        <w:gridCol w:w="346"/>
        <w:gridCol w:w="211"/>
        <w:gridCol w:w="901"/>
        <w:gridCol w:w="346"/>
        <w:gridCol w:w="211"/>
        <w:gridCol w:w="946"/>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686810" cy="175260"/>
                      <wp:effectExtent l="0" t="0" r="0" b="0"/>
                      <wp:wrapNone/>
                      <wp:docPr id="335" name="Frame330"/>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72135" cy="175260"/>
                      <wp:effectExtent l="0" t="0" r="0" b="0"/>
                      <wp:wrapNone/>
                      <wp:docPr id="338" name="Frame33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00710" cy="175260"/>
                      <wp:effectExtent l="0" t="0" r="0" b="0"/>
                      <wp:wrapNone/>
                      <wp:docPr id="341" name="Frame33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net unrealized gain (loss) on available-for-sale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foreign currency translation gain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(269,930)</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net gain (loss) on 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accumulated other comprehensive loss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(60,841)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(269,487)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12.</w:t>
      </w:r>
      <w:r>
        <w:rPr>
          <w:rFonts w:ascii="Times New Roman;Times;serif" w:hAnsi="Times New Roman;Times;serif"/>
          <w:b w:val="false"/>
          <w:sz w:val="20"/>
        </w:rPr>
        <w:t xml:space="preserve">TREASURY STOCK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year ended December 31, 2025, no shares were repurchased under the August 2024 Repurchase Plan. As of February 26, 2026, $500.0 million remained available for repurchase under the August 2024 Repurchase Plan.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February 26,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2025, 1.5 million shares of common stock were purchased from employees in lieu of cash payments for options exercised or withholding taxes due for a total amount of $103.6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13.</w:t>
      </w:r>
      <w:r>
        <w:rPr>
          <w:rFonts w:ascii="Times New Roman;Times;serif" w:hAnsi="Times New Roman;Times;serif"/>
          <w:b w:val="false"/>
          <w:sz w:val="20"/>
        </w:rPr>
        <w:t>STOCK-BASED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as of December 31, 2025: (i) the Monster Beverage Corporation 2020 Omnibus Incentive Plan (the “2020 Omnibus Incentive Plan”), which includes the Monster Beverage Corporation Deferred Compensation Plan as a sub plan thereunder, and (ii) the Monster Beverage Corporation 2017 Compensation Plan for Non-Employee Directors as Amended and Restated on February 23, 2022 (the “2017 Directors Plan”), which includes the Monster Beverage Corporation Deferred Compensation Plan for Non-Employee Directors as a sub plan thereunder. The 2020 Omnibus Incentive Plan was approved by the Board of Directors on April 14, 2020 and approved by the stockholders of the Company at the annual meeting of the Company’s stockholders held on June 3, 2020 (the “Effective Date”). The 2020 Omnibus Incentive Plan replaced the Monster Beverage Corporation 2011 Omnibus Incentive Plan (the “2011 Omnibus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2020 Omnibus Incentive Plan provides for the granting of stock options, stock appreciation rights, restricted stock, restricted stock units, performance awards, and other share-based awards up to an aggregate of 92,338,734 shares of the Company’s common stock, comprised of 64,000,000 new shares of common stock reserved under the 2020 Omnibus Incentive Plan, which were authorized on the Effective Date, and 28,338,734 shares of common stock that were available for grant under the 2011 Omnibus Incentive Plan as of December 31, 2019 and prior to the Effective Date. Shares authorized under the 2020 Omnibus Incentive Plan are reduced by one (1) share for options or stock appreciation rights granted under the 2020 Omnibus Incentive Plan and for any grants after December 31, 2019 under the 2011 Omnibus Incentive Plan, and by 2.6 shares for each share granted or issued with respect to a Full Value Award under either the 2020 Omnibus Incentive Plan or for any shares granted after December 31, 2019 under the 2011 Omnibus Incentive Plan. A “Full Value Award” is an award other than an incentive stock option, a non-qualified stock option, or a stock appreciation right, which is settled by the issuance of shares. Options granted under the 2020 Omnibus Incentive Plan may be incentive stock options under Section 422 of the Internal Revenue Code, as amended (the “Code”), or non-qualified stock options.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Shares previously granted under the 2011 Omnibus Incentive Plan after December 31, 2019 and prior to the Effective Date of the 2020 Omnibus Incentive Plan reduced the number of shares available for grant under the 2020 Omnibus Incentive Plan. As of December 31, 2025, 23,062,505 shares of the Company’s common stock have been granted, net of cancellations, and 62,964,030 shares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adjusted for Full Value Awards) of the Company’s common stock remain available for grant under the 2020 Omnibus Incentive Plan.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 xml:space="preserve">The Compensation Committee of the Board of Directors (the “Compensation Committee”) has sole and exclusive authority to grant stock awards to all employees who are not new hires and to all new hires who are subject to Section 16 of the Exchange Act (“Section 16”). Each of the Compensation Committee and the Executive Committee of the Board of Directors (the “Executive Committee”) independently has the authority to grant stock awards to (i) new hires and (ii) employees receiving a promotion, in each case, who are not Section 16 employees. Awards granted by the Executive Committee are not subject to approval or ratification by the Board of Directors or the Compensation Committee. Options granted under the 2020 Omnibus Incentive Plan generally vest over a </w:t>
      </w:r>
      <w:r>
        <w:rPr>
          <w:rFonts w:ascii="Times New Roman;Times;serif" w:hAnsi="Times New Roman;Times;serif"/>
          <w:b w:val="false"/>
          <w:i w:val="false"/>
          <w:caps w:val="false"/>
          <w:smallCaps w:val="false"/>
          <w:sz w:val="20"/>
        </w:rPr>
        <w:t>three</w:t>
      </w:r>
      <w:r>
        <w:rPr>
          <w:rFonts w:ascii="Times New Roman;Times;serif" w:hAnsi="Times New Roman;Times;serif"/>
          <w:sz w:val="20"/>
        </w:rPr>
        <w:t>- to five-year</w:t>
      </w:r>
      <w:r>
        <w:rPr>
          <w:rFonts w:ascii="Times New Roman;Times;serif" w:hAnsi="Times New Roman;Times;serif"/>
          <w:sz w:val="22"/>
        </w:rPr>
        <w:t xml:space="preserve"> </w:t>
      </w:r>
      <w:r>
        <w:rPr>
          <w:rFonts w:ascii="Times New Roman;Times;serif" w:hAnsi="Times New Roman;Times;serif"/>
          <w:sz w:val="20"/>
        </w:rPr>
        <w:t>period from the grant date and are generally exercisable up to 10 years</w:t>
      </w:r>
      <w:r>
        <w:rPr>
          <w:rFonts w:ascii="Times New Roman;Times;serif" w:hAnsi="Times New Roman;Times;serif"/>
          <w:sz w:val="22"/>
        </w:rPr>
        <w:t xml:space="preserve"> </w:t>
      </w:r>
      <w:r>
        <w:rPr>
          <w:rFonts w:ascii="Times New Roman;Times;serif" w:hAnsi="Times New Roman;Times;serif"/>
          <w:sz w:val="20"/>
        </w:rPr>
        <w:t xml:space="preserve">after the grant date. Restricted stock units granted under the 2020 Omnibus Incentive Plan generally vest over a </w:t>
      </w:r>
      <w:r>
        <w:rPr>
          <w:rFonts w:ascii="Times New Roman;Times;serif" w:hAnsi="Times New Roman;Times;serif"/>
          <w:b w:val="false"/>
          <w:i w:val="false"/>
          <w:caps w:val="false"/>
          <w:smallCaps w:val="false"/>
          <w:sz w:val="20"/>
        </w:rPr>
        <w:t>three</w:t>
      </w:r>
      <w:r>
        <w:rPr>
          <w:rFonts w:ascii="Times New Roman;Times;serif" w:hAnsi="Times New Roman;Times;serif"/>
          <w:sz w:val="20"/>
        </w:rPr>
        <w:t>- or five-year</w:t>
      </w:r>
      <w:r>
        <w:rPr>
          <w:rFonts w:ascii="Times New Roman;Times;serif" w:hAnsi="Times New Roman;Times;serif"/>
          <w:sz w:val="22"/>
        </w:rPr>
        <w:t xml:space="preserve"> </w:t>
      </w:r>
      <w:r>
        <w:rPr>
          <w:rFonts w:ascii="Times New Roman;Times;serif" w:hAnsi="Times New Roman;Times;serif"/>
          <w:sz w:val="20"/>
        </w:rPr>
        <w:t xml:space="preserve">period from the grant date. Performance share units will generally vest based on an award recipient’s continuous employment through a cumulative </w:t>
      </w:r>
      <w:r>
        <w:rPr>
          <w:rFonts w:ascii="Times New Roman;Times;serif" w:hAnsi="Times New Roman;Times;serif"/>
          <w:b w:val="false"/>
          <w:i w:val="false"/>
          <w:caps w:val="false"/>
          <w:smallCaps w:val="false"/>
          <w:sz w:val="20"/>
        </w:rPr>
        <w:t>three</w:t>
      </w:r>
      <w:r>
        <w:rPr>
          <w:rFonts w:ascii="Times New Roman;Times;serif" w:hAnsi="Times New Roman;Times;serif"/>
          <w:sz w:val="20"/>
        </w:rPr>
        <w:t>-year performance period and the achievement of financial performance goals specified for the applicable award during such performance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2016, the Company adopted the Deferred Compensation Plan (as a sub plan to the 2011 Omnibus Incentive Plan), pursuant to which eligible employees may elect to defer cash and/or equity based compensation and to receive the deferred amounts, together with an investment return (positive or negative), either at a pre-determined time in the future or upon termination of employment with the Company or its subsidiaries or affiliates that are participating employers under the Deferred Compensation Plan, as provided under the Deferred Compensation Plan and in relevant deferral elections. Deferrals under the Deferred Compensation Plan are unfunded and unsecured. As of December 31, 2025 deferrals under the Deferred Compensation Plan are solely comprised of cash compensation and equity compensation and are not material in the aggregate.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2017, the Company adopted the 2017 Directors Plan, a successor plan to the 2009 Monster Beverage Corporation Stock Incentive Plan for Non-Employee Directors. The 2017 Directors Plan permits the granting of stock options, stock appreciation rights, restricted shares or restricted stock units, deferred awards, dividend equivalents, and other share-based awards up to an aggregate of 2,500,000 shares of common stock of the Company to non-employee directors of the Company.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calendar year, a non-employee director will receive an annual retainer and annual equity award, as provided for in the 2017 Directors Plan, which may be modified from time to time. In February 2022, the Board of Directors amended and restated the 2017 Directors Plan to provide for increases to the annual cash retainer and annual equity retainer that non-employee directors are entitled to receive. Currently, non-employee directors receive an annual equity retainer of approximately $175,000 in the form of restricted stock units at each annual meeting of the Company’s stockholders or promptly thereafter. A non-employee director’s annual award of restricted stock units will generally vest on the earliest to occur of: (a) the last business day immediately preceding the annual meeting of the Company’s stockholders in the calendar year following the calendar year in which the grant date occurs, (b) a Change of Control (as defined in the 2017 Directors Plan), (c) the non-employee director’s death, or (d) the date of the non-employee director’s separation from service due to disability, so long as the non-employee director remains a non-employee director through such date. The Board of Directors may in its discretion award non-employee directors stock options, stock appreciation rights, restricted stock and other share-based awards in lieu of or in addition to restricted stock units. The Board of Directors may amend or terminate the 2017 Directors Plan at any time, subject to certain limitations set forth in the 2017 Directors Plan. As of December 31, 2025, 316,259 shares of the Company’s common stock had been granted under the 2017 Directors Plan, and 2,183,741 shares of the Company’s common stock remain available for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2017, the Company adopted the Deferred Compensation Plan for Non-Employee Directors (as a sub plan to the 2017 Directors Plan), pursuant to which the Board of Directors may permit non-employee directors to elect, at such times and in accordance with rules and procedures (or sub-plan) adopted by the Board of Directors (which are intended to comply with Section 409A of the Code, as applicable), to receive all or any portion of such non-employee director’s compensation, whether payable in cash or in equity, on a deferred basis. Deferrals under the Deferred Compensation Plan for Non-Employee Directors are unfunded and unsecured. As of December 31, 2025, deferrals under the Deferred Compensation Plan for Non-Employee Directors are solely comprised of cash compensation and equity compensation and are not material in the aggregate. The 2017 Directors Plan was adopted to effectuate any such deferrals. The 2017 Directors Plan is administered by the Board of Directors. Each award granted under the 2017 Directors Plan will be evidenced by a written agreement and will contain the terms and conditions that the Board of Directors deems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249" w:name="Tc_DmtAHkG5l0uE2oBGpBNrOg_5_6"/>
      <w:bookmarkStart w:id="1250" w:name="Tc_skkzytgHRUWBnmBrcR9zGw_5_4"/>
      <w:bookmarkStart w:id="1251" w:name="Tc_ALmV6Ol8aE-4aQSRvlqvDA_5_2"/>
      <w:bookmarkStart w:id="1252" w:name="Tc_aOSV27c8f02Q9x5x0wzRYw_5_0"/>
      <w:bookmarkStart w:id="1253" w:name="Tc_VanMTZlz8EiMbcB8RR3S2w_4_7"/>
      <w:bookmarkStart w:id="1254" w:name="Tc_eoGHVw9qXUeRfQWLzpUDsw_4_5"/>
      <w:bookmarkStart w:id="1255" w:name="Tc_CVIefTzvQkOoBQjvVQP4Jg_4_3"/>
      <w:bookmarkStart w:id="1256" w:name="Tc_AbgrSP5TIkCMkdGiQUFtQA_4_0"/>
      <w:bookmarkStart w:id="1257" w:name="Tc_koUYAxjM_k6AJfxrltsZhg_3_7"/>
      <w:bookmarkStart w:id="1258" w:name="Tc_0YLHSJ9oiESWE0sclDFLVA_3_5"/>
      <w:bookmarkStart w:id="1259" w:name="Tc_60zcJCr5Nkqne2l5qTRWuQ_3_3"/>
      <w:bookmarkStart w:id="1260" w:name="Tc_KiDZGUsQ20ueEZOrq9bqSg_3_0"/>
      <w:bookmarkStart w:id="1261" w:name="Tc_y21qxTl_cku_jUIOvKYL1w_2_7"/>
      <w:bookmarkStart w:id="1262" w:name="Tc_eiqpFPI2TEm_pUvKtnIM9g_2_5"/>
      <w:bookmarkStart w:id="1263" w:name="Tc__3TCQ1QhnkO1uns-4IZErg_2_3"/>
      <w:bookmarkStart w:id="1264" w:name="Tc_HDjSuvPaa02ecCorsA5XIw_2_0"/>
      <w:bookmarkStart w:id="1265" w:name="Tc_ndOHVUK1xU-_0drOs8W2Ew_1_6"/>
      <w:bookmarkStart w:id="1266" w:name="Tc_gLvO2mvChU6ml0Ct5_hFhg_1_4"/>
      <w:bookmarkStart w:id="1267" w:name="Tc_pPG5d86oVkWy5Rs_qt5DVw_1_2"/>
      <w:bookmarkStart w:id="1268" w:name="_75a03dd2_6a0a_4ea8_b2c5_7453afce4313"/>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r>
        <w:rPr>
          <w:rFonts w:ascii="Times New Roman;Times;serif" w:hAnsi="Times New Roman;Times;serif"/>
          <w:sz w:val="20"/>
        </w:rPr>
        <w:t>In February 2022, as part of the Board of Directors’ amendment and restatement of the 2017 Directors Plan, such amendment and restatement also introduced the requirement for each non-employee director to satisfy the share ownership guidelines set forth below, as may be modified by the Board of Directors from time to time. The current share ownership guidelines provide that non-employee directors of the Company must: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shares of Company common stock having a total value of five times the annual retainer payable to a non-employee director (excluding any portion of the annual retainer attributable to a non-employee director’s service as a member of a subcommittee, as a chair of a subcommittee or as the lead independent director, as applicable). For this purpose, deferred shares or deferred restricted stock units will be deemed held, to the extent vested.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stock ownership level must be achieved by each non-employee director by the fifth anniversary of such non-employee director’s initial appointment to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achieved, ownership of the guideline amount should be maintained for so long as the non-employee director retains his or her seat on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$125.7 million, $91.0 million and $68.8 million of compensation expense relating to outstanding options, restricted stock units, performance share units and other share-based awards during the years ended December 31, 2025, 2024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tax benefit for tax deductions from non-qualified stock option exercises, disqualifying dispositions of incentive stock options and vesting of restricted stock units and performance share units for the years ended December 31, 2025, 2024 and 2023 was $37.1 million, $12.9 million and $62.2 million,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through December 31, 2025 were granted at prices based on the fair value of the Company’s common stock on the date of grant. The Company records compensation expense for (i) employee stock options based on the estimated fair value of the options on the date of grant and (ii) for non-employee stock options based on the estimated fair value of the options as of the earlier of (1) the date at which a commitment for performance by the non-employee to earn the stock option is reached or (2) the date at which the non-employee’s performance is complete, in each case using the Black-Scholes-Merton option pricing formula with the assumptions included in the table below. The Company uses historical data to determine the exercise behavior, volatility and forfeiture rate of the options.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options granted during:</w:t>
      </w:r>
    </w:p>
    <w:p>
      <w:pPr>
        <w:pStyle w:val="TextBody"/>
        <w:bidi w:val="0"/>
        <w:spacing w:before="0" w:after="0"/>
        <w:ind w:left="0" w:right="0" w:firstLine="720"/>
        <w:jc w:val="both"/>
        <w:rPr/>
      </w:pPr>
      <w:r>
        <w:rPr/>
        <w:t>​</w:t>
      </w:r>
    </w:p>
    <w:tbl>
      <w:tblPr>
        <w:tblW w:w="5888" w:type="dxa"/>
        <w:jc w:val="left"/>
        <w:tblInd w:w="0" w:type="dxa"/>
        <w:tblLayout w:type="fixed"/>
        <w:tblCellMar>
          <w:top w:w="0" w:type="dxa"/>
          <w:left w:w="0" w:type="dxa"/>
          <w:bottom w:w="0" w:type="dxa"/>
          <w:right w:w="0" w:type="dxa"/>
        </w:tblCellMar>
      </w:tblPr>
      <w:tblGrid>
        <w:gridCol w:w="1846"/>
        <w:gridCol w:w="346"/>
        <w:gridCol w:w="856"/>
        <w:gridCol w:w="361"/>
        <w:gridCol w:w="856"/>
        <w:gridCol w:w="361"/>
        <w:gridCol w:w="856"/>
        <w:gridCol w:w="4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172210" cy="175260"/>
                      <wp:effectExtent l="0" t="0" r="0" b="0"/>
                      <wp:wrapNone/>
                      <wp:docPr id="342" name="Frame33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43560" cy="175260"/>
                      <wp:effectExtent l="0" t="0" r="0" b="0"/>
                      <wp:wrapNone/>
                      <wp:docPr id="344" name="Frame33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29235" cy="175260"/>
                      <wp:effectExtent l="0" t="0" r="0" b="0"/>
                      <wp:wrapNone/>
                      <wp:docPr id="345" name="Frame3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43560" cy="175260"/>
                      <wp:effectExtent l="0" t="0" r="0" b="0"/>
                      <wp:wrapNone/>
                      <wp:docPr id="346" name="Frame34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29235" cy="175260"/>
                      <wp:effectExtent l="0" t="0" r="0" b="0"/>
                      <wp:wrapNone/>
                      <wp:docPr id="347" name="Frame3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43560" cy="175260"/>
                      <wp:effectExtent l="0" t="0" r="0" b="0"/>
                      <wp:wrapNone/>
                      <wp:docPr id="348" name="Frame34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57810" cy="175260"/>
                      <wp:effectExtent l="0" t="0" r="0" b="0"/>
                      <wp:wrapNone/>
                      <wp:docPr id="349" name="Frame34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61" w:type="dxa"/>
            <w:tcBorders/>
            <w:vAlign w:val="center"/>
          </w:tcPr>
          <w:p>
            <w:pPr>
              <w:pStyle w:val="TableContents"/>
              <w:bidi w:val="0"/>
              <w:spacing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61" w:type="dxa"/>
            <w:tcBorders/>
            <w:vAlign w:val="center"/>
          </w:tcPr>
          <w:p>
            <w:pPr>
              <w:pStyle w:val="TableContents"/>
              <w:bidi w:val="0"/>
              <w:spacing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406" w:type="dxa"/>
            <w:tcBorders/>
            <w:vAlign w:val="center"/>
          </w:tcPr>
          <w:p>
            <w:pPr>
              <w:pStyle w:val="TableContents"/>
              <w:bidi w:val="0"/>
              <w:spacing w:before="0" w:after="1"/>
              <w:ind w:left="0" w:right="0" w:hanging="0"/>
              <w:jc w:val="left"/>
              <w:rPr/>
            </w:pPr>
            <w:r>
              <w:rPr/>
              <w:t> </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 Years</w:t>
            </w:r>
          </w:p>
        </w:tc>
        <w:tc>
          <w:tcPr>
            <w:tcW w:w="36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 Years</w:t>
            </w:r>
          </w:p>
        </w:tc>
        <w:tc>
          <w:tcPr>
            <w:tcW w:w="36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 Years</w:t>
            </w:r>
          </w:p>
        </w:tc>
        <w:tc>
          <w:tcPr>
            <w:tcW w:w="40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269" w:name="Tc_OuASOdgu0kmHKZBfuvQBcg_17_15"/>
      <w:bookmarkStart w:id="1270" w:name="Tc_Wq8eHaXY4keYWyBCaqAonQ_17_10"/>
      <w:bookmarkStart w:id="1271" w:name="Tc_3M68YISzREOu5QQvwhy17Q_16_16"/>
      <w:bookmarkStart w:id="1272" w:name="Tc_N3NJS8sh4UC2JJPGP4cXoQ_16_15"/>
      <w:bookmarkStart w:id="1273" w:name="Tc_2QglfSWgCEOcxLs-e322DA_16_13"/>
      <w:bookmarkStart w:id="1274" w:name="Tc_WJ1m3tPV1UumKMf_cacmtw_16_10"/>
      <w:bookmarkStart w:id="1275" w:name="Tc_D6irWfVoPkOG3E6xKO4BHg_16_3"/>
      <w:bookmarkStart w:id="1276" w:name="Tc_CHZLjiSpRUyhmO691HfGQw_16_2"/>
      <w:bookmarkStart w:id="1277" w:name="Tc_vu2MJIhU502LkNbhPe5cGQ_16_0"/>
      <w:bookmarkStart w:id="1278" w:name="Tc_eoNByUhuI0ynyTRDhgC70Q_15_15"/>
      <w:bookmarkStart w:id="1279" w:name="Tc_gNEg2bPOo02OgxiOhr9y9Q_15_10"/>
      <w:bookmarkStart w:id="1280" w:name="Tc_Il3j3cOkb0SAS6DnkTX4FA_15_3"/>
      <w:bookmarkStart w:id="1281" w:name="Tc_SUV_uLmAFEm_Jgss4DXJow_15_2"/>
      <w:bookmarkStart w:id="1282" w:name="Tc_GO6O7CwAzEi2bnazpRhpog_15_0"/>
      <w:bookmarkStart w:id="1283" w:name="Tc_KKF3ziS-LUCbNYiUHff6SA_14_15"/>
      <w:bookmarkStart w:id="1284" w:name="Tc_xYmi2IM1lUOCGoOhXiJNPQ_14_10"/>
      <w:bookmarkStart w:id="1285" w:name="Tc_2CVylXqBH0m7qRpb3f-dNQ_14_3"/>
      <w:bookmarkStart w:id="1286" w:name="Tc_ofrBO-QpxkuWF-ttCTB1vw_14_2"/>
      <w:bookmarkStart w:id="1287" w:name="Tc_Ih0LQNySxU-a9HAwPpyz2Q_14_0"/>
      <w:bookmarkStart w:id="1288" w:name="Tc_mNTI6hwRRkSkIsfmpBqXFQ_13_15"/>
      <w:bookmarkStart w:id="1289" w:name="Tc_niGDjDb57ESsH0mvN9z_Mg_13_10"/>
      <w:bookmarkStart w:id="1290" w:name="Tc_0NdmSMaX4USzjaB0Mnz1Fw_13_3"/>
      <w:bookmarkStart w:id="1291" w:name="Tc_MQTRS3Ic3kW5Yb7zFYsYYg_13_2"/>
      <w:bookmarkStart w:id="1292" w:name="Tc_hRW9L6JjJEq2dvCVMSXFDQ_13_0"/>
      <w:bookmarkStart w:id="1293" w:name="Tc_qki_tSIkekeTqPXtHhSDaQ_12_15"/>
      <w:bookmarkStart w:id="1294" w:name="Tc_8KeVkHZuM0-KJX-4qgUhmw_12_10"/>
      <w:bookmarkStart w:id="1295" w:name="Tc_Rn6AJ70GwUCgGbJbYa5stw_12_3"/>
      <w:bookmarkStart w:id="1296" w:name="Tc_Y35HG1EmtUyQs6G-D9rQ_g_12_2"/>
      <w:bookmarkStart w:id="1297" w:name="Tc_jcIu1RgEH0uw3bjtC5NjYA_12_0"/>
      <w:bookmarkStart w:id="1298" w:name="Tc_fqp8OScotUGIs8APk5Y5-A_11_15"/>
      <w:bookmarkStart w:id="1299" w:name="Tc_Hw9rlX_Khkit-f64Id1gXg_11_10"/>
      <w:bookmarkStart w:id="1300" w:name="Tc_EdPF02khGky0dONbImIe7w_11_3"/>
      <w:bookmarkStart w:id="1301" w:name="Tc_BA_gbwPhBU-FvNTm60GltQ_11_2"/>
      <w:bookmarkStart w:id="1302" w:name="Tc_XKjCYa4Js0i_no_74e6X0A_11_0"/>
      <w:bookmarkStart w:id="1303" w:name="Tc_7wE3sGrb30m0GoqWfefW9g_10_15"/>
      <w:bookmarkStart w:id="1304" w:name="Tc_SI2ApClwmE2kXzda4-ui3A_10_10"/>
      <w:bookmarkStart w:id="1305" w:name="Tc_jjeaX4d6IECxTFmrR_sBTw_10_3"/>
      <w:bookmarkStart w:id="1306" w:name="Tc_kEmFHvRKrk62kWzfqX9cZQ_10_2"/>
      <w:bookmarkStart w:id="1307" w:name="Tc_DyExLeWkGUuviKthy6BsOg_10_0"/>
      <w:bookmarkStart w:id="1308" w:name="Tc_E2G8GLNxo0623dWGjo_WEw_9_15"/>
      <w:bookmarkStart w:id="1309" w:name="Tc_LjK955h45kSEicqON16rsQ_9_10"/>
      <w:bookmarkStart w:id="1310" w:name="Tc_U3Mwzu24nEOTEEt6O9f3wQ_9_3"/>
      <w:bookmarkStart w:id="1311" w:name="Tc_-TFVc6t-5EuQL27tBWR38A_9_2"/>
      <w:bookmarkStart w:id="1312" w:name="Tc_srxHX_QYS0S-bcVffAVt-Q_9_0"/>
      <w:bookmarkStart w:id="1313" w:name="Tc_J4by63YSqkmGYXugzVDw6w_8_15"/>
      <w:bookmarkStart w:id="1314" w:name="Tc_iQWgBk6iIUqIXPMpXS4I0g_8_10"/>
      <w:bookmarkStart w:id="1315" w:name="Tc_MfUy8MWLQ0-sWa9H3CqIlg_8_3"/>
      <w:bookmarkStart w:id="1316" w:name="Tc_8g5j9Tn7wkmbDJ3AEOjsEg_8_2"/>
      <w:bookmarkStart w:id="1317" w:name="Tc_FWf7T5ZksEycKIYQUVRvsA_8_0"/>
      <w:bookmarkStart w:id="1318" w:name="Tc_qzHbajYMfUOnrrlYoyB-mg_7_15"/>
      <w:bookmarkStart w:id="1319" w:name="Tc_0lQ6UyJY0EqHRK0fAJ1ZyQ_7_10"/>
      <w:bookmarkStart w:id="1320" w:name="Tc_ZI7Laf6klkiz9sC_ZXWcEA_7_3"/>
      <w:bookmarkStart w:id="1321" w:name="Tc_Kro9TAmJHEmQPfx5tDw4FQ_7_2"/>
      <w:bookmarkStart w:id="1322" w:name="Tc_KzePbUVkokiGv5iesrD7OA_7_0"/>
      <w:bookmarkStart w:id="1323" w:name="Tc_PRl_kEoDpkiPKftLUHgEng_6_15"/>
      <w:bookmarkStart w:id="1324" w:name="Tc_yJvHSbtG9Uq4w9vu7xjmlA_6_13"/>
      <w:bookmarkStart w:id="1325" w:name="Tc_v9mg09CyGkahU9mL695Tmw_6_10"/>
      <w:bookmarkStart w:id="1326" w:name="Tc_hFbQHvFraku0ZBmS1T81kw_6_8"/>
      <w:bookmarkStart w:id="1327" w:name="Tc_E1sQJHO8DUyDg0aZ0kUUFg_6_6"/>
      <w:bookmarkStart w:id="1328" w:name="Tc_1XNZEAg1N0CjNHGUf7AozA_6_0"/>
      <w:bookmarkStart w:id="1329" w:name="Tc_KXWfpsP-9USOrb4zsAA_Qg_5_15"/>
      <w:bookmarkStart w:id="1330" w:name="Tc__OSHXGk6NkC0mu_bad5qNw_5_13"/>
      <w:bookmarkStart w:id="1331" w:name="Tc_ZD6co4GiX0i2BVQ5tyz0ng_5_10"/>
      <w:bookmarkStart w:id="1332" w:name="Tc_Xw-52Owr8UyA-hjLZZopxw_5_8"/>
      <w:bookmarkStart w:id="1333" w:name="Tc_E_VY8ZxwS0SNoYSyZMqFiw_5_6"/>
      <w:bookmarkStart w:id="1334" w:name="Tc_gbJPRBuhTU6FSDQAuA6_mw_5_0"/>
      <w:bookmarkStart w:id="1335" w:name="Tc_UJtiq1RSe0y27XSBxjQaCg_4_15"/>
      <w:bookmarkStart w:id="1336" w:name="Tc_JT_pyARXQES15Jnt0TNq1w_4_13"/>
      <w:bookmarkStart w:id="1337" w:name="Tc_QhzlPBcw70GMGI_iyE-OXQ_4_10"/>
      <w:bookmarkStart w:id="1338" w:name="Tc_eaWYi4Jxqk6Ihz5UT7z65Q_4_8"/>
      <w:bookmarkStart w:id="1339" w:name="Tc_fJXdmVtZgE2hBSomd107sQ_4_6"/>
      <w:bookmarkStart w:id="1340" w:name="Tc_jh4ZuK4rK0OFfJzeDvk3jQ_3_15"/>
      <w:bookmarkStart w:id="1341" w:name="Tc_JUBu8EANC0yrWrHaNwxRtg_3_13"/>
      <w:bookmarkStart w:id="1342" w:name="Tc_FFdTZjAyvEmH_CCbvtkYSg_3_10"/>
      <w:bookmarkStart w:id="1343" w:name="Tc_IXZlU1jfSE6RsVaDFxg8gw_3_8"/>
      <w:bookmarkStart w:id="1344" w:name="Tc_-cXx4yBiPUi_P3CWyEfAhg_2_8"/>
      <w:bookmarkStart w:id="1345" w:name="Tc_YoEaR0RkZEKHqNWgCsDfFw_1_13"/>
      <w:bookmarkStart w:id="1346" w:name="Tc_k4vJFrT4CUCvgkn_RFFHvg_1_6"/>
      <w:bookmarkStart w:id="1347" w:name="_8b0e7102_ff63_4032_9758_2b5cdc219752"/>
      <w:bookmarkStart w:id="1348" w:name="Tc_Nwomr4EIOkCxrs_UJbUSxA_16_9"/>
      <w:bookmarkStart w:id="1349" w:name="Tc_mQYSMfljIE2JSq1cL9Rs4Q_16_4"/>
      <w:bookmarkStart w:id="1350" w:name="Tc_UDRxa4rYN0ynFyXiFoghBg_16_0"/>
      <w:bookmarkStart w:id="1351" w:name="Tc_mOP3nRQVfEGKlF7fnYN7OQ_15_9"/>
      <w:bookmarkStart w:id="1352" w:name="Tc_i3aEkJKrrESaCjFxySdMgg_15_4"/>
      <w:bookmarkStart w:id="1353" w:name="Tc_ynRhjAEEd0Gxkjd3hbftdA_15_0"/>
      <w:bookmarkStart w:id="1354" w:name="Tc__dW99vqYL0SAprALehdMBA_14_9"/>
      <w:bookmarkStart w:id="1355" w:name="Tc_uCeT91IFHkqEXSNkCBahZg_14_4"/>
      <w:bookmarkStart w:id="1356" w:name="Tc_rThu3q8VP0at2t_ydWSmTw_14_0"/>
      <w:bookmarkStart w:id="1357" w:name="Tc_NYfdYJLAuUml83_Kztkk3g_13_4"/>
      <w:bookmarkStart w:id="1358" w:name="Tc_4wj227cW-EitFgRo2sSqHg_13_0"/>
      <w:bookmarkStart w:id="1359" w:name="Tc_ucHTZdNYtkKIWHY5YWp2ag_12_4"/>
      <w:bookmarkStart w:id="1360" w:name="Tc_tW1TbVRcP0SCSM-6xL7P3g_12_0"/>
      <w:bookmarkStart w:id="1361" w:name="Tc_DSqZTngGKUGz7mi1X425dA_11_4"/>
      <w:bookmarkStart w:id="1362" w:name="Tc_qIQrhCh6ZUKXWIevnH_31w_11_0"/>
      <w:bookmarkStart w:id="1363" w:name="Tc__1hDOqQsUEWinsL00isx5w_10_5"/>
      <w:bookmarkStart w:id="1364" w:name="Tc_X-0rHLpehEKtqThFvBEsgg_10_4"/>
      <w:bookmarkStart w:id="1365" w:name="Tc_kmW8EBzVx0uBV7IPO9yaCQ_10_2"/>
      <w:bookmarkStart w:id="1366" w:name="Tc_xwZX2zuLQkiwL9kVxEVNpA_10_0"/>
      <w:bookmarkStart w:id="1367" w:name="Tc_t7dbI3u_bEalF1pkk2nvZA_9_4"/>
      <w:bookmarkStart w:id="1368" w:name="Tc_0jqKeOdVW0CH483-j0VJsw_9_0"/>
      <w:bookmarkStart w:id="1369" w:name="Tc_M9klDVfyKUab3kC3t4g3AA_8_4"/>
      <w:bookmarkStart w:id="1370" w:name="Tc_SrwemOIrcECImnWXvV0Pfg_8_0"/>
      <w:bookmarkStart w:id="1371" w:name="Tc_9X34w0qoPkyVHVI0KjpjfA_7_9"/>
      <w:bookmarkStart w:id="1372" w:name="Tc_kJnMT3d6ckCvZIt6JXU8_A_7_4"/>
      <w:bookmarkStart w:id="1373" w:name="Tc_-Oh0MLV3Y0CoHh-FF4jGUg_7_0"/>
      <w:bookmarkStart w:id="1374" w:name="Tc_WlGhCpD1hE-iVBUPsDZINQ_6_9"/>
      <w:bookmarkStart w:id="1375" w:name="Tc_vcaSi2OOB0686Fn8gJ4Dgw_6_7"/>
      <w:bookmarkStart w:id="1376" w:name="Tc_X8UKPvmFc06H2Ql-kNaEwA_6_4"/>
      <w:bookmarkStart w:id="1377" w:name="Tc_Vnk8VzLU5EeUA10qvNa4LA_6_2"/>
      <w:bookmarkStart w:id="1378" w:name="Tc_GiiIuIAMN0a2CvryTlO2hw_6_0"/>
      <w:bookmarkStart w:id="1379" w:name="Tc_cwpe6rdZyEOiAS68X-l_Jw_5_9"/>
      <w:bookmarkStart w:id="1380" w:name="Tc_vQuRRi5tpEuC0PYnC3zI2w_5_7"/>
      <w:bookmarkStart w:id="1381" w:name="Tc_5F9xfr9DhEKV1zQx0OHwBQ_5_4"/>
      <w:bookmarkStart w:id="1382" w:name="Tc_6Z_doXq5VEqRPtyq-RS4KA_5_2"/>
      <w:bookmarkStart w:id="1383" w:name="Tc_uVikEa9efEGZU24yRvp3vw_4_7"/>
      <w:bookmarkStart w:id="1384" w:name="Tc_6LJwy8ywzkauOltLOK20JA_4_4"/>
      <w:bookmarkStart w:id="1385" w:name="Tc_XticdVRTeUK-RVZBtEQLbQ_4_2"/>
      <w:bookmarkStart w:id="1386" w:name="Tc_GhfIrJ96KUOgm-t3pkQ7qw_3_7"/>
      <w:bookmarkStart w:id="1387" w:name="Tc_Pv5-dzWCUUWviBqKGCuu4g_3_4"/>
      <w:bookmarkStart w:id="1388" w:name="Tc_59gJtsChgky5Vdw44TyPFQ_2_7"/>
      <w:bookmarkStart w:id="1389" w:name="Tc_nwWs4o-jNkmyIF0zHo6-yQ_2_4"/>
      <w:bookmarkStart w:id="1390" w:name="Tc_aU4QTJGXi0eCbK4725Yd2w_1_7"/>
      <w:bookmarkStart w:id="1391" w:name="_60484622_a0ee_4972_95a7_7cac3dbe80fa"/>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activities with respect to its stock option plans as follows: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571"/>
        <w:gridCol w:w="346"/>
        <w:gridCol w:w="979"/>
        <w:gridCol w:w="346"/>
        <w:gridCol w:w="243"/>
        <w:gridCol w:w="658"/>
        <w:gridCol w:w="346"/>
        <w:gridCol w:w="1066"/>
        <w:gridCol w:w="346"/>
        <w:gridCol w:w="249"/>
        <w:gridCol w:w="1055"/>
      </w:tblGrid>
      <w:tr>
        <w:trPr/>
        <w:tc>
          <w:tcPr>
            <w:tcW w:w="4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902585" cy="175260"/>
                      <wp:effectExtent l="0" t="0" r="0" b="0"/>
                      <wp:wrapNone/>
                      <wp:docPr id="350" name="Frame345"/>
                      <a:graphic xmlns:a="http://schemas.openxmlformats.org/drawingml/2006/main">
                        <a:graphicData uri="http://schemas.microsoft.com/office/word/2010/wordprocessingShape">
                          <wps:wsp>
                            <wps:cNvSpPr txBox="1"/>
                            <wps:spPr>
                              <a:xfrm>
                                <a:off x="0" y="0"/>
                                <a:ext cx="290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21665" cy="175260"/>
                      <wp:effectExtent l="0" t="0" r="0" b="0"/>
                      <wp:wrapNone/>
                      <wp:docPr id="352" name="Frame347"/>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54305" cy="175260"/>
                      <wp:effectExtent l="0" t="0" r="0" b="0"/>
                      <wp:wrapNone/>
                      <wp:docPr id="354" name="Frame34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17830" cy="175260"/>
                      <wp:effectExtent l="0" t="0" r="0" b="0"/>
                      <wp:wrapNone/>
                      <wp:docPr id="355" name="Frame350"/>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76910" cy="175260"/>
                      <wp:effectExtent l="0" t="0" r="0" b="0"/>
                      <wp:wrapNone/>
                      <wp:docPr id="357" name="Frame35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58115" cy="175260"/>
                      <wp:effectExtent l="0" t="0" r="0" b="0"/>
                      <wp:wrapNone/>
                      <wp:docPr id="359" name="Frame35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69925" cy="175260"/>
                      <wp:effectExtent l="0" t="0" r="0" b="0"/>
                      <wp:wrapNone/>
                      <wp:docPr id="360" name="Frame355"/>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center"/>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Price Per</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 (in</w:t>
            </w:r>
          </w:p>
        </w:tc>
        <w:tc>
          <w:tcPr>
            <w:tcW w:w="346" w:type="dxa"/>
            <w:tcBorders/>
            <w:vAlign w:val="center"/>
          </w:tcPr>
          <w:p>
            <w:pPr>
              <w:pStyle w:val="TableContents"/>
              <w:bidi w:val="0"/>
              <w:spacing w:before="0" w:after="0"/>
              <w:ind w:left="0" w:right="0" w:hanging="0"/>
              <w:jc w:val="left"/>
              <w:rPr/>
            </w:pPr>
            <w:r>
              <w:rPr/>
              <w:t>​</w:t>
            </w:r>
          </w:p>
        </w:tc>
        <w:tc>
          <w:tcPr>
            <w:tcW w:w="130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46" w:type="dxa"/>
            <w:tcBorders/>
            <w:vAlign w:val="center"/>
          </w:tcPr>
          <w:p>
            <w:pPr>
              <w:pStyle w:val="TableContents"/>
              <w:bidi w:val="0"/>
              <w:spacing w:before="0" w:after="0"/>
              <w:ind w:left="0" w:right="0" w:hanging="0"/>
              <w:jc w:val="left"/>
              <w:rPr/>
            </w:pPr>
            <w:r>
              <w:rPr/>
              <w:t>  ​ ​ ​</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w:t>
            </w:r>
          </w:p>
        </w:tc>
        <w:tc>
          <w:tcPr>
            <w:tcW w:w="346" w:type="dxa"/>
            <w:tcBorders/>
            <w:vAlign w:val="center"/>
          </w:tcPr>
          <w:p>
            <w:pPr>
              <w:pStyle w:val="TableContents"/>
              <w:bidi w:val="0"/>
              <w:spacing w:before="0" w:after="0"/>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  ​ ​ ​</w:t>
            </w:r>
          </w:p>
        </w:tc>
        <w:tc>
          <w:tcPr>
            <w:tcW w:w="13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4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27,088</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400,207</w:t>
            </w:r>
          </w:p>
        </w:tc>
      </w:tr>
      <w:tr>
        <w:trPr/>
        <w:tc>
          <w:tcPr>
            <w:tcW w:w="4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01/01/25 - 03/31/25</w:t>
            </w:r>
          </w:p>
        </w:tc>
        <w:tc>
          <w:tcPr>
            <w:tcW w:w="34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pPr>
            <w:r>
              <w:rPr/>
              <w:t>​</w:t>
            </w:r>
          </w:p>
        </w:tc>
      </w:tr>
      <w:tr>
        <w:trPr/>
        <w:tc>
          <w:tcPr>
            <w:tcW w:w="4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04/01/25 - 06/30/25</w:t>
            </w:r>
          </w:p>
        </w:tc>
        <w:tc>
          <w:tcPr>
            <w:tcW w:w="34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60.28</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4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07/01/25 - 09/30/25</w:t>
            </w:r>
          </w:p>
        </w:tc>
        <w:tc>
          <w:tcPr>
            <w:tcW w:w="34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pPr>
            <w:r>
              <w:rPr/>
              <w:t>​</w:t>
            </w:r>
          </w:p>
        </w:tc>
      </w:tr>
      <w:tr>
        <w:trPr/>
        <w:tc>
          <w:tcPr>
            <w:tcW w:w="4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10/01/25 - 12/31/25</w:t>
            </w:r>
          </w:p>
        </w:tc>
        <w:tc>
          <w:tcPr>
            <w:tcW w:w="34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66.51</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4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(5,942)</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pPr>
            <w:r>
              <w:rPr/>
              <w:t>​</w:t>
            </w:r>
          </w:p>
        </w:tc>
      </w:tr>
      <w:tr>
        <w:trPr/>
        <w:tc>
          <w:tcPr>
            <w:tcW w:w="4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4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22,161</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750,594</w:t>
            </w:r>
          </w:p>
        </w:tc>
      </w:tr>
      <w:tr>
        <w:trPr/>
        <w:tc>
          <w:tcPr>
            <w:tcW w:w="4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in the future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21,554</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736,616</w:t>
            </w:r>
          </w:p>
        </w:tc>
      </w:tr>
      <w:tr>
        <w:trPr/>
        <w:tc>
          <w:tcPr>
            <w:tcW w:w="4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December 31, 2025</w:t>
            </w:r>
          </w:p>
        </w:tc>
        <w:tc>
          <w:tcPr>
            <w:tcW w:w="34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11,219</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474,047</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information about stock options outstanding and exercisable at December 31, 2025:</w:t>
      </w:r>
    </w:p>
    <w:p>
      <w:pPr>
        <w:pStyle w:val="TextBody"/>
        <w:bidi w:val="0"/>
        <w:spacing w:before="0" w:after="0"/>
        <w:ind w:left="0" w:right="0" w:hanging="0"/>
        <w:jc w:val="both"/>
        <w:rPr/>
      </w:pPr>
      <w:r>
        <w:rPr/>
        <w:t>​</w:t>
      </w:r>
    </w:p>
    <w:tbl>
      <w:tblPr>
        <w:tblW w:w="8969" w:type="dxa"/>
        <w:jc w:val="left"/>
        <w:tblInd w:w="0" w:type="dxa"/>
        <w:tblLayout w:type="fixed"/>
        <w:tblCellMar>
          <w:top w:w="0" w:type="dxa"/>
          <w:left w:w="0" w:type="dxa"/>
          <w:bottom w:w="0" w:type="dxa"/>
          <w:right w:w="0" w:type="dxa"/>
        </w:tblCellMar>
      </w:tblPr>
      <w:tblGrid>
        <w:gridCol w:w="226"/>
        <w:gridCol w:w="571"/>
        <w:gridCol w:w="166"/>
        <w:gridCol w:w="211"/>
        <w:gridCol w:w="571"/>
        <w:gridCol w:w="406"/>
        <w:gridCol w:w="1306"/>
        <w:gridCol w:w="346"/>
        <w:gridCol w:w="1141"/>
        <w:gridCol w:w="346"/>
        <w:gridCol w:w="255"/>
        <w:gridCol w:w="690"/>
        <w:gridCol w:w="346"/>
        <w:gridCol w:w="1096"/>
        <w:gridCol w:w="346"/>
        <w:gridCol w:w="225"/>
        <w:gridCol w:w="721"/>
      </w:tblGrid>
      <w:tr>
        <w:trPr/>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43510" cy="175260"/>
                      <wp:effectExtent l="0" t="0" r="0" b="0"/>
                      <wp:wrapNone/>
                      <wp:docPr id="361" name="Frame3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62585" cy="175260"/>
                      <wp:effectExtent l="0" t="0" r="0" b="0"/>
                      <wp:wrapNone/>
                      <wp:docPr id="362" name="Frame3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05410" cy="175260"/>
                      <wp:effectExtent l="0" t="0" r="0" b="0"/>
                      <wp:wrapNone/>
                      <wp:docPr id="363" name="Frame35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62585" cy="175260"/>
                      <wp:effectExtent l="0" t="0" r="0" b="0"/>
                      <wp:wrapNone/>
                      <wp:docPr id="365" name="Frame3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57810" cy="175260"/>
                      <wp:effectExtent l="0" t="0" r="0" b="0"/>
                      <wp:wrapNone/>
                      <wp:docPr id="366" name="Frame36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829310" cy="175260"/>
                      <wp:effectExtent l="0" t="0" r="0" b="0"/>
                      <wp:wrapNone/>
                      <wp:docPr id="367" name="Frame36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724535" cy="175260"/>
                      <wp:effectExtent l="0" t="0" r="0" b="0"/>
                      <wp:wrapNone/>
                      <wp:docPr id="369" name="Frame36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61925" cy="175260"/>
                      <wp:effectExtent l="0" t="0" r="0" b="0"/>
                      <wp:wrapNone/>
                      <wp:docPr id="371" name="Frame36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38150" cy="175260"/>
                      <wp:effectExtent l="0" t="0" r="0" b="0"/>
                      <wp:wrapNone/>
                      <wp:docPr id="372" name="Frame36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95960" cy="175260"/>
                      <wp:effectExtent l="0" t="0" r="0" b="0"/>
                      <wp:wrapNone/>
                      <wp:docPr id="374" name="Frame36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42875" cy="175260"/>
                      <wp:effectExtent l="0" t="0" r="0" b="0"/>
                      <wp:wrapNone/>
                      <wp:docPr id="376" name="Frame37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57835" cy="175260"/>
                      <wp:effectExtent l="0" t="0" r="0" b="0"/>
                      <wp:wrapNone/>
                      <wp:docPr id="377" name="Frame3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408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Options Outstanding</w:t>
            </w:r>
          </w:p>
        </w:tc>
        <w:tc>
          <w:tcPr>
            <w:tcW w:w="346" w:type="dxa"/>
            <w:tcBorders/>
            <w:vAlign w:val="center"/>
          </w:tcPr>
          <w:p>
            <w:pPr>
              <w:pStyle w:val="TableContents"/>
              <w:bidi w:val="0"/>
              <w:spacing w:before="0" w:after="1"/>
              <w:ind w:left="0" w:right="0" w:hanging="0"/>
              <w:jc w:val="center"/>
              <w:rPr/>
            </w:pPr>
            <w:r>
              <w:rPr/>
              <w:t>​</w:t>
            </w:r>
          </w:p>
        </w:tc>
        <w:tc>
          <w:tcPr>
            <w:tcW w:w="238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Options Exercisable</w:t>
            </w:r>
          </w:p>
        </w:tc>
      </w:tr>
      <w:tr>
        <w:trPr/>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Weighted </w:t>
            </w:r>
          </w:p>
        </w:tc>
        <w:tc>
          <w:tcPr>
            <w:tcW w:w="34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 </w:t>
            </w:r>
          </w:p>
        </w:tc>
      </w:tr>
      <w:tr>
        <w:trPr/>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Average </w:t>
            </w:r>
          </w:p>
        </w:tc>
        <w:tc>
          <w:tcPr>
            <w:tcW w:w="34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Weighted </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Number</w:t>
            </w:r>
          </w:p>
        </w:tc>
        <w:tc>
          <w:tcPr>
            <w:tcW w:w="34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Weighted</w:t>
            </w:r>
          </w:p>
        </w:tc>
      </w:tr>
      <w:tr>
        <w:trPr/>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Number</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Remaining </w:t>
            </w:r>
          </w:p>
        </w:tc>
        <w:tc>
          <w:tcPr>
            <w:tcW w:w="34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Exercisable </w:t>
            </w:r>
          </w:p>
        </w:tc>
        <w:tc>
          <w:tcPr>
            <w:tcW w:w="34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r>
      <w:tr>
        <w:trPr/>
        <w:tc>
          <w:tcPr>
            <w:tcW w:w="1745"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Range of Exercise</w:t>
            </w:r>
          </w:p>
        </w:tc>
        <w:tc>
          <w:tcPr>
            <w:tcW w:w="40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Contractual </w:t>
            </w:r>
          </w:p>
        </w:tc>
        <w:tc>
          <w:tcPr>
            <w:tcW w:w="34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w:t>
            </w:r>
          </w:p>
        </w:tc>
        <w:tc>
          <w:tcPr>
            <w:tcW w:w="34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Exercise</w:t>
            </w:r>
          </w:p>
        </w:tc>
      </w:tr>
      <w:tr>
        <w:trPr/>
        <w:tc>
          <w:tcPr>
            <w:tcW w:w="17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Prices ($)</w:t>
            </w:r>
          </w:p>
        </w:tc>
        <w:tc>
          <w:tcPr>
            <w:tcW w:w="406" w:type="dxa"/>
            <w:tcBorders/>
            <w:vAlign w:val="center"/>
          </w:tcPr>
          <w:p>
            <w:pPr>
              <w:pStyle w:val="TableContents"/>
              <w:bidi w:val="0"/>
              <w:spacing w:before="0" w:after="1"/>
              <w:ind w:left="0" w:right="0" w:hanging="0"/>
              <w:jc w:val="center"/>
              <w:rPr/>
            </w:pPr>
            <w:r>
              <w:rPr/>
              <w:t>  ​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(in thousands) </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Term (Years)</w:t>
            </w:r>
          </w:p>
        </w:tc>
        <w:tc>
          <w:tcPr>
            <w:tcW w:w="346" w:type="dxa"/>
            <w:tcBorders/>
            <w:vAlign w:val="center"/>
          </w:tcPr>
          <w:p>
            <w:pPr>
              <w:pStyle w:val="TableContents"/>
              <w:bidi w:val="0"/>
              <w:spacing w:before="0" w:after="1"/>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Price ($)</w:t>
            </w:r>
          </w:p>
        </w:tc>
        <w:tc>
          <w:tcPr>
            <w:tcW w:w="346"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1"/>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Price ($)</w:t>
            </w:r>
          </w:p>
        </w:tc>
      </w:tr>
      <w:tr>
        <w:trPr/>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w:t>
            </w:r>
          </w:p>
        </w:tc>
        <w:tc>
          <w:tcPr>
            <w:tcW w:w="40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3,854</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26.52</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3,854</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26.52</w:t>
            </w:r>
          </w:p>
        </w:tc>
      </w:tr>
      <w:tr>
        <w:trPr/>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29.84</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31.20</w:t>
            </w:r>
          </w:p>
        </w:tc>
        <w:tc>
          <w:tcPr>
            <w:tcW w:w="40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3,111</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30.40</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3,111</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30.40</w:t>
            </w:r>
          </w:p>
        </w:tc>
      </w:tr>
      <w:tr>
        <w:trPr/>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31.73</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33.71</w:t>
            </w:r>
          </w:p>
        </w:tc>
        <w:tc>
          <w:tcPr>
            <w:tcW w:w="40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32.80</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32.80</w:t>
            </w:r>
          </w:p>
        </w:tc>
      </w:tr>
      <w:tr>
        <w:trPr/>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w:t>
            </w:r>
          </w:p>
        </w:tc>
        <w:tc>
          <w:tcPr>
            <w:tcW w:w="40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3,497</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w:t>
            </w:r>
          </w:p>
        </w:tc>
      </w:tr>
      <w:tr>
        <w:trPr/>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38.96</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48.30</w:t>
            </w:r>
          </w:p>
        </w:tc>
        <w:tc>
          <w:tcPr>
            <w:tcW w:w="40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2,823</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44.91</w:t>
            </w:r>
          </w:p>
        </w:tc>
      </w:tr>
      <w:tr>
        <w:trPr/>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c>
          <w:tcPr>
            <w:tcW w:w="40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r>
      <w:tr>
        <w:trPr/>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50.82</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50.82</w:t>
            </w:r>
          </w:p>
        </w:tc>
        <w:tc>
          <w:tcPr>
            <w:tcW w:w="40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50.82</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50.82</w:t>
            </w:r>
          </w:p>
        </w:tc>
      </w:tr>
      <w:tr>
        <w:trPr/>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51.38</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59.52</w:t>
            </w:r>
          </w:p>
        </w:tc>
        <w:tc>
          <w:tcPr>
            <w:tcW w:w="40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54.90</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53.86</w:t>
            </w:r>
          </w:p>
        </w:tc>
      </w:tr>
      <w:tr>
        <w:trPr/>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c>
          <w:tcPr>
            <w:tcW w:w="40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3,960</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r>
      <w:tr>
        <w:trPr/>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63.83</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66.51</w:t>
            </w:r>
          </w:p>
        </w:tc>
        <w:tc>
          <w:tcPr>
            <w:tcW w:w="40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66.13</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pPr>
            <w:r>
              <w:rPr/>
              <w:t>—</w:t>
            </w:r>
          </w:p>
        </w:tc>
      </w:tr>
      <w:tr>
        <w:trPr/>
        <w:tc>
          <w:tcPr>
            <w:tcW w:w="2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 </w:t>
            </w:r>
          </w:p>
        </w:tc>
        <w:tc>
          <w:tcPr>
            <w:tcW w:w="13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22,161</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42.80</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11,219</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34.42</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options granted during the years ended December 31, 2025, 2024 and 2023 was $19.90 per share, $21.40 per share and $18.28 per share, respectively. The total intrinsic value of options exercised during the years ended December 31, 2025, 2024 and 2023 was $214.7 million, $83.1 million and $333.5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received from option exercises under all plans for the years ended December 31, 2025, 2024 and 2023 was $164.6 million, $79.0 million and $130.3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2"/>
        </w:rPr>
      </w:pPr>
      <w:bookmarkStart w:id="1392" w:name="Tc_Of053Rl5dEa07KXwb74xAg_12_4"/>
      <w:bookmarkStart w:id="1393" w:name="Tc_QLQqLV8gUkiB1ingrpMW1g_12_0"/>
      <w:bookmarkStart w:id="1394" w:name="Tc_e_Kbz9d3SUiNaYg4bJBMQA_11_4"/>
      <w:bookmarkStart w:id="1395" w:name="Tc_O7MNO-OYLUOlYqeJVOFlLg_11_0"/>
      <w:bookmarkStart w:id="1396" w:name="Tc_3MguD8Ieuk2_6kuvGdqm_g_10_4"/>
      <w:bookmarkStart w:id="1397" w:name="Tc_selDmsxSnkeBLT8X-muKnw_10_0"/>
      <w:bookmarkStart w:id="1398" w:name="Tc_uSOHMRTY-k2jrDO48v0Kpw_9_4"/>
      <w:bookmarkStart w:id="1399" w:name="Tc_FVG-61QjSESjfp0FWBIhAQ_9_0"/>
      <w:bookmarkStart w:id="1400" w:name="Tc_NrnDRcST1Em9tW7jLqHcBQ_8_4"/>
      <w:bookmarkStart w:id="1401" w:name="Tc_RE4--HHznUqNR-IncjcFsQ_8_0"/>
      <w:bookmarkStart w:id="1402" w:name="Tc_ODC5Uqo8l0CRtebCe4m5YQ_7_4"/>
      <w:bookmarkStart w:id="1403" w:name="Tc_oBtXLjKBgU6ZPXBtTKy92w_7_0"/>
      <w:bookmarkStart w:id="1404" w:name="Tc_rRl0FSF1U0OYOz1qTxzsJA_6_4"/>
      <w:bookmarkStart w:id="1405" w:name="Tc_bGIFPZG5-k6_TIvMKu5UMQ_6_0"/>
      <w:bookmarkStart w:id="1406" w:name="Tc_Csq1P6GswUiah-_NAedvTQ_5_4"/>
      <w:bookmarkStart w:id="1407" w:name="Tc_1IaOUzZufkaoJGefI75TqA_5_0"/>
      <w:bookmarkStart w:id="1408" w:name="Tc_jGAqt4bAjkytqZmYhzChIg_4_4"/>
      <w:bookmarkStart w:id="1409" w:name="Tc_rPQc-jjmuUeT3lmR0rzyEw_4_2"/>
      <w:bookmarkStart w:id="1410" w:name="Tc_Swv1uC7vfk67XX_OmqSh_w_3_4"/>
      <w:bookmarkStart w:id="1411" w:name="Tc_zjkjYQOxv02jLIHzigBXgA_3_2"/>
      <w:bookmarkStart w:id="1412" w:name="Tc_vG72F79pdEKjmOh9JW-P_A_2_4"/>
      <w:bookmarkStart w:id="1413" w:name="Tc_eEx_OffHFkGV-67fSquvEA_2_2"/>
      <w:bookmarkStart w:id="1414" w:name="Tc_gfupFGickk6kAph2jn0gjQ_1_4"/>
      <w:bookmarkStart w:id="1415" w:name="_662c6296_cd69_49b6_aea9_badb04cc93be"/>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r>
        <w:rPr>
          <w:rFonts w:ascii="Times New Roman;Times;serif" w:hAnsi="Times New Roman;Times;serif"/>
          <w:sz w:val="20"/>
        </w:rPr>
        <w:t>At December 31, 2025, there was $116.0</w:t>
      </w:r>
      <w:r>
        <w:rPr>
          <w:rFonts w:ascii="Times New Roman;Times;serif" w:hAnsi="Times New Roman;Times;serif"/>
          <w:sz w:val="22"/>
        </w:rPr>
        <w:t xml:space="preserve"> </w:t>
      </w:r>
      <w:r>
        <w:rPr>
          <w:rFonts w:ascii="Times New Roman;Times;serif" w:hAnsi="Times New Roman;Times;serif"/>
          <w:sz w:val="20"/>
        </w:rPr>
        <w:t>million of total unrecognized compensation expense related to non-vested options granted to employees under the Company’s share-based payment plans. That cost is expected to be recognized over a weighted-average period of 2.4</w:t>
      </w:r>
      <w:r>
        <w:rPr>
          <w:rFonts w:ascii="Times New Roman;Times;serif" w:hAnsi="Times New Roman;Times;serif"/>
          <w:sz w:val="22"/>
        </w:rPr>
        <w:t xml:space="preserve"> </w:t>
      </w:r>
      <w:r>
        <w:rPr>
          <w:rFonts w:ascii="Times New Roman;Times;serif" w:hAnsi="Times New Roman;Times;serif"/>
          <w:sz w:val="20"/>
        </w:rPr>
        <w:t>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Restricted Stock Units</w:t>
      </w:r>
      <w:r>
        <w:rPr>
          <w:rFonts w:ascii="Times New Roman;Times;serif" w:hAnsi="Times New Roman;Times;serif"/>
          <w:sz w:val="20"/>
        </w:rPr>
        <w:t xml:space="preserve"> </w:t>
      </w:r>
      <w:r>
        <w:rPr>
          <w:rFonts w:ascii="Times New Roman;Times;serif" w:hAnsi="Times New Roman;Times;serif"/>
          <w:i/>
          <w:sz w:val="20"/>
        </w:rPr>
        <w:t>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bidi w:val="0"/>
        <w:spacing w:before="0" w:after="0"/>
        <w:ind w:left="0" w:right="0" w:firstLine="720"/>
        <w:jc w:val="both"/>
        <w:rPr/>
      </w:pPr>
      <w:r>
        <w:rPr/>
        <w:t>​</w:t>
      </w:r>
    </w:p>
    <w:tbl>
      <w:tblPr>
        <w:tblW w:w="5585" w:type="dxa"/>
        <w:jc w:val="left"/>
        <w:tblInd w:w="0" w:type="dxa"/>
        <w:tblLayout w:type="fixed"/>
        <w:tblCellMar>
          <w:top w:w="0" w:type="dxa"/>
          <w:left w:w="0" w:type="dxa"/>
          <w:bottom w:w="0" w:type="dxa"/>
          <w:right w:w="0" w:type="dxa"/>
        </w:tblCellMar>
      </w:tblPr>
      <w:tblGrid>
        <w:gridCol w:w="2866"/>
        <w:gridCol w:w="346"/>
        <w:gridCol w:w="991"/>
        <w:gridCol w:w="346"/>
        <w:gridCol w:w="246"/>
        <w:gridCol w:w="790"/>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819910" cy="175260"/>
                      <wp:effectExtent l="0" t="0" r="0" b="0"/>
                      <wp:wrapNone/>
                      <wp:docPr id="378" name="Frame37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29285" cy="175260"/>
                      <wp:effectExtent l="0" t="0" r="0" b="0"/>
                      <wp:wrapNone/>
                      <wp:docPr id="380" name="Frame37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56210" cy="175260"/>
                      <wp:effectExtent l="0" t="0" r="0" b="0"/>
                      <wp:wrapNone/>
                      <wp:docPr id="382" name="Frame377"/>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01650" cy="175260"/>
                      <wp:effectExtent l="0" t="0" r="0" b="0"/>
                      <wp:wrapNone/>
                      <wp:docPr id="383" name="Frame378"/>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Grant-Date</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0"/>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w:t>
            </w:r>
          </w:p>
        </w:tc>
      </w:tr>
      <w:tr>
        <w:trPr/>
        <w:tc>
          <w:tcPr>
            <w:tcW w:w="28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Granted 01/01/25 - 03/31/25</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04/01/25 - 06/30/25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62.68</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07/01/25 - 09/30/25</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61.59</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10/01/25 - 12/31/25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66.72</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39.42</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Forfeited/cancelled </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42.83</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2025</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53.15</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The grant activity for performance share units is recorded based on the target performance level earning 100%</w:t>
            </w:r>
            <w:r>
              <w:rPr>
                <w:rFonts w:ascii="Times New Roman;Times;serif" w:hAnsi="Times New Roman;Times;serif"/>
                <w:sz w:val="16"/>
              </w:rPr>
              <w:t xml:space="preserve"> </w:t>
            </w:r>
            <w:r>
              <w:rPr>
                <w:rFonts w:ascii="Times New Roman;Times;serif" w:hAnsi="Times New Roman;Times;serif"/>
                <w:i/>
                <w:sz w:val="16"/>
              </w:rPr>
              <w:t>of target performance share units. The actual number of performance share units earned could range from 0%</w:t>
            </w:r>
            <w:r>
              <w:rPr>
                <w:rFonts w:ascii="Times New Roman;Times;serif" w:hAnsi="Times New Roman;Times;serif"/>
                <w:sz w:val="16"/>
              </w:rPr>
              <w:t xml:space="preserve"> </w:t>
            </w:r>
            <w:r>
              <w:rPr>
                <w:rFonts w:ascii="Times New Roman;Times;serif" w:hAnsi="Times New Roman;Times;serif"/>
                <w:i/>
                <w:sz w:val="16"/>
              </w:rPr>
              <w:t>to 200%</w:t>
            </w:r>
            <w:r>
              <w:rPr>
                <w:rFonts w:ascii="Times New Roman;Times;serif" w:hAnsi="Times New Roman;Times;serif"/>
                <w:sz w:val="16"/>
              </w:rPr>
              <w:t xml:space="preserve"> </w:t>
            </w:r>
            <w:r>
              <w:rPr>
                <w:rFonts w:ascii="Times New Roman;Times;serif" w:hAnsi="Times New Roman;Times;serif"/>
                <w:i/>
                <w:sz w:val="16"/>
              </w:rPr>
              <w:t>of target depending on the achievement of pre-established performance goals.</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restricted stock units and/or performance share units granted during the years ended December 31, 2025, 2024 and 2023 was $55.40, $58.77 and $51.24 per share, respectively. As of December 31, 2025, 1.7 million of restricted stock units and performance share units are expected to vest.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At December 31, 2025, total unrecognized compensation expense relating to non-vested restricted stock units and performance share units was $55.8</w:t>
      </w:r>
      <w:r>
        <w:rPr>
          <w:rFonts w:ascii="Times New Roman;Times;serif" w:hAnsi="Times New Roman;Times;serif"/>
          <w:sz w:val="22"/>
        </w:rPr>
        <w:t xml:space="preserve"> </w:t>
      </w:r>
      <w:r>
        <w:rPr>
          <w:rFonts w:ascii="Times New Roman;Times;serif" w:hAnsi="Times New Roman;Times;serif"/>
          <w:sz w:val="20"/>
        </w:rPr>
        <w:t>million, which is expected to be recognized over a weighted-average period of 2.2</w:t>
      </w:r>
      <w:r>
        <w:rPr>
          <w:rFonts w:ascii="Times New Roman;Times;serif" w:hAnsi="Times New Roman;Times;serif"/>
          <w:sz w:val="22"/>
        </w:rPr>
        <w:t xml:space="preserve"> </w:t>
      </w:r>
      <w:r>
        <w:rPr>
          <w:rFonts w:ascii="Times New Roman;Times;serif" w:hAnsi="Times New Roman;Times;serif"/>
          <w:sz w:val="20"/>
        </w:rPr>
        <w:t>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December 31, 2025, other share-based awards outstanding included grants that vest over three years payable in the first quarters of 2026, 2027 and 2028.</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At December 31, 2025, there was $2.9</w:t>
      </w:r>
      <w:r>
        <w:rPr>
          <w:rFonts w:ascii="Times New Roman;Times;serif" w:hAnsi="Times New Roman;Times;serif"/>
          <w:sz w:val="22"/>
        </w:rPr>
        <w:t xml:space="preserve"> </w:t>
      </w:r>
      <w:r>
        <w:rPr>
          <w:rFonts w:ascii="Times New Roman;Times;serif" w:hAnsi="Times New Roman;Times;serif"/>
          <w:sz w:val="20"/>
        </w:rPr>
        <w:t>million of unrecognized compensation expense related to nonvested other share-based awards granted to employees under the Company’s stock-based compensation plans. That cost is expected to be recognized over a weighted-average period of 1.7</w:t>
      </w:r>
      <w:r>
        <w:rPr>
          <w:rFonts w:ascii="Times New Roman;Times;serif" w:hAnsi="Times New Roman;Times;serif"/>
          <w:sz w:val="22"/>
        </w:rPr>
        <w:t xml:space="preserve"> </w:t>
      </w:r>
      <w:r>
        <w:rPr>
          <w:rFonts w:ascii="Times New Roman;Times;serif" w:hAnsi="Times New Roman;Times;serif"/>
          <w:sz w:val="20"/>
        </w:rPr>
        <w:t>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bookmarkStart w:id="1416" w:name="Tc_nCAUBvFyfUaJQCR5U3n-tA_5_8"/>
      <w:bookmarkStart w:id="1417" w:name="Tc_bSUwqGvfWkC7svGN1zqofw_5_5"/>
      <w:bookmarkStart w:id="1418" w:name="Tc_UFM1XHCr_EOj15wx6WXD-Q_5_2"/>
      <w:bookmarkStart w:id="1419" w:name="Tc_8kvnDh_F8UmJHPPbv1CeLg_5_0"/>
      <w:bookmarkStart w:id="1420" w:name="Tc_mz7DaJE9cEGxmsDviqIRfw_4_0"/>
      <w:bookmarkStart w:id="1421" w:name="Tc_XKjU2P5cZECoPmfnIcI--g_3_0"/>
      <w:bookmarkStart w:id="1422" w:name="Tc_7DTwkYtVdEmWZYv5qQkZGQ_2_8"/>
      <w:bookmarkStart w:id="1423" w:name="Tc_CiGXndxD7UK6scLruKb2Vw_2_5"/>
      <w:bookmarkStart w:id="1424" w:name="Tc_VWGmihgJKkqsqwUQpFJ1_w_2_2"/>
      <w:bookmarkStart w:id="1425" w:name="Tc_Sj0xeJVKk0iZACZ8OvyuJA_2_0"/>
      <w:bookmarkStart w:id="1426" w:name="Tc_j2N3KBh81UyDrRm1bl5cdw_1_8"/>
      <w:bookmarkStart w:id="1427" w:name="Tc_Aftq2Dt2h0Cd6vBx7sl3lQ_1_5"/>
      <w:bookmarkStart w:id="1428" w:name="Tc_aR_JkaDgzE2HL_k-EPvZyw_1_2"/>
      <w:bookmarkStart w:id="1429" w:name="_32f2f6e2_60c4_4339_bddb_93a01a80518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r>
        <w:rPr>
          <w:rFonts w:ascii="Times New Roman;Times;serif" w:hAnsi="Times New Roman;Times;serif"/>
          <w:i/>
          <w:sz w:val="20"/>
        </w:rPr>
        <w:t>Employee and Non-Employee Share-Based Compensation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table below shows the amounts recognized in the consolidated financial statements for the years ended December 31, 2025, 2024 and 2023 for share-based compensation related to employees and non-employees.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Employee and non-employee share-based compensation expense of $125.7 million for the year ended December 31, 2025 is comprised of $12.7 million relating to incentive stock options, $4.6 million relating to other share-based awards and $108.4 million relating to non-qualified stock options, 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Employee and non-employee share-based compensation expense of $91.0 million for the year ended December 31, 2024 is comprised of $12.5 million relating to incentive stock options, $0.1 million relating to other share-based awards and $78.4 million relating to non-qualified stock options, 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Employee and non-employee share-based compensation expense of $68.8 million for the year ended December 31, 2023 is comprised of $10.3 million relating to incentive stock options, $1.2 million relating to other share-based awards and $57.3 million relating to non-qualified stock options, restricted stock units and performance share units.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50"/>
        <w:gridCol w:w="346"/>
        <w:gridCol w:w="211"/>
        <w:gridCol w:w="790"/>
        <w:gridCol w:w="346"/>
        <w:gridCol w:w="211"/>
        <w:gridCol w:w="773"/>
        <w:gridCol w:w="346"/>
        <w:gridCol w:w="211"/>
        <w:gridCol w:w="821"/>
      </w:tblGrid>
      <w:tr>
        <w:trPr/>
        <w:tc>
          <w:tcPr>
            <w:tcW w:w="6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905250" cy="175260"/>
                      <wp:effectExtent l="0" t="0" r="0" b="0"/>
                      <wp:wrapNone/>
                      <wp:docPr id="384" name="Frame379"/>
                      <a:graphic xmlns:a="http://schemas.openxmlformats.org/drawingml/2006/main">
                        <a:graphicData uri="http://schemas.microsoft.com/office/word/2010/wordprocessingShape">
                          <wps:wsp>
                            <wps:cNvSpPr txBox="1"/>
                            <wps:spPr>
                              <a:xfrm>
                                <a:off x="0" y="0"/>
                                <a:ext cx="390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01650" cy="175260"/>
                      <wp:effectExtent l="0" t="0" r="0" b="0"/>
                      <wp:wrapNone/>
                      <wp:docPr id="387" name="Frame382"/>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90855" cy="175260"/>
                      <wp:effectExtent l="0" t="0" r="0" b="0"/>
                      <wp:wrapNone/>
                      <wp:docPr id="390" name="Frame385"/>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21335" cy="175260"/>
                      <wp:effectExtent l="0" t="0" r="0" b="0"/>
                      <wp:wrapNone/>
                      <wp:docPr id="393" name="Frame388"/>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center"/>
              <w:rPr/>
            </w:pPr>
            <w:r>
              <w:rPr/>
              <w:t>  ​ ​ ​</w:t>
            </w:r>
          </w:p>
        </w:tc>
        <w:tc>
          <w:tcPr>
            <w:tcW w:w="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center"/>
              <w:rPr/>
            </w:pPr>
            <w:r>
              <w:rPr/>
              <w:t>  ​ ​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61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125,687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90,985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68,836</w:t>
            </w:r>
          </w:p>
        </w:tc>
      </w:tr>
      <w:tr>
        <w:trPr/>
        <w:tc>
          <w:tcPr>
            <w:tcW w:w="61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employee and non-employee share-based compensation expense included in income, before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68,836</w:t>
            </w:r>
          </w:p>
        </w:tc>
      </w:tr>
      <w:tr>
        <w:trPr/>
        <w:tc>
          <w:tcPr>
            <w:tcW w:w="61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of income tax benefit recognized in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(64,401)</w:t>
            </w:r>
          </w:p>
        </w:tc>
      </w:tr>
      <w:tr>
        <w:trPr/>
        <w:tc>
          <w:tcPr>
            <w:tcW w:w="615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charged against net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85,942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74,979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30" w:name="Tc_0jYUeNQljk6QhoS-St1Q5A_5_8"/>
      <w:bookmarkStart w:id="1431" w:name="Tc_TN18IkpMxU6l6cMzfhcgxQ_5_5"/>
      <w:bookmarkStart w:id="1432" w:name="Tc_wqy9CaWOY0KPx9R1RLLIaw_5_2"/>
      <w:bookmarkStart w:id="1433" w:name="Tc_r7VTgf4tJUqJceGEePEUFw_5_0"/>
      <w:bookmarkStart w:id="1434" w:name="Tc_zsKgf4i0NUSMYY1UcZH9zw_4_0"/>
      <w:bookmarkStart w:id="1435" w:name="Tc_seryOLwJrE6HiC1GTR6vBA_3_8"/>
      <w:bookmarkStart w:id="1436" w:name="Tc_ycfKahfw_06Ssn5qa_no1Q_3_5"/>
      <w:bookmarkStart w:id="1437" w:name="Tc_XSjmHmUpy0OZALal4T-sPw_3_2"/>
      <w:bookmarkStart w:id="1438" w:name="Tc_CAWhz9oQZUqE55z2oXyEqA_3_0"/>
      <w:bookmarkStart w:id="1439" w:name="Tc_c1B7vPX0nEKeJ_XU3gCMCA_2_8"/>
      <w:bookmarkStart w:id="1440" w:name="Tc_ujf2C0juBkC6nrL_hVHXsw_2_5"/>
      <w:bookmarkStart w:id="1441" w:name="Tc_fAs2CT03dUuPP-gnpMkczg_2_2"/>
      <w:bookmarkStart w:id="1442" w:name="Tc_LAtnYo35Mkakd6rl5MKzvg_1_2"/>
      <w:bookmarkStart w:id="1443" w:name="_0fecea4c_9c71_4aa5_875f_8bf5d7ce4a5d"/>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r>
        <w:rPr>
          <w:rFonts w:ascii="Times New Roman;Times;serif" w:hAnsi="Times New Roman;Times;serif"/>
          <w:b w:val="false"/>
          <w:i w:val="false"/>
          <w:caps w:val="false"/>
          <w:smallCaps w:val="false"/>
          <w:sz w:val="20"/>
        </w:rPr>
        <w:t>14.</w:t>
      </w:r>
      <w:r>
        <w:rPr>
          <w:rFonts w:ascii="Times New Roman;Times;serif" w:hAnsi="Times New Roman;Times;serif"/>
          <w:b w:val="false"/>
          <w:sz w:val="20"/>
        </w:rPr>
        <w:t>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evaluated the various provisions of the Tax Reform Act, including, the global intangible low-taxed income (“GILTI”) and the foreign derived intangible income provisions. The Company will treat any U.S. tax on foreign earnings under GILTI as a current period expense when incurred.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Consolidated retained earnings at December 31, 2025 included undistributed after-tax earnings from certain non-U.S. subsidiaries that were not indefinitely reinvested. At December 31, 2025, the Company had a deferred tax liability of $10.0 million for the estimated taxes associated with the repatriation of these earnings. Undistributed earnings of approximately $22.5 million in foreign subsidiaries were indefinitely reinvested in foreign operations. Quantification of the deferred tax liability, if any, associated with indefinitely reinvested earnings was not practicable.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domestic and foreign components of the Company’s income before provision for income taxes are as follows:</w:t>
      </w:r>
    </w:p>
    <w:p>
      <w:pPr>
        <w:pStyle w:val="TextBody"/>
        <w:bidi w:val="0"/>
        <w:spacing w:before="0" w:after="0"/>
        <w:ind w:left="0" w:right="0" w:hanging="0"/>
        <w:jc w:val="both"/>
        <w:rPr/>
      </w:pPr>
      <w:r>
        <w:rPr/>
        <w:t>​</w:t>
      </w:r>
    </w:p>
    <w:tbl>
      <w:tblPr>
        <w:tblW w:w="8050" w:type="dxa"/>
        <w:jc w:val="left"/>
        <w:tblInd w:w="0" w:type="dxa"/>
        <w:tblLayout w:type="fixed"/>
        <w:tblCellMar>
          <w:top w:w="0" w:type="dxa"/>
          <w:left w:w="0" w:type="dxa"/>
          <w:bottom w:w="0" w:type="dxa"/>
          <w:right w:w="0" w:type="dxa"/>
        </w:tblCellMar>
      </w:tblPr>
      <w:tblGrid>
        <w:gridCol w:w="3481"/>
        <w:gridCol w:w="346"/>
        <w:gridCol w:w="211"/>
        <w:gridCol w:w="931"/>
        <w:gridCol w:w="346"/>
        <w:gridCol w:w="211"/>
        <w:gridCol w:w="931"/>
        <w:gridCol w:w="346"/>
        <w:gridCol w:w="211"/>
        <w:gridCol w:w="103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210435" cy="175260"/>
                      <wp:effectExtent l="0" t="0" r="0" b="0"/>
                      <wp:wrapNone/>
                      <wp:docPr id="394" name="Frame38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91185" cy="175260"/>
                      <wp:effectExtent l="0" t="0" r="0" b="0"/>
                      <wp:wrapNone/>
                      <wp:docPr id="397" name="Frame39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91185" cy="175260"/>
                      <wp:effectExtent l="0" t="0" r="0" b="0"/>
                      <wp:wrapNone/>
                      <wp:docPr id="400" name="Frame3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57860" cy="175260"/>
                      <wp:effectExtent l="0" t="0" r="0" b="0"/>
                      <wp:wrapNone/>
                      <wp:docPr id="403" name="Frame39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4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2,302,984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1,540,619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1,809,418</w:t>
            </w:r>
          </w:p>
        </w:tc>
      </w:tr>
      <w:tr>
        <w:trPr/>
        <w:tc>
          <w:tcPr>
            <w:tcW w:w="34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448,840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259,064</w:t>
            </w:r>
          </w:p>
        </w:tc>
      </w:tr>
      <w:tr>
        <w:trPr/>
        <w:tc>
          <w:tcPr>
            <w:tcW w:w="34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2,482,529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1,989,459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2,068,482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6"/>
        </w:rPr>
      </w:pPr>
      <w:r>
        <w:rPr>
          <w:rFonts w:ascii="Times New Roman;Times;serif" w:hAnsi="Times New Roman;Times;serif"/>
          <w:i/>
          <w:sz w:val="16"/>
        </w:rPr>
        <w:t>*After intercompany royalties, management fees and interest charges from the Company’s domestic to foreign entities of $110.3</w:t>
      </w:r>
      <w:r>
        <w:rPr>
          <w:rFonts w:ascii="Times New Roman;Times;serif" w:hAnsi="Times New Roman;Times;serif"/>
          <w:sz w:val="16"/>
        </w:rPr>
        <w:t xml:space="preserve"> </w:t>
      </w:r>
      <w:r>
        <w:rPr>
          <w:rFonts w:ascii="Times New Roman;Times;serif" w:hAnsi="Times New Roman;Times;serif"/>
          <w:i/>
          <w:sz w:val="16"/>
        </w:rPr>
        <w:t>million, $108.4</w:t>
      </w:r>
      <w:r>
        <w:rPr>
          <w:rFonts w:ascii="Times New Roman;Times;serif" w:hAnsi="Times New Roman;Times;serif"/>
          <w:sz w:val="16"/>
        </w:rPr>
        <w:t xml:space="preserve"> </w:t>
      </w:r>
      <w:r>
        <w:rPr>
          <w:rFonts w:ascii="Times New Roman;Times;serif" w:hAnsi="Times New Roman;Times;serif"/>
          <w:i/>
          <w:sz w:val="16"/>
        </w:rPr>
        <w:t>million and $101.4</w:t>
      </w:r>
      <w:r>
        <w:rPr>
          <w:rFonts w:ascii="Times New Roman;Times;serif" w:hAnsi="Times New Roman;Times;serif"/>
          <w:sz w:val="16"/>
        </w:rPr>
        <w:t xml:space="preserve"> </w:t>
      </w:r>
      <w:r>
        <w:rPr>
          <w:rFonts w:ascii="Times New Roman;Times;serif" w:hAnsi="Times New Roman;Times;serif"/>
          <w:i/>
          <w:sz w:val="16"/>
        </w:rPr>
        <w:t>million for the years ended December 31, 2025,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444" w:name="_bfccd117_76ef_49a3_918d_08f87e89c54d_4"/>
      <w:bookmarkStart w:id="1445" w:name="_bfccd117_76ef_49a3_918d_08f87e89c54d_3"/>
      <w:bookmarkStart w:id="1446" w:name="_bfccd117_76ef_49a3_918d_08f87e89c54d_2"/>
      <w:bookmarkStart w:id="1447" w:name="_bfccd117_76ef_49a3_918d_08f87e89c54d"/>
      <w:bookmarkStart w:id="1448" w:name="Tc_RaY33JVmg0W9DjOyzDXfNQ_13_6"/>
      <w:bookmarkStart w:id="1449" w:name="Tc_TICF54kGrkqybsvEMKh7Lg_13_2"/>
      <w:bookmarkStart w:id="1450" w:name="Tc_-1W4wPVVmkyW9h-XUvJ69Q_12_6"/>
      <w:bookmarkStart w:id="1451" w:name="Tc_igzKYqjlcU6x1PdC60JW9Q_12_0"/>
      <w:bookmarkStart w:id="1452" w:name="Tc_BxLED57TlUCee3FSbr-qng_11_6"/>
      <w:bookmarkStart w:id="1453" w:name="Tc_tK_ZTb9RjkO_ePVjU_7RUA_11_0"/>
      <w:bookmarkStart w:id="1454" w:name="Tc_Zt6oHJEL3EOgEYDXz6re_w_10_6"/>
      <w:bookmarkStart w:id="1455" w:name="Tc_QNLGJAY7dEuRe19hLQqpYw_10_0"/>
      <w:bookmarkStart w:id="1456" w:name="Tc_wW34fEC5tUWK4AB7XZzslA_9_6"/>
      <w:bookmarkStart w:id="1457" w:name="Tc_DNqcmk7mCE-WePdNdnCElw_9_0"/>
      <w:bookmarkStart w:id="1458" w:name="Tc_WmBjqZMbykmXvC3HulNxSg_8_6"/>
      <w:bookmarkStart w:id="1459" w:name="Tc_QYYLsDMiPU-0d6INI2IiUA_8_0"/>
      <w:bookmarkStart w:id="1460" w:name="Tc_9dF6Zp9i9kCbhllifdDIYw_7_6"/>
      <w:bookmarkStart w:id="1461" w:name="Tc_YzJv9Ht-r0iWbpIB_ByJqA_7_0"/>
      <w:bookmarkStart w:id="1462" w:name="Tc_-mxDODKOnEuKa0H4SJEMng_6_0"/>
      <w:bookmarkStart w:id="1463" w:name="Tc_P5cV-t1gFEKWg7DgIObTmA_5_6"/>
      <w:bookmarkStart w:id="1464" w:name="Tc_oT_ZvF2vbk6tqk45SNSJFw_5_0"/>
      <w:bookmarkStart w:id="1465" w:name="Tc_XGo1raP8MUacxaHcvj5qcg_4_6"/>
      <w:bookmarkStart w:id="1466" w:name="Tc_tH07rXUZYUapzJ1xl3MejA_4_0"/>
      <w:bookmarkStart w:id="1467" w:name="Tc_qpcVOcYhNk2F67DpjE3uMA_3_6"/>
      <w:bookmarkStart w:id="1468" w:name="Tc_lU0BP5WeU0KJD88LfMw-XA_3_0"/>
      <w:bookmarkStart w:id="1469" w:name="Tc_5zvxKLGX3UWlW3E7LBiY3w_2_6"/>
      <w:bookmarkStart w:id="1470" w:name="Tc_yMzUNVieBUaWS2UVJLw7Ew_2_2"/>
      <w:bookmarkStart w:id="1471" w:name="Tc_VZUsqiO-uUaYaxZLmiPLbQ_2_0"/>
      <w:bookmarkStart w:id="1472" w:name="Tc_b-Ush8639ECYfAUjV6saqg_1_2"/>
      <w:bookmarkStart w:id="1473" w:name="_91a0d284_d027_4e76_8fbd_5ae84bb3c886"/>
      <w:bookmarkStart w:id="1474" w:name="Tc_lGQz25ilm02fUAIFq3fl9w_16_8"/>
      <w:bookmarkStart w:id="1475" w:name="Tc_PG1-mewId0m2yMZbHWRp0Q_16_5"/>
      <w:bookmarkStart w:id="1476" w:name="Tc_-E2KO7KgGkm2xUNq5zzmGA_16_2"/>
      <w:bookmarkStart w:id="1477" w:name="Tc_0wOCr4KCjUqLlY6MoA2XgA_15_0"/>
      <w:bookmarkStart w:id="1478" w:name="Tc_Z5Ji6RNmKUKWj0SDK8pq9w_12_0"/>
      <w:bookmarkStart w:id="1479" w:name="Tc_bogAsiqOw06FFFG7cINN9w_11_0"/>
      <w:bookmarkStart w:id="1480" w:name="Tc_A_g9L5jtBE2VsPqaIb_XPQ_10_0"/>
      <w:bookmarkStart w:id="1481" w:name="Tc_fpYlPT6-ZU-JsA5cE62zMg_9_0"/>
      <w:bookmarkStart w:id="1482" w:name="Tc_XdRnv1MMmU6REDBQX5pHSw_6_0"/>
      <w:bookmarkStart w:id="1483" w:name="Tc_sp91w5hvOEGCHUeZGk8rOw_5_0"/>
      <w:bookmarkStart w:id="1484" w:name="Tc_WU9SUs0N8E2s9Y8E82CEmg_4_8"/>
      <w:bookmarkStart w:id="1485" w:name="Tc_fQgCuw12E0eBgYLKAk0W0g_4_5"/>
      <w:bookmarkStart w:id="1486" w:name="Tc_uRHgmd3MdUiwt7AWdBM0Sw_4_2"/>
      <w:bookmarkStart w:id="1487" w:name="Tc_AE3qZEx7GEKlnl4baKxN4A_4_0"/>
      <w:bookmarkStart w:id="1488" w:name="Tc_fGqc4sjQHUC1b5462Ekjnw_3_0"/>
      <w:bookmarkStart w:id="1489" w:name="Tc_ptmReHCwx0uVIz_zhGyQjg_2_8"/>
      <w:bookmarkStart w:id="1490" w:name="Tc_OWGAsASxEk2u4pbTZL0rEw_2_5"/>
      <w:bookmarkStart w:id="1491" w:name="Tc_SQPPsQI1dUKfbhm8MoFWUg_2_2"/>
      <w:bookmarkStart w:id="1492" w:name="Tc_AcOhQa0JEEigaUJmvi2TuA_1_2"/>
      <w:bookmarkStart w:id="1493" w:name="_9c1d35a1_fa0f_429a_ad0c_988973925be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r>
        <w:rPr>
          <w:rFonts w:ascii="Times New Roman;Times;serif" w:hAnsi="Times New Roman;Times;serif"/>
          <w:sz w:val="20"/>
        </w:rPr>
        <w:t>Components of the provision for income taxes are as follows:</w:t>
      </w:r>
    </w:p>
    <w:p>
      <w:pPr>
        <w:pStyle w:val="TextBody"/>
        <w:bidi w:val="0"/>
        <w:spacing w:before="0" w:after="0"/>
        <w:ind w:left="720" w:right="0" w:firstLine="720"/>
        <w:jc w:val="both"/>
        <w:rPr/>
      </w:pPr>
      <w:r>
        <w:rPr/>
        <w:t>​</w:t>
      </w:r>
    </w:p>
    <w:tbl>
      <w:tblPr>
        <w:tblW w:w="5935" w:type="dxa"/>
        <w:jc w:val="left"/>
        <w:tblInd w:w="0" w:type="dxa"/>
        <w:tblLayout w:type="fixed"/>
        <w:tblCellMar>
          <w:top w:w="0" w:type="dxa"/>
          <w:left w:w="0" w:type="dxa"/>
          <w:bottom w:w="0" w:type="dxa"/>
          <w:right w:w="0" w:type="dxa"/>
        </w:tblCellMar>
      </w:tblPr>
      <w:tblGrid>
        <w:gridCol w:w="1801"/>
        <w:gridCol w:w="346"/>
        <w:gridCol w:w="211"/>
        <w:gridCol w:w="781"/>
        <w:gridCol w:w="346"/>
        <w:gridCol w:w="211"/>
        <w:gridCol w:w="796"/>
        <w:gridCol w:w="346"/>
        <w:gridCol w:w="211"/>
        <w:gridCol w:w="88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143635" cy="175260"/>
                      <wp:effectExtent l="0" t="0" r="0" b="0"/>
                      <wp:wrapNone/>
                      <wp:docPr id="404" name="Frame399"/>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95935" cy="175260"/>
                      <wp:effectExtent l="0" t="0" r="0" b="0"/>
                      <wp:wrapNone/>
                      <wp:docPr id="407" name="Frame4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05460" cy="175260"/>
                      <wp:effectExtent l="0" t="0" r="0" b="0"/>
                      <wp:wrapNone/>
                      <wp:docPr id="410" name="Frame4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62610" cy="175260"/>
                      <wp:effectExtent l="0" t="0" r="0" b="0"/>
                      <wp:wrapNone/>
                      <wp:docPr id="413" name="Frame4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8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308,032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273,825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259,911</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47,079</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99,563</w:t>
            </w:r>
          </w:p>
        </w:tc>
      </w:tr>
      <w:tr>
        <w:trPr/>
        <w:tc>
          <w:tcPr>
            <w:tcW w:w="18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406,553</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42,237</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(13,936)</w:t>
            </w:r>
          </w:p>
        </w:tc>
      </w:tr>
      <w:tr>
        <w:trPr/>
        <w:tc>
          <w:tcPr>
            <w:tcW w:w="18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30,677</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577,097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480,411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437,494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reconciliation of the U.S. federal statutory income tax rate to the Company’s effective tax rate after the adoption of ASU 2023-09 for the year ended December 31, 2025 is as follows:</w:t>
      </w:r>
    </w:p>
    <w:p>
      <w:pPr>
        <w:pStyle w:val="TextBody"/>
        <w:bidi w:val="0"/>
        <w:spacing w:before="0" w:after="0"/>
        <w:ind w:left="0" w:right="0" w:hanging="0"/>
        <w:jc w:val="left"/>
        <w:rPr/>
      </w:pPr>
      <w:r>
        <w:rPr/>
        <w:t>​</w:t>
      </w:r>
    </w:p>
    <w:tbl>
      <w:tblPr>
        <w:tblW w:w="7432" w:type="dxa"/>
        <w:jc w:val="left"/>
        <w:tblInd w:w="0" w:type="dxa"/>
        <w:tblLayout w:type="fixed"/>
        <w:tblCellMar>
          <w:top w:w="0" w:type="dxa"/>
          <w:left w:w="0" w:type="dxa"/>
          <w:bottom w:w="0" w:type="dxa"/>
          <w:right w:w="0" w:type="dxa"/>
        </w:tblCellMar>
      </w:tblPr>
      <w:tblGrid>
        <w:gridCol w:w="4936"/>
        <w:gridCol w:w="346"/>
        <w:gridCol w:w="211"/>
        <w:gridCol w:w="796"/>
        <w:gridCol w:w="346"/>
        <w:gridCol w:w="481"/>
        <w:gridCol w:w="31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134360" cy="175260"/>
                      <wp:effectExtent l="0" t="0" r="0" b="0"/>
                      <wp:wrapNone/>
                      <wp:docPr id="414" name="Frame409"/>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05460" cy="175260"/>
                      <wp:effectExtent l="0" t="0" r="0" b="0"/>
                      <wp:wrapNone/>
                      <wp:docPr id="417" name="Frame4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05435" cy="175260"/>
                      <wp:effectExtent l="0" t="0" r="0" b="0"/>
                      <wp:wrapNone/>
                      <wp:docPr id="419" name="Frame41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0660" cy="175260"/>
                      <wp:effectExtent l="0" t="0" r="0" b="0"/>
                      <wp:wrapNone/>
                      <wp:docPr id="420" name="Frame4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16" w:type="dxa"/>
            <w:tcBorders/>
            <w:vAlign w:val="center"/>
          </w:tcPr>
          <w:p>
            <w:pPr>
              <w:pStyle w:val="TableContents"/>
              <w:bidi w:val="0"/>
              <w:spacing w:before="0" w:after="0"/>
              <w:ind w:left="0" w:right="0" w:hanging="0"/>
              <w:jc w:val="center"/>
              <w:rPr/>
            </w:pPr>
            <w:r>
              <w:rPr/>
              <w:t> </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521,331</w:t>
            </w:r>
          </w:p>
        </w:tc>
        <w:tc>
          <w:tcPr>
            <w:tcW w:w="346" w:type="dxa"/>
            <w:tcBorders/>
            <w:shd w:fill="CCEEFF" w:val="clear"/>
            <w:vAlign w:val="center"/>
          </w:tcPr>
          <w:p>
            <w:pPr>
              <w:pStyle w:val="TableContents"/>
              <w:bidi w:val="0"/>
              <w:spacing w:before="0" w:after="0"/>
              <w:ind w:left="0" w:right="0" w:hanging="0"/>
              <w:jc w:val="left"/>
              <w:rPr/>
            </w:pPr>
            <w:r>
              <w:rPr/>
              <w:t>  ​ ​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State and local income tax, net of federal income tax effect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effect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36,628</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Effect of cross-border tax laws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credits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(21,357)</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Energy-related 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12,378</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(9,830)</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unrecognized tax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577,097</w:t>
            </w:r>
          </w:p>
        </w:tc>
        <w:tc>
          <w:tcPr>
            <w:tcW w:w="346" w:type="dxa"/>
            <w:tcBorders/>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0"/>
              <w:jc w:val="both"/>
              <w:rPr>
                <w:rFonts w:ascii="Times New Roman;Times;serif" w:hAnsi="Times New Roman;Times;serif"/>
                <w:i/>
                <w:sz w:val="16"/>
              </w:rPr>
            </w:pPr>
            <w:r>
              <w:rPr>
                <w:rFonts w:ascii="Times New Roman;Times;serif" w:hAnsi="Times New Roman;Times;serif"/>
                <w:i/>
                <w:sz w:val="16"/>
              </w:rPr>
              <w:t>(1)</w:t>
            </w:r>
          </w:p>
        </w:tc>
        <w:tc>
          <w:tcPr>
            <w:tcW w:w="9881" w:type="dxa"/>
            <w:tcBorders/>
            <w:vAlign w:val="center"/>
          </w:tcPr>
          <w:p>
            <w:pPr>
              <w:pStyle w:val="TableContents"/>
              <w:bidi w:val="0"/>
              <w:spacing w:before="0" w:after="0"/>
              <w:jc w:val="both"/>
              <w:rPr>
                <w:rFonts w:ascii="Times New Roman;Times;serif" w:hAnsi="Times New Roman;Times;serif"/>
                <w:i/>
                <w:sz w:val="16"/>
              </w:rPr>
            </w:pPr>
            <w:r>
              <w:rPr>
                <w:rFonts w:ascii="Times New Roman;Times;serif" w:hAnsi="Times New Roman;Times;serif"/>
                <w:i/>
                <w:sz w:val="16"/>
              </w:rPr>
              <w:t>State taxes in California, Illinois, Minnesota, Michigan, New Jersey and New York make up the majority (greater than 50%) of the tax effect in this category.</w:t>
            </w:r>
          </w:p>
        </w:tc>
      </w:tr>
    </w:tbl>
    <w:tbl>
      <w:tblPr>
        <w:tblW w:w="3107" w:type="dxa"/>
        <w:jc w:val="left"/>
        <w:tblInd w:w="0" w:type="dxa"/>
        <w:tblLayout w:type="fixed"/>
        <w:tblCellMar>
          <w:top w:w="0" w:type="dxa"/>
          <w:left w:w="0" w:type="dxa"/>
          <w:bottom w:w="0" w:type="dxa"/>
          <w:right w:w="0" w:type="dxa"/>
        </w:tblCellMar>
      </w:tblPr>
      <w:tblGrid>
        <w:gridCol w:w="331"/>
        <w:gridCol w:w="2776"/>
      </w:tblGrid>
      <w:tr>
        <w:trPr/>
        <w:tc>
          <w:tcPr>
            <w:tcW w:w="331" w:type="dxa"/>
            <w:tcBorders/>
            <w:vAlign w:val="center"/>
          </w:tcPr>
          <w:p>
            <w:pPr>
              <w:pStyle w:val="TableContents"/>
              <w:bidi w:val="0"/>
              <w:spacing w:before="0" w:after="0"/>
              <w:jc w:val="both"/>
              <w:rPr>
                <w:rFonts w:ascii="Times New Roman;Times;serif" w:hAnsi="Times New Roman;Times;serif"/>
                <w:i/>
                <w:sz w:val="16"/>
              </w:rPr>
            </w:pPr>
            <w:r>
              <w:rPr>
                <w:rFonts w:ascii="Times New Roman;Times;serif" w:hAnsi="Times New Roman;Times;serif"/>
                <w:i/>
                <w:sz w:val="16"/>
              </w:rPr>
              <w:t>(2)</w:t>
            </w:r>
          </w:p>
        </w:tc>
        <w:tc>
          <w:tcPr>
            <w:tcW w:w="2776" w:type="dxa"/>
            <w:tcBorders/>
            <w:vAlign w:val="center"/>
          </w:tcPr>
          <w:p>
            <w:pPr>
              <w:pStyle w:val="TableContents"/>
              <w:bidi w:val="0"/>
              <w:spacing w:before="0" w:after="0"/>
              <w:jc w:val="both"/>
              <w:rPr>
                <w:rFonts w:ascii="Times New Roman;Times;serif" w:hAnsi="Times New Roman;Times;serif"/>
                <w:i/>
                <w:sz w:val="16"/>
              </w:rPr>
            </w:pPr>
            <w:r>
              <w:rPr>
                <w:rFonts w:ascii="Times New Roman;Times;serif" w:hAnsi="Times New Roman;Times;serif"/>
                <w:i/>
                <w:sz w:val="16"/>
              </w:rPr>
              <w:t>Includes the impact of any tax credits.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494" w:name="Tc_aqsVOOw0C0OJFGLU0c0e6A_8_2"/>
      <w:bookmarkStart w:id="1495" w:name="Tc_nzVKi8EGpkStIJsocHuAWw_7_0"/>
      <w:bookmarkStart w:id="1496" w:name="Tc_OWHPzSVXRkOFLA-kw69BEA_6_0"/>
      <w:bookmarkStart w:id="1497" w:name="Tc_ed8nRKquRk6ldvH9MoZWyA_5_0"/>
      <w:bookmarkStart w:id="1498" w:name="Tc_V6OujJozm06EL8l0Em4hnQ_4_0"/>
      <w:bookmarkStart w:id="1499" w:name="Tc_xSaLi1DGEEiKOrN1Q_slEQ_3_0"/>
      <w:bookmarkStart w:id="1500" w:name="Tc_gI_T1h2IbEiwn4SJXCOBZg_2_2"/>
      <w:bookmarkStart w:id="1501" w:name="Tc__Xcb2PwUXkyzma0DfRc1xg_2_0"/>
      <w:bookmarkStart w:id="1502" w:name="Tc_lEqwUZfQNkKhO7-Zqocxew_1_2"/>
      <w:bookmarkStart w:id="1503" w:name="Tc_GLPWz0NMo0qSb0dyf3gYbg_11_5"/>
      <w:bookmarkStart w:id="1504" w:name="Tc_aou70tW_yE2-sP8_ysgayA_11_2"/>
      <w:bookmarkStart w:id="1505" w:name="Tc_1HIwbSt5AkqatVXXnfcWCw_10_0"/>
      <w:bookmarkStart w:id="1506" w:name="Tc_W9yCw24f-Eis7Ldq0KHTqA_9_0"/>
      <w:bookmarkStart w:id="1507" w:name="Tc_Wh2zSkx_dU2zWhvM85o70g_8_0"/>
      <w:bookmarkStart w:id="1508" w:name="Tc_YgCY6x3PCU2cswVT0bZexw_7_0"/>
      <w:bookmarkStart w:id="1509" w:name="Tc_kAj5S_SvGUq6XwHlCRPTdg_6_0"/>
      <w:bookmarkStart w:id="1510" w:name="Tc_o5jYoFOkQkCpWqSXbiwxKA_5_0"/>
      <w:bookmarkStart w:id="1511" w:name="Tc_nhSWdnI_BkGxwZqULi5eMw_4_0"/>
      <w:bookmarkStart w:id="1512" w:name="Tc_psDyh_h0iku5psprgUaZnQ_3_5"/>
      <w:bookmarkStart w:id="1513" w:name="Tc_YlwDO9eYzEGD0eb2xMU92Q_3_2"/>
      <w:bookmarkStart w:id="1514" w:name="Tc_XxGyCfEe_kiikL4Qs8ZlrA_3_0"/>
      <w:bookmarkStart w:id="1515" w:name="Tc_CbtFE87BSkSXp9T7sm4KBQ_2_5"/>
      <w:bookmarkStart w:id="1516" w:name="Tc_Dg2Hfd9uFEG6-qV3frg4Kw_2_2"/>
      <w:bookmarkStart w:id="1517" w:name="Tc_CIxyQEL4SU2M5koH9Hxdlw_1_2"/>
      <w:bookmarkStart w:id="1518" w:name="_46191d9d_aec9_4212_b7ab_a90e8e590a4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r>
        <w:rPr>
          <w:rFonts w:ascii="Times New Roman;Times;serif" w:hAnsi="Times New Roman;Times;serif"/>
          <w:sz w:val="20"/>
        </w:rPr>
        <w:t>A reconciliation of the total provision for income taxes after applying the U.S. federal statutory rate of 21% to income before provision for income taxes to the reported provision for income taxes prior to the adoption of ASU 2023-09 are as follows for the years ended:</w:t>
      </w:r>
    </w:p>
    <w:p>
      <w:pPr>
        <w:pStyle w:val="TextBody"/>
        <w:bidi w:val="0"/>
        <w:spacing w:before="0" w:after="0"/>
        <w:ind w:left="0" w:right="0" w:hanging="0"/>
        <w:jc w:val="both"/>
        <w:rPr/>
      </w:pPr>
      <w:r>
        <w:rPr/>
        <w:t>​</w:t>
      </w:r>
    </w:p>
    <w:tbl>
      <w:tblPr>
        <w:tblW w:w="6697" w:type="dxa"/>
        <w:jc w:val="left"/>
        <w:tblInd w:w="0" w:type="dxa"/>
        <w:tblLayout w:type="fixed"/>
        <w:tblCellMar>
          <w:top w:w="0" w:type="dxa"/>
          <w:left w:w="0" w:type="dxa"/>
          <w:bottom w:w="0" w:type="dxa"/>
          <w:right w:w="0" w:type="dxa"/>
        </w:tblCellMar>
      </w:tblPr>
      <w:tblGrid>
        <w:gridCol w:w="3901"/>
        <w:gridCol w:w="346"/>
        <w:gridCol w:w="211"/>
        <w:gridCol w:w="796"/>
        <w:gridCol w:w="346"/>
        <w:gridCol w:w="211"/>
        <w:gridCol w:w="88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477135" cy="175260"/>
                      <wp:effectExtent l="0" t="0" r="0" b="0"/>
                      <wp:wrapNone/>
                      <wp:docPr id="421" name="Frame416"/>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05460" cy="175260"/>
                      <wp:effectExtent l="0" t="0" r="0" b="0"/>
                      <wp:wrapNone/>
                      <wp:docPr id="424" name="Frame4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62610" cy="175260"/>
                      <wp:effectExtent l="0" t="0" r="0" b="0"/>
                      <wp:wrapNone/>
                      <wp:docPr id="427" name="Frame4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tax expense at statutory rates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417,786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434,381</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 net of federal tax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39,416</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Permanent differences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(27,235)</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(43,846)</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Residual tax on undistributed foreign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8,423</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(5,132)</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rate differential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31,223</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3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480,411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437,494</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Cash paid for income taxes, net of refunds received, by jurisdiction for the year ended December 31, 2025 is as follows:</w:t>
      </w:r>
    </w:p>
    <w:p>
      <w:pPr>
        <w:pStyle w:val="TextBody"/>
        <w:bidi w:val="0"/>
        <w:spacing w:before="0" w:after="0"/>
        <w:ind w:left="0" w:right="0" w:hanging="0"/>
        <w:jc w:val="both"/>
        <w:rPr/>
      </w:pPr>
      <w:r>
        <w:rPr/>
        <w:t>​</w:t>
      </w:r>
    </w:p>
    <w:tbl>
      <w:tblPr>
        <w:tblW w:w="2194" w:type="dxa"/>
        <w:jc w:val="left"/>
        <w:tblInd w:w="0" w:type="dxa"/>
        <w:tblLayout w:type="fixed"/>
        <w:tblCellMar>
          <w:top w:w="0" w:type="dxa"/>
          <w:left w:w="0" w:type="dxa"/>
          <w:bottom w:w="0" w:type="dxa"/>
          <w:right w:w="0" w:type="dxa"/>
        </w:tblCellMar>
      </w:tblPr>
      <w:tblGrid>
        <w:gridCol w:w="751"/>
        <w:gridCol w:w="346"/>
        <w:gridCol w:w="211"/>
        <w:gridCol w:w="886"/>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76885" cy="175260"/>
                      <wp:effectExtent l="0" t="0" r="0" b="0"/>
                      <wp:wrapNone/>
                      <wp:docPr id="428" name="Frame42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62610" cy="175260"/>
                      <wp:effectExtent l="0" t="0" r="0" b="0"/>
                      <wp:wrapNone/>
                      <wp:docPr id="431" name="Frame4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321,000</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51,407</w:t>
            </w:r>
          </w:p>
        </w:tc>
      </w:tr>
      <w:tr>
        <w:trPr/>
        <w:tc>
          <w:tcPr>
            <w:tcW w:w="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38,351</w:t>
            </w:r>
          </w:p>
        </w:tc>
      </w:tr>
      <w:tr>
        <w:trPr/>
        <w:tc>
          <w:tcPr>
            <w:tcW w:w="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Ireland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28,495</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110,865</w:t>
            </w:r>
          </w:p>
        </w:tc>
      </w:tr>
      <w:tr>
        <w:trPr/>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550,118</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amount of cash income taxes paid by the Company during the years ended December 31, 2024 and 2023 was $476.2 million and $423.2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519" w:name="Tc_fiBAL4osX0yPQLVmExfDhA_26_5"/>
      <w:bookmarkStart w:id="1520" w:name="Tc_a8VrSqTvK02d6R8nDT9BLg_26_2"/>
      <w:bookmarkStart w:id="1521" w:name="Tc_U1WDO5VeCUuber1yV__0-w_26_0"/>
      <w:bookmarkStart w:id="1522" w:name="Tc_QYpGJwrIK0O_-_tKUl8emg_24_0"/>
      <w:bookmarkStart w:id="1523" w:name="Tc_N1qtJg_L-0qNgTCkyaYNeg_22_5"/>
      <w:bookmarkStart w:id="1524" w:name="Tc_Z66_pMt3v06P9gfT51R2_g_22_2"/>
      <w:bookmarkStart w:id="1525" w:name="Tc__3GijdV8MEaCKzMRnOmtiw_22_0"/>
      <w:bookmarkStart w:id="1526" w:name="Tc_Tld_7Bv0zk2Jzwy9pPzleg_21_0"/>
      <w:bookmarkStart w:id="1527" w:name="Tc_W9j2qhm7tEKYQftczQWoag_20_0"/>
      <w:bookmarkStart w:id="1528" w:name="Tc_Au3ZJm4D40Wk8JsVKTqCrg_19_0"/>
      <w:bookmarkStart w:id="1529" w:name="Tc_-QHnodmd80C4G_jQiK33QA_18_0"/>
      <w:bookmarkStart w:id="1530" w:name="Tc_BLX7K7gspki422IhEBDP8Q_17_5"/>
      <w:bookmarkStart w:id="1531" w:name="Tc_9Ue6zxDe10GyTbNNSsjb5A_17_2"/>
      <w:bookmarkStart w:id="1532" w:name="Tc_z7zooR5ptkavfaD-RHBIuw_17_0"/>
      <w:bookmarkStart w:id="1533" w:name="Tc_PvfbG8mCtEOrtWnJsFm3UA_16_0"/>
      <w:bookmarkStart w:id="1534" w:name="Tc_8NP9p6-D5E-xu_MBirqBZA_14_5"/>
      <w:bookmarkStart w:id="1535" w:name="Tc_HsqUFUpeQE2JFux-cwpvtw_14_2"/>
      <w:bookmarkStart w:id="1536" w:name="Tc_m0gmDjKeTESeVlJ1GUpANQ_14_0"/>
      <w:bookmarkStart w:id="1537" w:name="Tc_X3gjT83SjUiE7Fdf_wPatg_13_0"/>
      <w:bookmarkStart w:id="1538" w:name="Tc_LGb2avO5JUOngoza-qWDbQ_12_6"/>
      <w:bookmarkStart w:id="1539" w:name="Tc_ws9nDu_zPECwrHouFGV1qA_12_0"/>
      <w:bookmarkStart w:id="1540" w:name="Tc_hnTGmR-ykEuLVSrEMjvQqw_11_0"/>
      <w:bookmarkStart w:id="1541" w:name="Tc_dcIMnxdgsk6wh_7PbOttJA_10_0"/>
      <w:bookmarkStart w:id="1542" w:name="Tc_QDCfqWHOfkugltjUan_eQQ_9_0"/>
      <w:bookmarkStart w:id="1543" w:name="Tc_i9Nz3cPgskKIgsh9J7mwyg_8_0"/>
      <w:bookmarkStart w:id="1544" w:name="Tc_sY7Yx8d2Tku_GPbu5GNZKA_7_0"/>
      <w:bookmarkStart w:id="1545" w:name="Tc_qq-UWNQq_kW9QvrLiySYEQ_6_0"/>
      <w:bookmarkStart w:id="1546" w:name="Tc_q0gS2XkoEEeraK-6db4FWA_5_0"/>
      <w:bookmarkStart w:id="1547" w:name="Tc_sqiHJya7s0uxSU903jEiTQ_4_0"/>
      <w:bookmarkStart w:id="1548" w:name="Tc_fHuy79pf00uTV9mlPatbwg_3_5"/>
      <w:bookmarkStart w:id="1549" w:name="Tc_XyJtHIxMUkuHzrwEG0CBKw_3_2"/>
      <w:bookmarkStart w:id="1550" w:name="Tc_Zt-ly1hT5Uu_PsLiUDUPQg_3_0"/>
      <w:bookmarkStart w:id="1551" w:name="Tc_1f4FXzB9pUmmhokZHIIzJg_2_0"/>
      <w:bookmarkStart w:id="1552" w:name="Tc_KgiEjSBP6kKLXrw8y9vIsQ_1_5"/>
      <w:bookmarkStart w:id="1553" w:name="Tc_6W4rj1rby0aH_KGfKzzLgw_1_2"/>
      <w:bookmarkStart w:id="1554" w:name="_1f40793a_27d2_410e_80db_04ffca2f7865"/>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r>
        <w:rPr>
          <w:rFonts w:ascii="Times New Roman;Times;serif" w:hAnsi="Times New Roman;Times;serif"/>
          <w:sz w:val="20"/>
        </w:rPr>
        <w:t>Major components of the Company’s deferred tax assets (liabilities) at December 31, 2025 and 2024 are presented in the table below. Certain amounts as of December 31, 2024 have been reclassified to conform to the presentation as of December 31, 2025.</w:t>
      </w:r>
    </w:p>
    <w:p>
      <w:pPr>
        <w:pStyle w:val="TextBody"/>
        <w:bidi w:val="0"/>
        <w:spacing w:before="0" w:after="0"/>
        <w:ind w:left="0" w:right="0" w:hanging="0"/>
        <w:jc w:val="both"/>
        <w:rPr/>
      </w:pPr>
      <w:r>
        <w:rPr/>
        <w:t>​</w:t>
      </w:r>
    </w:p>
    <w:tbl>
      <w:tblPr>
        <w:tblW w:w="5812" w:type="dxa"/>
        <w:jc w:val="left"/>
        <w:tblInd w:w="0" w:type="dxa"/>
        <w:tblLayout w:type="fixed"/>
        <w:tblCellMar>
          <w:top w:w="0" w:type="dxa"/>
          <w:left w:w="0" w:type="dxa"/>
          <w:bottom w:w="0" w:type="dxa"/>
          <w:right w:w="0" w:type="dxa"/>
        </w:tblCellMar>
      </w:tblPr>
      <w:tblGrid>
        <w:gridCol w:w="2851"/>
        <w:gridCol w:w="346"/>
        <w:gridCol w:w="211"/>
        <w:gridCol w:w="901"/>
        <w:gridCol w:w="346"/>
        <w:gridCol w:w="211"/>
        <w:gridCol w:w="94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810385" cy="175260"/>
                      <wp:effectExtent l="0" t="0" r="0" b="0"/>
                      <wp:wrapNone/>
                      <wp:docPr id="432" name="Frame427"/>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33"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72135" cy="175260"/>
                      <wp:effectExtent l="0" t="0" r="0" b="0"/>
                      <wp:wrapNone/>
                      <wp:docPr id="435" name="Frame4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36"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00710" cy="175260"/>
                      <wp:effectExtent l="0" t="0" r="0" b="0"/>
                      <wp:wrapNone/>
                      <wp:docPr id="438" name="Frame4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inventory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13,253</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13,941</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53,802</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19,649</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33,159</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39,489</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13,201</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84,455</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16,725</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credit carryforward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deferred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76,593</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382,135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364,267</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(107,473)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(93,511)</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ROU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(13,201)</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Bang transaction gain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(11,740)</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(57,168)</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(12,741)</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(188,361)</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(38,665)</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deferred tax assets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134,574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137,241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years ended December 31, 2025, 2024 and 2023, the Company recorded valuation allowances against certain deferred tax assets from cumulative net operating losses incurred by certain foreign subsidiaries of the Company, state income tax related to cumulative net operating losses incurred by certain U.S. subsidiaries, and foreign tax credit carryforwards. The effect of the valuation allowances and the subsequent related impact on the Company’s overall tax rate was to increase the Company’s provision for income taxes by $6.6 million, $8.6 million and $0.2 million for the years ended December 31, 2025, 2024 and 2023, respectively. At December 31, 2025, the Company had net state operating loss carryforwards of approximately $96.0 million and net foreign operating loss carryforwards of approximately $77.0 million. Of these amounts, $68.4 million of net foreign operating loss carryforwards may be carried forward indefinitely. The remaining $104.6 million of net state and foreign operating loss carryforwards will begin to expire in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555" w:name="Tc_yvJpbHoEVUeWdheO2gaAhQ_15_2"/>
      <w:bookmarkStart w:id="1556" w:name="Tc_lMJ_LpzE0Uq1fJq_6ZgRSA_15_0"/>
      <w:bookmarkStart w:id="1557" w:name="Tc_V6FgTnDW60GJcVGRvRHFjQ_14_0"/>
      <w:bookmarkStart w:id="1558" w:name="Tc_djZ2ASO-0kOofL-26LLh9w_13_0"/>
      <w:bookmarkStart w:id="1559" w:name="Tc_TE2rsP4kXU6e8PDVy-qj-w_12_3"/>
      <w:bookmarkStart w:id="1560" w:name="Tc_oNootTy7cUSs2Kb1zPcqTg_12_0"/>
      <w:bookmarkStart w:id="1561" w:name="Tc_apJ7FHTeWE-uV4I-dwvhCA_11_2"/>
      <w:bookmarkStart w:id="1562" w:name="Tc__yzxPVF32Ei656PKA-JJ9g_11_0"/>
      <w:bookmarkStart w:id="1563" w:name="Tc_P2Oja5dAQ0is6jaCJxN1QQ_10_0"/>
      <w:bookmarkStart w:id="1564" w:name="Tc_tdLWM5q_w0awgldDZX4KKA_9_0"/>
      <w:bookmarkStart w:id="1565" w:name="Tc_rW47wyg5ZEqnzbsJP4_FfQ_8_3"/>
      <w:bookmarkStart w:id="1566" w:name="Tc_jX-UqQXiH0GfmYQiGrVLOg_8_0"/>
      <w:bookmarkStart w:id="1567" w:name="Tc_WWQ6V5a900GffSkqwiHq2A_7_2"/>
      <w:bookmarkStart w:id="1568" w:name="Tc_zdK_Wcz05Uiip5CGxYiOnA_7_0"/>
      <w:bookmarkStart w:id="1569" w:name="Tc_ebTP4LBeEkqzEsDTER2Ruw_6_0"/>
      <w:bookmarkStart w:id="1570" w:name="Tc_XVunp3WKtUmiPbKGbfI7pA_5_0"/>
      <w:bookmarkStart w:id="1571" w:name="Tc_qM_c6znTHUaBNvddqQ2kkw_4_3"/>
      <w:bookmarkStart w:id="1572" w:name="Tc_iF18SUBt7UOcYxjxUjZskg_4_0"/>
      <w:bookmarkStart w:id="1573" w:name="Tc_WfY_74fxvU6mQKs6vfSnUA_3_2"/>
      <w:bookmarkStart w:id="1574" w:name="Tc_TnkPetPfV0SDfyfXKVc2Lg_3_0"/>
      <w:bookmarkStart w:id="1575" w:name="Tc_ER9Qa7R5sEeJl5MW8ulXKw_2_2"/>
      <w:bookmarkStart w:id="1576" w:name="Tc_486eQJrKvUuJBu-IhUACcQ_1_2"/>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r>
        <w:rPr>
          <w:rFonts w:ascii="Times New Roman;Times;serif" w:hAnsi="Times New Roman;Times;serif"/>
          <w:sz w:val="20"/>
        </w:rPr>
        <w:t>The following is a roll-forward of the Company’s total gross unrecognized tax benefits, not including interest and penalties, for the years ended December 31, 2025, 2024 and 2023:</w:t>
      </w:r>
    </w:p>
    <w:p>
      <w:pPr>
        <w:pStyle w:val="TextBody"/>
        <w:bidi w:val="0"/>
        <w:spacing w:before="0" w:after="0"/>
        <w:ind w:left="0" w:right="0" w:hanging="0"/>
        <w:jc w:val="both"/>
        <w:rPr/>
      </w:pPr>
      <w:r>
        <w:rPr/>
        <w:t>​</w:t>
      </w:r>
    </w:p>
    <w:tbl>
      <w:tblPr>
        <w:tblW w:w="6947" w:type="dxa"/>
        <w:jc w:val="left"/>
        <w:tblInd w:w="0" w:type="dxa"/>
        <w:tblLayout w:type="fixed"/>
        <w:tblCellMar>
          <w:top w:w="0" w:type="dxa"/>
          <w:left w:w="0" w:type="dxa"/>
          <w:bottom w:w="0" w:type="dxa"/>
          <w:right w:w="0" w:type="dxa"/>
        </w:tblCellMar>
      </w:tblPr>
      <w:tblGrid>
        <w:gridCol w:w="4411"/>
        <w:gridCol w:w="346"/>
        <w:gridCol w:w="520"/>
        <w:gridCol w:w="1670"/>
      </w:tblGrid>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9"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330200" cy="175260"/>
                      <wp:effectExtent l="0" t="0" r="0" b="0"/>
                      <wp:wrapNone/>
                      <wp:docPr id="440" name="Frame435"/>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060450" cy="175260"/>
                      <wp:effectExtent l="0" t="0" r="0" b="0"/>
                      <wp:wrapNone/>
                      <wp:docPr id="441" name="Frame436"/>
                      <a:graphic xmlns:a="http://schemas.openxmlformats.org/drawingml/2006/main">
                        <a:graphicData uri="http://schemas.microsoft.com/office/word/2010/wordprocessingShape">
                          <wps:wsp>
                            <wps:cNvSpPr txBox="1"/>
                            <wps:spPr>
                              <a:xfrm>
                                <a:off x="0" y="0"/>
                                <a:ext cx="1060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 Unrecognized Tax </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Benefits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2022</w:t>
            </w:r>
          </w:p>
        </w:tc>
        <w:tc>
          <w:tcPr>
            <w:tcW w:w="346" w:type="dxa"/>
            <w:tcBorders/>
            <w:shd w:fill="CCEEFF" w:val="cle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4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 </w:t>
            </w:r>
          </w:p>
        </w:tc>
        <w:tc>
          <w:tcPr>
            <w:tcW w:w="1670"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w:t>
            </w:r>
          </w:p>
        </w:tc>
        <w:tc>
          <w:tcPr>
            <w:tcW w:w="34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 </w:t>
            </w:r>
          </w:p>
        </w:tc>
        <w:tc>
          <w:tcPr>
            <w:tcW w:w="1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prior years</w:t>
            </w:r>
          </w:p>
        </w:tc>
        <w:tc>
          <w:tcPr>
            <w:tcW w:w="346" w:type="dxa"/>
            <w:tcBorders/>
            <w:vAlign w:val="center"/>
          </w:tcPr>
          <w:p>
            <w:pPr>
              <w:pStyle w:val="TableContents"/>
              <w:bidi w:val="0"/>
              <w:spacing w:before="0" w:after="0"/>
              <w:ind w:left="0" w:right="0" w:hanging="0"/>
              <w:jc w:val="left"/>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4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1670"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w:t>
            </w:r>
          </w:p>
        </w:tc>
        <w:tc>
          <w:tcPr>
            <w:tcW w:w="34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1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prior years</w:t>
            </w:r>
          </w:p>
        </w:tc>
        <w:tc>
          <w:tcPr>
            <w:tcW w:w="346" w:type="dxa"/>
            <w:tcBorders/>
            <w:vAlign w:val="center"/>
          </w:tcPr>
          <w:p>
            <w:pPr>
              <w:pStyle w:val="TableContents"/>
              <w:bidi w:val="0"/>
              <w:spacing w:before="0" w:after="0"/>
              <w:ind w:left="0" w:right="0" w:hanging="0"/>
              <w:jc w:val="left"/>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4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1670"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w:t>
            </w:r>
          </w:p>
        </w:tc>
        <w:tc>
          <w:tcPr>
            <w:tcW w:w="34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1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prior years</w:t>
            </w:r>
          </w:p>
        </w:tc>
        <w:tc>
          <w:tcPr>
            <w:tcW w:w="346" w:type="dxa"/>
            <w:tcBorders/>
            <w:vAlign w:val="center"/>
          </w:tcPr>
          <w:p>
            <w:pPr>
              <w:pStyle w:val="TableContents"/>
              <w:bidi w:val="0"/>
              <w:spacing w:before="0" w:after="0"/>
              <w:ind w:left="0" w:right="0" w:hanging="0"/>
              <w:jc w:val="left"/>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3,230</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consolidated financial statements. As of December 31, 2025, the Company had accrued approximately $0.9 million in interest and penalties related to unrecognized tax benefits. If the Company were to prevail on all uncertain tax positions, it would not have a significant impact on the Company’s effective tax 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It is expected that any change in the amount of unrecognized tax benefit change within the next 12 months will not be significant.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is subject to U.S. federal income tax as well as to income tax in multiple state and foreign jurisdictions.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 xml:space="preserve">The Company is in various stages of examination with certain states and certain foreign jurisdictions. The Company’s 2022 through 2025 </w:t>
      </w:r>
      <w:r>
        <w:rPr>
          <w:rFonts w:ascii="Times New Roman;Times;serif" w:hAnsi="Times New Roman;Times;serif"/>
          <w:b w:val="false"/>
          <w:i w:val="false"/>
          <w:caps w:val="false"/>
          <w:smallCaps w:val="false"/>
          <w:sz w:val="20"/>
        </w:rPr>
        <w:t>U.S. federal</w:t>
      </w:r>
      <w:r>
        <w:rPr>
          <w:rFonts w:ascii="Times New Roman;Times;serif" w:hAnsi="Times New Roman;Times;serif"/>
          <w:sz w:val="22"/>
        </w:rPr>
        <w:t xml:space="preserve"> </w:t>
      </w:r>
      <w:r>
        <w:rPr>
          <w:rFonts w:ascii="Times New Roman;Times;serif" w:hAnsi="Times New Roman;Times;serif"/>
          <w:sz w:val="20"/>
        </w:rPr>
        <w:t xml:space="preserve">income tax returns are subject to examination by the </w:t>
      </w:r>
      <w:r>
        <w:rPr>
          <w:rFonts w:ascii="Times New Roman;Times;serif" w:hAnsi="Times New Roman;Times;serif"/>
          <w:b w:val="false"/>
          <w:i w:val="false"/>
          <w:caps w:val="false"/>
          <w:smallCaps w:val="false"/>
          <w:sz w:val="20"/>
        </w:rPr>
        <w:t>IRS</w:t>
      </w:r>
      <w:r>
        <w:rPr>
          <w:rFonts w:ascii="Times New Roman;Times;serif" w:hAnsi="Times New Roman;Times;serif"/>
          <w:sz w:val="20"/>
        </w:rPr>
        <w:t xml:space="preserve">. The Company’s </w:t>
      </w:r>
      <w:r>
        <w:rPr>
          <w:rFonts w:ascii="Times New Roman;Times;serif" w:hAnsi="Times New Roman;Times;serif"/>
          <w:b w:val="false"/>
          <w:i w:val="false"/>
          <w:caps w:val="false"/>
          <w:smallCaps w:val="false"/>
          <w:sz w:val="20"/>
        </w:rPr>
        <w:t>state</w:t>
      </w:r>
      <w:r>
        <w:rPr>
          <w:rFonts w:ascii="Times New Roman;Times;serif" w:hAnsi="Times New Roman;Times;serif"/>
          <w:sz w:val="22"/>
        </w:rPr>
        <w:t xml:space="preserve"> </w:t>
      </w:r>
      <w:r>
        <w:rPr>
          <w:rFonts w:ascii="Times New Roman;Times;serif" w:hAnsi="Times New Roman;Times;serif"/>
          <w:sz w:val="20"/>
        </w:rPr>
        <w:t xml:space="preserve">income tax returns are generally subject to examination for the 2021 through 2025 tax years. The </w:t>
      </w:r>
      <w:r>
        <w:rPr>
          <w:rFonts w:ascii="Times New Roman;Times;serif" w:hAnsi="Times New Roman;Times;serif"/>
          <w:b w:val="false"/>
          <w:i w:val="false"/>
          <w:caps w:val="false"/>
          <w:smallCaps w:val="false"/>
          <w:sz w:val="20"/>
        </w:rPr>
        <w:t>United Kingdom</w:t>
      </w:r>
      <w:r>
        <w:rPr>
          <w:rFonts w:ascii="Times New Roman;Times;serif" w:hAnsi="Times New Roman;Times;serif"/>
          <w:sz w:val="22"/>
        </w:rPr>
        <w:t xml:space="preserve"> </w:t>
      </w:r>
      <w:r>
        <w:rPr>
          <w:rFonts w:ascii="Times New Roman;Times;serif" w:hAnsi="Times New Roman;Times;serif"/>
          <w:sz w:val="20"/>
        </w:rPr>
        <w:t xml:space="preserve">and </w:t>
      </w:r>
      <w:r>
        <w:rPr>
          <w:rFonts w:ascii="Times New Roman;Times;serif" w:hAnsi="Times New Roman;Times;serif"/>
          <w:b w:val="false"/>
          <w:i w:val="false"/>
          <w:caps w:val="false"/>
          <w:smallCaps w:val="false"/>
          <w:sz w:val="20"/>
        </w:rPr>
        <w:t>Ireland</w:t>
      </w:r>
      <w:r>
        <w:rPr>
          <w:rFonts w:ascii="Times New Roman;Times;serif" w:hAnsi="Times New Roman;Times;serif"/>
          <w:sz w:val="22"/>
        </w:rPr>
        <w:t xml:space="preserve"> </w:t>
      </w:r>
      <w:r>
        <w:rPr>
          <w:rFonts w:ascii="Times New Roman;Times;serif" w:hAnsi="Times New Roman;Times;serif"/>
          <w:sz w:val="20"/>
        </w:rPr>
        <w:t>income tax returns are subject to examination for the 2021 through 2025 tax years.</w:t>
      </w:r>
    </w:p>
    <w:p>
      <w:pPr>
        <w:pStyle w:val="TextBody"/>
        <w:bidi w:val="0"/>
        <w:spacing w:before="0" w:after="240"/>
        <w:ind w:left="0" w:right="0" w:hanging="0"/>
        <w:jc w:val="left"/>
        <w:rPr>
          <w:rFonts w:ascii="Times New Roman;Times;serif" w:hAnsi="Times New Roman;Times;serif"/>
          <w:b/>
          <w:sz w:val="20"/>
        </w:rPr>
      </w:pPr>
      <w:bookmarkStart w:id="1577" w:name="Tc_GEz5xnMaSUyg6gvh3dla8Q_5_0"/>
      <w:bookmarkStart w:id="1578" w:name="Tc_AYnLex7_-k2ayjs25kOpxQ_4_0"/>
      <w:bookmarkStart w:id="1579" w:name="Tc_H5DCzf9Tc0SEMPdl7ufNSA_3_0"/>
      <w:bookmarkStart w:id="1580" w:name="Tc_UjTz4iU-hU6Az1olQaJD3w_2_0"/>
      <w:bookmarkStart w:id="1581" w:name="Tc_AL5sx_Db4ky2QJnVnuu95g_1_6"/>
      <w:bookmarkStart w:id="1582" w:name="Tc_zGctwsnsXkeH5JxcY_l29w_1_4"/>
      <w:bookmarkStart w:id="1583" w:name="Tc_dOh0Fnner0izsa6szgHNrg_1_2"/>
      <w:bookmarkStart w:id="1584" w:name="_36dd8c8b_43e3_4f69_a6cc_d9a0294d04fd"/>
      <w:bookmarkEnd w:id="1577"/>
      <w:bookmarkEnd w:id="1578"/>
      <w:bookmarkEnd w:id="1579"/>
      <w:bookmarkEnd w:id="1580"/>
      <w:bookmarkEnd w:id="1581"/>
      <w:bookmarkEnd w:id="1582"/>
      <w:bookmarkEnd w:id="1583"/>
      <w:bookmarkEnd w:id="1584"/>
      <w:r>
        <w:rPr>
          <w:rFonts w:ascii="Times New Roman;Times;serif" w:hAnsi="Times New Roman;Times;serif"/>
          <w:b w:val="false"/>
          <w:i w:val="false"/>
          <w:caps w:val="false"/>
          <w:smallCaps w:val="false"/>
          <w:sz w:val="20"/>
        </w:rPr>
        <w:t>15.</w:t>
      </w:r>
      <w:r>
        <w:rPr>
          <w:rFonts w:ascii="Times New Roman;Times;serif" w:hAnsi="Times New Roman;Times;serif"/>
          <w:b w:val="false"/>
          <w:sz w:val="20"/>
        </w:rPr>
        <w:t>EARNINGS PER SHARE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reconciliation of the weighted-average shares used in the basic and diluted earnings per common share computations for the years ended December 31, 2025, 2024 and 2023 is presented below (in thousands):</w:t>
      </w:r>
    </w:p>
    <w:p>
      <w:pPr>
        <w:pStyle w:val="TextBody"/>
        <w:bidi w:val="0"/>
        <w:spacing w:before="0" w:after="0"/>
        <w:ind w:left="0" w:right="0" w:firstLine="720"/>
        <w:jc w:val="both"/>
        <w:rPr/>
      </w:pPr>
      <w:r>
        <w:rPr/>
        <w:t>​</w:t>
      </w:r>
    </w:p>
    <w:tbl>
      <w:tblPr>
        <w:tblW w:w="7012" w:type="dxa"/>
        <w:jc w:val="left"/>
        <w:tblInd w:w="0" w:type="dxa"/>
        <w:tblLayout w:type="fixed"/>
        <w:tblCellMar>
          <w:top w:w="0" w:type="dxa"/>
          <w:left w:w="0" w:type="dxa"/>
          <w:bottom w:w="0" w:type="dxa"/>
          <w:right w:w="0" w:type="dxa"/>
        </w:tblCellMar>
      </w:tblPr>
      <w:tblGrid>
        <w:gridCol w:w="3226"/>
        <w:gridCol w:w="346"/>
        <w:gridCol w:w="781"/>
        <w:gridCol w:w="346"/>
        <w:gridCol w:w="931"/>
        <w:gridCol w:w="346"/>
        <w:gridCol w:w="103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48510" cy="175260"/>
                      <wp:effectExtent l="0" t="0" r="0" b="0"/>
                      <wp:wrapNone/>
                      <wp:docPr id="442" name="Frame437"/>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95935" cy="175260"/>
                      <wp:effectExtent l="0" t="0" r="0" b="0"/>
                      <wp:wrapNone/>
                      <wp:docPr id="444" name="Frame4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91185" cy="175260"/>
                      <wp:effectExtent l="0" t="0" r="0" b="0"/>
                      <wp:wrapNone/>
                      <wp:docPr id="446" name="Frame4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57860" cy="175260"/>
                      <wp:effectExtent l="0" t="0" r="0" b="0"/>
                      <wp:wrapNone/>
                      <wp:docPr id="448" name="Frame44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975,887</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1,004,566</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1,044,887</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8,541</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13,094</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984,451</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1,013,107</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1,057,981</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2025, 2024 and 2023, options and awards outstanding totaling 6.5 million shares, 7.8 million shares and 3.3 million shares, respectively, were excluded from the calculations as their effect would have been antidilutive.</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16.</w:t>
      </w:r>
      <w:r>
        <w:rPr>
          <w:rFonts w:ascii="Times New Roman;Times;serif" w:hAnsi="Times New Roman;Times;serif"/>
          <w:b w:val="false"/>
          <w:sz w:val="20"/>
        </w:rPr>
        <w:t>EMPLOYEE BENEFIT PLAN</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0"/>
        </w:rPr>
        <w:t>Employees of the Company may participate in the Monster Beverage Corporation 401(k) Plan, a defined contribution plan, which qualifies under Section 401(k) of the Internal Revenue Code. Participating employees may contribute into a traditional plan with pretax salary or into a Roth plan with after tax salary up to statutory limits. The Company contributes 50%</w:t>
      </w:r>
      <w:r>
        <w:rPr>
          <w:rFonts w:ascii="Times New Roman;Times;serif" w:hAnsi="Times New Roman;Times;serif"/>
          <w:sz w:val="22"/>
        </w:rPr>
        <w:t xml:space="preserve"> </w:t>
      </w:r>
      <w:r>
        <w:rPr>
          <w:rFonts w:ascii="Times New Roman;Times;serif" w:hAnsi="Times New Roman;Times;serif"/>
          <w:sz w:val="20"/>
        </w:rPr>
        <w:t>of the employee contribution, up to 8%</w:t>
      </w:r>
      <w:r>
        <w:rPr>
          <w:rFonts w:ascii="Times New Roman;Times;serif" w:hAnsi="Times New Roman;Times;serif"/>
          <w:sz w:val="22"/>
        </w:rPr>
        <w:t xml:space="preserve"> </w:t>
      </w:r>
      <w:r>
        <w:rPr>
          <w:rFonts w:ascii="Times New Roman;Times;serif" w:hAnsi="Times New Roman;Times;serif"/>
          <w:sz w:val="20"/>
        </w:rPr>
        <w:t>of each employee’s earnings, which vest over four years</w:t>
      </w:r>
      <w:r>
        <w:rPr>
          <w:rFonts w:ascii="Times New Roman;Times;serif" w:hAnsi="Times New Roman;Times;serif"/>
          <w:sz w:val="22"/>
        </w:rPr>
        <w:t xml:space="preserve"> </w:t>
      </w:r>
      <w:r>
        <w:rPr>
          <w:rFonts w:ascii="Times New Roman;Times;serif" w:hAnsi="Times New Roman;Times;serif"/>
          <w:sz w:val="20"/>
        </w:rPr>
        <w:t>(2 years of service = 50%, 3 years of service = 75%, 4 years of service = 100%). Matching contributions were $11.3</w:t>
      </w:r>
      <w:r>
        <w:rPr>
          <w:rFonts w:ascii="Times New Roman;Times;serif" w:hAnsi="Times New Roman;Times;serif"/>
          <w:sz w:val="22"/>
        </w:rPr>
        <w:t xml:space="preserve"> </w:t>
      </w:r>
      <w:r>
        <w:rPr>
          <w:rFonts w:ascii="Times New Roman;Times;serif" w:hAnsi="Times New Roman;Times;serif"/>
          <w:sz w:val="20"/>
        </w:rPr>
        <w:t>million, $10.4</w:t>
      </w:r>
      <w:r>
        <w:rPr>
          <w:rFonts w:ascii="Times New Roman;Times;serif" w:hAnsi="Times New Roman;Times;serif"/>
          <w:sz w:val="22"/>
        </w:rPr>
        <w:t xml:space="preserve"> </w:t>
      </w:r>
      <w:r>
        <w:rPr>
          <w:rFonts w:ascii="Times New Roman;Times;serif" w:hAnsi="Times New Roman;Times;serif"/>
          <w:sz w:val="20"/>
        </w:rPr>
        <w:t>million and $8.5</w:t>
      </w:r>
      <w:r>
        <w:rPr>
          <w:rFonts w:ascii="Times New Roman;Times;serif" w:hAnsi="Times New Roman;Times;serif"/>
          <w:sz w:val="22"/>
        </w:rPr>
        <w:t xml:space="preserve"> </w:t>
      </w:r>
      <w:r>
        <w:rPr>
          <w:rFonts w:ascii="Times New Roman;Times;serif" w:hAnsi="Times New Roman;Times;serif"/>
          <w:sz w:val="20"/>
        </w:rPr>
        <w:t>million for the years ended December 31, 2025, 2024 and 2023, respectively.</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17.</w:t>
      </w:r>
      <w:r>
        <w:rPr>
          <w:rFonts w:ascii="Times New Roman;Times;serif" w:hAnsi="Times New Roman;Times;serif"/>
          <w:b w:val="false"/>
          <w:sz w:val="20"/>
        </w:rPr>
        <w:t>SEGMENT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four operating and reportable segments: (i) Monster Energy® Drinks segment, which is primarily comprised of the Company’s Monster Energy® drinks, Reign Total Body Fuel® high performance energy drinks, Reign Storm® total wellness energy drinks and Bang Energy® drinks, (ii) Strategic Brands segment, which is primarily comprised of the various energy drink brands acquired from TCCC in 2015 as well as the Company’s affordable energy brands, Predator® and Fury®, (iii) Alcohol Brands segment, which is comprised of various craft beers, FMBs and hard seltzers and (iv) Other segment, which is comprised of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chief operating decision maker is the chief executive officer (the “CEO”). The CEO assesses segments’ performance by using each segment’s operating income and considers budget-to-actual variances on a periodic basis (at least quarterly) when making decisions about operational planning, including resource allocation. Further, the CEO uses segments’ operating income when comparing the results of each segment with one another.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585" w:name="Tc_xc7iEaQDP0CD2CTawGzlEg_26_14"/>
      <w:bookmarkStart w:id="1586" w:name="Tc_mv-zKgGFo0ekCLnBEtwyhg_26_0"/>
      <w:bookmarkStart w:id="1587" w:name="Tc_M5o0_UQ2VkaSAOO4Nxmj2w_25_0"/>
      <w:bookmarkStart w:id="1588" w:name="Tc_H9bTZ7xDiEeJvrX-fs0aOA_24_14"/>
      <w:bookmarkStart w:id="1589" w:name="Tc_NXInQMhTCEOEXDs9A9jkfQ_24_11"/>
      <w:bookmarkStart w:id="1590" w:name="Tc_RUOSrpbWEEa9vbkJwei3Lw_24_8"/>
      <w:bookmarkStart w:id="1591" w:name="Tc_0YZ8PN9BhE2KU1rODYv1BQ_24_5"/>
      <w:bookmarkStart w:id="1592" w:name="Tc_oXdqwy6ls0-N6ktAA-9xSA_24_2"/>
      <w:bookmarkStart w:id="1593" w:name="Tc_KLtWz8I92EOhupSAvDCtbA_24_0"/>
      <w:bookmarkStart w:id="1594" w:name="Tc_rBqR1KhMqU6TzP6wAKhpQQ_22_14"/>
      <w:bookmarkStart w:id="1595" w:name="Tc_SH5nvPKbSEmTVyT59MXSBw_22_0"/>
      <w:bookmarkStart w:id="1596" w:name="Tc_a22IPDMEGk-XEVaQMW8gyg_20_0"/>
      <w:bookmarkStart w:id="1597" w:name="Tc_43qxlwRfmE6KOnUqzwR2Bg_19_0"/>
      <w:bookmarkStart w:id="1598" w:name="Tc_K3JRNmoe_kKhWBZCjP8qBg_18_0"/>
      <w:bookmarkStart w:id="1599" w:name="Tc_i6U785QzNUuiEyWBQMK67g_17_0"/>
      <w:bookmarkStart w:id="1600" w:name="Tc_Oj1Bsw7O5US92-Jg2cnuQA_16_0"/>
      <w:bookmarkStart w:id="1601" w:name="Tc_HyotNFTjtEiuh5azYxQ2YQ_14_0"/>
      <w:bookmarkStart w:id="1602" w:name="Tc_PEW6DhqS90SlbHsFuu0KYg_13_15"/>
      <w:bookmarkStart w:id="1603" w:name="Tc_WrwoyiMmeUyb7yL_3us0Bw_13_0"/>
      <w:bookmarkStart w:id="1604" w:name="Tc_Px3IgdaoMkKbsERJS_UHAg_12_15"/>
      <w:bookmarkStart w:id="1605" w:name="Tc_iVnCA5fJlkahU9L1gDDVDg_12_12"/>
      <w:bookmarkStart w:id="1606" w:name="Tc_LHPEVXkPnkWzBoeYffLb0A_12_6"/>
      <w:bookmarkStart w:id="1607" w:name="Tc_7wkcORByiE-ZMgAwvqoD2g_12_3"/>
      <w:bookmarkStart w:id="1608" w:name="Tc_GXS3uxUSTUa9mouiKc-j0Q_12_0"/>
      <w:bookmarkStart w:id="1609" w:name="Tc_HmORDya-dka1i4_7I_eV9g_11_15"/>
      <w:bookmarkStart w:id="1610" w:name="Tc_CXQnwcNtBEOz1_MWxYrVGA_11_0"/>
      <w:bookmarkStart w:id="1611" w:name="Tc_LP2O6KItsEGRjXM0_kZ9oQ_10_15"/>
      <w:bookmarkStart w:id="1612" w:name="Tc_I7thvPZ1tkKbNKxk9_Hk4Q_10_0"/>
      <w:bookmarkStart w:id="1613" w:name="Tc_mMyD4E7UlEqW9PvhW2sRcg_9_15"/>
      <w:bookmarkStart w:id="1614" w:name="Tc_nlIcTY3hFE-r3krxHAqx2A_9_12"/>
      <w:bookmarkStart w:id="1615" w:name="Tc_1jVsLtHw5UqcPQ9ZS_VbMA_9_0"/>
      <w:bookmarkStart w:id="1616" w:name="Tc__ZfzMFihIkSS_ux4GnNVYQ_7_0"/>
      <w:bookmarkStart w:id="1617" w:name="Tc_ZftYdfdo7EWPUESz19bQAg_6_15"/>
      <w:bookmarkStart w:id="1618" w:name="Tc_fDgwO71AB0q7oYPwNoiXgA_6_0"/>
      <w:bookmarkStart w:id="1619" w:name="Tc_J__FfaWskE2mgeiP0CEWgw_4_14"/>
      <w:bookmarkStart w:id="1620" w:name="Tc_4goTj3KBdk2D603FHm21ew_4_11"/>
      <w:bookmarkStart w:id="1621" w:name="Tc_CdClaMjopUOsW0I6XyN4bw_4_8"/>
      <w:bookmarkStart w:id="1622" w:name="Tc_ULezzCUyr0qOti9WSoZ7wg_4_5"/>
      <w:bookmarkStart w:id="1623" w:name="Tc_FoK8WAHswUyMIbtWEsvLPg_4_2"/>
      <w:bookmarkStart w:id="1624" w:name="Tc_qgb5YUbzHUW1pMqH2ij8RQ_4_0"/>
      <w:bookmarkStart w:id="1625" w:name="Tc_jA1ZVCRnLEOPP7AbH_Uxjg_3_14"/>
      <w:bookmarkStart w:id="1626" w:name="Tc_ykQH5a11I0Cj4XjVYF06QA_3_11"/>
      <w:bookmarkStart w:id="1627" w:name="Tc_p8pgEd6mcU6sFaxAKc1JXg_3_8"/>
      <w:bookmarkStart w:id="1628" w:name="Tc_JXMzySFafkqj8acI-Stgjw_3_5"/>
      <w:bookmarkStart w:id="1629" w:name="Tc_GX6YCSHEtU2a1xRCFZyvdQ_3_2"/>
      <w:bookmarkStart w:id="1630" w:name="Tc_Y_0sMhmXl0-DrKzohxjfBg_2_8"/>
      <w:bookmarkStart w:id="1631" w:name="Tc_cJApZrG27Uq5u8CS1db-uw_2_5"/>
      <w:bookmarkStart w:id="1632" w:name="Tc_9mivEwceLk2x6hHeB4iXjw_2_2"/>
      <w:bookmarkStart w:id="1633" w:name="Tc_IQpC3EpodUSihGaXrT4NYA_1_2"/>
      <w:bookmarkStart w:id="1634" w:name="_8061c3ad_cb46_469c_988c_f253169c84ff"/>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r>
        <w:rPr>
          <w:rFonts w:ascii="Times New Roman;Times;serif" w:hAnsi="Times New Roman;Times;serif"/>
          <w:sz w:val="20"/>
        </w:rPr>
        <w:t>The tables below provide information about the Company’s reportable segments, including the corporate and unallocated category.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Year Ended December 31, 2025</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76"/>
        <w:gridCol w:w="346"/>
        <w:gridCol w:w="211"/>
        <w:gridCol w:w="931"/>
        <w:gridCol w:w="346"/>
        <w:gridCol w:w="211"/>
        <w:gridCol w:w="781"/>
        <w:gridCol w:w="346"/>
        <w:gridCol w:w="211"/>
        <w:gridCol w:w="879"/>
        <w:gridCol w:w="346"/>
        <w:gridCol w:w="211"/>
        <w:gridCol w:w="676"/>
        <w:gridCol w:w="346"/>
        <w:gridCol w:w="211"/>
        <w:gridCol w:w="977"/>
      </w:tblGrid>
      <w:tr>
        <w:trPr/>
        <w:tc>
          <w:tcPr>
            <w:tcW w:w="3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16760" cy="175260"/>
                      <wp:effectExtent l="0" t="0" r="0" b="0"/>
                      <wp:wrapNone/>
                      <wp:docPr id="449" name="Frame444"/>
                      <a:graphic xmlns:a="http://schemas.openxmlformats.org/drawingml/2006/main">
                        <a:graphicData uri="http://schemas.microsoft.com/office/word/2010/wordprocessingShape">
                          <wps:wsp>
                            <wps:cNvSpPr txBox="1"/>
                            <wps:spPr>
                              <a:xfrm>
                                <a:off x="0" y="0"/>
                                <a:ext cx="201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91185" cy="175260"/>
                      <wp:effectExtent l="0" t="0" r="0" b="0"/>
                      <wp:wrapNone/>
                      <wp:docPr id="452" name="Frame4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95935" cy="175260"/>
                      <wp:effectExtent l="0" t="0" r="0" b="0"/>
                      <wp:wrapNone/>
                      <wp:docPr id="455" name="Frame4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57" name="Frame4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58165" cy="175260"/>
                      <wp:effectExtent l="0" t="0" r="0" b="0"/>
                      <wp:wrapNone/>
                      <wp:docPr id="458" name="Frame453"/>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29260" cy="175260"/>
                      <wp:effectExtent l="0" t="0" r="0" b="0"/>
                      <wp:wrapNone/>
                      <wp:docPr id="461" name="Frame4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20395" cy="175260"/>
                      <wp:effectExtent l="0" t="0" r="0" b="0"/>
                      <wp:wrapNone/>
                      <wp:docPr id="464" name="Frame459"/>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8" w:type="dxa"/>
            <w:gridSpan w:val="2"/>
            <w:tcBorders/>
            <w:vAlign w:val="center"/>
          </w:tcPr>
          <w:p>
            <w:pPr>
              <w:pStyle w:val="TableContents"/>
              <w:bidi w:val="0"/>
              <w:spacing w:before="0" w:after="0"/>
              <w:ind w:left="0" w:right="0" w:hanging="0"/>
              <w:jc w:val="center"/>
              <w:rPr/>
            </w:pPr>
            <w:r>
              <w:rPr/>
              <w:t>​</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8" w:type="dxa"/>
            <w:gridSpan w:val="2"/>
            <w:tcBorders/>
            <w:vAlign w:val="center"/>
          </w:tcPr>
          <w:p>
            <w:pPr>
              <w:pStyle w:val="TableContents"/>
              <w:bidi w:val="0"/>
              <w:spacing w:before="0" w:after="0"/>
              <w:ind w:left="0" w:right="0" w:hanging="0"/>
              <w:jc w:val="center"/>
              <w:rPr/>
            </w:pPr>
            <w:r>
              <w:rPr/>
              <w:t>​</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1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7,665,871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8,294,343</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3,394,604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146,913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4,271,267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321,803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4,632,195</w:t>
            </w:r>
          </w:p>
        </w:tc>
      </w:tr>
      <w:tr>
        <w:trPr/>
        <w:tc>
          <w:tcPr>
            <w:tcW w:w="31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314,933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714,958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177,027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impairment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38,411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1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87,845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profit (loss)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3,093,743</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segment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63,175</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payroll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(445,742)</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overhead expenses, excluding payroll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(228,647)</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2,482,529</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100,293</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14,148</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114,441</w:t>
            </w:r>
          </w:p>
        </w:tc>
      </w:tr>
    </w:tbl>
    <w:p>
      <w:pPr>
        <w:pStyle w:val="TextBody"/>
        <w:bidi w:val="0"/>
        <w:spacing w:before="0" w:after="0"/>
        <w:ind w:left="0" w:right="0" w:hanging="0"/>
        <w:jc w:val="left"/>
        <w:rPr/>
      </w:pPr>
      <w:r>
        <w:rPr/>
        <w:t>​</w:t>
      </w:r>
    </w:p>
    <w:p>
      <w:pPr>
        <w:pStyle w:val="TextBody"/>
        <w:bidi w:val="0"/>
        <w:spacing w:lineRule="auto" w:line="240" w:before="0" w:after="20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For the Monster Energy® Drinks segment, includes $40.0</w:t>
      </w:r>
      <w:r>
        <w:rPr>
          <w:rFonts w:ascii="Times New Roman;Times;serif" w:hAnsi="Times New Roman;Times;serif"/>
          <w:sz w:val="16"/>
        </w:rPr>
        <w:t xml:space="preserve"> </w:t>
      </w:r>
      <w:r>
        <w:rPr>
          <w:rFonts w:ascii="Times New Roman;Times;serif" w:hAnsi="Times New Roman;Times;serif"/>
          <w:i/>
          <w:sz w:val="16"/>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Other segment items for each reportable segment include:</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Strategic Brands - travel and entertainment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Alcohol Brands - property and equipment impairment, depreciation and amortization expense,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Other - professional services expense, and certain overhead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35" w:name="Tc_2aTufu4WqU6G6Umjf9yoMA_26_14"/>
      <w:bookmarkStart w:id="1636" w:name="Tc_8hupXK_C2Ue91kFC112j2A_26_0"/>
      <w:bookmarkStart w:id="1637" w:name="Tc_vI4Y8w6BZUqCUEZ7xWIAAA_25_0"/>
      <w:bookmarkStart w:id="1638" w:name="Tc_OytSkjv380-qzDD5uZoyVw_24_14"/>
      <w:bookmarkStart w:id="1639" w:name="Tc_K2CDPaccKkSaMD4LVFUb9w_24_11"/>
      <w:bookmarkStart w:id="1640" w:name="Tc_LQHOCY7_FkO-QRQ293kl1w_24_8"/>
      <w:bookmarkStart w:id="1641" w:name="Tc_BYkHlJ4ekUm3xrHB693BiA_24_5"/>
      <w:bookmarkStart w:id="1642" w:name="Tc_Z5NO8mueykmgQOq3vFY1iQ_24_2"/>
      <w:bookmarkStart w:id="1643" w:name="Tc_gJeOQTCFckeWQhieVGGaAA_24_0"/>
      <w:bookmarkStart w:id="1644" w:name="Tc_dhFeyJTUeECmeMsURf48Pg_22_14"/>
      <w:bookmarkStart w:id="1645" w:name="Tc_f9Yd4aZSjEypsKaS0xZZTg_22_0"/>
      <w:bookmarkStart w:id="1646" w:name="Tc_0G0bH8_p1Ea1GJZDMF0VZg_20_0"/>
      <w:bookmarkStart w:id="1647" w:name="Tc_zWSa0svhC0euBH7h4cbgIA_19_0"/>
      <w:bookmarkStart w:id="1648" w:name="Tc_TMjiOB-urUmsX1d0Q97ldw_18_0"/>
      <w:bookmarkStart w:id="1649" w:name="Tc_MVcILiu0Fkqw41YIswcaMg_17_0"/>
      <w:bookmarkStart w:id="1650" w:name="Tc_2ClX0LWjLkGk6OWi_wcDlw_16_0"/>
      <w:bookmarkStart w:id="1651" w:name="Tc_uZ9r8wuXzUqTUCKxD0rMCw_14_0"/>
      <w:bookmarkStart w:id="1652" w:name="Tc_-NBvGaHmZEejqBNoupE-tQ_13_15"/>
      <w:bookmarkStart w:id="1653" w:name="Tc_Fh0P-kBs2UqPtQAeWzkaEg_13_0"/>
      <w:bookmarkStart w:id="1654" w:name="Tc__YU1duzjwEyKoyj1rN2TMg_12_15"/>
      <w:bookmarkStart w:id="1655" w:name="Tc_nrmiOvbtqkO5Jo-AjFDVjA_12_12"/>
      <w:bookmarkStart w:id="1656" w:name="Tc_2Xz5lyYUvk-dD85MSXmtqQ_12_6"/>
      <w:bookmarkStart w:id="1657" w:name="Tc_CHSIesN_3EmlAGSuZ1XxgQ_12_3"/>
      <w:bookmarkStart w:id="1658" w:name="Tc_VT148ZetjUeDchdXedXkxQ_12_0"/>
      <w:bookmarkStart w:id="1659" w:name="Tc_CsRs0Gh4X0WyVrPHyWDrlw_11_15"/>
      <w:bookmarkStart w:id="1660" w:name="Tc_5yYVuBVMT0KeSLv7zDC-ow_11_0"/>
      <w:bookmarkStart w:id="1661" w:name="Tc_ohDiE_mNOECALLc3iEAO0g_10_15"/>
      <w:bookmarkStart w:id="1662" w:name="Tc_ytF__7BBGUaQBmRQTYeKBA_10_0"/>
      <w:bookmarkStart w:id="1663" w:name="Tc_DK-mueHdO0C3fKJHo2rPZw_9_15"/>
      <w:bookmarkStart w:id="1664" w:name="Tc_7c0CY9vwHUGc1bpB51ofRw_9_0"/>
      <w:bookmarkStart w:id="1665" w:name="Tc_LjlKAy4jqkG19wAWlcy5Gw_7_0"/>
      <w:bookmarkStart w:id="1666" w:name="Tc_76QOCUuLQU2DNArTnKlkMA_6_15"/>
      <w:bookmarkStart w:id="1667" w:name="Tc_MixDq91XTEqXn1E18LetoQ_6_0"/>
      <w:bookmarkStart w:id="1668" w:name="Tc_uQq_ukwTXUWeH-DUupWqJw_4_14"/>
      <w:bookmarkStart w:id="1669" w:name="Tc_cwTkdj15ZE-CUVNcX75hbw_4_11"/>
      <w:bookmarkStart w:id="1670" w:name="Tc_p0KRHDFK_0uaV1Zb-FpG3Q_4_8"/>
      <w:bookmarkStart w:id="1671" w:name="Tc_4sZmjzt-3kOn2NZJEWeb8A_4_5"/>
      <w:bookmarkStart w:id="1672" w:name="Tc_dVR-28fkhEWPIdzIGpTarw_4_2"/>
      <w:bookmarkStart w:id="1673" w:name="Tc_biAIm680Gk6SD6t7i87_Ag_4_0"/>
      <w:bookmarkStart w:id="1674" w:name="Tc_W1L7y74WYUOaOWVtS0IJcA_3_14"/>
      <w:bookmarkStart w:id="1675" w:name="Tc_ac9kQbNc6U-oYeluhdMB2w_3_11"/>
      <w:bookmarkStart w:id="1676" w:name="Tc_fEN_YDZQs0C7Gy4cfe25xQ_3_8"/>
      <w:bookmarkStart w:id="1677" w:name="Tc_eXo2m2p10EezhfSblALOXw_3_5"/>
      <w:bookmarkStart w:id="1678" w:name="Tc_sMx55y32z0araPydYIOF-w_3_2"/>
      <w:bookmarkStart w:id="1679" w:name="Tc_HciW5zMrxE6gTtiGsu0bOw_2_8"/>
      <w:bookmarkStart w:id="1680" w:name="Tc_4w3rS2AkKUimrJR_rrR9QA_2_5"/>
      <w:bookmarkStart w:id="1681" w:name="Tc_YjDMQUdJ_ESoJSD_QC-9Mw_2_2"/>
      <w:bookmarkStart w:id="1682" w:name="Tc_0IyqG5gl6EmDzAyQ7zB9aQ_1_2"/>
      <w:bookmarkStart w:id="1683" w:name="_94344613_f3d7_47bc_928f_1e03b91a8cde"/>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r>
        <w:rPr>
          <w:rFonts w:ascii="Times New Roman;Times;serif" w:hAnsi="Times New Roman;Times;serif"/>
          <w:sz w:val="20"/>
        </w:rPr>
        <w:t>Year Ended December 31,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76"/>
        <w:gridCol w:w="346"/>
        <w:gridCol w:w="211"/>
        <w:gridCol w:w="931"/>
        <w:gridCol w:w="346"/>
        <w:gridCol w:w="211"/>
        <w:gridCol w:w="781"/>
        <w:gridCol w:w="346"/>
        <w:gridCol w:w="211"/>
        <w:gridCol w:w="879"/>
        <w:gridCol w:w="346"/>
        <w:gridCol w:w="211"/>
        <w:gridCol w:w="676"/>
        <w:gridCol w:w="346"/>
        <w:gridCol w:w="211"/>
        <w:gridCol w:w="977"/>
      </w:tblGrid>
      <w:tr>
        <w:trPr/>
        <w:tc>
          <w:tcPr>
            <w:tcW w:w="3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16760" cy="175260"/>
                      <wp:effectExtent l="0" t="0" r="0" b="0"/>
                      <wp:wrapNone/>
                      <wp:docPr id="465" name="Frame460"/>
                      <a:graphic xmlns:a="http://schemas.openxmlformats.org/drawingml/2006/main">
                        <a:graphicData uri="http://schemas.microsoft.com/office/word/2010/wordprocessingShape">
                          <wps:wsp>
                            <wps:cNvSpPr txBox="1"/>
                            <wps:spPr>
                              <a:xfrm>
                                <a:off x="0" y="0"/>
                                <a:ext cx="201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91185" cy="175260"/>
                      <wp:effectExtent l="0" t="0" r="0" b="0"/>
                      <wp:wrapNone/>
                      <wp:docPr id="468" name="Frame4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95935" cy="175260"/>
                      <wp:effectExtent l="0" t="0" r="0" b="0"/>
                      <wp:wrapNone/>
                      <wp:docPr id="471" name="Frame4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2"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58165" cy="175260"/>
                      <wp:effectExtent l="0" t="0" r="0" b="0"/>
                      <wp:wrapNone/>
                      <wp:docPr id="474" name="Frame469"/>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5"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985" cy="175260"/>
                      <wp:effectExtent l="0" t="0" r="0" b="0"/>
                      <wp:wrapNone/>
                      <wp:docPr id="476"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29260" cy="175260"/>
                      <wp:effectExtent l="0" t="0" r="0" b="0"/>
                      <wp:wrapNone/>
                      <wp:docPr id="477" name="Frame4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8"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3985" cy="175260"/>
                      <wp:effectExtent l="0" t="0" r="0" b="0"/>
                      <wp:wrapNone/>
                      <wp:docPr id="479"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20395" cy="175260"/>
                      <wp:effectExtent l="0" t="0" r="0" b="0"/>
                      <wp:wrapNone/>
                      <wp:docPr id="480" name="Frame475"/>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pPr>
            <w:r>
              <w:rPr/>
              <w:t>​</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center"/>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pPr>
            <w:r>
              <w:rPr/>
              <w:t>​</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center"/>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center"/>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1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6,864,597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432,233</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23,566</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3,170,993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125,099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131,590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3,693,604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307,134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4,048,878</w:t>
            </w:r>
          </w:p>
        </w:tc>
      </w:tr>
      <w:tr>
        <w:trPr/>
        <w:tc>
          <w:tcPr>
            <w:tcW w:w="31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322,464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672,582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164,091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intangibles impairment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127,098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1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72,011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profit (loss)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2,462,456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233,752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(200,316)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2,500,539</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  ​</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segment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59,165</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payroll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(377,382)</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overhead expenses, excluding payroll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(192,863)</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1,989,459</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68,549</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11,885</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80,434</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For the Monster Energy® Drinks segment, includes $39.9</w:t>
      </w:r>
      <w:r>
        <w:rPr>
          <w:rFonts w:ascii="Times New Roman;Times;serif" w:hAnsi="Times New Roman;Times;serif"/>
          <w:sz w:val="16"/>
        </w:rPr>
        <w:t xml:space="preserve"> </w:t>
      </w:r>
      <w:r>
        <w:rPr>
          <w:rFonts w:ascii="Times New Roman;Times;serif" w:hAnsi="Times New Roman;Times;serif"/>
          <w:i/>
          <w:sz w:val="16"/>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Other segment items for each reportable segment include:</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Strategic Brands - travel and entertainment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Alcohol Brands - depreciation and amortization expense, travel and entertainment expense, professional services expense, and certain overhead expenses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i/>
          <w:sz w:val="16"/>
        </w:rPr>
        <w:t>Other - travel</w:t>
      </w:r>
      <w:r>
        <w:rPr>
          <w:rFonts w:ascii="Times New Roman;Times;serif" w:hAnsi="Times New Roman;Times;serif"/>
          <w:sz w:val="20"/>
        </w:rPr>
        <w:t xml:space="preserve"> </w:t>
      </w:r>
      <w:r>
        <w:rPr>
          <w:rFonts w:ascii="Times New Roman;Times;serif" w:hAnsi="Times New Roman;Times;serif"/>
          <w:i/>
          <w:sz w:val="16"/>
        </w:rPr>
        <w:t>and entertainment expense, and certain overhead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84" w:name="Tc_bjXfEA8ZgESprkYY0ack2A_26_14"/>
      <w:bookmarkStart w:id="1685" w:name="Tc_tY1sg8LGtk6C8iqhueVqNg_26_0"/>
      <w:bookmarkStart w:id="1686" w:name="Tc_WndxSMNaYEq81UpPbpvudQ_25_0"/>
      <w:bookmarkStart w:id="1687" w:name="Tc_up45GQ9p_0eVstYEgxrSIw_24_14"/>
      <w:bookmarkStart w:id="1688" w:name="Tc_Lq4MDJtsyEuEU2Jkzrij-g_24_11"/>
      <w:bookmarkStart w:id="1689" w:name="Tc_FMT2XXbQFEOgFlV6Wa2bYg_24_8"/>
      <w:bookmarkStart w:id="1690" w:name="Tc_gJzpFLVFl0m4T5Pw6yqlJA_24_5"/>
      <w:bookmarkStart w:id="1691" w:name="Tc_EE76lsSuFkWBU3wqtOA77g_24_2"/>
      <w:bookmarkStart w:id="1692" w:name="Tc_yHyHjIptmEmK2mQYAlYHUw_24_0"/>
      <w:bookmarkStart w:id="1693" w:name="Tc_rUq9VXak_0St0mDEokZtVw_22_14"/>
      <w:bookmarkStart w:id="1694" w:name="Tc_kAQnt0rGJU2DLgPYCwUY1g_22_0"/>
      <w:bookmarkStart w:id="1695" w:name="Tc_OCbF3E8BtESI-_42nn8Ewg_20_0"/>
      <w:bookmarkStart w:id="1696" w:name="Tc_pJ__S2nmvkm8_JpDbJmaLg_19_0"/>
      <w:bookmarkStart w:id="1697" w:name="Tc_1nXQTsNqrEy9-DkEiBn_Xw_18_0"/>
      <w:bookmarkStart w:id="1698" w:name="Tc_VfWMHzYwpU-OHTBrf29WQg_17_0"/>
      <w:bookmarkStart w:id="1699" w:name="Tc_zubDm7wb5EKZaMVZUzSnrw_16_0"/>
      <w:bookmarkStart w:id="1700" w:name="Tc_oaOVC9x8zUq28kjj7gf-vg_14_0"/>
      <w:bookmarkStart w:id="1701" w:name="Tc_-WQE7cTnx0CJw5UbHRFRhQ_13_15"/>
      <w:bookmarkStart w:id="1702" w:name="Tc_40eKC3x4tUu13Q8UPM4vTQ_13_0"/>
      <w:bookmarkStart w:id="1703" w:name="Tc_a6qdPJ3WOkSFis6wnP0s0Q_12_15"/>
      <w:bookmarkStart w:id="1704" w:name="Tc_FD3kawbY3UGRW9W1On0S2g_12_12"/>
      <w:bookmarkStart w:id="1705" w:name="Tc_aBn9W4cyWkOvsuL8wp8u6Q_12_3"/>
      <w:bookmarkStart w:id="1706" w:name="Tc_mzroHmx4-0a1Zk5UULHp2A_12_0"/>
      <w:bookmarkStart w:id="1707" w:name="Tc_87J7vtmzCESj2lW7lW18Yw_11_15"/>
      <w:bookmarkStart w:id="1708" w:name="Tc_5YbJMZxt20SFbHByz1UQfw_11_0"/>
      <w:bookmarkStart w:id="1709" w:name="Tc_ZO-1gSepYki1rLVXp8jOrA_10_15"/>
      <w:bookmarkStart w:id="1710" w:name="Tc_VrfhIQrQjkCrNuNOH1-ATg_10_0"/>
      <w:bookmarkStart w:id="1711" w:name="Tc_oxT9za_Dz0erjJOwI3IIlg_9_15"/>
      <w:bookmarkStart w:id="1712" w:name="Tc_OufrNT6PCESvrUv883Y_FA_9_0"/>
      <w:bookmarkStart w:id="1713" w:name="Tc_dMRM7FVeEU2Z6jSNv-EF5w_7_0"/>
      <w:bookmarkStart w:id="1714" w:name="Tc_8MgWEOc5dU26OtbxjkUWzQ_6_15"/>
      <w:bookmarkStart w:id="1715" w:name="Tc_mq5f5V0060maH2fXrlU_og_6_0"/>
      <w:bookmarkStart w:id="1716" w:name="Tc_gN5wpLw2O0CFr6QmaZIqMA_4_14"/>
      <w:bookmarkStart w:id="1717" w:name="Tc_7hf9NGb47kGGYj2GW_Gi0g_4_11"/>
      <w:bookmarkStart w:id="1718" w:name="Tc_CNQOYihQHk6KmaYlR4h27w_4_8"/>
      <w:bookmarkStart w:id="1719" w:name="Tc_2WmE5V0JxkGwUlrlqqKteA_4_5"/>
      <w:bookmarkStart w:id="1720" w:name="Tc_BamEcqB5MkuckXybRbhBeA_4_2"/>
      <w:bookmarkStart w:id="1721" w:name="Tc_VLSUqHhNIEWrmypnTDf6oQ_4_0"/>
      <w:bookmarkStart w:id="1722" w:name="Tc_8-AuD15E2E-1lS4HEn9m6w_3_14"/>
      <w:bookmarkStart w:id="1723" w:name="Tc_jTsI2RdgBUm2pcqk4e6wMA_3_11"/>
      <w:bookmarkStart w:id="1724" w:name="Tc_L4Y_o6r9xE2Bq7uB-CClDg_3_8"/>
      <w:bookmarkStart w:id="1725" w:name="Tc_Y9oD221DDk2SrIYa4X-4Fg_3_5"/>
      <w:bookmarkStart w:id="1726" w:name="Tc_YGeShHZYtk2GPPTTCweB_g_3_2"/>
      <w:bookmarkStart w:id="1727" w:name="Tc_HRtpQbizKkKWoBogXWe1KQ_2_8"/>
      <w:bookmarkStart w:id="1728" w:name="Tc_yTMpRq405Eu5Fn94ZbplrQ_2_5"/>
      <w:bookmarkStart w:id="1729" w:name="Tc_MczdN_dTJEKr7H9vCfCZTw_2_2"/>
      <w:bookmarkStart w:id="1730" w:name="Tc_Bt5YWkO80UuZ5O72bEzwbQ_1_2"/>
      <w:bookmarkStart w:id="1731" w:name="_3d75d952_66cd_474f_a4ef_e783db28054e"/>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r>
        <w:rPr>
          <w:rFonts w:ascii="Times New Roman;Times;serif" w:hAnsi="Times New Roman;Times;serif"/>
          <w:sz w:val="20"/>
        </w:rPr>
        <w:t>Year Ended December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64"/>
        <w:gridCol w:w="346"/>
        <w:gridCol w:w="211"/>
        <w:gridCol w:w="931"/>
        <w:gridCol w:w="346"/>
        <w:gridCol w:w="211"/>
        <w:gridCol w:w="781"/>
        <w:gridCol w:w="346"/>
        <w:gridCol w:w="211"/>
        <w:gridCol w:w="791"/>
        <w:gridCol w:w="346"/>
        <w:gridCol w:w="211"/>
        <w:gridCol w:w="676"/>
        <w:gridCol w:w="346"/>
        <w:gridCol w:w="211"/>
        <w:gridCol w:w="977"/>
      </w:tblGrid>
      <w:tr>
        <w:trPr/>
        <w:tc>
          <w:tcPr>
            <w:tcW w:w="3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2640" cy="175260"/>
                      <wp:effectExtent l="0" t="0" r="0" b="0"/>
                      <wp:wrapNone/>
                      <wp:docPr id="481" name="Frame476"/>
                      <a:graphic xmlns:a="http://schemas.openxmlformats.org/drawingml/2006/main">
                        <a:graphicData uri="http://schemas.microsoft.com/office/word/2010/wordprocessingShape">
                          <wps:wsp>
                            <wps:cNvSpPr txBox="1"/>
                            <wps:spPr>
                              <a:xfrm>
                                <a:off x="0" y="0"/>
                                <a:ext cx="207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82"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3"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91185" cy="175260"/>
                      <wp:effectExtent l="0" t="0" r="0" b="0"/>
                      <wp:wrapNone/>
                      <wp:docPr id="484" name="Frame4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85"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6"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95935" cy="175260"/>
                      <wp:effectExtent l="0" t="0" r="0" b="0"/>
                      <wp:wrapNone/>
                      <wp:docPr id="487" name="Frame4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8"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3985" cy="175260"/>
                      <wp:effectExtent l="0" t="0" r="0" b="0"/>
                      <wp:wrapNone/>
                      <wp:docPr id="489"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02285" cy="175260"/>
                      <wp:effectExtent l="0" t="0" r="0" b="0"/>
                      <wp:wrapNone/>
                      <wp:docPr id="490" name="Frame48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1"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2"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29260" cy="175260"/>
                      <wp:effectExtent l="0" t="0" r="0" b="0"/>
                      <wp:wrapNone/>
                      <wp:docPr id="493" name="Frame4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4"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20395" cy="175260"/>
                      <wp:effectExtent l="0" t="0" r="0" b="0"/>
                      <wp:wrapNone/>
                      <wp:docPr id="496" name="Frame491"/>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8" w:type="dxa"/>
            <w:gridSpan w:val="2"/>
            <w:tcBorders/>
            <w:vAlign w:val="center"/>
          </w:tcPr>
          <w:p>
            <w:pPr>
              <w:pStyle w:val="TableContents"/>
              <w:bidi w:val="0"/>
              <w:spacing w:before="0" w:after="0"/>
              <w:ind w:left="0" w:right="0" w:hanging="0"/>
              <w:jc w:val="center"/>
              <w:rPr/>
            </w:pPr>
            <w:r>
              <w:rPr/>
              <w:t>​</w:t>
            </w:r>
          </w:p>
        </w:tc>
      </w:tr>
      <w:tr>
        <w:trPr/>
        <w:tc>
          <w:tcPr>
            <w:tcW w:w="3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8" w:type="dxa"/>
            <w:gridSpan w:val="2"/>
            <w:tcBorders/>
            <w:vAlign w:val="center"/>
          </w:tcPr>
          <w:p>
            <w:pPr>
              <w:pStyle w:val="TableContents"/>
              <w:bidi w:val="0"/>
              <w:spacing w:before="0" w:after="0"/>
              <w:ind w:left="0" w:right="0" w:hanging="0"/>
              <w:jc w:val="center"/>
              <w:rPr/>
            </w:pPr>
            <w:r>
              <w:rPr/>
              <w:t>​</w:t>
            </w:r>
          </w:p>
        </w:tc>
      </w:tr>
      <w:tr>
        <w:trPr/>
        <w:tc>
          <w:tcPr>
            <w:tcW w:w="3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26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6,555,089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r>
      <w:tr>
        <w:trPr/>
        <w:tc>
          <w:tcPr>
            <w:tcW w:w="3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3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3,094,906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104,980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129,607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3,460,183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271,609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3,794,206</w:t>
            </w:r>
          </w:p>
        </w:tc>
      </w:tr>
      <w:tr>
        <w:trPr/>
        <w:tc>
          <w:tcPr>
            <w:tcW w:w="32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3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306,516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601,550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146,236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34,192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326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6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profit (loss)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2,338,744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207,146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2,468,330</w:t>
            </w:r>
          </w:p>
        </w:tc>
      </w:tr>
      <w:tr>
        <w:trPr/>
        <w:tc>
          <w:tcPr>
            <w:tcW w:w="3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  ​</w:t>
            </w:r>
          </w:p>
        </w:tc>
      </w:tr>
      <w:tr>
        <w:trPr/>
        <w:tc>
          <w:tcPr>
            <w:tcW w:w="3264"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segment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3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115,127</w:t>
            </w:r>
          </w:p>
        </w:tc>
      </w:tr>
      <w:tr>
        <w:trPr/>
        <w:tc>
          <w:tcPr>
            <w:tcW w:w="3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3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payroll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(331,743)</w:t>
            </w:r>
          </w:p>
        </w:tc>
      </w:tr>
      <w:tr>
        <w:trPr/>
        <w:tc>
          <w:tcPr>
            <w:tcW w:w="3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overhead expenses, excluding payroll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(183,232)</w:t>
            </w:r>
          </w:p>
        </w:tc>
      </w:tr>
      <w:tr>
        <w:trPr/>
        <w:tc>
          <w:tcPr>
            <w:tcW w:w="3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2,068,482</w:t>
            </w:r>
          </w:p>
        </w:tc>
      </w:tr>
      <w:tr>
        <w:trPr/>
        <w:tc>
          <w:tcPr>
            <w:tcW w:w="3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3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55,408</w:t>
            </w:r>
          </w:p>
        </w:tc>
      </w:tr>
      <w:tr>
        <w:trPr/>
        <w:tc>
          <w:tcPr>
            <w:tcW w:w="3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13,490</w:t>
            </w:r>
          </w:p>
        </w:tc>
      </w:tr>
      <w:tr>
        <w:trPr/>
        <w:tc>
          <w:tcPr>
            <w:tcW w:w="3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68,898</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For the Monster Energy® Drinks segment, includes $40.0</w:t>
      </w:r>
      <w:r>
        <w:rPr>
          <w:rFonts w:ascii="Times New Roman;Times;serif" w:hAnsi="Times New Roman;Times;serif"/>
          <w:sz w:val="16"/>
        </w:rPr>
        <w:t xml:space="preserve"> </w:t>
      </w:r>
      <w:r>
        <w:rPr>
          <w:rFonts w:ascii="Times New Roman;Times;serif" w:hAnsi="Times New Roman;Times;serif"/>
          <w:i/>
          <w:sz w:val="16"/>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Other segment items for each reportable segment include:</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Strategic Brands - travel and entertainment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Alcohol Brands - depreciation and amortization expense, travel and entertainment expense, professional services expense, and certain overhead expenses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i/>
          <w:sz w:val="16"/>
        </w:rPr>
        <w:t>Other</w:t>
      </w:r>
      <w:r>
        <w:rPr>
          <w:rFonts w:ascii="Times New Roman;Times;serif" w:hAnsi="Times New Roman;Times;serif"/>
          <w:sz w:val="20"/>
        </w:rPr>
        <w:t xml:space="preserve"> </w:t>
      </w:r>
      <w:r>
        <w:rPr>
          <w:rFonts w:ascii="Times New Roman;Times;serif" w:hAnsi="Times New Roman;Times;serif"/>
          <w:i/>
          <w:sz w:val="16"/>
        </w:rPr>
        <w:t>- depreciation and amortization expense, and certain overhead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15%, 14% and 13% of the Company’s net sales for the years ended December 31, 2025, 2024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of the Company’s net sales for each of the years ended December 31, 2025, 2024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amounted to $3.44 billion, $2.96 billion and $2.71 billion for the years ended December 31, 2025, 2024 and 2023, respectively. Such sales were approximately 41%, 40% and 38% of net sales for the years ended December 31, 2025,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732" w:name="Tc_0zovzVL9LUC0egY3_I3EYw_7_5"/>
      <w:bookmarkStart w:id="1733" w:name="Tc_gokhR4qwtkKDSjug665tRw_7_2"/>
      <w:bookmarkStart w:id="1734" w:name="Tc_xzLTNaA6Qk28C6ywXH4fcQ_6_6"/>
      <w:bookmarkStart w:id="1735" w:name="Tc_ByUEZGozHEW1oH0bi_cnEg_6_3"/>
      <w:bookmarkStart w:id="1736" w:name="Tc_YV_bQAKKQ0urP3UQFD9N6w_6_0"/>
      <w:bookmarkStart w:id="1737" w:name="Tc_sBiojKRFv0CzB2OenOl36A_5_0"/>
      <w:bookmarkStart w:id="1738" w:name="Tc_MQ4Vxl67CUaNpoq9PRVOJg_4_0"/>
      <w:bookmarkStart w:id="1739" w:name="Tc_AkPohoowqki7USB1MksXAQ_3_5"/>
      <w:bookmarkStart w:id="1740" w:name="Tc_6-oS8Q0AZkq7G0lvVQ5umw_3_2"/>
      <w:bookmarkStart w:id="1741" w:name="Tc_UoFZm_YSCkyqhh3ZDrvBjQ_3_0"/>
      <w:bookmarkStart w:id="1742" w:name="Tc_L2-GgCQh9UuqNF4rL8FAxQ_2_0"/>
      <w:bookmarkStart w:id="1743" w:name="Tc_2X6pM_LXFUCphYH-LqjQpw_1_5"/>
      <w:bookmarkStart w:id="1744" w:name="Tc_u3wMIhg35k6caI0DPTal8A_1_2"/>
      <w:bookmarkStart w:id="1745" w:name="_ae5c8bbf_b440_4ee9_ab71_8e771214c85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r>
        <w:rPr>
          <w:rFonts w:ascii="Times New Roman;Times;serif" w:hAnsi="Times New Roman;Times;serif"/>
          <w:sz w:val="20"/>
        </w:rPr>
        <w:t>Goodwill and other intangible assets for the Company’s reportable segments as of December 31, 2025 and 2024 were as follows:</w:t>
      </w:r>
    </w:p>
    <w:p>
      <w:pPr>
        <w:pStyle w:val="TextBody"/>
        <w:bidi w:val="0"/>
        <w:spacing w:before="0" w:after="0"/>
        <w:ind w:left="0" w:right="0" w:firstLine="720"/>
        <w:jc w:val="both"/>
        <w:rPr/>
      </w:pPr>
      <w:r>
        <w:rPr/>
        <w:t>​</w:t>
      </w:r>
    </w:p>
    <w:tbl>
      <w:tblPr>
        <w:tblW w:w="6232" w:type="dxa"/>
        <w:jc w:val="left"/>
        <w:tblInd w:w="0" w:type="dxa"/>
        <w:tblLayout w:type="fixed"/>
        <w:tblCellMar>
          <w:top w:w="0" w:type="dxa"/>
          <w:left w:w="0" w:type="dxa"/>
          <w:bottom w:w="0" w:type="dxa"/>
          <w:right w:w="0" w:type="dxa"/>
        </w:tblCellMar>
      </w:tblPr>
      <w:tblGrid>
        <w:gridCol w:w="3151"/>
        <w:gridCol w:w="346"/>
        <w:gridCol w:w="211"/>
        <w:gridCol w:w="931"/>
        <w:gridCol w:w="346"/>
        <w:gridCol w:w="211"/>
        <w:gridCol w:w="1036"/>
      </w:tblGrid>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7"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591185" cy="175260"/>
                      <wp:effectExtent l="0" t="0" r="0" b="0"/>
                      <wp:wrapNone/>
                      <wp:docPr id="499" name="Frame4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500"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3985" cy="175260"/>
                      <wp:effectExtent l="0" t="0" r="0" b="0"/>
                      <wp:wrapNone/>
                      <wp:docPr id="501"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57860" cy="175260"/>
                      <wp:effectExtent l="0" t="0" r="0" b="0"/>
                      <wp:wrapNone/>
                      <wp:docPr id="502" name="Frame4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1,716,824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1,703,256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982,543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982,035</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60,604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2,710,911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2,745,895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18.</w:t>
      </w:r>
      <w:r>
        <w:rPr>
          <w:rFonts w:ascii="Times New Roman;Times;serif" w:hAnsi="Times New Roman;Times;serif"/>
          <w:b w:val="false"/>
          <w:sz w:val="20"/>
        </w:rPr>
        <w:t>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controls approximately 20.9%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for the year ended December 31, 2025 were $115.4 million, and are included as a reduction to net sales. TCCC commissions, based on sales to the TCCC Independent Bottlers for the year ended December 31, 2025 were $46.6 million, and are included in operating expenses in the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for the year ended December 31, 2024 were $91.2 million, and are included as a reduction to net sales. TCCC commissions, based on sales to the TCCC Independent Bottlers for the year ended December 31, 2024 were $37.3 million, and are included in operating expenses in the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for the year ended December 31, 2023 were $66.8 million, and are included as a reduction to net sales. TCCC commissions, based on sales to the TCCC Independent Bottlers for the year ended December 31, 2023 were $32.0 million, and are included in operating expenses in the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years ended December 31, 2025, 2024 and 2023 were $251.0 million, $216.4 million and $137.9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purchases concentrates from TCCC which are then sold to certain of the Company’s bottlers/distributors. Concentrate purchases from TCCC were $25.8 million, $28.0 million and $29.1 million for the years ended December 31, 2025, 2024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TCCC Subsidiaries also contract manufacture certain of the Company’s energy drinks. Such contract manufacturing expenses were $54.2 million, $41.9 million and $35.4 million for the years ended December 31, 2025,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746" w:name="Tc_dQoVfxbTyUCgGApQNzeK5A_6_5"/>
      <w:bookmarkStart w:id="1747" w:name="Tc_1pCUPHd1NUKoC7gdlWu1iw_6_2"/>
      <w:bookmarkStart w:id="1748" w:name="Tc_vpDVRQUPu06rcTQxNFpnfw_6_0"/>
      <w:bookmarkStart w:id="1749" w:name="Tc_v76YtZvSIUunGUAOaUIWcw_5_5"/>
      <w:bookmarkStart w:id="1750" w:name="Tc_otLdN3U9SUOf_GobLMH3LQ_5_2"/>
      <w:bookmarkStart w:id="1751" w:name="Tc_Jl6YMvFegkiEbiS3iSd9sw_5_0"/>
      <w:bookmarkStart w:id="1752" w:name="Tc_6OSuZPQkQEaIgd5Ix5tXtg_4_5"/>
      <w:bookmarkStart w:id="1753" w:name="Tc_6DOg0a3AZ063M5fnBeg2Zg_4_2"/>
      <w:bookmarkStart w:id="1754" w:name="Tc_gfjFmB4uPEue1dKC_BVYdA_4_0"/>
      <w:bookmarkStart w:id="1755" w:name="Tc_FrxDu0hOQEeZ4WsyLvgL0A_3_5"/>
      <w:bookmarkStart w:id="1756" w:name="Tc_KmTXMf5xtk-GS1SvE8XtWg_3_2"/>
      <w:bookmarkStart w:id="1757" w:name="Tc_-TBtTkuBiUG-x8JrpI88YQ_3_0"/>
      <w:bookmarkStart w:id="1758" w:name="Tc_C559Y-LaMUeczxtffmHGfw_2_5"/>
      <w:bookmarkStart w:id="1759" w:name="Tc_GueIndDybEaKemIZAV6G3Q_2_2"/>
      <w:bookmarkStart w:id="1760" w:name="Tc_X5GIP9dVWk6JOLKOHqAqYA_1_5"/>
      <w:bookmarkStart w:id="1761" w:name="Tc_wwtn9l6koUSOeJ4uaukmMw_1_2"/>
      <w:bookmarkStart w:id="1762" w:name="_9ff7fa02_8578_40fe_b735_31f624e70c60"/>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bidi w:val="0"/>
        <w:spacing w:before="0" w:after="240"/>
        <w:ind w:left="0" w:right="0" w:firstLine="720"/>
        <w:jc w:val="both"/>
        <w:rPr/>
      </w:pPr>
      <w:r>
        <w:rPr/>
        <w:t>​</w:t>
      </w:r>
    </w:p>
    <w:tbl>
      <w:tblPr>
        <w:tblW w:w="6048" w:type="dxa"/>
        <w:jc w:val="left"/>
        <w:tblInd w:w="0" w:type="dxa"/>
        <w:tblLayout w:type="fixed"/>
        <w:tblCellMar>
          <w:top w:w="0" w:type="dxa"/>
          <w:left w:w="0" w:type="dxa"/>
          <w:bottom w:w="0" w:type="dxa"/>
          <w:right w:w="0" w:type="dxa"/>
        </w:tblCellMar>
      </w:tblPr>
      <w:tblGrid>
        <w:gridCol w:w="2791"/>
        <w:gridCol w:w="346"/>
        <w:gridCol w:w="268"/>
        <w:gridCol w:w="992"/>
        <w:gridCol w:w="346"/>
        <w:gridCol w:w="265"/>
        <w:gridCol w:w="1040"/>
      </w:tblGrid>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503"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70180" cy="175260"/>
                      <wp:effectExtent l="0" t="0" r="0" b="0"/>
                      <wp:wrapNone/>
                      <wp:docPr id="504" name="Frame49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29920" cy="175260"/>
                      <wp:effectExtent l="0" t="0" r="0" b="0"/>
                      <wp:wrapNone/>
                      <wp:docPr id="505" name="Frame500"/>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6"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68275" cy="175260"/>
                      <wp:effectExtent l="0" t="0" r="0" b="0"/>
                      <wp:wrapNone/>
                      <wp:docPr id="507" name="Frame50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60400" cy="175260"/>
                      <wp:effectExtent l="0" t="0" r="0" b="0"/>
                      <wp:wrapNone/>
                      <wp:docPr id="508" name="Frame503"/>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166,618</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112,686</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(37,775)</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promotional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(24,898)</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(16,914)</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(28,458)</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are principal owners of a company that provides promotional materials to the Company. Expenses incurred with such company in connection with promotional materials purchased during the years ended December 31, 2025, 2024 and 2023 were $5.8 million, $5.9 million and $4.0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occasionally charters a private aircraft that is indirectly owned by Mr. Rodney C. Sacks, Chairman of the Board of Directors. On certain occasions, Mr. Sacks is accompanied by guests and other Company personnel when using such aircraft for business travel. During the years ended December 31, 2025, 2024 and 2023, the Company incurred costs of $0.06 million, $0.05 million and $0.14 million,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SCHEDULE II – VALUATION AND QUALIFYING ACCOUNTS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FOR THE YEARS ENDED DECEMBER 31, 2025, 2024 AND 2023 (Dollars in Thousands)</w:t>
      </w:r>
    </w:p>
    <w:p>
      <w:pPr>
        <w:pStyle w:val="TextBody"/>
        <w:bidi w:val="0"/>
        <w:spacing w:before="0" w:after="0"/>
        <w:ind w:left="0" w:right="0" w:hanging="0"/>
        <w:jc w:val="left"/>
        <w:rPr/>
      </w:pPr>
      <w:bookmarkStart w:id="1763" w:name="Tc_3n0zU7yVT0GooN5d5H_-xQ_14_11"/>
      <w:bookmarkStart w:id="1764" w:name="Tc_ZrZjxEdlBUSQHiwDBG9QHg_14_9"/>
      <w:bookmarkStart w:id="1765" w:name="Tc_df0e-aoZUkOdayxgXHuN9A_14_8"/>
      <w:bookmarkStart w:id="1766" w:name="Tc_7lrb_J05ukO1PwMH_NZdLw_14_5"/>
      <w:bookmarkStart w:id="1767" w:name="Tc_YqfQ5wbIikqWA4zAJCM__A_14_2"/>
      <w:bookmarkStart w:id="1768" w:name="Tc_vh6KZZmrb0Ox31GknjWb6A_14_0"/>
      <w:bookmarkStart w:id="1769" w:name="Tc_UShewhVz10CPo9eI9EAJHQ_13_11"/>
      <w:bookmarkStart w:id="1770" w:name="Tc_QzA4zu43yUaYpYMxE6FfHw_13_9"/>
      <w:bookmarkStart w:id="1771" w:name="Tc_-yJM9GtAZE6I0Zsu1u4WNg_13_8"/>
      <w:bookmarkStart w:id="1772" w:name="Tc_6mGrEpLu8kem6v8AQFkr_Q_13_5"/>
      <w:bookmarkStart w:id="1773" w:name="Tc_gVnZQtzlgkaYcVFiBFpgFg_13_2"/>
      <w:bookmarkStart w:id="1774" w:name="Tc_tCZwf73dlEaHiavmbyQDuw_13_0"/>
      <w:bookmarkStart w:id="1775" w:name="Tc_5uACzWv8mU-W1RysrJ1mwA_12_11"/>
      <w:bookmarkStart w:id="1776" w:name="Tc_HLFiqscp2kKFfiWaD7esHg_12_9"/>
      <w:bookmarkStart w:id="1777" w:name="Tc_eeyUgDBeCU69BxxV5bEhxA_12_8"/>
      <w:bookmarkStart w:id="1778" w:name="Tc_3TrhOM546EmfhO1RHrByog_12_5"/>
      <w:bookmarkStart w:id="1779" w:name="Tc_p_jvlbIWTk-SgHeb3LSSOw_12_2"/>
      <w:bookmarkStart w:id="1780" w:name="Tc_YuynuMD3qUSWdfUA1ph08g_12_0"/>
      <w:bookmarkStart w:id="1781" w:name="Tc_GnUpExYC3kGG8dM5qRCXbQ_10_0"/>
      <w:bookmarkStart w:id="1782" w:name="Tc_BxfpVEtHQEqjiqgRG2wmCw_8_11"/>
      <w:bookmarkStart w:id="1783" w:name="Tc_fbpg3-ZJCE6vXAieBFP5PQ_8_8"/>
      <w:bookmarkStart w:id="1784" w:name="Tc_L8Qf83gAX0ah0BOUNnD__A_8_5"/>
      <w:bookmarkStart w:id="1785" w:name="Tc_NdyqiUjE2kS7Imiputdyug_8_2"/>
      <w:bookmarkStart w:id="1786" w:name="Tc_4JpF0Kd240qzbQuf3nYY9A_8_0"/>
      <w:bookmarkStart w:id="1787" w:name="Tc_uhmih-rW-0Sx0yFAMxIvKw_7_11"/>
      <w:bookmarkStart w:id="1788" w:name="Tc_wgcdECzZrkqg3V0vHL84wg_7_8"/>
      <w:bookmarkStart w:id="1789" w:name="Tc_9ZCbqFI6LkKFh126zRNdfg_7_5"/>
      <w:bookmarkStart w:id="1790" w:name="Tc_4KnFMtOLL0qFkfub8pDpSQ_7_2"/>
      <w:bookmarkStart w:id="1791" w:name="Tc_Q430fetFtkuLNwNx1lG4ng_7_0"/>
      <w:bookmarkStart w:id="1792" w:name="Tc_2IAitkb8PEqTWQBksRZX_g_6_11"/>
      <w:bookmarkStart w:id="1793" w:name="Tc_NLLwj2uzr0qmhd7GSNv_rQ_6_8"/>
      <w:bookmarkStart w:id="1794" w:name="Tc_-wQbjyUhrUeM9i38DRfXcw_6_5"/>
      <w:bookmarkStart w:id="1795" w:name="Tc_lP9X8n06wkyo_wZ4ogouCA_6_2"/>
      <w:bookmarkStart w:id="1796" w:name="Tc_oqeX2ueaFUuuXtqUtOk5aA_6_0"/>
      <w:bookmarkStart w:id="1797" w:name="Tc_uCyKct_WjUiR1-Qyt1nEsw_4_0"/>
      <w:bookmarkStart w:id="1798" w:name="Tc_lXAngGF4TEyDJ1DV_FTxfw_3_11"/>
      <w:bookmarkStart w:id="1799" w:name="Tc_bjIwDjUffUCvTu1nyNkexA_3_8"/>
      <w:bookmarkStart w:id="1800" w:name="Tc_iv1W1Mnyw0iSwepvJV-BKg_3_5"/>
      <w:bookmarkStart w:id="1801" w:name="Tc_CMh_YPj8P0Ofc9daGW7jSA_3_2"/>
      <w:bookmarkStart w:id="1802" w:name="Tc_GnUWn9C7GEi-WOxplhTdvQ_3_0"/>
      <w:bookmarkStart w:id="1803" w:name="Tc_OrU3HqBSNUO-DapT2zHuwQ_2_11"/>
      <w:bookmarkStart w:id="1804" w:name="Tc_XS9Ql2i3D0WNthPvUStAvA_2_5"/>
      <w:bookmarkStart w:id="1805" w:name="Tc_JJLGeyLYJ0qsNH2cqRC-QQ_2_2"/>
      <w:bookmarkStart w:id="1806" w:name="Tc_q3G4sFKkdE-a7HlkuVuBSQ_1_11"/>
      <w:bookmarkStart w:id="1807" w:name="Tc_lMgi3aJMsESQ4fKU-ECMtQ_1_5"/>
      <w:bookmarkStart w:id="1808" w:name="Tc_fO7VDQTQ3Um-DbrXfjaEVg_1_2"/>
      <w:bookmarkStart w:id="1809" w:name="_18f80f72_3e25_4c00_8fa4_5ddd4dac5976"/>
      <w:bookmarkStart w:id="1810" w:name="_851752"/>
      <w:bookmarkStart w:id="1811" w:name="SCH"/>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r>
        <w:rPr/>
        <w:t>​</w:t>
      </w:r>
    </w:p>
    <w:tbl>
      <w:tblPr>
        <w:tblW w:w="10205" w:type="dxa"/>
        <w:jc w:val="left"/>
        <w:tblInd w:w="0" w:type="dxa"/>
        <w:tblLayout w:type="fixed"/>
        <w:tblCellMar>
          <w:top w:w="0" w:type="dxa"/>
          <w:left w:w="0" w:type="dxa"/>
          <w:bottom w:w="0" w:type="dxa"/>
          <w:right w:w="0" w:type="dxa"/>
        </w:tblCellMar>
      </w:tblPr>
      <w:tblGrid>
        <w:gridCol w:w="4837"/>
        <w:gridCol w:w="346"/>
        <w:gridCol w:w="228"/>
        <w:gridCol w:w="729"/>
        <w:gridCol w:w="346"/>
        <w:gridCol w:w="234"/>
        <w:gridCol w:w="752"/>
        <w:gridCol w:w="346"/>
        <w:gridCol w:w="230"/>
        <w:gridCol w:w="806"/>
        <w:gridCol w:w="346"/>
        <w:gridCol w:w="212"/>
        <w:gridCol w:w="793"/>
      </w:tblGrid>
      <w:tr>
        <w:trPr/>
        <w:tc>
          <w:tcPr>
            <w:tcW w:w="48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44780" cy="175260"/>
                      <wp:effectExtent l="0" t="0" r="0" b="0"/>
                      <wp:wrapNone/>
                      <wp:docPr id="510" name="Frame50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62915" cy="175260"/>
                      <wp:effectExtent l="0" t="0" r="0" b="0"/>
                      <wp:wrapNone/>
                      <wp:docPr id="511" name="Frame506"/>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12"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48590" cy="175260"/>
                      <wp:effectExtent l="0" t="0" r="0" b="0"/>
                      <wp:wrapNone/>
                      <wp:docPr id="513" name="Frame50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477520" cy="175260"/>
                      <wp:effectExtent l="0" t="0" r="0" b="0"/>
                      <wp:wrapNone/>
                      <wp:docPr id="514" name="Frame509"/>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46050" cy="175260"/>
                      <wp:effectExtent l="0" t="0" r="0" b="0"/>
                      <wp:wrapNone/>
                      <wp:docPr id="516" name="Frame51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11810" cy="175260"/>
                      <wp:effectExtent l="0" t="0" r="0" b="0"/>
                      <wp:wrapNone/>
                      <wp:docPr id="517" name="Frame512"/>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4620" cy="175260"/>
                      <wp:effectExtent l="0" t="0" r="0" b="0"/>
                      <wp:wrapNone/>
                      <wp:docPr id="519" name="Frame51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03555" cy="175260"/>
                      <wp:effectExtent l="0" t="0" r="0" b="0"/>
                      <wp:wrapNone/>
                      <wp:docPr id="520" name="Frame51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at</w:t>
            </w:r>
          </w:p>
        </w:tc>
        <w:tc>
          <w:tcPr>
            <w:tcW w:w="346" w:type="dxa"/>
            <w:tcBorders/>
            <w:vAlign w:val="center"/>
          </w:tcPr>
          <w:p>
            <w:pPr>
              <w:pStyle w:val="TableContents"/>
              <w:bidi w:val="0"/>
              <w:spacing w:before="0" w:after="0"/>
              <w:ind w:left="0" w:right="0" w:hanging="0"/>
              <w:jc w:val="left"/>
              <w:rPr/>
            </w:pPr>
            <w:r>
              <w:rPr/>
              <w:t>​</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Charged to</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at</w:t>
            </w:r>
          </w:p>
        </w:tc>
      </w:tr>
      <w:tr>
        <w:trPr/>
        <w:tc>
          <w:tcPr>
            <w:tcW w:w="48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beginning</w:t>
            </w:r>
          </w:p>
        </w:tc>
        <w:tc>
          <w:tcPr>
            <w:tcW w:w="346" w:type="dxa"/>
            <w:tcBorders/>
            <w:vAlign w:val="center"/>
          </w:tcPr>
          <w:p>
            <w:pPr>
              <w:pStyle w:val="TableContents"/>
              <w:bidi w:val="0"/>
              <w:spacing w:before="0" w:after="0"/>
              <w:ind w:left="0" w:right="0" w:hanging="0"/>
              <w:jc w:val="left"/>
              <w:rPr/>
            </w:pPr>
            <w:r>
              <w:rPr/>
              <w:t>​</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 and</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end of</w:t>
            </w:r>
          </w:p>
        </w:tc>
      </w:tr>
      <w:tr>
        <w:trPr/>
        <w:tc>
          <w:tcPr>
            <w:tcW w:w="48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c>
          <w:tcPr>
            <w:tcW w:w="346" w:type="dxa"/>
            <w:tcBorders/>
            <w:vAlign w:val="center"/>
          </w:tcPr>
          <w:p>
            <w:pPr>
              <w:pStyle w:val="TableContents"/>
              <w:bidi w:val="0"/>
              <w:spacing w:before="0" w:after="0"/>
              <w:ind w:left="0" w:right="0" w:hanging="0"/>
              <w:jc w:val="left"/>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period</w:t>
            </w:r>
          </w:p>
        </w:tc>
        <w:tc>
          <w:tcPr>
            <w:tcW w:w="346" w:type="dxa"/>
            <w:tcBorders/>
            <w:vAlign w:val="center"/>
          </w:tcPr>
          <w:p>
            <w:pPr>
              <w:pStyle w:val="TableContents"/>
              <w:bidi w:val="0"/>
              <w:spacing w:before="0" w:after="0"/>
              <w:ind w:left="0" w:right="0" w:hanging="0"/>
              <w:jc w:val="left"/>
              <w:rPr/>
            </w:pPr>
            <w:r>
              <w:rPr/>
              <w:t>  ​ ​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expenses</w:t>
            </w:r>
          </w:p>
        </w:tc>
        <w:tc>
          <w:tcPr>
            <w:tcW w:w="346" w:type="dxa"/>
            <w:tcBorders/>
            <w:vAlign w:val="center"/>
          </w:tcPr>
          <w:p>
            <w:pPr>
              <w:pStyle w:val="TableContents"/>
              <w:bidi w:val="0"/>
              <w:spacing w:before="0" w:after="0"/>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Deductions</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period</w:t>
            </w:r>
          </w:p>
        </w:tc>
      </w:tr>
      <w:tr>
        <w:trPr/>
        <w:tc>
          <w:tcPr>
            <w:tcW w:w="48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 sales returns and cash discounts: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48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48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19,303</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(20,427)</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48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20,695</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7,124</w:t>
            </w:r>
          </w:p>
        </w:tc>
      </w:tr>
      <w:tr>
        <w:trPr/>
        <w:tc>
          <w:tcPr>
            <w:tcW w:w="48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20,991</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7,638</w:t>
            </w:r>
          </w:p>
        </w:tc>
      </w:tr>
      <w:tr>
        <w:trPr/>
        <w:tc>
          <w:tcPr>
            <w:tcW w:w="48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48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on deferred tax assets and unrecognized tax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48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48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7,417</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49,385</w:t>
            </w:r>
          </w:p>
        </w:tc>
      </w:tr>
      <w:tr>
        <w:trPr/>
        <w:tc>
          <w:tcPr>
            <w:tcW w:w="48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33,692</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41,968</w:t>
            </w:r>
          </w:p>
        </w:tc>
      </w:tr>
      <w:tr>
        <w:trPr/>
        <w:tc>
          <w:tcPr>
            <w:tcW w:w="48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33,692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812" w:name="FS_End"/>
      <w:bookmarkEnd w:id="1812"/>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240"/>
        <w:ind w:left="0" w:right="0" w:hanging="0"/>
        <w:jc w:val="right"/>
        <w:rPr>
          <w:rFonts w:ascii="Times New Roman;Times;serif" w:hAnsi="Times New Roman;Times;serif"/>
          <w:b/>
          <w:sz w:val="20"/>
        </w:rPr>
      </w:pPr>
      <w:bookmarkStart w:id="1813" w:name="mnst-20251231xex10d8.htm"/>
      <w:bookmarkStart w:id="1814" w:name="ksmnst20251231xex10d8"/>
      <w:bookmarkEnd w:id="1813"/>
      <w:bookmarkEnd w:id="1814"/>
      <w:r>
        <w:rPr>
          <w:rFonts w:ascii="Times New Roman;Times;serif" w:hAnsi="Times New Roman;Times;serif"/>
          <w:b/>
          <w:sz w:val="20"/>
        </w:rPr>
        <w:t>Exhibit 10.8</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&amp; RESTATED EMPLOYMENT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THIS AMENDED AND RESTATED EMPLOYMENT AGREEMENT (this “</w:t>
      </w:r>
      <w:r>
        <w:rPr>
          <w:rFonts w:ascii="Times New Roman;Times;serif" w:hAnsi="Times New Roman;Times;serif"/>
          <w:b/>
          <w:i/>
          <w:sz w:val="20"/>
        </w:rPr>
        <w:t>Agreement</w:t>
      </w:r>
      <w:r>
        <w:rPr>
          <w:rFonts w:ascii="Times New Roman;Times;serif" w:hAnsi="Times New Roman;Times;serif"/>
          <w:sz w:val="20"/>
        </w:rPr>
        <w:t>”), dated as of February 25, 2026, is entered into by and between MONSTER ENERGY COMPANY, a Delaware corporation (the “</w:t>
      </w:r>
      <w:r>
        <w:rPr>
          <w:rFonts w:ascii="Times New Roman;Times;serif" w:hAnsi="Times New Roman;Times;serif"/>
          <w:b/>
          <w:i/>
          <w:sz w:val="20"/>
        </w:rPr>
        <w:t>Company</w:t>
      </w:r>
      <w:r>
        <w:rPr>
          <w:rFonts w:ascii="Times New Roman;Times;serif" w:hAnsi="Times New Roman;Times;serif"/>
          <w:sz w:val="20"/>
        </w:rPr>
        <w:t>”), and Emelie Tirre (the “</w:t>
      </w:r>
      <w:r>
        <w:rPr>
          <w:rFonts w:ascii="Times New Roman;Times;serif" w:hAnsi="Times New Roman;Times;serif"/>
          <w:b/>
          <w:i/>
          <w:sz w:val="20"/>
        </w:rPr>
        <w:t>Executive</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the Company and the Executive are parties to that certain Employment Agreement, dated as of June 13, 2024 (the “</w:t>
      </w:r>
      <w:r>
        <w:rPr>
          <w:rFonts w:ascii="Times New Roman;Times;serif" w:hAnsi="Times New Roman;Times;serif"/>
          <w:b/>
          <w:i/>
          <w:sz w:val="20"/>
        </w:rPr>
        <w:t>Original Employment Agreement</w:t>
      </w:r>
      <w:r>
        <w:rPr>
          <w:rFonts w:ascii="Times New Roman;Times;serif" w:hAnsi="Times New Roman;Times;serif"/>
          <w:sz w:val="20"/>
        </w:rPr>
        <w:t>”);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the Company and the Executive desire to amend and restate the Original Employment Agreement and replace the Original Employment Agreement with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NOW, THEREFORE, in consideration of the premises and mutual covenants herein contained, and other good and valuable consideration, the Company and the Executive agree as follows: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1.    </w:t>
      </w:r>
      <w:r>
        <w:rPr>
          <w:rFonts w:ascii="Times New Roman;Times;serif" w:hAnsi="Times New Roman;Times;serif"/>
          <w:sz w:val="20"/>
          <w:u w:val="single"/>
        </w:rPr>
        <w:t>Amendment and Restatement of the Original Employment Agreement</w:t>
      </w:r>
      <w:r>
        <w:rPr>
          <w:rFonts w:ascii="Times New Roman;Times;serif" w:hAnsi="Times New Roman;Times;serif"/>
          <w:sz w:val="20"/>
        </w:rPr>
        <w:t>.  The Original Employment Agreement is hereby amended and restated, effective February 25, 2026, and the Original Employment Agreement is void and shall have no further force or effect as of such date.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sz w:val="20"/>
          <w:u w:val="single"/>
        </w:rPr>
        <w:t>Employment</w:t>
      </w:r>
      <w:r>
        <w:rPr>
          <w:rFonts w:ascii="Times New Roman;Times;serif" w:hAnsi="Times New Roman;Times;serif"/>
          <w:sz w:val="20"/>
        </w:rPr>
        <w:t>.  The Company shall employ the Executive and the Executive agrees to serve as an executive of the Company in the role of Chief Strategy Officer of the Company, based in the Corona, California area, in such capacities and upon such conditions as are hereinafter set forth.</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Definitions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i/>
          <w:sz w:val="20"/>
        </w:rPr>
        <w:t>Board</w:t>
      </w:r>
      <w:r>
        <w:rPr>
          <w:rFonts w:ascii="Times New Roman;Times;serif" w:hAnsi="Times New Roman;Times;serif"/>
          <w:sz w:val="20"/>
        </w:rPr>
        <w:t>” shall mean the Board of Directors of MBC.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i/>
          <w:sz w:val="20"/>
        </w:rPr>
        <w:t>Cause</w:t>
      </w:r>
      <w:r>
        <w:rPr>
          <w:rFonts w:ascii="Times New Roman;Times;serif" w:hAnsi="Times New Roman;Times;serif"/>
          <w:sz w:val="20"/>
        </w:rPr>
        <w:t>” shall mean: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an act or acts of dishonesty or gross misconduct on the Executive’s part which result in or are intended to result in material damage to the Company’s business or reputation; or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(ii) repeated material violations by the Executive of her obligations under Section 5 of this Agreement which violations are demonstrably willful and deliberate on the Executive’s part and which result in material damage to the Company’s business or reputation and as to which material violations the Executive Committee or the Board has notified the Executive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i/>
          <w:sz w:val="20"/>
        </w:rPr>
        <w:t>Change in Control</w:t>
      </w:r>
      <w:r>
        <w:rPr>
          <w:rFonts w:ascii="Times New Roman;Times;serif" w:hAnsi="Times New Roman;Times;serif"/>
          <w:sz w:val="20"/>
        </w:rPr>
        <w:t>” shall have the meaning set forth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i/>
          <w:sz w:val="20"/>
        </w:rPr>
        <w:t>Change in Control Period</w:t>
      </w:r>
      <w:r>
        <w:rPr>
          <w:rFonts w:ascii="Times New Roman;Times;serif" w:hAnsi="Times New Roman;Times;serif"/>
          <w:sz w:val="20"/>
        </w:rPr>
        <w:t>” shall mean the period beginning on the date of a Change in Control and ending twenty-four (24) months following such Change in Control.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sz w:val="20"/>
        </w:rPr>
        <w:t>“</w:t>
      </w:r>
      <w:r>
        <w:rPr>
          <w:rFonts w:ascii="Times New Roman;Times;serif" w:hAnsi="Times New Roman;Times;serif"/>
          <w:b/>
          <w:i/>
          <w:sz w:val="20"/>
        </w:rPr>
        <w:t>Compensation Committee</w:t>
      </w:r>
      <w:r>
        <w:rPr>
          <w:rFonts w:ascii="Times New Roman;Times;serif" w:hAnsi="Times New Roman;Times;serif"/>
          <w:sz w:val="20"/>
        </w:rPr>
        <w:t>” means the Compensation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sz w:val="20"/>
        </w:rPr>
        <w:t>“</w:t>
      </w:r>
      <w:r>
        <w:rPr>
          <w:rFonts w:ascii="Times New Roman;Times;serif" w:hAnsi="Times New Roman;Times;serif"/>
          <w:b/>
          <w:i/>
          <w:sz w:val="20"/>
        </w:rPr>
        <w:t>Executive Committee</w:t>
      </w:r>
      <w:r>
        <w:rPr>
          <w:rFonts w:ascii="Times New Roman;Times;serif" w:hAnsi="Times New Roman;Times;serif"/>
          <w:sz w:val="20"/>
        </w:rPr>
        <w:t>” means the Executive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w:t>
      </w:r>
      <w:r>
        <w:rPr>
          <w:rFonts w:ascii="Times New Roman;Times;serif" w:hAnsi="Times New Roman;Times;serif"/>
          <w:b/>
          <w:i/>
          <w:sz w:val="20"/>
        </w:rPr>
        <w:t>Good Reason</w:t>
      </w:r>
      <w:r>
        <w:rPr>
          <w:rFonts w:ascii="Times New Roman;Times;serif" w:hAnsi="Times New Roman;Times;serif"/>
          <w:sz w:val="20"/>
        </w:rPr>
        <w:t>” shall mean: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without the written consent of the Executive, (A) the assignment to the Executive of any duties inconsistent in any substantial respect with the Executive’s position, authority or responsibilities as contemplated by Section 5 of this Agreement, or (B) any other substantial adverse change in such position, including titles, authority or responsibilities;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any failure by the Company to comply with any of the provisions of this Agreement, other than an insubstantial or inadvertent failure remedied by the Company promptly after receipt of notice thereof given by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Company’s requiring the Executive without her consent to be based at any office or location outside of Riverside or Orange Counties, California except for travel reasonably required in the performance of the Executive’s responsibilities;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any failure by the Company to obtain the assumption and agreement to perform this Agreement by a successor as contemplated by Section 14(b), provided that the successor has had actual written notice of the existence of this Agreement and its terms and an opportunity to assume the Company’s responsibilities under this Agreement during a period of 10 business days after receipt of such notice;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provided further that, within thirty (30) days following the occurrence of any of the events set forth in the foregoing clauses (i), (ii), (iii) and (iv), the Executive shall have delivered a Notice of Termination (as defined in Section 7(e) below) in accordance with Section 7(e), and, if curable, the Company shall not have promptly cured such circumstances following the Company’s receipt of such notice (and if curable and so cured by the Company, then the Executive shall not be permitted to resign for Good Reason).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For the avoidance of doubt, in no event shall (x) the mere occurrence of a Change in Control, (y) the disposition of one or more divisions or business units of MBC or the Company or (z) MBC ceasing to be a public company, absent any further impact on the Executive, be deemed to constitute Good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t>
      </w:r>
      <w:r>
        <w:rPr>
          <w:rFonts w:ascii="Times New Roman;Times;serif" w:hAnsi="Times New Roman;Times;serif"/>
          <w:b/>
          <w:i/>
          <w:sz w:val="20"/>
        </w:rPr>
        <w:t>MBC</w:t>
      </w:r>
      <w:r>
        <w:rPr>
          <w:rFonts w:ascii="Times New Roman;Times;serif" w:hAnsi="Times New Roman;Times;serif"/>
          <w:sz w:val="20"/>
        </w:rPr>
        <w:t>” shall mean Monster Beverage Corporation, a Delaware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t>
      </w:r>
      <w:r>
        <w:rPr>
          <w:rFonts w:ascii="Times New Roman;Times;serif" w:hAnsi="Times New Roman;Times;serif"/>
          <w:b/>
          <w:i/>
          <w:sz w:val="20"/>
        </w:rPr>
        <w:t>Plan</w:t>
      </w:r>
      <w:r>
        <w:rPr>
          <w:rFonts w:ascii="Times New Roman;Times;serif" w:hAnsi="Times New Roman;Times;serif"/>
          <w:sz w:val="20"/>
        </w:rPr>
        <w:t>” shall mean the Monster Beverage Corporation 2020 Omnibus Incentive Plan, as amended from time to time.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4.    </w:t>
      </w:r>
      <w:r>
        <w:rPr>
          <w:rFonts w:ascii="Times New Roman;Times;serif" w:hAnsi="Times New Roman;Times;serif"/>
          <w:sz w:val="20"/>
          <w:u w:val="single"/>
        </w:rPr>
        <w:t>Employment Period</w:t>
      </w:r>
      <w:r>
        <w:rPr>
          <w:rFonts w:ascii="Times New Roman;Times;serif" w:hAnsi="Times New Roman;Times;serif"/>
          <w:sz w:val="20"/>
        </w:rPr>
        <w:t>.  The “</w:t>
      </w:r>
      <w:r>
        <w:rPr>
          <w:rFonts w:ascii="Times New Roman;Times;serif" w:hAnsi="Times New Roman;Times;serif"/>
          <w:b/>
          <w:i/>
          <w:sz w:val="20"/>
        </w:rPr>
        <w:t>Employment Period</w:t>
      </w:r>
      <w:r>
        <w:rPr>
          <w:rFonts w:ascii="Times New Roman;Times;serif" w:hAnsi="Times New Roman;Times;serif"/>
          <w:sz w:val="20"/>
        </w:rPr>
        <w:t>” shall be the period commencing February 25, 2026, and ending on February 25, 2028, subject to extension or termination as hereinafter provided. On February 25, 2026, and on each February 25 thereafter,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Employment Period shall be automatically extended by one (1) additional year unless prior to December 25, 2027, or any subsequent December 25, the Company shall deliver to the Executive or the Executive shall deliver to the Company written notice that the Employment Period will not be extended (a “</w:t>
      </w:r>
      <w:r>
        <w:rPr>
          <w:rFonts w:ascii="Times New Roman;Times;serif" w:hAnsi="Times New Roman;Times;serif"/>
          <w:b/>
          <w:i/>
          <w:sz w:val="20"/>
        </w:rPr>
        <w:t>Non-Renewal Notice</w:t>
      </w:r>
      <w:r>
        <w:rPr>
          <w:rFonts w:ascii="Times New Roman;Times;serif" w:hAnsi="Times New Roman;Times;serif"/>
          <w:sz w:val="20"/>
        </w:rPr>
        <w:t>”), in which case the Employment Period and this Agreement will end at the then scheduled expiration date and shall not be further extended except by contrary written agreement of the Company and the Executive. For the avoidance of doubt, the Company and the Executive expressly acknowledge and agree that neither (i) the election by the Executive to not renew, and therefore to terminate, this Agreement pursuant to this Section 4 nor (ii) the termination of the Executive’s employment at the end of the Employment Period in connection with any such election by the Executive hereunder shall give rise to any severance or other payment or benefit to the Executive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5.    </w:t>
      </w:r>
      <w:r>
        <w:rPr>
          <w:rFonts w:ascii="Times New Roman;Times;serif" w:hAnsi="Times New Roman;Times;serif"/>
          <w:sz w:val="20"/>
          <w:u w:val="single"/>
        </w:rPr>
        <w:t>Position and Duties</w:t>
      </w:r>
      <w:r>
        <w:rPr>
          <w:rFonts w:ascii="Times New Roman;Times;serif" w:hAnsi="Times New Roman;Times;serif"/>
          <w:sz w:val="20"/>
        </w:rPr>
        <w:t>.  During the Employment Period, the Executive agrees to devote her full business time during normal business hours to the business and affairs of the Company and to use her best efforts to perform faithfully and efficiently the responsibilities assigned to her by the Company’s Chief Executive Officer, currently Hilton Schlosberg, the Executive Committee and/or the Board, which responsibilities are consistent and commensurate with her title and position with the Company, all to the extent necessary to discharge such responsibilities. Notwithstanding the foregoing, the Executive may (i) serve on the board, committee and commission of one (1) publicly traded or privately held company so long as any such service (A) is for a company that is in an industry other than the consumer food and beverage products industry and (B) does not disrupt the Executive’s business duties, (ii) serve on the boards, committees and commissions of charitable organizations and (iii) manage her personal investments; provided that such activities do not materially interfere with the performance of the Executive’s duties, breach Section 13 hereof or otherwise cause a conflict of interest.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6.    </w:t>
      </w:r>
      <w:r>
        <w:rPr>
          <w:rFonts w:ascii="Times New Roman;Times;serif" w:hAnsi="Times New Roman;Times;serif"/>
          <w:sz w:val="20"/>
          <w:u w:val="single"/>
        </w:rPr>
        <w:t>Compensation</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Base Salary</w:t>
      </w:r>
      <w:r>
        <w:rPr>
          <w:rFonts w:ascii="Times New Roman;Times;serif" w:hAnsi="Times New Roman;Times;serif"/>
          <w:sz w:val="20"/>
        </w:rPr>
        <w:t>.  During the Employment Period, the Executive shall receive a base salary (the “</w:t>
      </w:r>
      <w:r>
        <w:rPr>
          <w:rFonts w:ascii="Times New Roman;Times;serif" w:hAnsi="Times New Roman;Times;serif"/>
          <w:b/>
          <w:i/>
          <w:sz w:val="20"/>
        </w:rPr>
        <w:t>Base Salary</w:t>
      </w:r>
      <w:r>
        <w:rPr>
          <w:rFonts w:ascii="Times New Roman;Times;serif" w:hAnsi="Times New Roman;Times;serif"/>
          <w:sz w:val="20"/>
        </w:rPr>
        <w:t>”), payable bi-weekly or in such other installments as may be agreed upon, which as of the date hereof is at a minimum annual rate of $945,000. The Company shall review the Base Salary annually and in light of such review may, in the discretion of the Compensation Committee, increase the Base Salary, and such adjusted Base Salary shall then constitute the “Base Salary” for purposes of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Bonus</w:t>
      </w:r>
      <w:r>
        <w:rPr>
          <w:rFonts w:ascii="Times New Roman;Times;serif" w:hAnsi="Times New Roman;Times;serif"/>
          <w:sz w:val="20"/>
        </w:rPr>
        <w:t>.  In addition to the Base Salary, the Executive may be granted a bonus (“</w:t>
      </w:r>
      <w:r>
        <w:rPr>
          <w:rFonts w:ascii="Times New Roman;Times;serif" w:hAnsi="Times New Roman;Times;serif"/>
          <w:b/>
          <w:i/>
          <w:sz w:val="20"/>
        </w:rPr>
        <w:t>Bonus</w:t>
      </w:r>
      <w:r>
        <w:rPr>
          <w:rFonts w:ascii="Times New Roman;Times;serif" w:hAnsi="Times New Roman;Times;serif"/>
          <w:sz w:val="20"/>
        </w:rPr>
        <w:t>”) as part of the Company’s annual incentive award program for senior executives commensurate with the Executive’s position, payable at such times, and in such amounts, as set forth in the applicable annual incentive award agreement and which may be fixed from time to time by the Compensation Committee.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Incentive and Savings Plans; Retirement and Life Insurance Programs</w:t>
      </w:r>
      <w:r>
        <w:rPr>
          <w:rFonts w:ascii="Times New Roman;Times;serif" w:hAnsi="Times New Roman;Times;serif"/>
          <w:sz w:val="20"/>
        </w:rPr>
        <w:t>.  In addition to the Base Salary and Bonus payable as hereinabove provided, during the Employment Period, the Executive shall be eligible to participate in (i) incentive and savings plans and programs, including the Plan and any such other stock option plans and equity-based compensation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plans, and (ii) in all retirement and life insurance plans, in each case, which the Company may from time to time make available to senior executives of the Company or any affiliated company.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Benefit Plans</w:t>
      </w:r>
      <w:r>
        <w:rPr>
          <w:rFonts w:ascii="Times New Roman;Times;serif" w:hAnsi="Times New Roman;Times;serif"/>
          <w:sz w:val="20"/>
        </w:rPr>
        <w:t>.  During the Employment Period, the Executive, her spouse or domestic partner and the members of her immediate family (to the extent permitted by the applicable plan), as the case may be, shall be entitled to participate in or be covered under all medical, dental, disability, group life, accidental death and travel accident insurance plans and programs of the Company and its affiliated companies (at the most favorable level of participation and providing highest levels of benefits available to her) as in effect (i) on the date hereof or (ii) if more favorable to the Executive, as in effect at any time thereafter with respect to the Executive or other executives with comparable responsibilities. To the extent members of the Executive’s immediate family or her domestic partner are not entitled to or not included in the coverage under any of the Company’s benefit plans, the Company shall obtain coverage for any such family members on an individual basis.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Club Membership</w:t>
      </w:r>
      <w:r>
        <w:rPr>
          <w:rFonts w:ascii="Times New Roman;Times;serif" w:hAnsi="Times New Roman;Times;serif"/>
          <w:sz w:val="20"/>
        </w:rPr>
        <w:t>.  During the Employment Period, the Company shall pay all initial and annual fees and all other reasonable expenses relating to membership in one (1) business or social club to be selected by the Executive in her sole discretion.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Automobile</w:t>
      </w:r>
      <w:r>
        <w:rPr>
          <w:rFonts w:ascii="Times New Roman;Times;serif" w:hAnsi="Times New Roman;Times;serif"/>
          <w:sz w:val="20"/>
        </w:rPr>
        <w:t>.  During the Employment Period, (i) the Company shall pay all costs and expenses up to (and not to exceed) $12,000.00 annually relating to the purchase or lease, use, and maintenance of a luxury automobile and (ii) the Executive shall be entitled to receive prompt reimbursement of all toll road fees and costs of fuel incurred in connection with her use of her automobile, in each case to be dedicated to the sole use of the Executive.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Air Travel</w:t>
      </w:r>
      <w:r>
        <w:rPr>
          <w:rFonts w:ascii="Times New Roman;Times;serif" w:hAnsi="Times New Roman;Times;serif"/>
          <w:sz w:val="20"/>
        </w:rPr>
        <w:t>.  During the Employment Period, the Executive shall be entitled to fly business class on all flights.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Expenses</w:t>
      </w:r>
      <w:r>
        <w:rPr>
          <w:rFonts w:ascii="Times New Roman;Times;serif" w:hAnsi="Times New Roman;Times;serif"/>
          <w:sz w:val="20"/>
        </w:rPr>
        <w:t>.  During the Employment Period, the Executive shall be entitled to receive prompt reimbursement for all reasonable travel, entertainment and other expenses incurred by the Executive in connection with the performance of her duties hereunder in accordance with such policies and procedures as the Company may from time to time establish.</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Vacation and Fringe Benefits</w:t>
      </w:r>
      <w:r>
        <w:rPr>
          <w:rFonts w:ascii="Times New Roman;Times;serif" w:hAnsi="Times New Roman;Times;serif"/>
          <w:sz w:val="20"/>
        </w:rPr>
        <w:t>.  During the Employment Period, the Executive shall be entitled to paid vacation consisting of four (4) weeks per year to be taken at such times selected by the Executive and reasonably acceptable to the Company, such vacation to accrue ratably during the Employment Period; such other paid holidays as may be accorded to employees of the Company.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(j)    </w:t>
      </w:r>
      <w:r>
        <w:rPr>
          <w:rFonts w:ascii="Times New Roman;Times;serif" w:hAnsi="Times New Roman;Times;serif"/>
          <w:sz w:val="20"/>
          <w:u w:val="single"/>
        </w:rPr>
        <w:t>Expense Reimbursement</w:t>
      </w:r>
      <w:r>
        <w:rPr>
          <w:rFonts w:ascii="Times New Roman;Times;serif" w:hAnsi="Times New Roman;Times;serif"/>
          <w:sz w:val="20"/>
        </w:rPr>
        <w:t>.  It is intended that any expense reimbursement made under this Agreement shall be exempt from Section 409A of the Internal Revenue Code of 1986, as amended (the “</w:t>
      </w:r>
      <w:r>
        <w:rPr>
          <w:rFonts w:ascii="Times New Roman;Times;serif" w:hAnsi="Times New Roman;Times;serif"/>
          <w:b/>
          <w:i/>
          <w:sz w:val="20"/>
        </w:rPr>
        <w:t>Code</w:t>
      </w:r>
      <w:r>
        <w:rPr>
          <w:rFonts w:ascii="Times New Roman;Times;serif" w:hAnsi="Times New Roman;Times;serif"/>
          <w:sz w:val="20"/>
        </w:rPr>
        <w:t>”). Notwithstanding the foregoing, if any expense reimbursement shall be determined to be ‘deferred compensation’ within the meaning of Section 409A of the Code, including without limitation any reimbursement under Sections 6(e), 6(f) and 6(h), then the reimbursement shall be made to the Executive as soon as practicable after submission of the reimbursement request, but no later than December 31 of the year following the year during which</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expense was incurred. Any reimbursement amount provided in one year shall not affect the amount eligible for reimbursement in another year and the right to such reimbursement shall not be subject to liquidation or exchange for another benefit.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7.    </w:t>
      </w:r>
      <w:r>
        <w:rPr>
          <w:rFonts w:ascii="Times New Roman;Times;serif" w:hAnsi="Times New Roman;Times;serif"/>
          <w:sz w:val="20"/>
          <w:u w:val="single"/>
        </w:rPr>
        <w:t>Termination</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Death or Disability</w:t>
      </w:r>
      <w:r>
        <w:rPr>
          <w:rFonts w:ascii="Times New Roman;Times;serif" w:hAnsi="Times New Roman;Times;serif"/>
          <w:sz w:val="20"/>
        </w:rPr>
        <w:t>.  This Agreement shall terminate automatically upon the Executive’s death. The Company may terminate this Agreement, after having established the Executive’s Disability, by giving to the Executive written notice of its intention to terminate her employment, and her employment with the Company shall terminate effective on the ninetieth (90th) day after receipt of such notice if, within ninety (90) days after such receipt, the Executive shall fail to return to full-time performance of her duties. For purposes of this Agreement, “</w:t>
      </w:r>
      <w:r>
        <w:rPr>
          <w:rFonts w:ascii="Times New Roman;Times;serif" w:hAnsi="Times New Roman;Times;serif"/>
          <w:b/>
          <w:i/>
          <w:sz w:val="20"/>
        </w:rPr>
        <w:t>Disability</w:t>
      </w:r>
      <w:r>
        <w:rPr>
          <w:rFonts w:ascii="Times New Roman;Times;serif" w:hAnsi="Times New Roman;Times;serif"/>
          <w:sz w:val="20"/>
        </w:rPr>
        <w:t>” means disability which would entitle the Executive to receive full long-term disability benefits under the Company’s long-term disability plan, or if no such plan shall then be in effect, any physical or mental disability or incapacity which renders the Executive incapable of performing the services required of her in accordance with her obligations under Section 5 hereof for a period of more than one hundred twenty (120) days in the aggregate during any consecutive twelve (12) month period during the Employment Period.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Voluntary Termination</w:t>
      </w:r>
      <w:r>
        <w:rPr>
          <w:rFonts w:ascii="Times New Roman;Times;serif" w:hAnsi="Times New Roman;Times;serif"/>
          <w:sz w:val="20"/>
        </w:rPr>
        <w:t>.  Notwithstanding anything in this Agreement to the contrary, the Executive may, upon not less than ninety (90) days’ written notice to the Company, voluntarily terminate employment for any reason, provided that any termination by the Executive pursuant to Section 7(d) on account of Good Reason shall not be treated as a voluntary termination under this Section 7(b).</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Cause</w:t>
      </w:r>
      <w:r>
        <w:rPr>
          <w:rFonts w:ascii="Times New Roman;Times;serif" w:hAnsi="Times New Roman;Times;serif"/>
          <w:sz w:val="20"/>
        </w:rPr>
        <w:t>.  The Company may terminate the Executive’s employment for Cause.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Good Reason</w:t>
      </w:r>
      <w:r>
        <w:rPr>
          <w:rFonts w:ascii="Times New Roman;Times;serif" w:hAnsi="Times New Roman;Times;serif"/>
          <w:sz w:val="20"/>
        </w:rPr>
        <w:t>.  The Executive may terminate her employment for Good Reason.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Notice of Termination</w:t>
      </w:r>
      <w:r>
        <w:rPr>
          <w:rFonts w:ascii="Times New Roman;Times;serif" w:hAnsi="Times New Roman;Times;serif"/>
          <w:sz w:val="20"/>
        </w:rPr>
        <w:t>.  Any termination by the Company for Cause or by the Executive for Good Reason shall be communicated by Notice of Termination to the other party hereto given in accordance with Section 16(c). For purposes of this Agreement, a “</w:t>
      </w:r>
      <w:r>
        <w:rPr>
          <w:rFonts w:ascii="Times New Roman;Times;serif" w:hAnsi="Times New Roman;Times;serif"/>
          <w:b/>
          <w:i/>
          <w:sz w:val="20"/>
        </w:rPr>
        <w:t>Notice of Termination</w:t>
      </w:r>
      <w:r>
        <w:rPr>
          <w:rFonts w:ascii="Times New Roman;Times;serif" w:hAnsi="Times New Roman;Times;serif"/>
          <w:sz w:val="20"/>
        </w:rPr>
        <w:t>” 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termination date is other than the date of receipt of such notice, specifies the termination date of this Agreement (which date, in the event of a termination by the Company for Cause shall be not more than fifteen (15) days after the giving of such notice and, in the event of a termination by the Executive for Good Reason shall be a date at least ten (10) days after delivery of such notice and the expiration of the thirty (30) day cure period and not later than sixty (60) days thereafter). The failure by the Company or the Executive to set forth in the Notice of Termination any fact or circumstance which constitutes or contributes to the showing of Cause or Good Reason, respectively, shall not waive any right of the Company or the Executive, hereunder or preclude the Company or the Executive from thereupon or thereafter respectively asserting such fact or circumstance in enforcing its or her respective rights hereunder.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Date of Termination</w:t>
      </w:r>
      <w:r>
        <w:rPr>
          <w:rFonts w:ascii="Times New Roman;Times;serif" w:hAnsi="Times New Roman;Times;serif"/>
          <w:sz w:val="20"/>
        </w:rPr>
        <w:t>.  For the purpose of this Agreement, the term “</w:t>
      </w:r>
      <w:r>
        <w:rPr>
          <w:rFonts w:ascii="Times New Roman;Times;serif" w:hAnsi="Times New Roman;Times;serif"/>
          <w:b/>
          <w:i/>
          <w:sz w:val="20"/>
        </w:rPr>
        <w:t>Date of Termination</w:t>
      </w:r>
      <w:r>
        <w:rPr>
          <w:rFonts w:ascii="Times New Roman;Times;serif" w:hAnsi="Times New Roman;Times;serif"/>
          <w:sz w:val="20"/>
        </w:rPr>
        <w:t>” means (i) in the case of a termination for which a Notice of Termination is required, the date of receipt of such Notice of Termination or, if later, the date specified therein, as the case may be and (ii) in all other cases, the actual date on which the Executive’s employment terminates during or at the end of the Employment Period.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8.    </w:t>
      </w:r>
      <w:r>
        <w:rPr>
          <w:rFonts w:ascii="Times New Roman;Times;serif" w:hAnsi="Times New Roman;Times;serif"/>
          <w:sz w:val="20"/>
          <w:u w:val="single"/>
        </w:rPr>
        <w:t>Obligations of the Company upon Termination</w:t>
      </w:r>
      <w:r>
        <w:rPr>
          <w:rFonts w:ascii="Times New Roman;Times;serif" w:hAnsi="Times New Roman;Times;serif"/>
          <w:sz w:val="20"/>
        </w:rPr>
        <w:t>.  Upon termination of this Agreement, the Company shall have the following obligations: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Death</w:t>
      </w:r>
      <w:r>
        <w:rPr>
          <w:rFonts w:ascii="Times New Roman;Times;serif" w:hAnsi="Times New Roman;Times;serif"/>
          <w:sz w:val="20"/>
        </w:rPr>
        <w:t>.  If the Executive’s employment is terminated during the Employment Period by reason of the Executive’s death, the Company shall (i) continue to pay, in accordance with the Company’s normal payroll policy, to the Executive’s legal representative, the Executive’s full Base Salary for a period of one (1) year from the Date of Termination, (ii) provide the Executive’s family members with the benefits provided under Sections 6(d) and 6(f) of this Agreement for a period of one (1) year from the Date of Termination, (iii) pay to the Executive’s legal representatives any compensation (including any previously earned but unpaid annual Bonus as well as any earned and pro-rated Bonus for the year in which the Date of Termination occurs) previously deferred by the Executive and/or not yet paid by the Company, any accrued and unpaid vacation, pay, and all unreimbursed expenses, and (iv) pay to the Executive’s legal representatives any other amounts or benefits owing to the Executive’s beneficiaries under the then applicable employee benefit plans or policies of the Company, in accordance with the terms thereof (such amounts specified in clauses (iii) and (iv) are hereinafter referred to as “</w:t>
      </w:r>
      <w:r>
        <w:rPr>
          <w:rFonts w:ascii="Times New Roman;Times;serif" w:hAnsi="Times New Roman;Times;serif"/>
          <w:b/>
          <w:i/>
          <w:sz w:val="20"/>
        </w:rPr>
        <w:t>Accrued Obligations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Disability</w:t>
      </w:r>
      <w:r>
        <w:rPr>
          <w:rFonts w:ascii="Times New Roman;Times;serif" w:hAnsi="Times New Roman;Times;serif"/>
          <w:sz w:val="20"/>
        </w:rPr>
        <w:t>.  If the Executive’s employment is terminated by reason of the Executive’s Disability, the Company shall (i) continue to pay, in accordance with the Company’s normal payroll policy, to the Executive or the Executive’s legal representatives, as applicable, the Executive’s full Base Salary for a period of one (1) year from the Date of Termination, (ii) provide the Executive and the Executive’s family members with the benefits provided under Sections 6(d) and 6(f) of this Agreement for a period of one (1) year from the Date of Termination, and (iii) pay or provide to the Executive, the Executive’s legal representatives, and/or the Executive’s family members, each as applicable, all Accrued Obligations as of such Date of Termination.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Non-Renewal by the Executive</w:t>
      </w:r>
      <w:r>
        <w:rPr>
          <w:rFonts w:ascii="Times New Roman;Times;serif" w:hAnsi="Times New Roman;Times;serif"/>
          <w:sz w:val="20"/>
        </w:rPr>
        <w:t>.  If, during the Employment Period, the Executive’s employment shall be terminated due to the Executive giving a Non-Renewal Notice, the Company shall pay the Executive all Base Salary and benefits to which the Executive is entitled pursuant to Section 6 through the Date of Termination and the Accrued Obligations. Unless otherwise directed by the Executive, the Executive shall be paid all such Accrued Obligations in a lump sum in cash within thirty (30) days of the Date of Termination and the Company shall have no further obligations to the Executive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Termination by the Company for Cause</w:t>
      </w:r>
      <w:r>
        <w:rPr>
          <w:rFonts w:ascii="Times New Roman;Times;serif" w:hAnsi="Times New Roman;Times;serif"/>
          <w:sz w:val="20"/>
        </w:rPr>
        <w:t>.  If, during the Employment Period, the Executive’s employment shall be terminated by the Company for Cause, the Company shall pay to the Executive the Accrued Obligations, other than any previously earned but unpaid annual Bonus or any earned or pro-rated Bonus for the year in which such Date of Termination occurs.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Voluntary Termination by the Executive</w:t>
      </w:r>
      <w:r>
        <w:rPr>
          <w:rFonts w:ascii="Times New Roman;Times;serif" w:hAnsi="Times New Roman;Times;serif"/>
          <w:sz w:val="20"/>
        </w:rPr>
        <w:t>.  If, during the Employment Period, the Executive’s employment shall be terminated by the Executive (other than on account of Good Reason), the Company shall pay to the Executive the Accrued Obligations.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Termination by the Company other than for Cause or Disability and Termination by the Executive for Good Reason</w:t>
      </w:r>
      <w:r>
        <w:rPr>
          <w:rFonts w:ascii="Times New Roman;Times;serif" w:hAnsi="Times New Roman;Times;serif"/>
          <w:sz w:val="20"/>
        </w:rPr>
        <w:t>.  At any time during the Employment Period, the Executive’s employment may be terminated by (i) the Company (A) giving a Non-Renewal Notice or (B) other than for Cause or Disability, which the Company shall be entitled to do at any time, or (ii) the Executive for Good Reason (each as applicable, a “</w:t>
      </w:r>
      <w:r>
        <w:rPr>
          <w:rFonts w:ascii="Times New Roman;Times;serif" w:hAnsi="Times New Roman;Times;serif"/>
          <w:b/>
          <w:i/>
          <w:sz w:val="20"/>
        </w:rPr>
        <w:t>Qualifying Termination</w:t>
      </w:r>
      <w:r>
        <w:rPr>
          <w:rFonts w:ascii="Times New Roman;Times;serif" w:hAnsi="Times New Roman;Times;serif"/>
          <w:sz w:val="20"/>
        </w:rPr>
        <w:t>”), in which case, the Company shall pay or provide to the Executive the following, subject to the Executive’s and the Company’s execution and non-revocation of a mutually agreed and reasonable and standard severance agreement (which will include, among other things, a mutual release of all claims by the Executive and the Company against the other and the other’s affiliates) (the “</w:t>
      </w:r>
      <w:r>
        <w:rPr>
          <w:rFonts w:ascii="Times New Roman;Times;serif" w:hAnsi="Times New Roman;Times;serif"/>
          <w:b/>
          <w:i/>
          <w:sz w:val="20"/>
        </w:rPr>
        <w:t>Release</w:t>
      </w:r>
      <w:r>
        <w:rPr>
          <w:rFonts w:ascii="Times New Roman;Times;serif" w:hAnsi="Times New Roman;Times;serif"/>
          <w:sz w:val="20"/>
        </w:rPr>
        <w:t>”) within sixty (60) days following the Date of Termination:</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0"/>
        </w:rPr>
        <w:t>(i)the Accrued Obligations;</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0"/>
        </w:rPr>
        <w:t>(ii)twelve (12) months of the Executive’s Base Salary, at the rate in effect on the Date of Termination (the “</w:t>
      </w:r>
      <w:r>
        <w:rPr>
          <w:rFonts w:ascii="Times New Roman;Times;serif" w:hAnsi="Times New Roman;Times;serif"/>
          <w:b/>
          <w:i/>
          <w:sz w:val="20"/>
        </w:rPr>
        <w:t>Cash Severance Amount</w:t>
      </w:r>
      <w:r>
        <w:rPr>
          <w:rFonts w:ascii="Times New Roman;Times;serif" w:hAnsi="Times New Roman;Times;serif"/>
          <w:sz w:val="20"/>
        </w:rPr>
        <w:t>”), payable in substantially equal installments consistent with the Company’s payroll practices during the twelve (12) month period commencing on the second regularly scheduled payroll date after the effectiveness of the Release (such period, the “</w:t>
      </w:r>
      <w:r>
        <w:rPr>
          <w:rFonts w:ascii="Times New Roman;Times;serif" w:hAnsi="Times New Roman;Times;serif"/>
          <w:b/>
          <w:i/>
          <w:sz w:val="20"/>
        </w:rPr>
        <w:t>Severance Period</w:t>
      </w:r>
      <w:r>
        <w:rPr>
          <w:rFonts w:ascii="Times New Roman;Times;serif" w:hAnsi="Times New Roman;Times;serif"/>
          <w:sz w:val="20"/>
        </w:rPr>
        <w:t>”); and</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0"/>
        </w:rPr>
        <w:t>(iii)for the period from the Date of Termination through the earlier of (a) the date which is twelve (12) months from the Date of Termination and (b) the date upon which the Executive and the Executive’s eligible dependents become covered under similar plans (as applicable, the “</w:t>
      </w:r>
      <w:r>
        <w:rPr>
          <w:rFonts w:ascii="Times New Roman;Times;serif" w:hAnsi="Times New Roman;Times;serif"/>
          <w:b/>
          <w:i/>
          <w:sz w:val="20"/>
        </w:rPr>
        <w:t>COBRA Coverage Expiration Date</w:t>
      </w:r>
      <w:r>
        <w:rPr>
          <w:rFonts w:ascii="Times New Roman;Times;serif" w:hAnsi="Times New Roman;Times;serif"/>
          <w:sz w:val="20"/>
        </w:rPr>
        <w:t>”), the Company shall provide to the Executive, her spouse or domestic partner and members of her immediate family, as the case may be, the benefits described in Section 6(d) on the same terms as described in Section 6(d), provided the Executive validly elects to continue coverage under the Consolidated Omnibus Budget Reconciliation Act of 1985, as amended (“</w:t>
      </w:r>
      <w:r>
        <w:rPr>
          <w:rFonts w:ascii="Times New Roman;Times;serif" w:hAnsi="Times New Roman;Times;serif"/>
          <w:b/>
          <w:i/>
          <w:sz w:val="20"/>
        </w:rPr>
        <w:t>COBRA</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Termination by the Company other than for Cause or Disability and Termination by the Executive for Good Reason during a Change in Control Period</w:t>
      </w:r>
      <w:r>
        <w:rPr>
          <w:rFonts w:ascii="Times New Roman;Times;serif" w:hAnsi="Times New Roman;Times;serif"/>
          <w:sz w:val="20"/>
        </w:rPr>
        <w:t>.  If a Qualifying Termination occurs during a Change in Control Period, the Company shall pay or provide to the Executive the entitlements described in Section 8(f) in the same manner contemplated by Section 8(f) except that (i) (a) the Cash Severance Amount and (b) the Severance Period shall each be increased by an additional six (6) months, (ii) the Executive shall receive one and one-half (1.5) times the Executive’s annual Bonus (payable in the same manner as the Cash Severance Amount set forth in clause (i)), and (iii) the COBRA Coverage Expiration Date shall be the earlier of (a) the date which is eighteen (18) months from the Date of Termination and (b) the date upon which the Executive and the Executive’s eligible dependents become covered under similar plans, in each case subject to the Executive’s and the Company’s execution and non-revocation of the Release within sixty (60) days following the Date of Termination.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Discharge of the Company’s Obligations</w:t>
      </w:r>
      <w:r>
        <w:rPr>
          <w:rFonts w:ascii="Times New Roman;Times;serif" w:hAnsi="Times New Roman;Times;serif"/>
          <w:sz w:val="20"/>
        </w:rPr>
        <w:t>.  Subject to the performance of its obligations under Sections 8(f) and 8(g), the Company shall have no further obligations to the Executive under this Agreement in respect of any termination by the Executive for Good Reason or by the Company (A) by giving a Non-Renewal Notice or (B) other than for Cause or Disability, except to the extent expressly provided under Sections 12 or 14 hereof or under any of the plans referred to in Sections 6(c) or 6(d) hereof.</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9.    </w:t>
      </w:r>
      <w:r>
        <w:rPr>
          <w:rFonts w:ascii="Times New Roman;Times;serif" w:hAnsi="Times New Roman;Times;serif"/>
          <w:sz w:val="20"/>
          <w:u w:val="single"/>
        </w:rPr>
        <w:t>Non-exclusivity of Rights</w:t>
      </w:r>
      <w:r>
        <w:rPr>
          <w:rFonts w:ascii="Times New Roman;Times;serif" w:hAnsi="Times New Roman;Times;serif"/>
          <w:sz w:val="20"/>
        </w:rPr>
        <w:t>.  Except as expressly provided herein, nothing in this Agreement shall prevent or limit the Executive’s future participation in any benefit, bonus, incentive or other plan or program provided by the Company or any of its affiliated companies and for which the Executive may qualify, nor shall anything herein limit or otherwise prejudice such rights as the Executive may have under any other agreements the Executive may execute with the Company or any of its affiliated companies.  Amounts which are vested benefits or which the Executive is otherwise entitled to receive under any plan or program of the Company or any of its affiliated companies at or subsequent to the Date of Termination shall be payable in accordance with such plan or program.</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10.    </w:t>
      </w:r>
      <w:r>
        <w:rPr>
          <w:rFonts w:ascii="Times New Roman;Times;serif" w:hAnsi="Times New Roman;Times;serif"/>
          <w:sz w:val="20"/>
          <w:u w:val="single"/>
        </w:rPr>
        <w:t>280G</w:t>
      </w:r>
      <w:r>
        <w:rPr>
          <w:rFonts w:ascii="Times New Roman;Times;serif" w:hAnsi="Times New Roman;Times;serif"/>
          <w:sz w:val="20"/>
        </w:rPr>
        <w:t>.  Notwithstanding any provision of this Agreement to the contrary, if any amount or benefit to be paid or provided under this Agreement or otherwise would be an “Excess Parachute Payment,” within the meaning of Section 280G of the Code, but for the application of this sentence, then the payments and benefits to be paid or provided under this Agreement will either be (i) reduced to the minimum extent necessary (but in no event to less than zero) so that no portion of any such payment or benefit, as so reduced, constitutes an Excess Parachute Payment or (ii) delivered in full, whichever of the foregoing amounts, taking into account the applicable federal, state and local income and employment taxes and the excise tax (and any equivalent state of local excise taxes), results in the receipt by the Executive, on an after-tax basis, of the greatest amount of payment or benefits, notwithstanding that all or some portion of such payments or benefits may be subject to the excise tax. The fact that the Executive’s right to payments or benefits may be reduced by reason of the limitations contained in this Section 10 will not of itself limit or otherwise affect any other rights of the Executive other than pursuant to this Agreement. In the event that any payment or benefit intended to be provided under this Agreement or otherwise is required to be reduced pursuant to this Section 10, cash severance payable hereunder shall be reduced first, then other cash payments that qualify as Excess Parachute Payments payable to the Executive, then non-cash benefits shall be reduced, as determined by the Company.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11.    </w:t>
      </w:r>
      <w:r>
        <w:rPr>
          <w:rFonts w:ascii="Times New Roman;Times;serif" w:hAnsi="Times New Roman;Times;serif"/>
          <w:sz w:val="20"/>
          <w:u w:val="single"/>
        </w:rPr>
        <w:t>Full Settlement</w:t>
      </w:r>
      <w:r>
        <w:rPr>
          <w:rFonts w:ascii="Times New Roman;Times;serif" w:hAnsi="Times New Roman;Times;serif"/>
          <w:sz w:val="20"/>
        </w:rPr>
        <w:t>.  Except for the execution and delivery of any required Release or as provided in Section 8(f)(ii) or 8(g),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 whether by reason of the subsequent employment of the Executive or otherwise. In no event shall the Executive be obligated to seek other employment by way of mitigation of the amounts payable to the Executive under any of the provisions of this Agreement. In the event that the Executive shall in good faith give a Notice of Termination for Good Reason and it shall thereafter be determined that Good Reason did not take place, the employment of the Executive shall, unless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the Executive shall otherwise mutually agree, be deemed to have terminated, at the date of giving such purported Notice of Termination, by mutual consent of the Company and the Executive and, except as provided in the last preceding sentence, the Executive shall be entitled to receive only those payments and benefits which she would have been entitled to receive at such date had she terminated her employment voluntarily at such date under this Agreement. In the event that the Company shall give a Notice of Termination for Cause and it shall thereafter be determined that Cause did not take place, exist or occur, the employment of the Executive shall, unless the Company and the Executive shall otherwise mutually agree, be deemed terminated under a Qualifying Termination and the Executive shall be entitled to receive those payments and benefits (with all such payments and benefits due but previously unpaid being made or provided within ten (10) days after such determination) which Executive would have been entitled to receive under Section 8(f) of this Agreement at the applicable Date of Termination.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12.    </w:t>
      </w:r>
      <w:r>
        <w:rPr>
          <w:rFonts w:ascii="Times New Roman;Times;serif" w:hAnsi="Times New Roman;Times;serif"/>
          <w:sz w:val="20"/>
          <w:u w:val="single"/>
        </w:rPr>
        <w:t>Legal Fees and Expenses</w:t>
      </w:r>
      <w:r>
        <w:rPr>
          <w:rFonts w:ascii="Times New Roman;Times;serif" w:hAnsi="Times New Roman;Times;serif"/>
          <w:sz w:val="20"/>
        </w:rPr>
        <w:t>.  In the event that a claim or payment or benefits under this Agreement is disputed, the Company shall pay all reasonable attorney fees and expenses incurred by the Executive in pursuing such claim, provided that the Executive is successful as to at least a reasonable part of the disputed claim by reason of arbitration (as set forth in Section 16(g)) or settlement.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13.    </w:t>
      </w:r>
      <w:r>
        <w:rPr>
          <w:rFonts w:ascii="Times New Roman;Times;serif" w:hAnsi="Times New Roman;Times;serif"/>
          <w:sz w:val="20"/>
          <w:u w:val="single"/>
        </w:rPr>
        <w:t>Special Obligations of the Executive</w:t>
      </w:r>
      <w:r>
        <w:rPr>
          <w:rFonts w:ascii="Times New Roman;Times;serif" w:hAnsi="Times New Roman;Times;serif"/>
          <w:sz w:val="20"/>
        </w:rPr>
        <w:t>.  The Executive acknowledges and agrees that all the terms and conditions contained in the Confidential Information, Invention and Original Works Assignment Agreement to which the Executive is a party to with the Company or MBC, together with any other similar agreement, is hereby incorporated by reference herein and shall remain unchanged and in full force and effect. In addition, the Executive acknowledges and agrees to be bound by the following: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Confidential Information</w:t>
      </w:r>
      <w:r>
        <w:rPr>
          <w:rFonts w:ascii="Times New Roman;Times;serif" w:hAnsi="Times New Roman;Times;serif"/>
          <w:sz w:val="20"/>
        </w:rPr>
        <w:t>.  The Executive shall hold in a fiduciary capacity for the benefit of the Company all secret or confidential information, knowledge or data relating to the Company or any of its affiliated companies, and their respective businesses, obtained by the Executive during her employment by the Company or any of its affiliated companies (“</w:t>
      </w:r>
      <w:r>
        <w:rPr>
          <w:rFonts w:ascii="Times New Roman;Times;serif" w:hAnsi="Times New Roman;Times;serif"/>
          <w:b/>
          <w:i/>
          <w:sz w:val="20"/>
        </w:rPr>
        <w:t>Confidential Information</w:t>
      </w:r>
      <w:r>
        <w:rPr>
          <w:rFonts w:ascii="Times New Roman;Times;serif" w:hAnsi="Times New Roman;Times;serif"/>
          <w:sz w:val="20"/>
        </w:rPr>
        <w:t>”). Confidential Information shall not include any information that is in the public domain or becomes known in the public domain through no wrongful or other unauthorized act by the Executive. During and after the Employment Period, the Executive shall not without the prior written consent of the Company, unless compelled pursuant to an order of a court or other body having jurisdiction over such matter, communicate or divulge any such Confidential Information to anyone other than the Company and those designated by it. The Executive is hereby notified in accordance with the Federal Defend Trade Secrets Act that the Executive will not be held criminally or civilly liable under any federal or state trade secret law for the disclosure of a trade secret that is made in confidence to a federal, state, or local government official, either directly or indirectly, or to an attorney in confidence solely for the purpose of reporting or investigating a suspected violation of law, or if the disclosure of a trade secret is made in a complaint or other document that is filed under seal in a lawsuit or other proceeding. If the Executive files a lawsuit for retaliation against the Company for reporting a suspected violation of law, the Executive may disclose the Company’s trade secrets to her attorney in confidence and use the trade secret information in the court proceeding if the Executive files any document containing the trade secret under seal and does not disclose the trade secret, except pursuant to court order.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 event shall an asserted violation of the provisions of this Section 13(a) constitute a basis for deferring or withholding any amounts otherwise payable to the Executive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Non-Solicitation</w:t>
      </w:r>
      <w:r>
        <w:rPr>
          <w:rFonts w:ascii="Times New Roman;Times;serif" w:hAnsi="Times New Roman;Times;serif"/>
          <w:sz w:val="20"/>
        </w:rPr>
        <w:t>.  During the Employment Period and the twelve (12) month period following the Executive’s termination of employment for any reason, the Executive shall not (i) solicit, recruit or hire, or attempt to solicit, recruit or hire, any full-time or exclusive employees of the Company or persons who have exclusively worked for the Company during the twelve (12) month period immediately preceding such solicitation, recruitment or hiring or attempt thereof or (ii) assist any person in any way to do, or attempt to do, any of the foregoing.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Remedies and Injunctive Relief</w:t>
      </w:r>
      <w:r>
        <w:rPr>
          <w:rFonts w:ascii="Times New Roman;Times;serif" w:hAnsi="Times New Roman;Times;serif"/>
          <w:sz w:val="20"/>
        </w:rPr>
        <w:t>.  The Executive acknowledges that a violation by the Executive of any of the covenants contained in this Section 13 would cause irreparable damage to the Company in an amount that would be material but not readily ascertainable, and that any remedy at law (including the payment of damages) would be inadequate. Accordingly, the Executive agrees that, notwithstanding any provision of this Agreement to the contrary, the Company may be entitled (without the necessity of showing economic loss or other actual damage and without the requirement to post bond) to injunctive relief (including temporary restraining orders, preliminary injunctions and/or permanent injunctions) in any court of competent jurisdiction for any actual or threatened breach of any of the covenants set forth in this Section 13 in addition to any other legal or equitable remedies it may have. The preceding sentence shall not be construed as a waiver of the rights that the Company may have for damages under this Agreement or otherwise, and all of the Company’s rights shall be unrestricted, and notwithstanding the fact that any such provision may be determined not to be subject to specific performance, the Company will nevertheless be entitled to seek to recover monetary damages as a result of the Executive’s breach of such provision.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Additional Acknowledgments</w:t>
      </w:r>
      <w:r>
        <w:rPr>
          <w:rFonts w:ascii="Times New Roman;Times;serif" w:hAnsi="Times New Roman;Times;serif"/>
          <w:sz w:val="20"/>
        </w:rPr>
        <w:t>.  The Executive acknowledges that the provisions of this Section 13 are in consideration of: (i) employment with the Company and (ii) additional good and valuable consideration as set forth in this Agreement. The Executive acknowledges that the Executive has carefully read this Agreement and consulted with legal counsel of the Executive’s choosing regarding its contents, has given careful consideration to the restraints imposed upon the Executive by this Agreement and is in full accord as to their necessity for the reasonable and proper protection of confidential and proprietary information of the Company and its affiliated companies now existing or to be developed in the future.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14.    </w:t>
      </w:r>
      <w:r>
        <w:rPr>
          <w:rFonts w:ascii="Times New Roman;Times;serif" w:hAnsi="Times New Roman;Times;serif"/>
          <w:sz w:val="20"/>
          <w:u w:val="single"/>
        </w:rPr>
        <w:t>Successors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This Agreement shall inure to the benefit of and be binding upon the Company and its successors. The Company shall require any successor to all or substantially all of the business and/or assets of the Company, whether direct or indirect, by purchase, merger, consolidation, acquisition of stock, or otherwise, by an agreement in form and substance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satisfactory to the Executive, expressly to assume and agree to perform this Agreement in the same manner and to the same extent as the Company would be required to perform if no such succession had taken place. For purposes of this Section 14(b), the term “Company” shall include the Company and MBC.</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15.    </w:t>
      </w:r>
      <w:r>
        <w:rPr>
          <w:rFonts w:ascii="Times New Roman;Times;serif" w:hAnsi="Times New Roman;Times;serif"/>
          <w:sz w:val="20"/>
          <w:u w:val="single"/>
        </w:rPr>
        <w:t>Section 409A</w:t>
      </w:r>
      <w:r>
        <w:rPr>
          <w:rFonts w:ascii="Times New Roman;Times;serif" w:hAnsi="Times New Roman;Times;serif"/>
          <w:sz w:val="20"/>
        </w:rPr>
        <w:t>.  This Agreement shall be interpreted and administered in compliance with Section 409A of the Code. Any term used in this Agreement which is defined in Code Section 409A or the regulations promulgated thereunder (the “</w:t>
      </w:r>
      <w:r>
        <w:rPr>
          <w:rFonts w:ascii="Times New Roman;Times;serif" w:hAnsi="Times New Roman;Times;serif"/>
          <w:b/>
          <w:i/>
          <w:sz w:val="20"/>
        </w:rPr>
        <w:t>Regulations</w:t>
      </w:r>
      <w:r>
        <w:rPr>
          <w:rFonts w:ascii="Times New Roman;Times;serif" w:hAnsi="Times New Roman;Times;serif"/>
          <w:sz w:val="20"/>
        </w:rPr>
        <w:t xml:space="preserve">”) shall have the meaning set forth therein unless otherwise specifically defined herein. Any obligations under this Agreement that arise in connection with the Executive’s “termination of employment,” “termination” or other similar references shall only be triggered if the termination of employment or termination qualifies as a “separation from service” within the meaning of §1.409A-1(h) of the Regulations. Each installment payment hereunder shall be deemed to be a separate payment for purposes of Code Section 409A. Notwithstanding any other provision of this Agreement, (i) if at the time of the termination of the Executive’s employment, the Executive is a “specified employee,” as defined in Section 409A or the Regulations, and any payments upon such termination under this Agreement hereof will result in additional tax or interest to the Executive under Code Section 409A, the Executive will not be entitled to receive such payments until the date which is six (6) months after the termination of the Executive’s employment for any reason, other than as a result of the Executive’s death or disability (as such term is defined in Code Section 409A or the Regulations), (ii) in any circumstance in which the definition of “Disability” under this Agreement would otherwise be operative and with respect to which the additional tax under Code Section 409A would apply or be imposed, but where such tax would not apply or be imposed if the meaning of the term “Disability” met the requirements of Section 409A(a)(2)(A)(ii) of the Code, then the term “Disability” herein shall mean, but only for the circumstances so affected and the item of income with respect to which the additional tax under Code Section 409A would otherwise be imposed, a “disability” within the meaning of Treasury Regulations Section 1.409A-3(i)(4) and (iii) to the extent any review and revocation period with respect to a release of claims begins in one calendar year and ends in a second calendar year, no payment (or payments) which may become due and payable pursuant to this Agreement shall begin to be paid by the Company (or its applicable assignee or delegee) until the second calendar year. In addition, if any provision of this Agreement would subject the Executive to any additional tax or interest under Code Section 409A, then the Company shall reform such provision; </w:t>
      </w:r>
      <w:r>
        <w:rPr>
          <w:rFonts w:ascii="Times New Roman;Times;serif" w:hAnsi="Times New Roman;Times;serif"/>
          <w:sz w:val="20"/>
          <w:u w:val="single"/>
        </w:rPr>
        <w:t>provided that</w:t>
      </w:r>
      <w:r>
        <w:rPr>
          <w:rFonts w:ascii="Times New Roman;Times;serif" w:hAnsi="Times New Roman;Times;serif"/>
          <w:sz w:val="20"/>
        </w:rPr>
        <w:t xml:space="preserve"> the Company shall (x) maintain, to the maximum extent practicable, the original intent of the applicable provision without subjecting the Executive to such additional tax or interest and (y) not incur any additional compensation expense as a result of such reformation.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16.    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Applicable Law</w:t>
      </w:r>
      <w:r>
        <w:rPr>
          <w:rFonts w:ascii="Times New Roman;Times;serif" w:hAnsi="Times New Roman;Times;serif"/>
          <w:sz w:val="20"/>
        </w:rPr>
        <w:t>.  This Agreement shall be governed by and construed in accordance with the laws of the State of California, applied without reference to principles of conflict of laws.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Amendments</w:t>
      </w:r>
      <w:r>
        <w:rPr>
          <w:rFonts w:ascii="Times New Roman;Times;serif" w:hAnsi="Times New Roman;Times;serif"/>
          <w:sz w:val="20"/>
        </w:rPr>
        <w:t>.  This Agreement may not be amended or modified otherwise than by a written agreement executed by the parties hereto or their respective successors and legal representatives.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Notices</w:t>
      </w:r>
      <w:r>
        <w:rPr>
          <w:rFonts w:ascii="Times New Roman;Times;serif" w:hAnsi="Times New Roman;Times;serif"/>
          <w:sz w:val="20"/>
        </w:rPr>
        <w:t>.  All notices and other communications hereunder shall be in writing and shall be given by hand-delivery to the other party or by registered or certified mail, return receipt requested, postage prepaid, addressed as follows: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u w:val="single"/>
        </w:rPr>
        <w:t>If to the Executive</w:t>
      </w:r>
      <w:r>
        <w:rPr>
          <w:rFonts w:ascii="Times New Roman;Times;serif" w:hAnsi="Times New Roman;Times;serif"/>
          <w:sz w:val="20"/>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At the address shown on the records of the Company</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u w:val="single"/>
        </w:rPr>
        <w:t>If to the Company</w:t>
      </w:r>
      <w:r>
        <w:rPr>
          <w:rFonts w:ascii="Times New Roman;Times;serif" w:hAnsi="Times New Roman;Times;serif"/>
          <w:sz w:val="20"/>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Monster Energy Company</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Corona, California 92879</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Attention: Executive Vice President and General Counsel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to such other address as either party shall have furnished to the other in writing in accordance herewith. Notice and communications shall be effective when actually received by the addressee.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Tax Withholding</w:t>
      </w:r>
      <w:r>
        <w:rPr>
          <w:rFonts w:ascii="Times New Roman;Times;serif" w:hAnsi="Times New Roman;Times;serif"/>
          <w:sz w:val="20"/>
        </w:rPr>
        <w:t>.  The Company may withhold from any amounts payable under this Agreement such federal, state or local taxes as shall be required to be withheld pursuant to any applicable law or regulation.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Severability</w:t>
      </w:r>
      <w:r>
        <w:rPr>
          <w:rFonts w:ascii="Times New Roman;Times;serif" w:hAnsi="Times New Roman;Times;serif"/>
          <w:sz w:val="20"/>
        </w:rPr>
        <w:t>.  The invalidity or unenforceability of any provision of this Agreement shall not affect the validity or enforceability of any other provision of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Captions</w:t>
      </w:r>
      <w:r>
        <w:rPr>
          <w:rFonts w:ascii="Times New Roman;Times;serif" w:hAnsi="Times New Roman;Times;serif"/>
          <w:sz w:val="20"/>
        </w:rPr>
        <w:t>.  The captions of this Agreement are not part of the provisions hereof and shall have no force or effect.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Arbitration</w:t>
      </w:r>
      <w:r>
        <w:rPr>
          <w:rFonts w:ascii="Times New Roman;Times;serif" w:hAnsi="Times New Roman;Times;serif"/>
          <w:sz w:val="20"/>
        </w:rPr>
        <w:t>.  Except with respect to the rights of the Company to apply to a court of law or equity for equitable relief in the event of the breach by the Executive of any of the provisions of Section 13 of this Agreement, or as may be otherwise required by law, any controversy or claim arising out of or relating to the Executive’s employment with the Company or any agents of the Company shall be settled by arbitration administered by the JAMS’ rules for the resolution of employment disputes in Orange County, California, and judgment upon the award rendered by the arbitrator may be entered by any court having jurisdiction thereof. The applicable JAMS’ rules may be viewed on line at http://www.jamsadr.com/rules-employment-arbitration. In the spirit of expeditious and efficient resolution of any disputes, the Executive and the Company also agree that any dispute between the parties shall be resolved without the inclusion of any other employees or third parties included as parties to the arbitration proceeding, be it as individuals, as part of a collective action, or as part of a representative class, unless both the Executive and the Company agree to such consolidation after a dispute has arisen. If any part of this paragraph is deemed unenforceable the Executive and the Company further agree that it may be severed without affecting the other terms of this Agreement, including the requirement to arbitrate all disputes.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Entire Agreement</w:t>
      </w:r>
      <w:r>
        <w:rPr>
          <w:rFonts w:ascii="Times New Roman;Times;serif" w:hAnsi="Times New Roman;Times;serif"/>
          <w:sz w:val="20"/>
        </w:rPr>
        <w:t>.  This Agreement, together with the agreements expressly referenced herein, contains the entire agreement between the parties with respect to the subject matter hereof, supersedes the Original Employment Agreement and there are no agreements, understandings, representations or warranties between the parties other than those set forth or referred to herein.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 Signature page follows</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 WITNESS WHEREOF, the Executive has hereunto set her hand and the Company has caused this Agreement to be executed in its name on its behalf, all as of the day and year first above written.</w:t>
      </w:r>
    </w:p>
    <w:tbl>
      <w:tblPr>
        <w:tblW w:w="3034" w:type="dxa"/>
        <w:jc w:val="right"/>
        <w:tblInd w:w="0" w:type="dxa"/>
        <w:tblLayout w:type="fixed"/>
        <w:tblCellMar>
          <w:top w:w="0" w:type="dxa"/>
          <w:left w:w="0" w:type="dxa"/>
          <w:bottom w:w="0" w:type="dxa"/>
          <w:right w:w="0" w:type="dxa"/>
        </w:tblCellMar>
      </w:tblPr>
      <w:tblGrid>
        <w:gridCol w:w="124"/>
        <w:gridCol w:w="679"/>
        <w:gridCol w:w="2231"/>
      </w:tblGrid>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Schlosberg</w:t>
            </w:r>
          </w:p>
        </w:tc>
      </w:tr>
      <w:tr>
        <w:trPr/>
        <w:tc>
          <w:tcPr>
            <w:tcW w:w="124"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2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24"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Emelie Tirre</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Emelie Tirre</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to Employment Agreement]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815" w:name="mnst-20251231xex10d9.htm"/>
      <w:bookmarkStart w:id="1816" w:name="ksmnst20251231xex10d9"/>
      <w:bookmarkEnd w:id="1815"/>
      <w:bookmarkEnd w:id="1816"/>
      <w:r>
        <w:rPr>
          <w:rFonts w:ascii="Times New Roman;Times;serif" w:hAnsi="Times New Roman;Times;serif"/>
          <w:b/>
          <w:sz w:val="20"/>
        </w:rPr>
        <w:t>Exhibit 10.9</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&amp; RESTATED EMPLOYMENT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THIS AMENDED AND RESTATED EMPLOYMENT AGREEMENT (this “</w:t>
      </w:r>
      <w:r>
        <w:rPr>
          <w:rFonts w:ascii="Times New Roman;Times;serif" w:hAnsi="Times New Roman;Times;serif"/>
          <w:b/>
          <w:i/>
          <w:sz w:val="20"/>
        </w:rPr>
        <w:t>Agreement</w:t>
      </w:r>
      <w:r>
        <w:rPr>
          <w:rFonts w:ascii="Times New Roman;Times;serif" w:hAnsi="Times New Roman;Times;serif"/>
          <w:sz w:val="20"/>
        </w:rPr>
        <w:t>”), dated as of February 25, 2026, is entered into by and between MONSTER ENERGY COMPANY, a Delaware corporation (the “</w:t>
      </w:r>
      <w:r>
        <w:rPr>
          <w:rFonts w:ascii="Times New Roman;Times;serif" w:hAnsi="Times New Roman;Times;serif"/>
          <w:b/>
          <w:i/>
          <w:sz w:val="20"/>
        </w:rPr>
        <w:t>Company</w:t>
      </w:r>
      <w:r>
        <w:rPr>
          <w:rFonts w:ascii="Times New Roman;Times;serif" w:hAnsi="Times New Roman;Times;serif"/>
          <w:sz w:val="20"/>
        </w:rPr>
        <w:t>”), and Rob Gehring (the “</w:t>
      </w:r>
      <w:r>
        <w:rPr>
          <w:rFonts w:ascii="Times New Roman;Times;serif" w:hAnsi="Times New Roman;Times;serif"/>
          <w:b/>
          <w:i/>
          <w:sz w:val="20"/>
        </w:rPr>
        <w:t>Executive</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the Company and the Executive are parties to that certain Employment Agreement, dated as of May 12, 2024 (the “</w:t>
      </w:r>
      <w:r>
        <w:rPr>
          <w:rFonts w:ascii="Times New Roman;Times;serif" w:hAnsi="Times New Roman;Times;serif"/>
          <w:b/>
          <w:i/>
          <w:sz w:val="20"/>
        </w:rPr>
        <w:t>Original Employment Agreement</w:t>
      </w:r>
      <w:r>
        <w:rPr>
          <w:rFonts w:ascii="Times New Roman;Times;serif" w:hAnsi="Times New Roman;Times;serif"/>
          <w:sz w:val="20"/>
        </w:rPr>
        <w:t>”);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the Company and the Executive desire to amend and restate the Original Employment Agreement and replace the Original Employment Agreement with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NOW, THEREFORE, in consideration of the premises and mutual covenants herein contained, and other good and valuable consideration, the Company and the Executive agree as follows: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1.    </w:t>
      </w:r>
      <w:r>
        <w:rPr>
          <w:rFonts w:ascii="Times New Roman;Times;serif" w:hAnsi="Times New Roman;Times;serif"/>
          <w:sz w:val="20"/>
          <w:u w:val="single"/>
        </w:rPr>
        <w:t>Amendment and Restatement of the Original Employment Agreement</w:t>
      </w:r>
      <w:r>
        <w:rPr>
          <w:rFonts w:ascii="Times New Roman;Times;serif" w:hAnsi="Times New Roman;Times;serif"/>
          <w:sz w:val="20"/>
        </w:rPr>
        <w:t>.  The Original Employment Agreement is hereby amended and restated, effective February 25, 2026, and the Original Employment Agreement is void and shall have no further force or effect as of such date.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sz w:val="20"/>
          <w:u w:val="single"/>
        </w:rPr>
        <w:t>Employment</w:t>
      </w:r>
      <w:r>
        <w:rPr>
          <w:rFonts w:ascii="Times New Roman;Times;serif" w:hAnsi="Times New Roman;Times;serif"/>
          <w:sz w:val="20"/>
        </w:rPr>
        <w:t>.  The Company shall employ the Executive and the Executive agrees to serve in the role of the Company’s Chief Executive Officer, Americas, based in the Corona, California area, in such capacities and upon such conditions as are hereinafter set forth. In such role, the Executive shall report directly to the Company’s Chief Executive Officer, currently Hilton Schlosberg (the “</w:t>
      </w:r>
      <w:r>
        <w:rPr>
          <w:rFonts w:ascii="Times New Roman;Times;serif" w:hAnsi="Times New Roman;Times;serif"/>
          <w:b/>
          <w:i/>
          <w:sz w:val="20"/>
        </w:rPr>
        <w:t>CEO</w:t>
      </w:r>
      <w:r>
        <w:rPr>
          <w:rFonts w:ascii="Times New Roman;Times;serif" w:hAnsi="Times New Roman;Times;serif"/>
          <w:sz w:val="20"/>
        </w:rPr>
        <w:t>”), and/or the Board or its Executive Committee.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Definitions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i/>
          <w:sz w:val="20"/>
        </w:rPr>
        <w:t>Board</w:t>
      </w:r>
      <w:r>
        <w:rPr>
          <w:rFonts w:ascii="Times New Roman;Times;serif" w:hAnsi="Times New Roman;Times;serif"/>
          <w:sz w:val="20"/>
        </w:rPr>
        <w:t>” shall mean the Board of Directors of MBC.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i/>
          <w:sz w:val="20"/>
        </w:rPr>
        <w:t>Cause</w:t>
      </w:r>
      <w:r>
        <w:rPr>
          <w:rFonts w:ascii="Times New Roman;Times;serif" w:hAnsi="Times New Roman;Times;serif"/>
          <w:sz w:val="20"/>
        </w:rPr>
        <w:t>” shall mean: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an act or acts of dishonesty or gross misconduct on the Executive’s part which result in or are intended to result in material damage to the Company’s business or reputation; or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(ii) repeated material violations by the Executive of his obligations under Section 5 of this Agreement which violations are demonstrably willful and deliberate on the Executive’s part and which result in material damage to the Company’s business or reputation and as to which material violations the Executive Committee or the Board has notified the Executive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i/>
          <w:sz w:val="20"/>
        </w:rPr>
        <w:t>Change in Control</w:t>
      </w:r>
      <w:r>
        <w:rPr>
          <w:rFonts w:ascii="Times New Roman;Times;serif" w:hAnsi="Times New Roman;Times;serif"/>
          <w:sz w:val="20"/>
        </w:rPr>
        <w:t>” shall have the meaning set forth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i/>
          <w:sz w:val="20"/>
        </w:rPr>
        <w:t>Change in Control Period</w:t>
      </w:r>
      <w:r>
        <w:rPr>
          <w:rFonts w:ascii="Times New Roman;Times;serif" w:hAnsi="Times New Roman;Times;serif"/>
          <w:sz w:val="20"/>
        </w:rPr>
        <w:t>” shall mean the period beginning on the date of a Change in Control and ending twenty-four (24) months following such Change in Control.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i/>
          <w:sz w:val="20"/>
        </w:rPr>
        <w:t>Compensation Committee</w:t>
      </w:r>
      <w:r>
        <w:rPr>
          <w:rFonts w:ascii="Times New Roman;Times;serif" w:hAnsi="Times New Roman;Times;serif"/>
          <w:sz w:val="20"/>
        </w:rPr>
        <w:t>” means the Compensation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w:t>
      </w:r>
      <w:r>
        <w:rPr>
          <w:rFonts w:ascii="Times New Roman;Times;serif" w:hAnsi="Times New Roman;Times;serif"/>
          <w:b/>
          <w:i/>
          <w:sz w:val="20"/>
        </w:rPr>
        <w:t>Executive Committee</w:t>
      </w:r>
      <w:r>
        <w:rPr>
          <w:rFonts w:ascii="Times New Roman;Times;serif" w:hAnsi="Times New Roman;Times;serif"/>
          <w:sz w:val="20"/>
        </w:rPr>
        <w:t>” means the Executive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w:t>
      </w:r>
      <w:r>
        <w:rPr>
          <w:rFonts w:ascii="Times New Roman;Times;serif" w:hAnsi="Times New Roman;Times;serif"/>
          <w:b/>
          <w:i/>
          <w:sz w:val="20"/>
        </w:rPr>
        <w:t>Good Reason</w:t>
      </w:r>
      <w:r>
        <w:rPr>
          <w:rFonts w:ascii="Times New Roman;Times;serif" w:hAnsi="Times New Roman;Times;serif"/>
          <w:sz w:val="20"/>
        </w:rPr>
        <w:t>” shall mean: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without the written consent of the Executive, (A) the assignment to the Executive of any duties inconsistent in any substantial respect with the Executive’s position, authority or responsibilities as contemplated by Section 5 of this Agreement, or (B) any other substantial adverse change in such position, including titles, authority or responsibilities;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(ii)    any failure by the Company to comply with any of the provisions of this Agreement, other than an insubstantial or inadvertent failure remedied by the Company promptly after receipt of notice thereof given by the Executive;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(iii)    the Company’s requiring the Executive without his consent to be based at any office or location outside of Riverside or Orange Counties, California except for travel reasonably required in the performance of the Executive’s responsibilities; or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(iv)    any failure by the Company to obtain the assumption and agreement to perform this Agreement by a successor as contemplated by Section 14(b), </w:t>
      </w:r>
      <w:r>
        <w:rPr>
          <w:rFonts w:ascii="Times New Roman;Times;serif" w:hAnsi="Times New Roman;Times;serif"/>
          <w:sz w:val="20"/>
          <w:u w:val="single"/>
        </w:rPr>
        <w:t>provided</w:t>
      </w:r>
      <w:r>
        <w:rPr>
          <w:rFonts w:ascii="Times New Roman;Times;serif" w:hAnsi="Times New Roman;Times;serif"/>
          <w:sz w:val="20"/>
        </w:rPr>
        <w:t>, that, the successor has had actual written notice of the existence of this Agreement and its terms and an opportunity to assume the Company’s responsibilities under this Agreement during a period of 10 business days after receipt of such notice;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(v)    </w:t>
      </w:r>
      <w:r>
        <w:rPr>
          <w:rFonts w:ascii="Times New Roman;Times;serif" w:hAnsi="Times New Roman;Times;serif"/>
          <w:sz w:val="20"/>
          <w:u w:val="single"/>
        </w:rPr>
        <w:t>provided further</w:t>
      </w:r>
      <w:r>
        <w:rPr>
          <w:rFonts w:ascii="Times New Roman;Times;serif" w:hAnsi="Times New Roman;Times;serif"/>
          <w:sz w:val="20"/>
        </w:rPr>
        <w:t>, that, within thirty (30) days following the occurrence of any of the events set forth in the foregoing clauses (i), (ii), (iii), and (iv), the Executive shall have delivered a Notice of Termination (as defined in Section 7(e) below) in accordance with Section 7(e), and, if curable, the Company shall not have promptly cured such circumstances following the Company’s receipt of such notice (and if curable and so cured by the Company, then the Executive shall not be permitted to resign for Good Reason).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For the avoidance of doubt, in no event shall (x) the mere occurrence of a Change in Control, (y) the disposition of one or more divisions or business units of MBC or the Company or (z) MBC ceasing to be a public company, absent any further impact on the Executive, be deemed to constitute Good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t>
      </w:r>
      <w:r>
        <w:rPr>
          <w:rFonts w:ascii="Times New Roman;Times;serif" w:hAnsi="Times New Roman;Times;serif"/>
          <w:b/>
          <w:i/>
          <w:sz w:val="20"/>
        </w:rPr>
        <w:t>MBC</w:t>
      </w:r>
      <w:r>
        <w:rPr>
          <w:rFonts w:ascii="Times New Roman;Times;serif" w:hAnsi="Times New Roman;Times;serif"/>
          <w:sz w:val="20"/>
        </w:rPr>
        <w:t>” shall mean Monster Beverage Corporation, a Delaware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t>
      </w:r>
      <w:r>
        <w:rPr>
          <w:rFonts w:ascii="Times New Roman;Times;serif" w:hAnsi="Times New Roman;Times;serif"/>
          <w:b/>
          <w:i/>
          <w:sz w:val="20"/>
        </w:rPr>
        <w:t>Plan</w:t>
      </w:r>
      <w:r>
        <w:rPr>
          <w:rFonts w:ascii="Times New Roman;Times;serif" w:hAnsi="Times New Roman;Times;serif"/>
          <w:sz w:val="20"/>
        </w:rPr>
        <w:t>” shall mean the Monster Beverage Corporation 2020 Omnibus Incentive Plan, as amended from time to time.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4.    </w:t>
      </w:r>
      <w:r>
        <w:rPr>
          <w:rFonts w:ascii="Times New Roman;Times;serif" w:hAnsi="Times New Roman;Times;serif"/>
          <w:sz w:val="20"/>
          <w:u w:val="single"/>
        </w:rPr>
        <w:t>Employment Period</w:t>
      </w:r>
      <w:r>
        <w:rPr>
          <w:rFonts w:ascii="Times New Roman;Times;serif" w:hAnsi="Times New Roman;Times;serif"/>
          <w:sz w:val="20"/>
        </w:rPr>
        <w:t>.  The “</w:t>
      </w:r>
      <w:r>
        <w:rPr>
          <w:rFonts w:ascii="Times New Roman;Times;serif" w:hAnsi="Times New Roman;Times;serif"/>
          <w:b/>
          <w:i/>
          <w:sz w:val="20"/>
        </w:rPr>
        <w:t>Employment Period</w:t>
      </w:r>
      <w:r>
        <w:rPr>
          <w:rFonts w:ascii="Times New Roman;Times;serif" w:hAnsi="Times New Roman;Times;serif"/>
          <w:sz w:val="20"/>
        </w:rPr>
        <w:t>” shall be the period commencing February 25, 2026 (such date, the “</w:t>
      </w:r>
      <w:r>
        <w:rPr>
          <w:rFonts w:ascii="Times New Roman;Times;serif" w:hAnsi="Times New Roman;Times;serif"/>
          <w:b/>
          <w:i/>
          <w:sz w:val="20"/>
        </w:rPr>
        <w:t>Commencement Date</w:t>
      </w:r>
      <w:r>
        <w:rPr>
          <w:rFonts w:ascii="Times New Roman;Times;serif" w:hAnsi="Times New Roman;Times;serif"/>
          <w:sz w:val="20"/>
        </w:rPr>
        <w:t>”), and ending on the date one (1) day prior to the second anniversary of the Commencement Date, subject to extension or termination as hereinafter provided. On the second anniversary of the Commencement Date, and on each subsequent anniversary of the Commencement Date thereafter, the Employment Period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shall be automatically extended by one (1) additional year unless, not less than sixty (60) days prior to such applicable and next ensuing anniversary date, the Company shall deliver to the Executive or the Executive shall deliver to the Company written notice that the Employment Period will not be extended (a “</w:t>
      </w:r>
      <w:r>
        <w:rPr>
          <w:rFonts w:ascii="Times New Roman;Times;serif" w:hAnsi="Times New Roman;Times;serif"/>
          <w:b/>
          <w:i/>
          <w:sz w:val="20"/>
        </w:rPr>
        <w:t>Non-Renewal Notice</w:t>
      </w:r>
      <w:r>
        <w:rPr>
          <w:rFonts w:ascii="Times New Roman;Times;serif" w:hAnsi="Times New Roman;Times;serif"/>
          <w:sz w:val="20"/>
        </w:rPr>
        <w:t>”), in which case the Employment Period and this Agreement will end at the then scheduled expiration date and shall not be further extended except by contrary written agreement of the Company and the Executive. For the avoidance of doubt, the Company and the Executive expressly acknowledge and agree that neither (i) the election by the Executive to not renew, and therefore to terminate, this Agreement pursuant to this Section 4 nor (ii) the termination of the Executive’s employment at the end of the Employment Period in connection with any such election by the Executive hereunder shall give rise to any severance or other payment or benefit to the Executive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5.    </w:t>
      </w:r>
      <w:r>
        <w:rPr>
          <w:rFonts w:ascii="Times New Roman;Times;serif" w:hAnsi="Times New Roman;Times;serif"/>
          <w:sz w:val="20"/>
          <w:u w:val="single"/>
        </w:rPr>
        <w:t>Position and Duties</w:t>
      </w:r>
      <w:r>
        <w:rPr>
          <w:rFonts w:ascii="Times New Roman;Times;serif" w:hAnsi="Times New Roman;Times;serif"/>
          <w:sz w:val="20"/>
        </w:rPr>
        <w:t>.  During the Employment Period, the Executive agrees to devote his full business time during normal business hours to the business and affairs of the Company and to use his best efforts to perform faithfully and efficiently the responsibilities assigned to him by the CEO, Executive Committee and/or the Board, which responsibilities are consistent and commensurate with his title and position with the Company, all to the extent necessary to discharge such responsibilities. Notwithstanding the foregoing, the Executive may (i) continue to serve as a founder, advisor and member of the governing board of Delicious AI, LLC, (the “</w:t>
      </w:r>
      <w:r>
        <w:rPr>
          <w:rFonts w:ascii="Times New Roman;Times;serif" w:hAnsi="Times New Roman;Times;serif"/>
          <w:b/>
          <w:i/>
          <w:sz w:val="20"/>
        </w:rPr>
        <w:t>Delicious AI Activities</w:t>
      </w:r>
      <w:r>
        <w:rPr>
          <w:rFonts w:ascii="Times New Roman;Times;serif" w:hAnsi="Times New Roman;Times;serif"/>
          <w:sz w:val="20"/>
        </w:rPr>
        <w:t xml:space="preserve">”) and, beyond Delicious AI, LLC, serve on the board, committee and commission of one (1) additional publicly traded or privately held company so long as any such service (A) is for a company that is in an industry other than the consumer food and beverage products industry (it being agreed that the provision by Delicious AI, LLC of its three dimensional photo recognition and imaging technology for use by organizations engaged in the food and beverage products industry shall not constitute a violation of this sub-clause (A) as long as Delicious AI, LLC does not itself directly engage in the manufacture and distribution to consumers of food and beverage products) and (B) does not disrupt the Executive’s business duties, (ii) serve on the boards, committees and commissions of charitable organizations; (iii) subject to the prior approval of the Company’s human resources and compliance personnel, perform public speaking, panel discussion, or other similar professional (industry related) presentations and (iv) manage his personal investments; </w:t>
      </w:r>
      <w:r>
        <w:rPr>
          <w:rFonts w:ascii="Times New Roman;Times;serif" w:hAnsi="Times New Roman;Times;serif"/>
          <w:sz w:val="20"/>
          <w:u w:val="single"/>
        </w:rPr>
        <w:t>provided</w:t>
      </w:r>
      <w:r>
        <w:rPr>
          <w:rFonts w:ascii="Times New Roman;Times;serif" w:hAnsi="Times New Roman;Times;serif"/>
          <w:sz w:val="20"/>
        </w:rPr>
        <w:t>, that, such activities do not materially interfere with the performance of the Executive’s duties, breach Section 13 hereof or otherwise cause a conflict of interest.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6.    </w:t>
      </w:r>
      <w:r>
        <w:rPr>
          <w:rFonts w:ascii="Times New Roman;Times;serif" w:hAnsi="Times New Roman;Times;serif"/>
          <w:sz w:val="20"/>
          <w:u w:val="single"/>
        </w:rPr>
        <w:t>Compensation</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Base Salary</w:t>
      </w:r>
      <w:r>
        <w:rPr>
          <w:rFonts w:ascii="Times New Roman;Times;serif" w:hAnsi="Times New Roman;Times;serif"/>
          <w:sz w:val="20"/>
        </w:rPr>
        <w:t>.  During the Employment Period, the Executive shall receive a base salary (the “</w:t>
      </w:r>
      <w:r>
        <w:rPr>
          <w:rFonts w:ascii="Times New Roman;Times;serif" w:hAnsi="Times New Roman;Times;serif"/>
          <w:b/>
          <w:i/>
          <w:sz w:val="20"/>
        </w:rPr>
        <w:t>Base Salary</w:t>
      </w:r>
      <w:r>
        <w:rPr>
          <w:rFonts w:ascii="Times New Roman;Times;serif" w:hAnsi="Times New Roman;Times;serif"/>
          <w:sz w:val="20"/>
        </w:rPr>
        <w:t>”), payable bi-weekly or in such other installments as may be agreed upon, which as of the date hereof is at a minimum annual rate of $875,000. The Company shall review the Base Salary annually and in light of such review may, in the Company’s sole discretion increase the Base Salary, and such adjusted Base Salary shall then constitute the “Base Salary” for purposes of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Bonus</w:t>
      </w:r>
      <w:r>
        <w:rPr>
          <w:rFonts w:ascii="Times New Roman;Times;serif" w:hAnsi="Times New Roman;Times;serif"/>
          <w:sz w:val="20"/>
        </w:rPr>
        <w:t>.  In addition to the Base Salary, the Executive may be granted a bonus (“</w:t>
      </w:r>
      <w:r>
        <w:rPr>
          <w:rFonts w:ascii="Times New Roman;Times;serif" w:hAnsi="Times New Roman;Times;serif"/>
          <w:b/>
          <w:i/>
          <w:sz w:val="20"/>
        </w:rPr>
        <w:t>Bonus</w:t>
      </w:r>
      <w:r>
        <w:rPr>
          <w:rFonts w:ascii="Times New Roman;Times;serif" w:hAnsi="Times New Roman;Times;serif"/>
          <w:sz w:val="20"/>
        </w:rPr>
        <w:t>”) as part of the Company’s annual incentive award program for senior executives commensurate with the Executive’s position, payable at such times, and in such amounts, as set forth in the applicable annual incentive award agreement and which may be fixed from time to time by the Compensation Committee.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Incentive and Savings Plans; Retirement and Programs</w:t>
      </w:r>
      <w:r>
        <w:rPr>
          <w:rFonts w:ascii="Times New Roman;Times;serif" w:hAnsi="Times New Roman;Times;serif"/>
          <w:sz w:val="20"/>
        </w:rPr>
        <w:t>.  In addition to the Base Salary and Bonus payable as hereinabove provided, during the Employment Period, the Executive shall be eligible to receive and/or participate in the following plans and program which the Company may from time to time make available to employees of the Company or any affiliated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Long-Term Incentive Compensation Plan</w:t>
      </w:r>
      <w:r>
        <w:rPr>
          <w:rFonts w:ascii="Times New Roman;Times;serif" w:hAnsi="Times New Roman;Times;serif"/>
          <w:sz w:val="20"/>
        </w:rPr>
        <w:t>.  On September 3, 2024 (such date, the “</w:t>
      </w:r>
      <w:r>
        <w:rPr>
          <w:rFonts w:ascii="Times New Roman;Times;serif" w:hAnsi="Times New Roman;Times;serif"/>
          <w:b/>
          <w:i/>
          <w:sz w:val="20"/>
        </w:rPr>
        <w:t>Grant Date</w:t>
      </w:r>
      <w:r>
        <w:rPr>
          <w:rFonts w:ascii="Times New Roman;Times;serif" w:hAnsi="Times New Roman;Times;serif"/>
          <w:sz w:val="20"/>
        </w:rPr>
        <w:t xml:space="preserve">”), the Executive received a one-time equity award, as set forth on </w:t>
      </w:r>
      <w:r>
        <w:rPr>
          <w:rFonts w:ascii="Times New Roman;Times;serif" w:hAnsi="Times New Roman;Times;serif"/>
          <w:sz w:val="20"/>
          <w:u w:val="single"/>
        </w:rPr>
        <w:t>Schedule A</w:t>
      </w:r>
      <w:r>
        <w:rPr>
          <w:rFonts w:ascii="Times New Roman;Times;serif" w:hAnsi="Times New Roman;Times;serif"/>
          <w:sz w:val="20"/>
        </w:rPr>
        <w:t xml:space="preserve"> attached hereto (the “</w:t>
      </w:r>
      <w:r>
        <w:rPr>
          <w:rFonts w:ascii="Times New Roman;Times;serif" w:hAnsi="Times New Roman;Times;serif"/>
          <w:b/>
          <w:i/>
          <w:sz w:val="20"/>
        </w:rPr>
        <w:t>Initial Grant</w:t>
      </w:r>
      <w:r>
        <w:rPr>
          <w:rFonts w:ascii="Times New Roman;Times;serif" w:hAnsi="Times New Roman;Times;serif"/>
          <w:sz w:val="20"/>
        </w:rPr>
        <w:t>”). The Company will also include the Executive in the Company’s annual long term incentive (LTI) program for senior executives commensurate with the Executive’s position, which shall include stock options, restricted stock units and performance share units, subject to the Executive’s continued employment with the Company on the applicable grant date of any such award (the “</w:t>
      </w:r>
      <w:r>
        <w:rPr>
          <w:rFonts w:ascii="Times New Roman;Times;serif" w:hAnsi="Times New Roman;Times;serif"/>
          <w:b/>
          <w:i/>
          <w:sz w:val="20"/>
        </w:rPr>
        <w:t>Subsequent Grants</w:t>
      </w:r>
      <w:r>
        <w:rPr>
          <w:rFonts w:ascii="Times New Roman;Times;serif" w:hAnsi="Times New Roman;Times;serif"/>
          <w:sz w:val="20"/>
        </w:rPr>
        <w:t>”). The terms of any such Subsequent Grants shall be determined in the Company’s sole discretion in accordance with the Plan and the underlying Award Agreements and which may be fixed from time to time by the Compensation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401(k) Retirement Plan</w:t>
      </w:r>
      <w:r>
        <w:rPr>
          <w:rFonts w:ascii="Times New Roman;Times;serif" w:hAnsi="Times New Roman;Times;serif"/>
          <w:sz w:val="20"/>
        </w:rPr>
        <w:t>.  The Company currently administers a 401(k) defined contribution plan. During the Employment Period, the Company may make a matching contribution to its 401(k) plan and is currently matching 50% of employee deferrals up to 8% of eligible pay on a per pay period basis. Eligible employees will be automatically enrolled into the 401(k) Plan at a 4% pre-tax contribution rate, effective as of the benefit eligibility date which is the first day of the month following thirty (30) days of employment. The Executive may change his contribution amount or opt out of the 401(k) plan.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Benefit Plans</w:t>
      </w:r>
      <w:r>
        <w:rPr>
          <w:rFonts w:ascii="Times New Roman;Times;serif" w:hAnsi="Times New Roman;Times;serif"/>
          <w:sz w:val="20"/>
        </w:rPr>
        <w:t>.  During the Employment Period, the Executive, his spouse or domestic partner and the members of his immediate family (to the extent permitted by the applicable plan), as the case may be, shall be entitled to participate in and will be fully covered under all medical, dental, disability, group life, accidental death and travel accident insurance plans and programs of the Company and its affiliated companies as in effect on the date hereof or at any time thereafter with respect to the Executive or other executives with comparable responsibilities.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Club Membership</w:t>
      </w:r>
      <w:r>
        <w:rPr>
          <w:rFonts w:ascii="Times New Roman;Times;serif" w:hAnsi="Times New Roman;Times;serif"/>
          <w:sz w:val="20"/>
        </w:rPr>
        <w:t>.  During the Employment Period, the Company shall pay the initiation fee and annual country club membership dues in one (1) business or social club to be selected by the Executive in his sole discretion.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Automobile</w:t>
      </w:r>
      <w:r>
        <w:rPr>
          <w:rFonts w:ascii="Times New Roman;Times;serif" w:hAnsi="Times New Roman;Times;serif"/>
          <w:sz w:val="20"/>
        </w:rPr>
        <w:t>.  During the Employment Period, (i) the Company shall pay all costs and expenses up to (and not to exceed) $1,000.00 monthly (or $12,000.00 annually) relating to the purchase or lease, use, and maintenance of an automobile and (ii) the Executive shall be entitled to receive prompt reimbursement of all toll road fees and costs of fuel incurred in connection with his use of his automobile, in each case to be dedicated to the sole use of the Executive.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Air Travel</w:t>
      </w:r>
      <w:r>
        <w:rPr>
          <w:rFonts w:ascii="Times New Roman;Times;serif" w:hAnsi="Times New Roman;Times;serif"/>
          <w:sz w:val="20"/>
        </w:rPr>
        <w:t>.  During the Employment Period, the Executive shall be entitled to fly business class on all flights.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Relocation</w:t>
      </w:r>
      <w:r>
        <w:rPr>
          <w:rFonts w:ascii="Times New Roman;Times;serif" w:hAnsi="Times New Roman;Times;serif"/>
          <w:sz w:val="20"/>
        </w:rPr>
        <w:t>.  To assist with the Executive’s relocation, (i) the Company agrees to provide relocation support in accordance with the Company’s relocation reimbursement standards, including the costs associated with short term lodging, short term transportation, and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packing and moving of any household goods and vehicles and (ii) the Company will further assist with home sale expenses incurred in the sale of the Executive’s current home in Heber City, Utah, up to a maximum of $100,000.00 (the “</w:t>
      </w:r>
      <w:r>
        <w:rPr>
          <w:rFonts w:ascii="Times New Roman;Times;serif" w:hAnsi="Times New Roman;Times;serif"/>
          <w:b/>
          <w:i/>
          <w:sz w:val="20"/>
        </w:rPr>
        <w:t>Home Sale Expenses</w:t>
      </w:r>
      <w:r>
        <w:rPr>
          <w:rFonts w:ascii="Times New Roman;Times;serif" w:hAnsi="Times New Roman;Times;serif"/>
          <w:sz w:val="20"/>
        </w:rPr>
        <w:t>”). The Executive acknowledges that the Company has no further obligation to pay or reimburse the Executive for any such similar expenses described above under this paragraph. Expenses are subject to reimbursement based on Executive’s submission of reasonable receipts or documents substantiating the same and shall be paid to the Executive in accordance with Section 5(j). Home Sale Expenses include, but are not limited to, any costs associated with the buying and selling of the Executive’s current and new residential properties such as realtor commissions.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Expenses</w:t>
      </w:r>
      <w:r>
        <w:rPr>
          <w:rFonts w:ascii="Times New Roman;Times;serif" w:hAnsi="Times New Roman;Times;serif"/>
          <w:sz w:val="20"/>
        </w:rPr>
        <w:t>.  During the Employment Period, the Executive shall be entitled to receive reimbursement for business-related expenses as documented by the Executive according to the Internal Revenue Service guidelines and in accordance with the Company’s policy on such expenditures. Travel and accommodations while the Executive is on business are to be conducted in accordance with the Company’s expense policies in effect from time to time.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(j)    </w:t>
      </w:r>
      <w:r>
        <w:rPr>
          <w:rFonts w:ascii="Times New Roman;Times;serif" w:hAnsi="Times New Roman;Times;serif"/>
          <w:sz w:val="20"/>
          <w:u w:val="single"/>
        </w:rPr>
        <w:t>Vacation</w:t>
      </w:r>
      <w:r>
        <w:rPr>
          <w:rFonts w:ascii="Times New Roman;Times;serif" w:hAnsi="Times New Roman;Times;serif"/>
          <w:sz w:val="20"/>
        </w:rPr>
        <w:t>.  During the Employment Period, the Executive will receive 6.154 vacation hours per pay period (annualized to one hundred sixty (160) hours (four (4) weeks)). Vacation accrual and terms are subject to the provisions of the Company’s vacation policy in effect from time to time.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(k)    </w:t>
      </w:r>
      <w:r>
        <w:rPr>
          <w:rFonts w:ascii="Times New Roman;Times;serif" w:hAnsi="Times New Roman;Times;serif"/>
          <w:sz w:val="20"/>
          <w:u w:val="single"/>
        </w:rPr>
        <w:t>Expense Reimbursement</w:t>
      </w:r>
      <w:r>
        <w:rPr>
          <w:rFonts w:ascii="Times New Roman;Times;serif" w:hAnsi="Times New Roman;Times;serif"/>
          <w:sz w:val="20"/>
        </w:rPr>
        <w:t>.  It is intended that any expense reimbursement made under this Agreement shall be exempt from Section 409A of the Internal Revenue Code of 1986, as amended (the “</w:t>
      </w:r>
      <w:r>
        <w:rPr>
          <w:rFonts w:ascii="Times New Roman;Times;serif" w:hAnsi="Times New Roman;Times;serif"/>
          <w:b/>
          <w:i/>
          <w:sz w:val="20"/>
        </w:rPr>
        <w:t>Code</w:t>
      </w:r>
      <w:r>
        <w:rPr>
          <w:rFonts w:ascii="Times New Roman;Times;serif" w:hAnsi="Times New Roman;Times;serif"/>
          <w:sz w:val="20"/>
        </w:rPr>
        <w:t>”). Notwithstanding the foregoing, if any expense reimbursement shall be determined to be ‘deferred compensation’ within the meaning of Section 409A of the Code, including without limitation any reimbursement under Sections 6(e), 6(f), 6(h) and 6(i), then the reimbursement shall be made to the Executive as soon as practicable after submission of the reimbursement request, but no later than December 31 of the year following the year during which such expense was incurred. Any reimbursement amount provided in one year shall not affect the amount eligible for reimbursement in another year and the right to such reimbursement shall not be subject to liquidation or exchange for another benefit.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7.    </w:t>
      </w:r>
      <w:r>
        <w:rPr>
          <w:rFonts w:ascii="Times New Roman;Times;serif" w:hAnsi="Times New Roman;Times;serif"/>
          <w:sz w:val="20"/>
          <w:u w:val="single"/>
        </w:rPr>
        <w:t>Termination</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Death or Disability</w:t>
      </w:r>
      <w:r>
        <w:rPr>
          <w:rFonts w:ascii="Times New Roman;Times;serif" w:hAnsi="Times New Roman;Times;serif"/>
          <w:sz w:val="20"/>
        </w:rPr>
        <w:t>.  This Agreement shall terminate automatically upon the Executive’s death. The Company may terminate this Agreement, after having established the Executive’s Disability, by giving to the Executive written notice of its intention to terminate his employment, and his employment with the Company shall terminate effective on the ninetieth (90th) day after receipt of such notice if, within ninety (90) days after such receipt, the Executive shall fail to return to full-time performance of his duties.  For purposes of this Agreement, “</w:t>
      </w:r>
      <w:r>
        <w:rPr>
          <w:rFonts w:ascii="Times New Roman;Times;serif" w:hAnsi="Times New Roman;Times;serif"/>
          <w:b/>
          <w:i/>
          <w:sz w:val="20"/>
        </w:rPr>
        <w:t>Disability</w:t>
      </w:r>
      <w:r>
        <w:rPr>
          <w:rFonts w:ascii="Times New Roman;Times;serif" w:hAnsi="Times New Roman;Times;serif"/>
          <w:sz w:val="20"/>
        </w:rPr>
        <w:t>” means disability which would entitle the Executive to receive full long-term disability benefits under the Company’s long-term disability plan, or if no such plan shall then be in effect, any physical or mental disability or incapacity which renders the Executive incapable of performing the services required of him in accordance with his obligations under Section 5 hereof for a period of more than one hundred twenty (120) days in the aggregate during any consecutive twelve (12) month period during the Employment Period.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Voluntary Termination</w:t>
      </w:r>
      <w:r>
        <w:rPr>
          <w:rFonts w:ascii="Times New Roman;Times;serif" w:hAnsi="Times New Roman;Times;serif"/>
          <w:sz w:val="20"/>
        </w:rPr>
        <w:t xml:space="preserve">.  Notwithstanding anything in this Agreement to the contrary, the Executive may, upon not less than ninety (90) days’ written notice, voluntarily terminate employment for any reason; </w:t>
      </w:r>
      <w:r>
        <w:rPr>
          <w:rFonts w:ascii="Times New Roman;Times;serif" w:hAnsi="Times New Roman;Times;serif"/>
          <w:sz w:val="20"/>
          <w:u w:val="single"/>
        </w:rPr>
        <w:t>provided</w:t>
      </w:r>
      <w:r>
        <w:rPr>
          <w:rFonts w:ascii="Times New Roman;Times;serif" w:hAnsi="Times New Roman;Times;serif"/>
          <w:sz w:val="20"/>
        </w:rPr>
        <w:t>, that, any termination by the Executive pursuant to Section 7(d) on account of Good Reason shall not be treated as a voluntary termination under this Section 7(b).</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Cause</w:t>
      </w:r>
      <w:r>
        <w:rPr>
          <w:rFonts w:ascii="Times New Roman;Times;serif" w:hAnsi="Times New Roman;Times;serif"/>
          <w:sz w:val="20"/>
        </w:rPr>
        <w:t>.  The Company may terminate the Executive’s employment for Cause.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Good Reason</w:t>
      </w:r>
      <w:r>
        <w:rPr>
          <w:rFonts w:ascii="Times New Roman;Times;serif" w:hAnsi="Times New Roman;Times;serif"/>
          <w:sz w:val="20"/>
        </w:rPr>
        <w:t>.  The Executive may terminate his employment for Good Reason.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Notice of Termination</w:t>
      </w:r>
      <w:r>
        <w:rPr>
          <w:rFonts w:ascii="Times New Roman;Times;serif" w:hAnsi="Times New Roman;Times;serif"/>
          <w:sz w:val="20"/>
        </w:rPr>
        <w:t>.  Any termination by the Company for Cause or by the Executive for Good Reason shall be communicated by Notice of Termination to the other party hereto given in accordance with Section 16(c). For purposes of this Agreement, a “</w:t>
      </w:r>
      <w:r>
        <w:rPr>
          <w:rFonts w:ascii="Times New Roman;Times;serif" w:hAnsi="Times New Roman;Times;serif"/>
          <w:b/>
          <w:i/>
          <w:sz w:val="20"/>
        </w:rPr>
        <w:t>Notice of Termination</w:t>
      </w:r>
      <w:r>
        <w:rPr>
          <w:rFonts w:ascii="Times New Roman;Times;serif" w:hAnsi="Times New Roman;Times;serif"/>
          <w:sz w:val="20"/>
        </w:rPr>
        <w:t>” 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termination date is other than the date of receipt of such notice, specifies the termination date of this Agreement (which date, in the event of a termination by the Company for Cause shall be not more than fifteen (15) days after the giving of such notice and, in the event of a termination by the Executive for Good Reason, shall be a date at least ten (10) days after delivery of such notice and the expiration of the thirty (30) day cure period and not later than sixty (60) days thereafter). The failure by the Company or the Executive to set forth in the Notice of Termination any fact or circumstance which constitutes or contributes to the showing of Cause or Good Reason, respectively, shall not waive any right of the Company or the Executive, hereunder or preclude the Company or the Executive from thereupon or thereafter respectively asserting such fact or circumstance in enforcing its or his respective rights hereunder.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Date of Termination</w:t>
      </w:r>
      <w:r>
        <w:rPr>
          <w:rFonts w:ascii="Times New Roman;Times;serif" w:hAnsi="Times New Roman;Times;serif"/>
          <w:sz w:val="20"/>
        </w:rPr>
        <w:t>.  For the purpose of this Agreement, the term “</w:t>
      </w:r>
      <w:r>
        <w:rPr>
          <w:rFonts w:ascii="Times New Roman;Times;serif" w:hAnsi="Times New Roman;Times;serif"/>
          <w:b/>
          <w:i/>
          <w:sz w:val="20"/>
        </w:rPr>
        <w:t>Date of Termination</w:t>
      </w:r>
      <w:r>
        <w:rPr>
          <w:rFonts w:ascii="Times New Roman;Times;serif" w:hAnsi="Times New Roman;Times;serif"/>
          <w:sz w:val="20"/>
        </w:rPr>
        <w:t>” means (i) in the case of a termination for which a Notice of Termination is required, the date of receipt of such Notice of Termination or, if later, the date specified therein, as the case may be and (ii) in all other cases, the actual date on which the Executive’s employment terminates during or at the end of the Employment Period.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8.    </w:t>
      </w:r>
      <w:r>
        <w:rPr>
          <w:rFonts w:ascii="Times New Roman;Times;serif" w:hAnsi="Times New Roman;Times;serif"/>
          <w:sz w:val="20"/>
          <w:u w:val="single"/>
        </w:rPr>
        <w:t>Obligations of the Company upon Termination</w:t>
      </w:r>
      <w:r>
        <w:rPr>
          <w:rFonts w:ascii="Times New Roman;Times;serif" w:hAnsi="Times New Roman;Times;serif"/>
          <w:sz w:val="20"/>
        </w:rPr>
        <w:t>.  Upon termination of this Agreement the Company shall have the following obligations: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Death</w:t>
      </w:r>
      <w:r>
        <w:rPr>
          <w:rFonts w:ascii="Times New Roman;Times;serif" w:hAnsi="Times New Roman;Times;serif"/>
          <w:sz w:val="20"/>
        </w:rPr>
        <w:t>.  If the Executive’s employment is terminated during the Employment Period by reason of the Executive’s death, the Company shall (i) continue to pay, in accordance with the Company’s normal payroll policy, to the Executive’s legal representative, the Executive’s full Base Salary for a period of one (1) year from the Date of Termination, (ii) provide the Executive’s family members with the benefits provided under Sections 6(d) and 6(f) of this Agreement for a period of one (1) year from the Date of Termination, (iii) pay to the Executive’s legal representatives any compensation (including any previously earned but unpaid annual Bonus as well as any earned and pro-rated Bonus for the year in which the Date of Termination occurs) previously deferred by the Executive and/or not yet paid by the Company, any accrued and unpaid vacation, pay, and all unreimbursed expenses, and (iv) pay to the Executive’s legal representatives any other amounts or benefits owing to the Executive’s beneficiaries under the then applicable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 benefit plans or policies of the Company, in accordance with the terms thereof (such amounts specified in clauses (iii) and (iv) are hereinafter referred to as the “</w:t>
      </w:r>
      <w:r>
        <w:rPr>
          <w:rFonts w:ascii="Times New Roman;Times;serif" w:hAnsi="Times New Roman;Times;serif"/>
          <w:b/>
          <w:i/>
          <w:sz w:val="20"/>
        </w:rPr>
        <w:t>Accrued Obligations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Disability</w:t>
      </w:r>
      <w:r>
        <w:rPr>
          <w:rFonts w:ascii="Times New Roman;Times;serif" w:hAnsi="Times New Roman;Times;serif"/>
          <w:sz w:val="20"/>
        </w:rPr>
        <w:t>.  If the Executive’s employment is terminated by reason of the Executive’s Disability, the Company shall (i) continue to pay, in accordance with the Company’s normal payroll policy, to the Executive or the Executive’s legal representatives, as applicable, the Executive’s full Base Salary for a period of one (1) year from the Date of Termination, (ii) provide the Executive and the Executive’s family members with the benefits provided under Sections 6(d) and 6(f) of this Agreement for a period of one (1) year from the Date of Termination, (iii) pay or provide to Executive, Executive’s legal representatives, and/or the Executive’s family members, each as applicable, all Accrued Obligations as of such Date of Termination.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Termination by the Company for Cause</w:t>
      </w:r>
      <w:r>
        <w:rPr>
          <w:rFonts w:ascii="Times New Roman;Times;serif" w:hAnsi="Times New Roman;Times;serif"/>
          <w:sz w:val="20"/>
        </w:rPr>
        <w:t>.  If, during the Employment Period, the Executive’s employment shall be terminated by the Company for Cause, the Company shall pay to the Executive the Accrued Obligations, other than any previously earned but unpaid annual Bonus or any earned or pro-rated Bonus for the year in which such Date of Termination occurs.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Voluntary Termination by the Executive</w:t>
      </w:r>
      <w:r>
        <w:rPr>
          <w:rFonts w:ascii="Times New Roman;Times;serif" w:hAnsi="Times New Roman;Times;serif"/>
          <w:sz w:val="20"/>
        </w:rPr>
        <w:t>.  If, during the Employment Period, the Executive’s employment shall be terminated by the Executive (other than on account of Good Reason), the Company shall pay to the Executive the Accrued Obligations.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Termination by the Company other than for Cause or Disability; Termination by the Executive for Good Reason</w:t>
      </w:r>
      <w:r>
        <w:rPr>
          <w:rFonts w:ascii="Times New Roman;Times;serif" w:hAnsi="Times New Roman;Times;serif"/>
          <w:sz w:val="20"/>
        </w:rPr>
        <w:t>.  At any time during the Employment Period, the Executive’s employment may be terminated by (i) the Company other than for Cause or Disability, which the Company shall be entitled to do at any time or (ii) the Executive for Good Reason (each as applicable, a “</w:t>
      </w:r>
      <w:r>
        <w:rPr>
          <w:rFonts w:ascii="Times New Roman;Times;serif" w:hAnsi="Times New Roman;Times;serif"/>
          <w:b/>
          <w:i/>
          <w:sz w:val="20"/>
        </w:rPr>
        <w:t>Qualifying Termination</w:t>
      </w:r>
      <w:r>
        <w:rPr>
          <w:rFonts w:ascii="Times New Roman;Times;serif" w:hAnsi="Times New Roman;Times;serif"/>
          <w:sz w:val="20"/>
        </w:rPr>
        <w:t>”), in which case, the Company shall pay or provide to the Executive the following, subject to the Executive’s and the Company’s execution and non-revocation of a mutually agreed and reasonable and standard severance agreement (which will include, among other things, a mutual release of all claims by the Executive and the Company against the other and the other’s affiliates) (the “</w:t>
      </w:r>
      <w:r>
        <w:rPr>
          <w:rFonts w:ascii="Times New Roman;Times;serif" w:hAnsi="Times New Roman;Times;serif"/>
          <w:b/>
          <w:i/>
          <w:sz w:val="20"/>
        </w:rPr>
        <w:t>Release</w:t>
      </w:r>
      <w:r>
        <w:rPr>
          <w:rFonts w:ascii="Times New Roman;Times;serif" w:hAnsi="Times New Roman;Times;serif"/>
          <w:sz w:val="20"/>
        </w:rPr>
        <w:t>”) within sixty (60) days following the Date of Termination: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(i)the Accrued Obligations;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(ii)twelve (12) months of the Executive’s Base Salary, at the rate in effect on the Date of Termination (the “</w:t>
      </w:r>
      <w:r>
        <w:rPr>
          <w:rFonts w:ascii="Times New Roman;Times;serif" w:hAnsi="Times New Roman;Times;serif"/>
          <w:b/>
          <w:i/>
          <w:sz w:val="20"/>
        </w:rPr>
        <w:t>Cash Severance Amount</w:t>
      </w:r>
      <w:r>
        <w:rPr>
          <w:rFonts w:ascii="Times New Roman;Times;serif" w:hAnsi="Times New Roman;Times;serif"/>
          <w:sz w:val="20"/>
        </w:rPr>
        <w:t>”), payable in substantially equal installments consistent with the Company’s payroll practices during the twelve (12) month period commencing on the second regularly scheduled payroll date after the effectiveness of the Release (such period, the “</w:t>
      </w:r>
      <w:r>
        <w:rPr>
          <w:rFonts w:ascii="Times New Roman;Times;serif" w:hAnsi="Times New Roman;Times;serif"/>
          <w:b/>
          <w:i/>
          <w:sz w:val="20"/>
        </w:rPr>
        <w:t>Severance Period</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(iii)for the period from the Date of Termination through the earlier of (a) the date which is twelve (12) months from the Date of Termination and (b) the date upon which the Executive and the Executive’s eligible dependents become covered under similar plans (as applicable, the “</w:t>
      </w:r>
      <w:r>
        <w:rPr>
          <w:rFonts w:ascii="Times New Roman;Times;serif" w:hAnsi="Times New Roman;Times;serif"/>
          <w:b/>
          <w:i/>
          <w:sz w:val="20"/>
        </w:rPr>
        <w:t>COBRA Coverage Expiration Date</w:t>
      </w:r>
      <w:r>
        <w:rPr>
          <w:rFonts w:ascii="Times New Roman;Times;serif" w:hAnsi="Times New Roman;Times;serif"/>
          <w:sz w:val="20"/>
        </w:rPr>
        <w:t xml:space="preserve">”), the Company shall provide to the Executive, his spouse or domestic partner and members of his immediate family, as the case may be, the benefits described in Section 6(d) on the same terms as described in Section 6(d), </w:t>
      </w:r>
      <w:r>
        <w:rPr>
          <w:rFonts w:ascii="Times New Roman;Times;serif" w:hAnsi="Times New Roman;Times;serif"/>
          <w:sz w:val="20"/>
          <w:u w:val="single"/>
        </w:rPr>
        <w:t>provided</w:t>
      </w:r>
      <w:r>
        <w:rPr>
          <w:rFonts w:ascii="Times New Roman;Times;serif" w:hAnsi="Times New Roman;Times;serif"/>
          <w:sz w:val="20"/>
        </w:rPr>
        <w:t>, that, the Executive validly elects to continue coverage under the Consolidated Omnibus Budget Reconciliation Act of 1985, as amended (COBRA); and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(iv)solely with respect to the restricted stock units granted to the Executive under the Initial Grant, such restricted stock units shall be subject to the provisions set forth on </w:t>
      </w:r>
      <w:r>
        <w:rPr>
          <w:rFonts w:ascii="Times New Roman;Times;serif" w:hAnsi="Times New Roman;Times;serif"/>
          <w:sz w:val="20"/>
          <w:u w:val="single"/>
        </w:rPr>
        <w:t>Schedule A</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Termination by the Company other than for Cause or Disability and Termination by the Executive for Good Reason during a Change in Control Period</w:t>
      </w:r>
      <w:r>
        <w:rPr>
          <w:rFonts w:ascii="Times New Roman;Times;serif" w:hAnsi="Times New Roman;Times;serif"/>
          <w:sz w:val="20"/>
        </w:rPr>
        <w:t>.  If a Qualifying Termination occurs during a Change in Control Period, the Company shall pay or provide to the Executive the entitlements described in Section 8(e) in the same manner contemplated by Section 8(e) except that (i) (a) the Cash Severance Amount and (b) the Severance Period shall each be increased by an additional six (6) months, (ii) the Executive shall receive one and one-half (1.5) times the Executive’s annual Bonus (payable in the same manner as the Cash Severance Amount set forth in clause (i)), and (iii) the COBRA Coverage Expiration Date shall be the earlier of (a) the date which is eighteen (18) months from the Date of Termination and (b) the date upon which the Executive and the Executive’s eligible dependents become covered under similar plans, in each case subject to the Executive’s and the Company’s execution and non-revocation of the Release within sixty (60) days following the Date of Termination.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Termination by the Company giving a Non-Renewal Notice</w:t>
      </w:r>
      <w:r>
        <w:rPr>
          <w:rFonts w:ascii="Times New Roman;Times;serif" w:hAnsi="Times New Roman;Times;serif"/>
          <w:sz w:val="20"/>
        </w:rPr>
        <w:t>.  At any time during the Employment Period, the Executive’s employment may be terminated at the end of the Employment Period by the Company giving a Non-Renewal Notice, which the Company shall be entitled to do at any time in accordance with Section 4. In the event the Executive’s employment is terminated by the Company giving a Non-Renewal Notice, the Company shall pay or provide to the Executive the entitlements described in Sections 8(e)(i), (ii) and (iii) in the same manner contemplated by Sections 8(e)(i), (ii) and (iii), such that (i) (a) the Cash Severance Amount and (b) the Severance Period shall each be determined for a twelve (12) month period and (ii) the COBRA Coverage Expiration Date shall be the earlier of (a) the date which is twelve (12) months from the Date of Termination and (b) the date upon which the Executive and the Executive’s eligible dependents become covered under similar plans, in each case subject to the Executive’s and the Company’s execution and non-revocation of the Release within sixty (60) days following the Date of Termination.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Discharge of the Company’s Obligations</w:t>
      </w:r>
      <w:r>
        <w:rPr>
          <w:rFonts w:ascii="Times New Roman;Times;serif" w:hAnsi="Times New Roman;Times;serif"/>
          <w:sz w:val="20"/>
        </w:rPr>
        <w:t>.  Subject to the performance of its obligations under Sections 8(e), 8(f) and 8(g), the Company shall have no further obligations to the Executive under this Agreement in respect of any termination by the Executive for Good Reason or by the Company (A) other than for Cause or Disability or (B) by giving a Non-Renewal Notice, except to the extent expressly provided under Sections 12 or 14 hereof or under any of the plans referred to in Sections 6(c) or 6(d) hereof.</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9.    </w:t>
      </w:r>
      <w:r>
        <w:rPr>
          <w:rFonts w:ascii="Times New Roman;Times;serif" w:hAnsi="Times New Roman;Times;serif"/>
          <w:sz w:val="20"/>
          <w:u w:val="single"/>
        </w:rPr>
        <w:t>Non-exclusivity of Rights</w:t>
      </w:r>
      <w:r>
        <w:rPr>
          <w:rFonts w:ascii="Times New Roman;Times;serif" w:hAnsi="Times New Roman;Times;serif"/>
          <w:sz w:val="20"/>
        </w:rPr>
        <w:t>.  Except as expressly provided herein, nothing in this Agreement shall prevent or limit the Executive’s future participation in any benefit, bonus, incentive or other plan or program provided by the Company or any of its affiliated companies and for which the Executive may qualify, nor shall anything herein limit or otherwise prejudice such rights as the Executive may have under any other agreements the Executive may execute with the Company or any of its affiliated companies. Amounts which are vested benefits or which the Executive is otherwise entitled to receive under any plan or program of the Company or any of its affiliated companies at or subsequent to the Date of Termination shall be payable in accordance with such plan or program.</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10.    </w:t>
      </w:r>
      <w:r>
        <w:rPr>
          <w:rFonts w:ascii="Times New Roman;Times;serif" w:hAnsi="Times New Roman;Times;serif"/>
          <w:sz w:val="20"/>
          <w:u w:val="single"/>
        </w:rPr>
        <w:t>280G</w:t>
      </w:r>
      <w:r>
        <w:rPr>
          <w:rFonts w:ascii="Times New Roman;Times;serif" w:hAnsi="Times New Roman;Times;serif"/>
          <w:sz w:val="20"/>
        </w:rPr>
        <w:t>.  Notwithstanding any provision of this Agreement to the contrary, if any amount or benefit to be paid or provided under this Agreement or otherwise would be an “Excess Parachute Payment,” within the meaning of Section 280G of the Code, but for the application of this sentence, then the payments and benefits to be paid or provided under this Agreement will either be (i) reduced to the minimum extent necessary (but in no event to less than zero) so that no portion of any such payment or benefit, as so reduced, constitutes an Excess Parachute Payment or (ii) delivered in full, whichever of the foregoing amounts, taking into account the applicable federal, state and local income and employment taxes and the excise tax (and any equivalent state of local excise taxes), results in the receipt by the Executive, on an after-tax basis, of the greatest amount of payment or benefits, notwithstanding that all or some portion of such payments or benefits may be subject to the excise tax. The fact that the Executive’s right to payments or benefits may be reduced by reason of the limitations contained in this Section 10 will not of itself limit or otherwise affect any other rights of the Executive other than pursuant to this Agreement. In the event that any payment or benefit intended to be provided under this Agreement or otherwise is required to be reduced pursuant to this Section 10, cash severance payable hereunder shall be reduced first, then other cash payments that qualify as Excess Parachute Payments payable to the Executive, then non-cash benefits shall be reduced, as determined by the Company.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11.    </w:t>
      </w:r>
      <w:r>
        <w:rPr>
          <w:rFonts w:ascii="Times New Roman;Times;serif" w:hAnsi="Times New Roman;Times;serif"/>
          <w:sz w:val="20"/>
          <w:u w:val="single"/>
        </w:rPr>
        <w:t>Full Settlement</w:t>
      </w:r>
      <w:r>
        <w:rPr>
          <w:rFonts w:ascii="Times New Roman;Times;serif" w:hAnsi="Times New Roman;Times;serif"/>
          <w:sz w:val="20"/>
        </w:rPr>
        <w:t>.  Except for the execution and delivery of any required Release or as provided in Section 8(e)(ii) or 8(f),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 whether by reason of the subsequent employment of the Executive or otherwise. In no event shall the Executive be obligated to seek other employment by way of mitigation of the amounts payable to the Executive under any of the provisions of this Agreement. In the event that the Executive shall in good faith give a Notice of Termination for Good Reason and it shall thereafter be determined that Good Reason did not take place, the employment of the Executive shall, unless the Company and the Executive shall otherwise mutually agree, be deemed to have terminated, at the date of giving such purported Notice of Termination, by mutual consent of the Company and the Executive and, except as provided in the last preceding sentence, the Executive shall be entitled to receive only those payments and benefits which he would have been entitled to receive at such date had he terminated his employment voluntarily at such date under this Agreement. In the event that the Company shall give a Notice of Termination for Cause and it shall thereafter be determined that Cause did not take place, exist or occur, the employment of the Executive shall, unless the Company and the Executive shall otherwise mutually agree, be deemed terminated under a Qualifying Termination and the Executive shall be entitled to receive those payments and benefits (with all such payments and benefits due but previously unpaid being made or provided within ten (10) days after such determination) which Executive would have been entitled to receive under Section 8(e) of this Agreement at the applicable Date of Termination.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12.    </w:t>
      </w:r>
      <w:r>
        <w:rPr>
          <w:rFonts w:ascii="Times New Roman;Times;serif" w:hAnsi="Times New Roman;Times;serif"/>
          <w:sz w:val="20"/>
          <w:u w:val="single"/>
        </w:rPr>
        <w:t>Legal Fees and Expenses</w:t>
      </w:r>
      <w:r>
        <w:rPr>
          <w:rFonts w:ascii="Times New Roman;Times;serif" w:hAnsi="Times New Roman;Times;serif"/>
          <w:sz w:val="20"/>
        </w:rPr>
        <w:t xml:space="preserve">.  In the event that a claim or payment or benefits under this Agreement is disputed, the Company shall pay all reasonable attorney fees and expenses incurred by the Executive in pursuing such claim, </w:t>
      </w:r>
      <w:r>
        <w:rPr>
          <w:rFonts w:ascii="Times New Roman;Times;serif" w:hAnsi="Times New Roman;Times;serif"/>
          <w:sz w:val="20"/>
          <w:u w:val="single"/>
        </w:rPr>
        <w:t>provided</w:t>
      </w:r>
      <w:r>
        <w:rPr>
          <w:rFonts w:ascii="Times New Roman;Times;serif" w:hAnsi="Times New Roman;Times;serif"/>
          <w:sz w:val="20"/>
        </w:rPr>
        <w:t>, that, the Executive is successful as to at least a reasonable part of the disputed claim by reason of arbitration (as set forth in Section 16(g)) or settlement.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13.    </w:t>
      </w:r>
      <w:r>
        <w:rPr>
          <w:rFonts w:ascii="Times New Roman;Times;serif" w:hAnsi="Times New Roman;Times;serif"/>
          <w:sz w:val="20"/>
          <w:u w:val="single"/>
        </w:rPr>
        <w:t>Other Obligations of the Executive</w:t>
      </w:r>
      <w:r>
        <w:rPr>
          <w:rFonts w:ascii="Times New Roman;Times;serif" w:hAnsi="Times New Roman;Times;serif"/>
          <w:sz w:val="20"/>
        </w:rPr>
        <w:t>.  The Executive acknowledges and agrees that except as otherwise set forth in this Agreement, all remaining terms and conditions of the Executive’s employment shall be in accordance with and subject to the Company’s Agreement to Arbitrate Disputes, Confidential Information, Invention and Original Works Assignment Agreement, and current Employee Handbook which describes the Executive’s responsibilities as well as numerous benefits to which the Executive may be entitled. The Executive is required to acknowledge receipt of the Employee Handbook and sign the Agreement to Arbitrate Disputes, the Confidential Information, Invention and Original Works Assignment Agreement, and other documents related to the Executive’s employment before the Executive begins work. The Executive is also required to sign the Company’s policies to include but not limited to the Company’s Code of Business Conduct and Ethics, Insider Trading Policy, Company Vehicle and Driver Safety Policy and Employee Code of Conduct, as well as acknowledge and acquaint himself with the Company’s Injury and Illness Prevention Program. To the extent of any conflict or inconsistency between the terms and conditions of this Agreement and the terms and conditions of the Confidential Information, Invention and Original Works Assignment Agreement (the “</w:t>
      </w:r>
      <w:r>
        <w:rPr>
          <w:rFonts w:ascii="Times New Roman;Times;serif" w:hAnsi="Times New Roman;Times;serif"/>
          <w:b/>
          <w:sz w:val="20"/>
        </w:rPr>
        <w:t>CIIOWAA</w:t>
      </w:r>
      <w:r>
        <w:rPr>
          <w:rFonts w:ascii="Times New Roman;Times;serif" w:hAnsi="Times New Roman;Times;serif"/>
          <w:sz w:val="20"/>
        </w:rPr>
        <w:t>”), the terms of this Agreement shall control and govern but only to the extent of such conflict or inconsistency. More particularly and provided Executive is in compliance with the provisions of Sections 5(i)(A) and 5(i)(B) of this Agreement, the parties acknowledge and agree that any information, work product or proceeds created or generated by Executive as part of or in connection with his Delicious AI Activities shall be exclusively retained by the Executive and/or Delicious AI, LLC, and shall not be covered by or subject to this Agreement or the CIIOWAA with none of the Company, MBC or their affiliates having or obtaining any interest therein. In addition, the Executive acknowledges and agrees to be bound by the following: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Confidential Information</w:t>
      </w:r>
      <w:r>
        <w:rPr>
          <w:rFonts w:ascii="Times New Roman;Times;serif" w:hAnsi="Times New Roman;Times;serif"/>
          <w:sz w:val="20"/>
        </w:rPr>
        <w:t>.  In accordance with and subject to the terms and conditions of the CIIOWAA, the Executive shall hold in a fiduciary capacity for the benefit of the Company all secret or confidential information, knowledge or data relating to the Company or any of its affiliated companies, and their respective businesses, obtained by the Executive during his employment by the Company or any of its affiliated companies (“</w:t>
      </w:r>
      <w:r>
        <w:rPr>
          <w:rFonts w:ascii="Times New Roman;Times;serif" w:hAnsi="Times New Roman;Times;serif"/>
          <w:b/>
          <w:i/>
          <w:sz w:val="20"/>
        </w:rPr>
        <w:t>Confidential Information</w:t>
      </w:r>
      <w:r>
        <w:rPr>
          <w:rFonts w:ascii="Times New Roman;Times;serif" w:hAnsi="Times New Roman;Times;serif"/>
          <w:sz w:val="20"/>
        </w:rPr>
        <w:t>”). Confidential Information shall not include any information that is in the public domain or becomes known in the public domain through no wrongful or other unauthorized act by the Executive. During and after the Employment Period, the Executive shall not without the prior written consent of the Company in each instance, unless compelled pursuant to an order of a court or other body having jurisdiction over such matter, communicate or divulge any such Confidential Information to anyone other than the Company and those designated by it. Without limiting the foregoing, the Executive expressly acknowledges and agrees that the Executive is prohibited from disclosing any Confidential Information to Delicious AI, LLC, and using or implicating any Confidential Information in connection with the Delicious AI Activities. The Executive is hereby notified in accordance with the Federal Defend Trade Secrets Act that the Executive will not be held criminally or civilly liable under any federal or state trade secret law for the disclosure of a trade secret that is made in confidence to a federal, state, or local government official, either directly or indirectly, or to an attorney in confidence solely for the purpose of reporting or investigating a suspected violation of law, or if the disclosure of a trade secret is made in a complaint or other document that is filed under seal in a lawsuit or other proceeding. If the Executive files a lawsuit for retaliation against the Company for reporting a suspected violation of law, the Executive may disclose the Company’s trade secrets to his attorney in confidence and use the trade secret information in the court proceeding if the Executive files any document containing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trade secret under seal and does not disclose the trade secret, except pursuant to court order. In no event shall an asserted violation of the provisions of this Section 13(a) constitute a basis for deferring or withholding any amounts otherwise payable to the Executive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Non-Solicitation</w:t>
      </w:r>
      <w:r>
        <w:rPr>
          <w:rFonts w:ascii="Times New Roman;Times;serif" w:hAnsi="Times New Roman;Times;serif"/>
          <w:sz w:val="20"/>
        </w:rPr>
        <w:t>.  During the Employment Period and the twenty four (24) month period following the Executive’s termination of employment for any reason, the Executive shall not (i) solicit, recruit or hire, or attempt to solicit, recruit or hire, any full-time or exclusive employees of the Company or persons who have exclusively worked for the Company during the twenty four (24) month period immediately preceding such solicitation, recruitment or hiring or attempt thereof or (ii) assist any person in any way to do, or attempt to do, any of the foregoing.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Remedies and Injunctive Relief</w:t>
      </w:r>
      <w:r>
        <w:rPr>
          <w:rFonts w:ascii="Times New Roman;Times;serif" w:hAnsi="Times New Roman;Times;serif"/>
          <w:sz w:val="20"/>
        </w:rPr>
        <w:t>.  The Executive acknowledges that a violation by the Executive of any of the covenants contained in this Section 13 would cause irreparable damage to the Company in an amount that would be material but not readily ascertainable, and that any remedy at law (including the payment of damages) would be inadequate. Accordingly, the Executive agrees that, notwithstanding any provision of this Agreement to the contrary, the Company may be entitled (without the necessity of showing economic loss or other actual damage and without the requirement to post bond) to injunctive relief (including temporary restraining orders, preliminary injunctions and/or permanent injunctions) in any court of competent jurisdiction for any actual or threatened breach of any of the covenants set forth in this Section 13 in addition to any other legal or equitable remedies it may have. The preceding sentence shall not be construed as a waiver of the rights that the Company may have for damages under this Agreement or otherwise, and all of the Company’s rights shall be unrestricted, and notwithstanding the fact that any such provision may be determined not to be subject to specific performance, the Company will nevertheless be entitled to seek to recover monetary damages as a result of the Executive’s breach of such provision.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Additional Acknowledgments</w:t>
      </w:r>
      <w:r>
        <w:rPr>
          <w:rFonts w:ascii="Times New Roman;Times;serif" w:hAnsi="Times New Roman;Times;serif"/>
          <w:sz w:val="20"/>
        </w:rPr>
        <w:t>.  The Executive acknowledges that the provisions of this Section 13 are in consideration of: (i) employment with the Company and (ii) additional good and valuable consideration as set forth in this Agreement. The Executive acknowledges that the Executive has carefully read this Agreement and consulted with legal counsel of the Executive’s choosing regarding its contents, has given careful consideration to the restraints imposed upon the Executive by this Agreement and is in full accord as to their necessity for the reasonable and proper protection of confidential and proprietary information of the Company and its affiliated companies now existing or to be developed in the future.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14.    </w:t>
      </w:r>
      <w:r>
        <w:rPr>
          <w:rFonts w:ascii="Times New Roman;Times;serif" w:hAnsi="Times New Roman;Times;serif"/>
          <w:sz w:val="20"/>
          <w:u w:val="single"/>
        </w:rPr>
        <w:t>Successors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This Agreement shall inure to the benefit of and be binding upon the Company and its successors. The Company shall require any successor to all or substantially all of the business and/or assets of the Company, whether direct or indirect, by purchase, merger, consolidation, acquisition of stock, or otherwise, by an agreement in form and substance satisfactory to the Executive, expressly to assume and agree to perform this Agreement in the same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manner and to the same extent as the Company would be required to perform if no such succession had taken place. For purposes of this Section 14(b), the term “Company” shall include the Company and MBC.</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15.    </w:t>
      </w:r>
      <w:r>
        <w:rPr>
          <w:rFonts w:ascii="Times New Roman;Times;serif" w:hAnsi="Times New Roman;Times;serif"/>
          <w:sz w:val="20"/>
          <w:u w:val="single"/>
        </w:rPr>
        <w:t>Section 409A</w:t>
      </w:r>
      <w:r>
        <w:rPr>
          <w:rFonts w:ascii="Times New Roman;Times;serif" w:hAnsi="Times New Roman;Times;serif"/>
          <w:sz w:val="20"/>
        </w:rPr>
        <w:t>.  This Agreement shall be interpreted and administered in compliance with Section 409A of the Code. Any term used in this Agreement which is defined in Code Section 409A or the regulations promulgated thereunder (the “</w:t>
      </w:r>
      <w:r>
        <w:rPr>
          <w:rFonts w:ascii="Times New Roman;Times;serif" w:hAnsi="Times New Roman;Times;serif"/>
          <w:b/>
          <w:i/>
          <w:sz w:val="20"/>
        </w:rPr>
        <w:t>Regulations</w:t>
      </w:r>
      <w:r>
        <w:rPr>
          <w:rFonts w:ascii="Times New Roman;Times;serif" w:hAnsi="Times New Roman;Times;serif"/>
          <w:sz w:val="20"/>
        </w:rPr>
        <w:t xml:space="preserve">”) shall have the meaning set forth therein unless otherwise specifically defined herein. Any obligations under this Agreement that arise in connection with the Executive’s “termination of employment,” “termination” or other similar references shall only be triggered if the termination of employment or termination qualifies as a “separation from service” within the meaning of §1.409A-1(h) of the Regulations. Each installment payment hereunder shall be deemed to be a separate payment for purposes of Code Section 409A. Notwithstanding any other provision of this Agreement, (i) if at the time of the termination of the Executive’s employment, the Executive is a “specified employee,” as defined in Section 409A or the Regulations, and any payments upon such termination under this Agreement hereof will result in additional tax or interest to the Executive under Code Section 409A, the Executive will not be entitled to receive such payments until the date which is six (6) months after the termination of the Executive’s employment for any reason, other than as a result of the Executive’s death or disability (as such term is defined in Code Section 409A or the Regulations) and (ii) to the extent any review and revocation period with respect to a release of claims begins in one calendar year and ends in a second calendar year, no payment (or payments) which may become due and payable pursuant to this Agreement shall begin to be paid by the Company (or its applicable assignee or delegee) until the second calendar year. In addition, if any provision of this Agreement would subject the Executive to any additional tax or interest under Code Section 409A, then the Company shall reform such provision; </w:t>
      </w:r>
      <w:r>
        <w:rPr>
          <w:rFonts w:ascii="Times New Roman;Times;serif" w:hAnsi="Times New Roman;Times;serif"/>
          <w:sz w:val="20"/>
          <w:u w:val="single"/>
        </w:rPr>
        <w:t>provided</w:t>
      </w:r>
      <w:r>
        <w:rPr>
          <w:rFonts w:ascii="Times New Roman;Times;serif" w:hAnsi="Times New Roman;Times;serif"/>
          <w:sz w:val="20"/>
        </w:rPr>
        <w:t>, that, the Company shall (x) maintain, to the maximum extent practicable, the original intent of the applicable provision without subjecting the Executive to such additional tax or interest and (y) not incur any additional compensation expense as a result of such reformation.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16.    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Applicable Law</w:t>
      </w:r>
      <w:r>
        <w:rPr>
          <w:rFonts w:ascii="Times New Roman;Times;serif" w:hAnsi="Times New Roman;Times;serif"/>
          <w:sz w:val="20"/>
        </w:rPr>
        <w:t>.  This Agreement shall be governed by and construed in accordance with the laws of the State of California, applied without reference to principles of conflict of laws.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Amendments</w:t>
      </w:r>
      <w:r>
        <w:rPr>
          <w:rFonts w:ascii="Times New Roman;Times;serif" w:hAnsi="Times New Roman;Times;serif"/>
          <w:sz w:val="20"/>
        </w:rPr>
        <w:t>.  This Agreement may not be amended or modified otherwise than by a written agreement executed by the parties hereto or their respective successors and legal representatives.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Notices</w:t>
      </w:r>
      <w:r>
        <w:rPr>
          <w:rFonts w:ascii="Times New Roman;Times;serif" w:hAnsi="Times New Roman;Times;serif"/>
          <w:sz w:val="20"/>
        </w:rPr>
        <w:t>.  All notices and other communications hereunder shall be in writing and shall be given by hand-delivery to the other party or by registered or certified mail, return receipt requested, postage prepaid, addressed as follows: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u w:val="single"/>
        </w:rPr>
        <w:t>If to the Executive</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At the address shown on the records of the Company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u w:val="single"/>
        </w:rPr>
        <w:t>If to the Company</w:t>
      </w:r>
      <w:r>
        <w:rPr>
          <w:rFonts w:ascii="Times New Roman;Times;serif" w:hAnsi="Times New Roman;Times;serif"/>
          <w:sz w:val="20"/>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Monster Energy Company</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Corona, California 92879</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Attention: Executive Vice President and General Counsel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to such other address as either party shall have furnished to the other in writing in accordance herewith. Notice and communications shall be effective when actually received by the addressee.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Tax Withholding</w:t>
      </w:r>
      <w:r>
        <w:rPr>
          <w:rFonts w:ascii="Times New Roman;Times;serif" w:hAnsi="Times New Roman;Times;serif"/>
          <w:sz w:val="20"/>
        </w:rPr>
        <w:t>.  The Company may withhold from any amounts payable under this Agreement such federal, state or local taxes as shall be required to be withheld pursuant to any applicable law or regulation.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Severability</w:t>
      </w:r>
      <w:r>
        <w:rPr>
          <w:rFonts w:ascii="Times New Roman;Times;serif" w:hAnsi="Times New Roman;Times;serif"/>
          <w:sz w:val="20"/>
        </w:rPr>
        <w:t>.  The invalidity or unenforceability of any provision of this Agreement shall not affect the validity or enforceability of any other provision of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Captions</w:t>
      </w:r>
      <w:r>
        <w:rPr>
          <w:rFonts w:ascii="Times New Roman;Times;serif" w:hAnsi="Times New Roman;Times;serif"/>
          <w:sz w:val="20"/>
        </w:rPr>
        <w:t>.  The captions of this Agreement are not part of the provisions hereof and shall have no force or effect.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Arbitration</w:t>
      </w:r>
      <w:r>
        <w:rPr>
          <w:rFonts w:ascii="Times New Roman;Times;serif" w:hAnsi="Times New Roman;Times;serif"/>
          <w:sz w:val="20"/>
        </w:rPr>
        <w:t>.  Except with respect to the rights of the Company to apply to a court of law or equity for equitable relief in the event of the breach by the Executive of any of the provisions of Section 13 of this Agreement, or as may be otherwise required by law, any controversy or claim arising out of or relating to the Executive’s employment with the Company or any agents of the Company shall be settled by arbitration administered by the JAMS’ rules for the resolution of employment disputes in Orange County, California, and judgment upon the award rendered by the arbitrator may be entered by any court having jurisdiction thereof. The applicable JAMS’ rules may be viewed on line at http://www.jamsadr.com/rules-employment-arbitration. In the spirit of expeditious and efficient resolution of any disputes, the Executive and the Company also agree that any dispute between the parties shall be resolved without the inclusion of any other employees or third parties included as parties to the arbitration proceeding, be it as individuals, as part of a collective action, or as part of a representative class, unless both the Executive and the Company agree to such consolidation after a dispute has arisen. If any part of this paragraph is deemed unenforceable the Executive and the Company further agree that it may be severed without affecting the other terms of this Agreement, including the requirement to arbitrate all disputes.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Entire Agreement</w:t>
      </w:r>
      <w:r>
        <w:rPr>
          <w:rFonts w:ascii="Times New Roman;Times;serif" w:hAnsi="Times New Roman;Times;serif"/>
          <w:sz w:val="20"/>
        </w:rPr>
        <w:t>.  This Agreement, together with the agreements expressly referenced herein, contains the entire agreement between the parties with respect to the subject matter hereof, supersedes the Original Employment Agreement and there are no agreements, understandings, representations or warranties between the parties other than those set forth or referred to herein.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 Signature page follows</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 WITNESS WHEREOF, the Executive has hereunto set his hand and the Company has caused this Agreement to be executed in its name on its behalf, all as of the day and year first above written.</w:t>
      </w:r>
    </w:p>
    <w:tbl>
      <w:tblPr>
        <w:tblW w:w="3034" w:type="dxa"/>
        <w:jc w:val="right"/>
        <w:tblInd w:w="0" w:type="dxa"/>
        <w:tblLayout w:type="fixed"/>
        <w:tblCellMar>
          <w:top w:w="0" w:type="dxa"/>
          <w:left w:w="0" w:type="dxa"/>
          <w:bottom w:w="0" w:type="dxa"/>
          <w:right w:w="0" w:type="dxa"/>
        </w:tblCellMar>
      </w:tblPr>
      <w:tblGrid>
        <w:gridCol w:w="124"/>
        <w:gridCol w:w="679"/>
        <w:gridCol w:w="2231"/>
      </w:tblGrid>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Schlosberg</w:t>
            </w:r>
          </w:p>
        </w:tc>
      </w:tr>
      <w:tr>
        <w:trPr/>
        <w:tc>
          <w:tcPr>
            <w:tcW w:w="124"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2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24"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 Gehring</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 Gehring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Employment Agreement]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817" w:name="mnst-20251231xex10d27.htm"/>
      <w:bookmarkStart w:id="1818" w:name="ksmnst20251231xex10d27"/>
      <w:bookmarkEnd w:id="1817"/>
      <w:bookmarkEnd w:id="1818"/>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10.27</w:t>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MONSTER BEVERAGE CORPORATION</w:t>
      </w:r>
    </w:p>
    <w:p>
      <w:pPr>
        <w:pStyle w:val="HorizontalLine"/>
        <w:pBdr>
          <w:bottom w:val="single" w:sz="6" w:space="0" w:color="000000"/>
        </w:pBdr>
        <w:bidi w:val="0"/>
        <w:spacing w:before="0" w:after="120"/>
        <w:ind w:left="3317" w:right="3317" w:hanging="0"/>
        <w:jc w:val="left"/>
        <w:rPr/>
      </w:pPr>
      <w:r>
        <w:rPr/>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EXECUTIVE SEVERANCE PLAN</w:t>
      </w:r>
    </w:p>
    <w:p>
      <w:pPr>
        <w:pStyle w:val="HorizontalLine"/>
        <w:pBdr>
          <w:bottom w:val="single" w:sz="6" w:space="0" w:color="000000"/>
        </w:pBdr>
        <w:bidi w:val="0"/>
        <w:spacing w:before="0" w:after="120"/>
        <w:ind w:left="3317" w:right="3317" w:hanging="0"/>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Establishment; Purpose</w:t>
      </w:r>
      <w:r>
        <w:rPr>
          <w:rFonts w:ascii="Times New Roman;Times;serif" w:hAnsi="Times New Roman;Times;serif"/>
          <w:sz w:val="20"/>
        </w:rPr>
        <w:t>. Monster Beverage Corporation, a Delaware corporation (the “</w:t>
      </w:r>
      <w:r>
        <w:rPr>
          <w:rFonts w:ascii="Times New Roman;Times;serif" w:hAnsi="Times New Roman;Times;serif"/>
          <w:b/>
          <w:sz w:val="20"/>
        </w:rPr>
        <w:t>Company</w:t>
      </w:r>
      <w:r>
        <w:rPr>
          <w:rFonts w:ascii="Times New Roman;Times;serif" w:hAnsi="Times New Roman;Times;serif"/>
          <w:sz w:val="20"/>
        </w:rPr>
        <w:t>”), hereby establishes and adopts the Monster Beverage Corporation Executive Severance Plan (the “</w:t>
      </w:r>
      <w:r>
        <w:rPr>
          <w:rFonts w:ascii="Times New Roman;Times;serif" w:hAnsi="Times New Roman;Times;serif"/>
          <w:b/>
          <w:sz w:val="20"/>
        </w:rPr>
        <w:t>Plan</w:t>
      </w:r>
      <w:r>
        <w:rPr>
          <w:rFonts w:ascii="Times New Roman;Times;serif" w:hAnsi="Times New Roman;Times;serif"/>
          <w:sz w:val="20"/>
        </w:rPr>
        <w:t>”) to provide severance pay and benefits to eligible officers and management employees who are Eligible Employees (as defined below) and whose employment is terminated on or after February 25, 2026 (the “</w:t>
      </w:r>
      <w:r>
        <w:rPr>
          <w:rFonts w:ascii="Times New Roman;Times;serif" w:hAnsi="Times New Roman;Times;serif"/>
          <w:b/>
          <w:sz w:val="20"/>
        </w:rPr>
        <w:t>Effective Date</w:t>
      </w:r>
      <w:r>
        <w:rPr>
          <w:rFonts w:ascii="Times New Roman;Times;serif" w:hAnsi="Times New Roman;Times;serif"/>
          <w:sz w:val="20"/>
        </w:rPr>
        <w:t>”), as provided for herein. The Plan is intended to be maintained primarily for the purpose of providing benefits for a select group of management or highly compensated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Definitions</w:t>
      </w:r>
      <w:r>
        <w:rPr>
          <w:rFonts w:ascii="Times New Roman;Times;serif" w:hAnsi="Times New Roman;Times;serif"/>
          <w:sz w:val="20"/>
        </w:rPr>
        <w:t>. For purposes of the Plan, capitalized terms used in this Plan shall have the meanings set forth in this Section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Accrued Amounts</w:t>
      </w:r>
      <w:r>
        <w:rPr>
          <w:rFonts w:ascii="Times New Roman;Times;serif" w:hAnsi="Times New Roman;Times;serif"/>
          <w:sz w:val="20"/>
        </w:rPr>
        <w:t>” means: (i) all accrued and unpaid Base Salary through the Date of Termination, which shall be paid as soon as practicable following the Date of Termination, but in any event before the earlier to occur of (A) the payment date required by applicable law and (B) March 15 of the year immediately following the year in which the Date of Termination occurs; (ii) reimbursement for all incurred but unreimbursed expenses for which an Eligible Employee is entitled to reimbursement in accordance with the expense reimbursement policies of the Company in effect as of the Date of Termination; and (iii) benefits to which an Eligible Employee may be entitled pursuant to the terms of any plan or policy sponsored by the Company or any of its Affiliates as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Affiliate</w:t>
      </w:r>
      <w:r>
        <w:rPr>
          <w:rFonts w:ascii="Times New Roman;Times;serif" w:hAnsi="Times New Roman;Times;serif"/>
          <w:sz w:val="20"/>
        </w:rPr>
        <w:t>” means any entity that is controlled by, controlling, or under common control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Annual Bonus</w:t>
      </w:r>
      <w:r>
        <w:rPr>
          <w:rFonts w:ascii="Times New Roman;Times;serif" w:hAnsi="Times New Roman;Times;serif"/>
          <w:sz w:val="20"/>
        </w:rPr>
        <w:t xml:space="preserve">” means, with respect to an Eligible Employee, the bonus paid to such Eligible Employee for the calendar year immediately preceding the Eligible Employee’s Date of Termination;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if the Eligible Employee is eligible to receive a target annual bonus for the fiscal year in which the Date of Termination occurs, the “Annual Bonus” shall instead mean, (i) in the case of a Qualifying Termination outside of the Change in Control Period, the actual annual bonus that the Eligible Employee would have earned in the fiscal year in which the Qualifying Termination occurs based on actual performance results for the full performance period, determined as if the Eligible Employee’s employment had not terminated prior to the end of such period, or (ii) in the case of a Qualifying Termination during the Change in Control Period, the annual bonus the Eligible Employee would have earned at target level for the fiscal year in which the Qualifying Termination occurs, in each case, calculated in accordance with the applicable bonus plan or program and the Company’s standard practices for similarly situated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Base Salary</w:t>
      </w:r>
      <w:r>
        <w:rPr>
          <w:rFonts w:ascii="Times New Roman;Times;serif" w:hAnsi="Times New Roman;Times;serif"/>
          <w:sz w:val="20"/>
        </w:rPr>
        <w:t>” means the amount an Eligible Employee is entitled to receive as base salary on an annualized basis, calculated as of the Date of Termination (without giving effect to any reduction forming the basis for a resignation for Good Reason), including any</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amounts electively deferred under any employee benefit plan maintained by the Company, but excluding all bonuses, equity awards, incentive compensation, and fringe benefits payable by the Company as consideration for an Eligible Employee’s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Board</w:t>
      </w:r>
      <w:r>
        <w:rPr>
          <w:rFonts w:ascii="Times New Roman;Times;serif" w:hAnsi="Times New Roman;Times;serif"/>
          <w:sz w:val="20"/>
        </w:rPr>
        <w:t>” means the Board of Directors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w:t>
      </w:r>
      <w:r>
        <w:rPr>
          <w:rFonts w:ascii="Times New Roman;Times;serif" w:hAnsi="Times New Roman;Times;serif"/>
          <w:b/>
          <w:sz w:val="20"/>
        </w:rPr>
        <w:t>Cause</w:t>
      </w:r>
      <w:r>
        <w:rPr>
          <w:rFonts w:ascii="Times New Roman;Times;serif" w:hAnsi="Times New Roman;Times;serif"/>
          <w:sz w:val="20"/>
        </w:rPr>
        <w:t>” means, with respect to an Eligible Employee’s termination of employment from the Company Group, the occurrence of any of the following events: (i) any member of the Company Group having “cause” to terminate an Eligible Employee’s employment or service, as defined in any employment agreement, offer letter or similar services agreement in effect between the Company or any other member of the Company Group and the Eligible Employee at the time of the Date of Termination, or (ii) in the absence of any such employment agreement, offer letter or similar services agreement (or the absence of any definition of “Cause” contained therein), “Cause” shall mean, as determined by the Committee, the Eligible Employee’s (A) act(s) of fraud or dishonesty, (B) knowing and material failure to comply with applicable laws or regulations or satisfactorily perform Eligible Employee’s services, (C) insubordination or (D) drug or alcohol abuse.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w:t>
      </w:r>
      <w:r>
        <w:rPr>
          <w:rFonts w:ascii="Times New Roman;Times;serif" w:hAnsi="Times New Roman;Times;serif"/>
          <w:b/>
          <w:sz w:val="20"/>
        </w:rPr>
        <w:t>Change in Control</w:t>
      </w:r>
      <w:r>
        <w:rPr>
          <w:rFonts w:ascii="Times New Roman;Times;serif" w:hAnsi="Times New Roman;Times;serif"/>
          <w:sz w:val="20"/>
        </w:rPr>
        <w:t>” means the occurrence of any of the following events: (i) sale of all or substantially all of the assets of the Company and its subsidiaries taken as a whole; (ii) any Person or group of Persons is or shall become the “beneficial owner” (as defined in Rule 13(d)-3 and 13(d)-5 under the Exchange Act), directly or indirectly, of more than fifty percent (50%) of the voting stock of the Company then outstanding; or (iii) a merger or consolidation pursuant to which any Person or group of Persons becomes the “beneficial owner” (as defined in clause (ii) above) of more than fifty percent (50%) of the voting stock of the Company or the surviving or resulting entity immediately following the consummation of such transaction. Notwithstanding anything herein to the contrary, in any circumstance in which the definition of “Change in Control” under this Plan would otherwise be operative and with respect to which the additional tax under Section 409A of the Code would apply or be imposed, but where such tax would not apply or be imposed if the meaning of the term “Change in Control” met the requirements of Section 409A(a)(2)(A)(v) of the Code, then the term “Change in Control” herein shall mean, but only for the transaction, event or circumstance so affected and the item of income with respect to which the additional tax under Section 409A of the Code would otherwise be imposed, a transaction, event or circumstance that is both (x) described in the preceding provisions of this definition, and (y) a “change in control event” within the meaning of Treasury Regulations Section 1.409A-3(i)(5).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t>
      </w:r>
      <w:r>
        <w:rPr>
          <w:rFonts w:ascii="Times New Roman;Times;serif" w:hAnsi="Times New Roman;Times;serif"/>
          <w:b/>
          <w:sz w:val="20"/>
        </w:rPr>
        <w:t>Change in Control Period</w:t>
      </w:r>
      <w:r>
        <w:rPr>
          <w:rFonts w:ascii="Times New Roman;Times;serif" w:hAnsi="Times New Roman;Times;serif"/>
          <w:sz w:val="20"/>
        </w:rPr>
        <w:t>” shall mean the period beginning on the date of a Change in Control and ending twenty-four (24) months following such Change in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t>
      </w:r>
      <w:r>
        <w:rPr>
          <w:rFonts w:ascii="Times New Roman;Times;serif" w:hAnsi="Times New Roman;Times;serif"/>
          <w:b/>
          <w:sz w:val="20"/>
        </w:rPr>
        <w:t>COBRA</w:t>
      </w:r>
      <w:r>
        <w:rPr>
          <w:rFonts w:ascii="Times New Roman;Times;serif" w:hAnsi="Times New Roman;Times;serif"/>
          <w:sz w:val="20"/>
        </w:rPr>
        <w:t>” means the Consolidated Omnibus Budget Reconciliation Act of 1985,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w:t>
      </w:r>
      <w:r>
        <w:rPr>
          <w:rFonts w:ascii="Times New Roman;Times;serif" w:hAnsi="Times New Roman;Times;serif"/>
          <w:b/>
          <w:sz w:val="20"/>
        </w:rPr>
        <w:t>Code</w:t>
      </w:r>
      <w:r>
        <w:rPr>
          <w:rFonts w:ascii="Times New Roman;Times;serif" w:hAnsi="Times New Roman;Times;serif"/>
          <w:sz w:val="20"/>
        </w:rPr>
        <w:t>” means the U.S. Internal Revenue Code of 1986, as amended from time to time. Any reference to any section of the Code shall also be a reference to any successor provision and any guidance and treasury regulation promulgated thereunder.</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w:t>
      </w:r>
      <w:r>
        <w:rPr>
          <w:rFonts w:ascii="Times New Roman;Times;serif" w:hAnsi="Times New Roman;Times;serif"/>
          <w:b/>
          <w:sz w:val="20"/>
        </w:rPr>
        <w:t>Committee</w:t>
      </w:r>
      <w:r>
        <w:rPr>
          <w:rFonts w:ascii="Times New Roman;Times;serif" w:hAnsi="Times New Roman;Times;serif"/>
          <w:sz w:val="20"/>
        </w:rPr>
        <w:t>” means the Compensation Committee of the Board, a subcommittee thereof formed by the Compensation Committee of the Board to act as the Committee hereunder, or such other committee designated by the Board to administer the Plan. If no committee is duly authorized by the Board to administer the Plan, the term “Committee” shall be deemed to refer to the Board for all purposes under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w:t>
      </w:r>
      <w:r>
        <w:rPr>
          <w:rFonts w:ascii="Times New Roman;Times;serif" w:hAnsi="Times New Roman;Times;serif"/>
          <w:b/>
          <w:sz w:val="20"/>
        </w:rPr>
        <w:t>Company Group</w:t>
      </w:r>
      <w:r>
        <w:rPr>
          <w:rFonts w:ascii="Times New Roman;Times;serif" w:hAnsi="Times New Roman;Times;serif"/>
          <w:sz w:val="20"/>
        </w:rPr>
        <w:t>” means the Company and each of its direct and indirect past, present and future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w:t>
      </w:r>
      <w:r>
        <w:rPr>
          <w:rFonts w:ascii="Times New Roman;Times;serif" w:hAnsi="Times New Roman;Times;serif"/>
          <w:b/>
          <w:sz w:val="20"/>
        </w:rPr>
        <w:t>Date of Termination</w:t>
      </w:r>
      <w:r>
        <w:rPr>
          <w:rFonts w:ascii="Times New Roman;Times;serif" w:hAnsi="Times New Roman;Times;serif"/>
          <w:sz w:val="20"/>
        </w:rPr>
        <w:t>” means the effective date of the termination of an Eligible Employee’s employment or service with the Company or any of its Affiliates, as applicable, such that the Eligible Employee is no longer employed by any member of the Company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w:t>
      </w:r>
      <w:r>
        <w:rPr>
          <w:rFonts w:ascii="Times New Roman;Times;serif" w:hAnsi="Times New Roman;Times;serif"/>
          <w:b/>
          <w:sz w:val="20"/>
        </w:rPr>
        <w:t>Disability</w:t>
      </w:r>
      <w:r>
        <w:rPr>
          <w:rFonts w:ascii="Times New Roman;Times;serif" w:hAnsi="Times New Roman;Times;serif"/>
          <w:sz w:val="20"/>
        </w:rPr>
        <w:t>” means, with respect to an Eligible Employee’s Date of Termination, any disability which would entitle the Eligible Employee to receive full long-term disability benefits under the Company’s long-term disability plan, or if no such plan shall then be in effect, any physical or mental disability or incapacity which renders the Eligible Employee incapable of performing the Eligible Employee’s duties for a period of one hundred twenty (120) days during any twelve (12) month period, as determined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w:t>
      </w:r>
      <w:r>
        <w:rPr>
          <w:rFonts w:ascii="Times New Roman;Times;serif" w:hAnsi="Times New Roman;Times;serif"/>
          <w:b/>
          <w:sz w:val="20"/>
        </w:rPr>
        <w:t>Eligible Employee</w:t>
      </w:r>
      <w:r>
        <w:rPr>
          <w:rFonts w:ascii="Times New Roman;Times;serif" w:hAnsi="Times New Roman;Times;serif"/>
          <w:sz w:val="20"/>
        </w:rPr>
        <w:t xml:space="preserve">” means any employee of any member of the Company Group who (i) is selected by the Committee in its sole discretion to participate in the Plan from time to time, and (ii) is not a party to an employment or similar agreement (excluding, for the avoidance of doubt, at-will offer letters) with any member of the Company Group pursuant to which such employee is eligible for severance payments or benefits. Eligible Employees shall be set forth on </w:t>
      </w:r>
      <w:r>
        <w:rPr>
          <w:rFonts w:ascii="Times New Roman;Times;serif" w:hAnsi="Times New Roman;Times;serif"/>
          <w:sz w:val="20"/>
          <w:u w:val="single"/>
        </w:rPr>
        <w:t>Exhibit A</w:t>
      </w:r>
      <w:r>
        <w:rPr>
          <w:rFonts w:ascii="Times New Roman;Times;serif" w:hAnsi="Times New Roman;Times;serif"/>
          <w:sz w:val="20"/>
        </w:rPr>
        <w:t xml:space="preserve"> attached hereto, which such exhibit may be amended by the Committee from time to time. The Committee shall have the sole discretion to determine whether an employee is or remains an Eligible Employee. Eligible Employee shall be limited to a select group of management or highly compensated employees within the meaning of Sections 201, 301 and 401 of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w:t>
      </w:r>
      <w:r>
        <w:rPr>
          <w:rFonts w:ascii="Times New Roman;Times;serif" w:hAnsi="Times New Roman;Times;serif"/>
          <w:b/>
          <w:sz w:val="20"/>
        </w:rPr>
        <w:t>ERISA</w:t>
      </w:r>
      <w:r>
        <w:rPr>
          <w:rFonts w:ascii="Times New Roman;Times;serif" w:hAnsi="Times New Roman;Times;serif"/>
          <w:sz w:val="20"/>
        </w:rPr>
        <w:t>” means the Employee Retirement Income Security Act of 1974,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rPr>
        <w:t>“</w:t>
      </w:r>
      <w:r>
        <w:rPr>
          <w:rFonts w:ascii="Times New Roman;Times;serif" w:hAnsi="Times New Roman;Times;serif"/>
          <w:b/>
          <w:sz w:val="20"/>
        </w:rPr>
        <w:t>Exchange Act</w:t>
      </w:r>
      <w:r>
        <w:rPr>
          <w:rFonts w:ascii="Times New Roman;Times;serif" w:hAnsi="Times New Roman;Times;serif"/>
          <w:sz w:val="20"/>
        </w:rPr>
        <w:t>” means the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w:t>
      </w:r>
      <w:r>
        <w:rPr>
          <w:rFonts w:ascii="Times New Roman;Times;serif" w:hAnsi="Times New Roman;Times;serif"/>
          <w:b/>
          <w:sz w:val="20"/>
        </w:rPr>
        <w:t>Good Reason</w:t>
      </w:r>
      <w:r>
        <w:rPr>
          <w:rFonts w:ascii="Times New Roman;Times;serif" w:hAnsi="Times New Roman;Times;serif"/>
          <w:sz w:val="20"/>
        </w:rPr>
        <w:t>” means, with respect to an Eligible Employee’s termination of employment from the Company Group, the occurrence of any of the following events without the written consent of an Eligible Employee: (i) in the case where there is an employment agreement, offer letter or similar agreement in effect between the Company or any other member of the Company Group and the Eligible Employee at the time of the Date of Termination that defines “good reason” (or words of like import), “good reason” as defined under such agreement,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or (ii) in the absence of any such employment agreement, offer letter or similar services agreement (or the absence of any definition of “Good Reason” contained therein), “Good Reason” shall mean (A) a material diminution in an Eligible Employee’s duties and responsibilities; (B) a material decrease in an Eligible Employee’s Base Salary other than a decrease in Base Salary that affects similarly situated employees; or (C) a relocation of an Eligible Employee’s primary work location more than thirty (30) miles from such Eligible Employee’s primary work location; </w:t>
      </w:r>
      <w:r>
        <w:rPr>
          <w:rFonts w:ascii="Times New Roman;Times;serif" w:hAnsi="Times New Roman;Times;serif"/>
          <w:sz w:val="20"/>
          <w:u w:val="single"/>
        </w:rPr>
        <w:t>provided</w:t>
      </w:r>
      <w:r>
        <w:rPr>
          <w:rFonts w:ascii="Times New Roman;Times;serif" w:hAnsi="Times New Roman;Times;serif"/>
          <w:sz w:val="20"/>
        </w:rPr>
        <w:t xml:space="preserve"> that, within thirty (30) days following the occurrence of any of the events set forth herein, an Eligible Employee shall have delivered written notice to the Company of such Eligible Employee’s intention to terminate such Eligible Employee’s employment or service for Good Reason, and the Company shall not have cured such circumstances within thirty (30) days following the Company’s receipt of such notice.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foregoing, any assertion by an Eligible Employee of a termination for Good Reason shall not be effective unless all of the following conditions are satisfied: (1) the Eligible Employee must provide written notice to the Committee of the existence of such condition(s) within thirty (30) days after the initial occurrence of such condition(s); (2) the condition(s) specified in such notice must remain uncorrected for thirty (30) days following the Committee’s receipt of such written notice; and (3) the date of the Eligible Employee’s termination of employment must occur within thirty (30) days after the initial occurrence of the condition(s) specified in such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rPr>
        <w:t>“</w:t>
      </w:r>
      <w:r>
        <w:rPr>
          <w:rFonts w:ascii="Times New Roman;Times;serif" w:hAnsi="Times New Roman;Times;serif"/>
          <w:b/>
          <w:sz w:val="20"/>
        </w:rPr>
        <w:t>Person</w:t>
      </w:r>
      <w:r>
        <w:rPr>
          <w:rFonts w:ascii="Times New Roman;Times;serif" w:hAnsi="Times New Roman;Times;serif"/>
          <w:sz w:val="20"/>
        </w:rPr>
        <w:t>” means any “person” as such term is used in Sections 13(d) and 14(d) of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rPr>
        <w:t>“</w:t>
      </w:r>
      <w:r>
        <w:rPr>
          <w:rFonts w:ascii="Times New Roman;Times;serif" w:hAnsi="Times New Roman;Times;serif"/>
          <w:b/>
          <w:sz w:val="20"/>
        </w:rPr>
        <w:t>Qualifying Termination</w:t>
      </w:r>
      <w:r>
        <w:rPr>
          <w:rFonts w:ascii="Times New Roman;Times;serif" w:hAnsi="Times New Roman;Times;serif"/>
          <w:sz w:val="20"/>
        </w:rPr>
        <w:t xml:space="preserve">” means the termination of an Eligible Employee’s employment with any member of the Company Group (i) by any member of the Company Group without Cause (which, for the avoidance of doubt, does not include a termination of an Eligible Employee’s employment due to death or Disability), or (ii) due to an Eligible Employee’s resignation for Good Reason; </w:t>
      </w:r>
      <w:r>
        <w:rPr>
          <w:rFonts w:ascii="Times New Roman;Times;serif" w:hAnsi="Times New Roman;Times;serif"/>
          <w:sz w:val="20"/>
          <w:u w:val="single"/>
        </w:rPr>
        <w:t>provided</w:t>
      </w:r>
      <w:r>
        <w:rPr>
          <w:rFonts w:ascii="Times New Roman;Times;serif" w:hAnsi="Times New Roman;Times;serif"/>
          <w:sz w:val="20"/>
        </w:rPr>
        <w:t xml:space="preserve"> that, in each case, such Qualifying Termination constitutes a “separation from service” within the meaning of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sz w:val="20"/>
        </w:rPr>
        <w:t>“</w:t>
      </w:r>
      <w:r>
        <w:rPr>
          <w:rFonts w:ascii="Times New Roman;Times;serif" w:hAnsi="Times New Roman;Times;serif"/>
          <w:b/>
          <w:sz w:val="20"/>
        </w:rPr>
        <w:t>Release Requirement</w:t>
      </w:r>
      <w:r>
        <w:rPr>
          <w:rFonts w:ascii="Times New Roman;Times;serif" w:hAnsi="Times New Roman;Times;serif"/>
          <w:sz w:val="20"/>
        </w:rPr>
        <w:t>” means the requirement that an Eligible Employee execute and deliver to the Company a general release of claims, in a form acceptable to the Company, within sixty (60) days following the Date of Termination. Notwithstanding the foregoing or any other provision in the Plan to the contrary, the Release Requirement shall not be considered satisfied if the release described in the preceding sentence is revoked by an Eligible Employee within any time provided by the Company for such revocation.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w:t>
      </w:r>
      <w:r>
        <w:rPr>
          <w:rFonts w:ascii="Times New Roman;Times;serif" w:hAnsi="Times New Roman;Times;serif"/>
          <w:b/>
          <w:sz w:val="20"/>
        </w:rPr>
        <w:t>Section 409A</w:t>
      </w:r>
      <w:r>
        <w:rPr>
          <w:rFonts w:ascii="Times New Roman;Times;serif" w:hAnsi="Times New Roman;Times;serif"/>
          <w:sz w:val="20"/>
        </w:rPr>
        <w:t>” means Section 409A of the Code and the Department of Treasury regulations and other interpretive guidance issued thereunder, including any such regulations or guidance that may be amended or issued after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sz w:val="20"/>
        </w:rPr>
        <w:t>“</w:t>
      </w:r>
      <w:r>
        <w:rPr>
          <w:rFonts w:ascii="Times New Roman;Times;serif" w:hAnsi="Times New Roman;Times;serif"/>
          <w:b/>
          <w:sz w:val="20"/>
        </w:rPr>
        <w:t>Severance Amount</w:t>
      </w:r>
      <w:r>
        <w:rPr>
          <w:rFonts w:ascii="Times New Roman;Times;serif" w:hAnsi="Times New Roman;Times;serif"/>
          <w:sz w:val="20"/>
        </w:rPr>
        <w:t>” means the cash severance payments set forth in Sections 5(a) and 5(b).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Administration of the Plan</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Administration by the Committee</w:t>
      </w:r>
      <w:r>
        <w:rPr>
          <w:rFonts w:ascii="Times New Roman;Times;serif" w:hAnsi="Times New Roman;Times;serif"/>
          <w:sz w:val="20"/>
        </w:rPr>
        <w:t>. The Committee shall be responsible for the management and control of the operation and the administration of the Plan, including interpretation of the Plan, decisions pertaining to eligibility to participate in the Plan, computation of severance benefits, granting or denial of severance benefit claims and review of claims denials. The Committee has absolute discretion in the exercise of its powers and responsibilities. For this purpose, the Committee’s powers shall include the following authority, in addition to all other powers provided by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(i)to make and enforce such rules and regulations as it deems necessary or proper for the efficient administration of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(ii)to interpret the Plan, the Committee’s interpretation thereof to be final and conclusive on all persons claiming benefits under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(iii)to decide all questions concerning the Plan and the eligibility of any person to participate in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(iv)to make a determination as to the right of any person to a benefit under the Plan (including to determine whether and when there has been a termination of an Eligible Employee’s employment and the Cause of such termination);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(v)to appoint such agents, counsel, accountants, consultants, claims administrator and other persons as may be required to assist in administering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(vi)to allocate and delegate its responsibilities under the Plan and to designate other persons to carry out any of its responsibilities under the Plan, any such allocation, delegation or designation to be in writing;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(vii)to sue or cause suit to be brought in the name of the Plan;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(viii)to obtain from the Company, its Affiliates and from Eligible Employees such information as is necessary for the proper administration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Indemnification of the Committee</w:t>
      </w:r>
      <w:r>
        <w:rPr>
          <w:rFonts w:ascii="Times New Roman;Times;serif" w:hAnsi="Times New Roman;Times;serif"/>
          <w:sz w:val="20"/>
        </w:rPr>
        <w:t>. The Company shall, without limiting any rights that the Committee may have under the Company’s charter or bylaws, applicable law or otherwise, indemnify and hold harmless the Committee and each member thereof (and any other individual acting on behalf of the Committee or any member thereof) against any and all expenses and liabilities arising out of such person’s administrative functions or fiduciary responsibilities, excepting only expenses and liabilities arising out of the person’s own gross negligence or willful misconduct. Expenses against which such person shall be indemnified hereunder include the amounts of any settlement, judgment, attorneys’ fees, costs of court, and any other related charges reasonably incurred in connection with a claim, proceeding, settlement, or other action under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Compensation and Expenses</w:t>
      </w:r>
      <w:r>
        <w:rPr>
          <w:rFonts w:ascii="Times New Roman;Times;serif" w:hAnsi="Times New Roman;Times;serif"/>
          <w:sz w:val="20"/>
        </w:rPr>
        <w:t>. The Committee shall not receive additional compensation with respect to services for the Plan. To the extent required by applicable law, but not otherwise, the Committee shall furnish bond or security for the performance of their duties hereunder. Any expenses properly incurred by the Committee incident to the administration,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termination or protection of the Plan, including the cost of furnishing bond, shall be paid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Eligibility</w:t>
      </w:r>
      <w:r>
        <w:rPr>
          <w:rFonts w:ascii="Times New Roman;Times;serif" w:hAnsi="Times New Roman;Times;serif"/>
          <w:sz w:val="20"/>
        </w:rPr>
        <w:t>. Only individuals who are Eligible Employees may participate in the Plan. Once an employee has been designated as an Eligible Employee, such individual shall automatically continue to be an Eligible Employee until the Eligible Employee ceases to be an employee or service provider or is removed as an Eligible Employee by the Committee. The Plan shall supersede all prior agreements, practices, policies, procedures and plans relating to severance benefits from all members of the Company Group with respect to an Eligible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Plan Benefits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Qualifying Termination Outside of a Change in Control Period</w:t>
      </w:r>
      <w:r>
        <w:rPr>
          <w:rFonts w:ascii="Times New Roman;Times;serif" w:hAnsi="Times New Roman;Times;serif"/>
          <w:sz w:val="20"/>
        </w:rPr>
        <w:t>. In the event an Eligible Employee’s employment with any member of the Company Group ends due to a Qualifying Termination that occurs outside of a Change in Control Period, such Eligible Employee shall be entitled to receive the Accrued Amounts, and so long as such Eligible Employee (x) has been continuously employed by a member of the Company Group for at least three hundred and sixty-five (365) days prior to any such Qualifying Termination, (y) satisfies the Release Requirement and (z) abides by the terms of any restrictive covenant obligations to which the Eligible Employee is subject in respect of the Company Group, such Eligible Employee shall also be entitled to receive: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(i)a cash severance payment in an amount equal to twelve (12) months of such Eligible Employee’s Base Salary, payable in substantially equal installments in accordance with the Company’s normal payroll practices during the twelve (12) month period beginning on the first regularly scheduled payroll cycle that occurs immediately following the sixtieth (60th) day following the Date of Termination (such date, the “</w:t>
      </w:r>
      <w:r>
        <w:rPr>
          <w:rFonts w:ascii="Times New Roman;Times;serif" w:hAnsi="Times New Roman;Times;serif"/>
          <w:b/>
          <w:sz w:val="20"/>
        </w:rPr>
        <w:t>Payment Commencement Date</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the portion of the Severance Amount provided under this Section 5(a)(i) that is payable on the Payment Commencement Date shall include a lump-sum amount equal to the portion of the Severance Amount that would have been payable commencing on the Date of Termination and ending on the Payment Commencement Date; </w:t>
      </w:r>
      <w:r>
        <w:rPr>
          <w:rFonts w:ascii="Times New Roman;Times;serif" w:hAnsi="Times New Roman;Times;serif"/>
          <w:sz w:val="20"/>
          <w:u w:val="single"/>
        </w:rPr>
        <w:t>provided further</w:t>
      </w:r>
      <w:r>
        <w:rPr>
          <w:rFonts w:ascii="Times New Roman;Times;serif" w:hAnsi="Times New Roman;Times;serif"/>
          <w:sz w:val="20"/>
        </w:rPr>
        <w:t>, the amounts payable under this Section 5(a)(i) shall be treated as a series of separate payments for purposes of Section 409A;</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(ii)a prorated portion of such Eligible Employee’s Annual Bonus, multiplied by a fraction, (A) the numerator of which equals the number of calendar days that such Eligible Employee was employed by any member of the Company Group during the calendar year in which the Date of Termination occurs and (B) the denominator of which equals 365 or 366, as applicable, payable in lump sum at the same time Annual Bonuses are paid to similarly situated employees, but in no event later than March 15 of the year following the year in which the Qualifying Termination occurs;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(iii)for the period from the Date of Termination through the earlier of (A) the date which is twelve (12) months from the Date of Termination, (B) the date upon which the Eligible Employee and the Eligible Employee’s spouse and eligible dependents become eligible for coverage under a group health plan of a subsequent employer (or of the Eligible Employee’s spouse), or (C) the date upon which the Eligible Employee and the Eligible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Employee’s spouse and eligible dependents are no longer eligible for COBRA coverage (as applicable, the “</w:t>
      </w:r>
      <w:r>
        <w:rPr>
          <w:rFonts w:ascii="Times New Roman;Times;serif" w:hAnsi="Times New Roman;Times;serif"/>
          <w:b/>
          <w:sz w:val="20"/>
        </w:rPr>
        <w:t>COBRA Coverage Expiration Date</w:t>
      </w:r>
      <w:r>
        <w:rPr>
          <w:rFonts w:ascii="Times New Roman;Times;serif" w:hAnsi="Times New Roman;Times;serif"/>
          <w:sz w:val="20"/>
        </w:rPr>
        <w:t xml:space="preserve">”), the Company shall pay the employer portion of the health, dental and vision insurance premiums in the amount as though the Eligible Employee was an active employee for coverage under COBRA for the Eligible Employee and the Eligible Employee’s spouse and eligible dependents, as the case may be, as in effect on the Date of Termination, </w:t>
      </w:r>
      <w:r>
        <w:rPr>
          <w:rFonts w:ascii="Times New Roman;Times;serif" w:hAnsi="Times New Roman;Times;serif"/>
          <w:sz w:val="20"/>
          <w:u w:val="single"/>
        </w:rPr>
        <w:t>provided</w:t>
      </w:r>
      <w:r>
        <w:rPr>
          <w:rFonts w:ascii="Times New Roman;Times;serif" w:hAnsi="Times New Roman;Times;serif"/>
          <w:sz w:val="20"/>
        </w:rPr>
        <w:t xml:space="preserve"> that, the Eligible Employee validly elects to continue coverage under COBRA; </w:t>
      </w:r>
      <w:r>
        <w:rPr>
          <w:rFonts w:ascii="Times New Roman;Times;serif" w:hAnsi="Times New Roman;Times;serif"/>
          <w:sz w:val="20"/>
          <w:u w:val="single"/>
        </w:rPr>
        <w:t>provided further</w:t>
      </w:r>
      <w:r>
        <w:rPr>
          <w:rFonts w:ascii="Times New Roman;Times;serif" w:hAnsi="Times New Roman;Times;serif"/>
          <w:sz w:val="20"/>
        </w:rPr>
        <w:t>, the Company’s obligation to pay any premiums for COBRA coverage for the Eligible Employee and the Eligible Employee’s spouse and eligible dependents, as applicable, hereunder may be converted by the Company into an equivalent taxable, lump-sum cash payment if the Company’s payment of any COBRA premiums would cause a discriminatory arrangement under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Qualifying Termination During a Change in Control Period</w:t>
      </w:r>
      <w:r>
        <w:rPr>
          <w:rFonts w:ascii="Times New Roman;Times;serif" w:hAnsi="Times New Roman;Times;serif"/>
          <w:sz w:val="20"/>
        </w:rPr>
        <w:t>. In the event an Eligible Employee’s employment with any member of the Company Group ends due to a Qualifying Termination that occurs during a Change in Control Period, such Eligible Employee shall be entitled to receive the Accrued Amounts, and so long as such Eligible Employee (y) satisfies the Release Requirement and (z) abides by the terms of any restrictive covenant obligations to which the Eligible Employee is subject in respect of the Company Group, such Eligible Employee shall also be entitled to receive: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(i)a cash severance payment in an amount equal to the sum of (A) eighteen (18) months of such Eligible Employee’s Base Salary and (B) one and one-half (1.5) times such Eligible Employee’s Annual Bonus, payable in a lump sum within sixty (60) days following the Date of Termination;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if the period during which the Eligible Employee may execute and not revoke the release described in the Release Requirement begins in one calendar year and ends in the immediately following calendar year, then, to the extent required by Section 409A, the cash severance payment under this Section 5(b)(i) shall be made in the second calendar year;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(ii)a prorated portion of such Eligible Employee’s Annual Bonus, multiplied by a fraction, (A) the numerator of which equals the number of calendar days that such Eligible Employee was employed by any member of the Company Group during the calendar year in which the Date of Termination occurs and (B) the denominator of which equals 365 or 366, as applicable, payable in lump sum within sixty (60) days after such Eligible Employee’s Date of Termination;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(iii)COBRA coverage as described in and in the same manner contemplated by Section 5(a)(iii) except that the COBRA Coverage Expiration Date shall be the earlier of (A) the date which is eighteen (18) months from the Date of Termination, (B) the date upon which the Eligible Employee and the Eligible Employee’s spouse and eligible dependents become eligible for coverage under a group health plan of a subsequent employer (or of the Eligible Employee’s spouse), or (C) the date upon which the Eligible Employee and the Eligible Employee’s spouse and eligible dependents are no longer eligible for COBRA coverage.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(iv)For the avoidance of doubt, if an Eligible Employee experiences a Qualifying Termination during a Change in Control Period, such Eligible Employee shall be eligible only for the payments and benefits set forth in this Section 5(b) (subject to the Release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Requirement and the other terms of the Plan) and shall not be entitled to any duplicative or additional payments or benefits under Section 5(a) with respect to the same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Equity Incentive Awards</w:t>
      </w:r>
      <w:r>
        <w:rPr>
          <w:rFonts w:ascii="Times New Roman;Times;serif" w:hAnsi="Times New Roman;Times;serif"/>
          <w:sz w:val="20"/>
        </w:rPr>
        <w:t>. In the event that an Eligible Employee’s employment with any member of the Company Group terminates (pursuant to a Qualifying Termination or otherwise), all outstanding equity incentive awards then held by such Eligible Employee in respect of any member of the Company Group will be treated in accordance with the award agreement applicable to such award or governing plan,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Continued Benefits</w:t>
      </w:r>
      <w:r>
        <w:rPr>
          <w:rFonts w:ascii="Times New Roman;Times;serif" w:hAnsi="Times New Roman;Times;serif"/>
          <w:sz w:val="20"/>
        </w:rPr>
        <w:t xml:space="preserve">. Following the Date of Termination, the Eligible Employee shall not be entitled to (i) participate in any Company Group employee benefit plans, other than the right to receive COBRA continuation coverage or other similar continuation coverage as set forth in Section 5(a)(iii) and Section 5(b)(iii), as applicable, and as required by law, </w:t>
      </w:r>
      <w:r>
        <w:rPr>
          <w:rFonts w:ascii="Times New Roman;Times;serif" w:hAnsi="Times New Roman;Times;serif"/>
          <w:sz w:val="20"/>
          <w:u w:val="single"/>
        </w:rPr>
        <w:t>provided</w:t>
      </w:r>
      <w:r>
        <w:rPr>
          <w:rFonts w:ascii="Times New Roman;Times;serif" w:hAnsi="Times New Roman;Times;serif"/>
          <w:sz w:val="20"/>
        </w:rPr>
        <w:t xml:space="preserve"> that, the Eligible Employee validly elects to continue coverage under COBRA, and (ii) reimbursement for fringe benefits, including, without limitation, dues and expenses related to club memberships, automobile expenses, expenses for professional services and other similar perquisites incurred or accrued on or after the Date of Termination. Notwithstanding any of the foregoing, following the Date of Termination, each Eligible Employee shall be entitled to receive such Eligible Employee’s vested benefits under Company Group retirement plans or as required by applicable law. For the avoidance of doubt, the election of COBRA continuation coverage or other similar continuation coverage as required by law will remain the Eligible Employee’s sole responsibility.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Non-Qualifying Terminations of Employment</w:t>
      </w:r>
      <w:r>
        <w:rPr>
          <w:rFonts w:ascii="Times New Roman;Times;serif" w:hAnsi="Times New Roman;Times;serif"/>
          <w:sz w:val="20"/>
        </w:rPr>
        <w:t xml:space="preserve">. In the event that an Eligible Employee’s employment or service with any member of the Company Group terminates other than pursuant to a Qualifying Termination, then all compensation and benefits to such Eligible Employee shall terminate contemporaneously with such termination of employment, except that such Eligible Employee shall be entitled to receive: (i) COBRA continuation coverage or other similar continuation coverage as required by law, </w:t>
      </w:r>
      <w:r>
        <w:rPr>
          <w:rFonts w:ascii="Times New Roman;Times;serif" w:hAnsi="Times New Roman;Times;serif"/>
          <w:sz w:val="20"/>
          <w:u w:val="single"/>
        </w:rPr>
        <w:t>provided</w:t>
      </w:r>
      <w:r>
        <w:rPr>
          <w:rFonts w:ascii="Times New Roman;Times;serif" w:hAnsi="Times New Roman;Times;serif"/>
          <w:sz w:val="20"/>
        </w:rPr>
        <w:t xml:space="preserve"> that, the Eligible Employee validly elects to continue coverage under COBRA, (ii) any vested benefits under Company Group retirement plans or as required by applicable law, and (iii) the Accrued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No Duplication</w:t>
      </w:r>
      <w:r>
        <w:rPr>
          <w:rFonts w:ascii="Times New Roman;Times;serif" w:hAnsi="Times New Roman;Times;serif"/>
          <w:sz w:val="20"/>
        </w:rPr>
        <w:t>. Except as otherwise expressly provided pursuant to the Plan, the Plan shall be construed and administered in a manner which avoids duplication of compensation and benefits which may be provided under any other plan, program, policy or other arrangement or individual contract or under any statute, rule or regulation. In the event an Eligible Employee is covered by any other plan, program, policy, individually negotiated agreement or other arrangement, in effect as of the Eligible Employee’s Date of Termination, that may duplicate the payments and benefits provided for in this Section 5, the Committee is specifically empowered to reduce or eliminate the duplicative benefits provided for under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Certain Excise Taxes</w:t>
      </w:r>
      <w:r>
        <w:rPr>
          <w:rFonts w:ascii="Times New Roman;Times;serif" w:hAnsi="Times New Roman;Times;serif"/>
          <w:sz w:val="20"/>
        </w:rPr>
        <w:t>. Notwithstanding anything to the contrary in the Plan, if an Eligible Employee is a “disqualified individual” (as defined in Section 280G(c) of the Code), and the payments and benefits provided for in the Plan, together with any other payments and benefits which such Eligible Employee has the right to receive from the Company Group or any of its Affiliates, and taking into account reductions in respect of reasonable compensation for personal services to be rendered by the Eligible Employee on or following the date of the relevant “change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ownership or control” (within the meaning of Section 280G of the Code), including pursuant to applicable noncompetition and other restrictive covenant obligations, would constitute a “parachute payment” (as defined in Section 280G(b)(2) of the Code), then the payments and benefits provided for in the Plan shall be either (a) reduced (but not below zero) so that the present value of such total amounts and benefits received by such Eligible Employee from the Company and its Affiliates will be one dollar less than three times such Eligible Employee’s “base amount” (as defined in Section 280G(b)(3) of the Code) and so that no portion of such amounts and benefits received by such Eligible Employee shall be subject to the excise tax imposed by Section 4999 of the Code or (b) paid in full, whichever produces the better net after-tax position to such Eligible Employee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less than three times such Eligible Employee’s base amount, then such Eligible Employee shall immediately repay such excess to the Company upon notification that an overpayment has been made. Nothing in this Section 6 shall require the Company to be responsible for, or have any liability or obligation with respect to, such Eligible Employees’ excise tax liabilities under Section 4999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Prior Obligations</w:t>
      </w:r>
      <w:r>
        <w:rPr>
          <w:rFonts w:ascii="Times New Roman;Times;serif" w:hAnsi="Times New Roman;Times;serif"/>
          <w:sz w:val="20"/>
        </w:rPr>
        <w:t>. Each Eligible Employee hereby represents and warrants that the Eligible Employee is not the subject of, or a party to, any noncompetition, nonsolicitation, restrictive covenant or nondisclosure agreement, or any other agreement, obligation, restriction or understanding that would prohibit the Eligible Employee from complying with the Plan or fully performing each of the Eligible Employee’s duties and responsibilities for the Company Group, or would in any manner, directly or indirectly, limit or affect any of the duties and responsibilities that may now or in the future be assigned to the Eligible Employee by any member of the Company Group. Each Eligible Employee expressly acknowledges and agrees that the Eligible Employee is strictly prohibited from using or disclosing any confidential information belonging to any prior employer in the course of performing services for any member of the Company Group, and the Eligible Employee promises that the Eligible Employee shall not do so. Each Eligible Employee shall not introduce documents or other materials containing confidential information of any prior employer to the premises or property (including computers and computer systems) of any member of the Company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Claims Procedure and Review</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Filing a Claim</w:t>
      </w:r>
      <w:r>
        <w:rPr>
          <w:rFonts w:ascii="Times New Roman;Times;serif" w:hAnsi="Times New Roman;Times;serif"/>
          <w:sz w:val="20"/>
        </w:rPr>
        <w:t>. Any Eligible Employee that the Committee determines is entitled to severance benefits under the Plan is not required to file a claim for benefits. Any Eligible Employee (i) who is not paid severance benefits hereunder and who believes that such Eligible Employee is entitled to severance benefits hereunder or (ii) who has been paid severance benefits hereunder and believes that such Eligible Employee is entitled to greater benefits hereunder may</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file a claim for severance benefits under the Plan in writing with the Committee. Claims should be addressed and sent to:</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Monster Beverage Corporation</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Attn: Compensation Committee</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Corona, CA 92879</w:t>
      </w:r>
    </w:p>
    <w:p>
      <w:pPr>
        <w:pStyle w:val="TextBody"/>
        <w:bidi w:val="0"/>
        <w:spacing w:before="0" w:after="0"/>
        <w:ind w:left="144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Initial Determination of a Claim</w:t>
      </w:r>
      <w:r>
        <w:rPr>
          <w:rFonts w:ascii="Times New Roman;Times;serif" w:hAnsi="Times New Roman;Times;serif"/>
          <w:sz w:val="20"/>
        </w:rPr>
        <w:t>. If a claim for severance benefits hereunder is wholly or partially denied, the Committee shall, within a reasonable period of time but no later than ninety (90) days after receipt of the claim (or one hundred eighty (180) days after receipt of the claim if special circumstances require an extension of time for processing the claim), notify the claimant of the denial. Such notice shall (i) be in writing, (ii) be written in a manner calculated to be understood by the claimant, (iii) contain the specific reason or reasons for denial of the claim, (iv) refer specifically to the pertinent Plan provisions upon which the denial is based, (v) describe any additional material or information necessary for the claimant to perfect the claim (and explain why such material or information is necessary), and (vi) to the extent the Plan is subject to ERISA, describe the Plan’s claim review procedures and time limits applicable to such procedures, including a statement of the claimant’s right to bring a civil action under Section 502(a) of ERISA following an adverse benefit determination on review.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Appeal of a Denied Claim</w:t>
      </w:r>
      <w:r>
        <w:rPr>
          <w:rFonts w:ascii="Times New Roman;Times;serif" w:hAnsi="Times New Roman;Times;serif"/>
          <w:sz w:val="20"/>
        </w:rPr>
        <w:t>. Within sixty (60) days of the receipt by the claimant of this notice, the claimant may file a written appeal with the Committee. In connection with the appeal, the claimant may review Plan documents and may submit written issues and comments. The Committee shall deliver to the claimant a written decision on the appeal promptly, but not later than sixty (60) days after the receipt of the claimant’s appeal (or one hundred twenty (120) days after receipt of the claimant’s appeal if there are special circumstances which require an extension of time for processing). Such decision shall (i) be in writing, (ii) be written in a manner calculated to be understood by the claimant, (iii) include specific reasons for the decision, (iv) refer specifically to the Plan provisions upon which the decision is based, (v) state that the claimant is entitled to receive, on request and free of charge, reasonable access to and copies of all documents, records, and other information relevant to the claimant’s claim for benefits, and (vi) to the extent the Plan is subject to ERISA, a statement of the claimant’s right to bring an action under Section 502(a) of ERISA. If special circumstances require an extension of up to one hundred eighty (180) days for an initial claim or one hundred twenty (120) days for an appeal, whichever applies, the Committee shall send written notice of the extension. This notice shall indicate the special circumstances requiring the extension and state when the Committee expects to render the decision.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Exhaustion of Administrative Remedies</w:t>
      </w:r>
      <w:r>
        <w:rPr>
          <w:rFonts w:ascii="Times New Roman;Times;serif" w:hAnsi="Times New Roman;Times;serif"/>
          <w:sz w:val="20"/>
        </w:rPr>
        <w:t>. The exhaustion of these claims procedures is mandatory for resolving every claim and dispute arising under this Plan. As to such claims and disputes: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(i)no claimant shall be permitted to commence any legal action to recover benefits or to enforce or clarify rights under the Plan under Section 502 or Section 510 of ERISA (to the extent the Plan is subject to ERISA) or under any other provision of law, whether or not statutory, until these claims procedures have been exhausted in their entirety; and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(ii)in any such legal action, all explicit and implicit determinations by the Committee (including, but not limited to, determinations as to whether the claim, or a request for a review of a denied claim, was timely filed) shall be afforded the maximum deference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Arbitration</w:t>
      </w:r>
      <w:r>
        <w:rPr>
          <w:rFonts w:ascii="Times New Roman;Times;serif" w:hAnsi="Times New Roman;Times;serif"/>
          <w:sz w:val="20"/>
        </w:rPr>
        <w:t>. No Eligible Employee may bring any legal action to recover benefits under this Plan until the Eligible Employee has exhausted the internal administrative claims and appeals process described above. Upon Eligible Employee’s exhaustion of the provisions set forth above, any Eligible Employee with a continuing dispute arising out of or relating to this Plan shall be settled by arbitration administered by the JAMS’ rules for the resolution of employment disputes in Orange County, California, and judgment upon the award rendered by the arbitrator may be entered by any court having jurisdiction thereof. The applicable JAMS’ rules may be viewed online at http://www.jamsadr.com/rules-employment-arbitration. In the spirit of expeditious and efficient resolution of any disputes, any dispute between an Eligible Employee and the Company shall be resolved without the inclusion of any other employees or third parties included as parties to the arbitration proceeding, be it as individuals, as part of a collective action, or as part of a representative class, unless both the Eligible Employee and the Company agree to such consolidation after a dispute has arisen. If any part of this paragraph is deemed unenforceable, then it may be severed without affecting the other terms of this Plan, including the requirement to arbitrate all disputes.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Compliance with ERISA</w:t>
      </w:r>
      <w:r>
        <w:rPr>
          <w:rFonts w:ascii="Times New Roman;Times;serif" w:hAnsi="Times New Roman;Times;serif"/>
          <w:sz w:val="20"/>
        </w:rPr>
        <w:t>. To the extent the Plan is subject to ERISA, the benefits claim procedure provided in this Section 8 is intended to comply with the provisions of 29 C.F.R. § 2560.503-1, and all provisions of this Section 8 shall be interpreted, construed, and limited in accordance with such intent.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General Provisions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Taxes</w:t>
      </w:r>
      <w:r>
        <w:rPr>
          <w:rFonts w:ascii="Times New Roman;Times;serif" w:hAnsi="Times New Roman;Times;serif"/>
          <w:sz w:val="20"/>
        </w:rPr>
        <w:t>. The Company is authorized to withhold from all payments made hereunder amounts of withholding and other taxes due or potentially payable in connection therewith, and to take such other action as the Company may deem advisable to enable the Company and an Eligible Employee to satisfy obligations for the payment of withholding taxes and other tax obligations relating to any payments made under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No Mitigation</w:t>
      </w:r>
      <w:r>
        <w:rPr>
          <w:rFonts w:ascii="Times New Roman;Times;serif" w:hAnsi="Times New Roman;Times;serif"/>
          <w:sz w:val="20"/>
        </w:rPr>
        <w:t>. No Eligible Employee shall have any duty to mitigate the amounts payable under the Plan by seeking or accepting new employment or self-employment following a Qualifying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Offset</w:t>
      </w:r>
      <w:r>
        <w:rPr>
          <w:rFonts w:ascii="Times New Roman;Times;serif" w:hAnsi="Times New Roman;Times;serif"/>
          <w:sz w:val="20"/>
        </w:rPr>
        <w:t xml:space="preserve">. The Company may set off against, and each Eligible Employee authorizes the Company to deduct from, any payments due to the Eligible Employee, or to his or her estate, heirs, legal representatives, or successors, any amounts that may be due and owing to the Company or an Affiliate of the Company by the Eligible Employee, whether arising under the Plan or otherwise;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such offset may be made with respect to amounts payable that are subject to the requirements of Section 409A unless the offset would not result in a violation of the requirements of Section 409A.</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Amendment and Termination</w:t>
      </w:r>
      <w:r>
        <w:rPr>
          <w:rFonts w:ascii="Times New Roman;Times;serif" w:hAnsi="Times New Roman;Times;serif"/>
          <w:sz w:val="20"/>
        </w:rPr>
        <w:t xml:space="preserve">. Prior to a Change in Control, the Board or the Committee, as applicable, shall have the power to amend or terminate the Plan from time to time in its discretion and for any reason (or no reason) (including the removal of an individual as an Eligible Employee); </w:t>
      </w:r>
      <w:r>
        <w:rPr>
          <w:rFonts w:ascii="Times New Roman;Times;serif" w:hAnsi="Times New Roman;Times;serif"/>
          <w:sz w:val="20"/>
          <w:u w:val="single"/>
        </w:rPr>
        <w:t>provided</w:t>
      </w:r>
      <w:r>
        <w:rPr>
          <w:rFonts w:ascii="Times New Roman;Times;serif" w:hAnsi="Times New Roman;Times;serif"/>
          <w:sz w:val="20"/>
        </w:rPr>
        <w:t xml:space="preserve"> that, no such amendment or termination shall be effective with respect to a termination of employment that occurred prior to the amendment or termination of the Plan; and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to the extent any such amendment has a detrimental impact to any Eligible Employee, such amendment will become effective with respect to such Eligible Employee twelve (12) months following approval by the Committee. Notwithstanding the foregoing, upon a Change in Control and during a Change in Control Period, no amendment or termination of the Plan shall impair any rights or obligations to any Eligible Employee under the Plan (including the removal of an individual as an Eligible Employee) unless such Eligible Employee expressly consents to such amendment or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Successors</w:t>
      </w:r>
      <w:r>
        <w:rPr>
          <w:rFonts w:ascii="Times New Roman;Times;serif" w:hAnsi="Times New Roman;Times;serif"/>
          <w:sz w:val="20"/>
        </w:rPr>
        <w:t>. The Plan will be binding upon any successor to the Company, its assets, its businesses or its interest (whether as a result of the occurrence of a Change in Control or otherwise), in the same manner and to the same extent that the Company would be obligated under the Plan if no succession had taken place. All payments and benefits that become due to an Eligible Employee under the Plan will inure to the benefit of his or her heirs, assigns, designees or legal representatives.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Transfer and Assignment</w:t>
      </w:r>
      <w:r>
        <w:rPr>
          <w:rFonts w:ascii="Times New Roman;Times;serif" w:hAnsi="Times New Roman;Times;serif"/>
          <w:sz w:val="20"/>
        </w:rPr>
        <w:t>. Neither an Eligible Employee nor any other person shall have any right to sell, assign, transfer, pledge, anticipate or otherwise encumber, transfer, hypothecate or convey any amounts payable under the Plan prior to the date that such amounts are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Unfunded Obligation</w:t>
      </w:r>
      <w:r>
        <w:rPr>
          <w:rFonts w:ascii="Times New Roman;Times;serif" w:hAnsi="Times New Roman;Times;serif"/>
          <w:sz w:val="20"/>
        </w:rPr>
        <w:t>. All benefits due an Eligible Employee under the Plan are unfunded and unsecured and are payable out of the general assets of the Company. The Company is not required to segregate any monies or other assets from its general funds with respect to these obligations. Eligible Employees shall not have any preference or security interest in any assets of the Company other than as a general unsecured creditor.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Severability</w:t>
      </w:r>
      <w:r>
        <w:rPr>
          <w:rFonts w:ascii="Times New Roman;Times;serif" w:hAnsi="Times New Roman;Times;serif"/>
          <w:sz w:val="20"/>
        </w:rPr>
        <w:t>. If any provision of the Plan (or portion thereof) is held to be illegal or invalid for any reason, the illegality or invalidity of such provision (or portion thereof) will not affect the remaining provisions (or portions thereof) of the Plan, but such provision (or portion thereof) will be fully severable, and the Plan will be construed and enforced as if the illegal or invalid provision (or portion thereof) had never been included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Section 409A</w:t>
      </w:r>
      <w:r>
        <w:rPr>
          <w:rFonts w:ascii="Times New Roman;Times;serif" w:hAnsi="Times New Roman;Times;serif"/>
          <w:sz w:val="20"/>
        </w:rPr>
        <w:t>. The Plan is intended to comply with Section 409A or an exemption thereunder and shall be construed and administered in accordance with Section 409A. Notwithstanding any other provision of the Plan, payments provided under the Plan may only be made upon an event and in a manner that complies with Section 409A or an applicable exemption. Any payments under the Plan that may be excluded from Section 409A either as separation pay due to an involuntary separation from service or as a short-term deferral shall be excluded from Section 409A to the maximum extent possible. Any payments to be made under the Plan upon the termination of an Eligible Employee’s employment shall only be made if such termination of employment constitutes a “separation from service” under Section 409A. In no event may an Eligible Employee, directly or indirectly, designate the calendar year of any payment under the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Plan. Each installment payment under the Plan is intended to be a separate payment for purposes of Section 409A. Notwithstanding any provision in the Plan to the contrary, if any payment or benefit provided for herein would be subject to additional taxes and interest under Section 409A if an Eligible Employee’s receipt of such payment or benefit is not delayed until the earlier of (i) the date of such Eligible Employee’s death or (ii) the date that is six (6) months after such Eligible Employee’s Date of Termination (such date, the “</w:t>
      </w:r>
      <w:r>
        <w:rPr>
          <w:rFonts w:ascii="Times New Roman;Times;serif" w:hAnsi="Times New Roman;Times;serif"/>
          <w:b/>
          <w:sz w:val="20"/>
        </w:rPr>
        <w:t>Section 409A Payment Date</w:t>
      </w:r>
      <w:r>
        <w:rPr>
          <w:rFonts w:ascii="Times New Roman;Times;serif" w:hAnsi="Times New Roman;Times;serif"/>
          <w:sz w:val="20"/>
        </w:rPr>
        <w:t>”), then such payment or benefit shall not be provided to such Eligible Employee (or such Eligible Employee’s estate, if applicable) until the Section 409A Payment Date. Notwithstanding the foregoing, the Company makes no representations that the payments and benefits provided under the Plan are exempt from, or compliant with, Section 409A and in no event shall the Company or any of its Affiliates be liable for all or any portion of any taxes, penalties, interest or other expenses that may be incurred by any Eligible Employee on account of non-compliance with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Governing Law</w:t>
      </w:r>
      <w:r>
        <w:rPr>
          <w:rFonts w:ascii="Times New Roman;Times;serif" w:hAnsi="Times New Roman;Times;serif"/>
          <w:sz w:val="20"/>
        </w:rPr>
        <w:t>. All questions arising with respect to the provisions of the Plan and payments due hereunder will be determined by application of the laws of the State of Delaware, without giving effect to any conflict of law provisions thereof, except to the extent preempted by federal law (including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Status</w:t>
      </w:r>
      <w:r>
        <w:rPr>
          <w:rFonts w:ascii="Times New Roman;Times;serif" w:hAnsi="Times New Roman;Times;serif"/>
          <w:sz w:val="20"/>
        </w:rPr>
        <w:t>. The Plan is intended to qualify for the exemptions under Title I of ERISA provided for plans that are unfunded and maintained primarily for the purpose of providing benefits for a select group of management or highly compensated employees. In the event that the Plan does not meet the requirements of unfunded plan maintained by an employer primarily for the purpose of providing deferred compensation for a select group of management or highly compensated employees, the Plan is intended to constitute a “severance pay arrangement” within the meaning of Section 3(2)(B)(i) of ERISA so as to be excepted from the definitions of “employee pension benefit plan” and “pension plan” set forth under section 3(2) of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No Right to Continued Employment</w:t>
      </w:r>
      <w:r>
        <w:rPr>
          <w:rFonts w:ascii="Times New Roman;Times;serif" w:hAnsi="Times New Roman;Times;serif"/>
          <w:sz w:val="20"/>
        </w:rPr>
        <w:t>. The adoption and maintenance of the Plan shall not be deemed to be a contract of employment between the Company or any of its Affiliates and any person or to have any impact whatsoever on the at-will employment relationship between the Company or any of its Affiliates and any Eligible Employee. Nothing in the Plan shall be deemed to give any person the right to be retained in the employ of the Company or any of its Affiliates for any period of time or to restrict the right of the Company or any of its Affiliates to terminate the employment of any person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Title and Headings; Construction</w:t>
      </w:r>
      <w:r>
        <w:rPr>
          <w:rFonts w:ascii="Times New Roman;Times;serif" w:hAnsi="Times New Roman;Times;serif"/>
          <w:sz w:val="20"/>
        </w:rPr>
        <w:t>. Titles and headings to Sections hereof are for the purpose of reference only and shall in no way limit, define or otherwise affect the provisions hereof. Unless the context requires otherwise, all references herein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The word “or” as used herein is not exclusive and is deemed to have the meaning “and/or.” The words “herein”, “hereof”, “hereunder” and other compounds of the word “here” shall refer to the entire Plan, and not to any particular provision hereof. Wherever the context so requires, the masculine gender includes the feminine or neuter, and the singular number includes the plural and conversely. The use herein of the word “including” following any general statement, term or matter shall not be construed to limit such statement, term or matter to the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Neither the Plan nor any uncertainty or ambiguity herein shall be construed or resolved against any party hereto, whether under any rule of construction or otherwise. On the contrary, the Plan has been reviewed by each of the parties hereto and shall be construed and interpreted according to the ordinary meaning of the words used so as to fairly accomplish the purposes and intentions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Overpayment</w:t>
      </w:r>
      <w:r>
        <w:rPr>
          <w:rFonts w:ascii="Times New Roman;Times;serif" w:hAnsi="Times New Roman;Times;serif"/>
          <w:sz w:val="20"/>
        </w:rPr>
        <w:t>. If, due to mistake or any other reason, a person receives severance payments or benefits under the Plan in excess of what the Plan provides, such person shall repay the overpayment to the Company in a lump sum within thirty (30) days of notice of the amount of overpayment. If such person fails to so repay the overpayment, then without limiting any other remedies available to the Company, the Company may deduct the amount of the overpayment from any other amounts which become payable to such person under the Plan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Clawback</w:t>
      </w:r>
      <w:r>
        <w:rPr>
          <w:rFonts w:ascii="Times New Roman;Times;serif" w:hAnsi="Times New Roman;Times;serif"/>
          <w:sz w:val="20"/>
        </w:rPr>
        <w:t>. Any amounts payable under the Plan are subject to any policy (whether in existence as of the Effective Date or later adopted) established by the Company providing for clawback or recovery of amounts that were paid to an Eligible Employee. The Company will make any determination for clawback or recovery in its sole discretion and in accordance with applicable laws, regulations, and securities exchange listing standards. Notwithstanding any provision of the Plan to the contrary, in the event that the Company determines that an Eligible Employee is eligible to receive the Severance Amount and other severance benefits pursuant to Section 5 but, after such determination, the Company subsequently acquires evidence or determines that: (i) such Eligible Employee has failed to abide by the terms of any restrictive covenant obligations to which the Eligible Employee is subject in respect of the Company Group; or (ii) a Cause condition existed prior to the Date of Termination that, had the Company been fully aware of such condition, would have given the Company Group the right to terminate such Eligible Employee’s employment for Cause, then the Company shall have the right not to pay any portion of the Severance Amount and to cease providing any other severance benefits under Section 5, and such Eligible Employee shall promptly return to the Company any payment of the Severance Amount and any other severance benefits received by such Eligible Employee prior to the date that the Company determines that the conditions of Section 5(e) have been satisfied.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819" w:name="mnst-20251231xex21d1.htm"/>
      <w:bookmarkStart w:id="1820" w:name="ksmnst20251231xex21d1"/>
      <w:bookmarkEnd w:id="1819"/>
      <w:bookmarkEnd w:id="1820"/>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21.1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MONSTER BEVERAGE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OF DECEMBER 31, 2025</w:t>
      </w:r>
    </w:p>
    <w:tbl>
      <w:tblPr>
        <w:tblW w:w="6587" w:type="dxa"/>
        <w:jc w:val="left"/>
        <w:tblInd w:w="0" w:type="dxa"/>
        <w:tblLayout w:type="fixed"/>
        <w:tblCellMar>
          <w:top w:w="0" w:type="dxa"/>
          <w:left w:w="0" w:type="dxa"/>
          <w:bottom w:w="0" w:type="dxa"/>
          <w:right w:w="0" w:type="dxa"/>
        </w:tblCellMar>
      </w:tblPr>
      <w:tblGrid>
        <w:gridCol w:w="4876"/>
        <w:gridCol w:w="1711"/>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096260" cy="175260"/>
                      <wp:effectExtent l="0" t="0" r="0" b="0"/>
                      <wp:wrapNone/>
                      <wp:docPr id="521" name="Frame516"/>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086485" cy="175260"/>
                      <wp:effectExtent l="0" t="0" r="0" b="0"/>
                      <wp:wrapNone/>
                      <wp:docPr id="522" name="Frame517"/>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76"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Entity Name</w:t>
            </w:r>
          </w:p>
        </w:tc>
        <w:tc>
          <w:tcPr>
            <w:tcW w:w="1711"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Jurisdiction</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75-6099 Kuakini Highway,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 Brasil Comercio de Aromatizantes LTDA</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 Library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 Vaughn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Fruits and Flavors Ireland Limited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Ireland</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Fruits and Flavors San Fernando,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Fruits and Flavors,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Bang Energy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Blast Asset Acquisition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EBC Beverage (Shanghai) Co., Ltd.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Australia Pty Ltd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Australia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Canada Ltd.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Chile SpA doing business as Reign SpA</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Chile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Europe Limited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Ireland</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Japan Godo Kaisha</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Rus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Russian Federation</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UK Limited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Vietnam Company Ltd.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Vietnam</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Fastest,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Flare Acquisition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FLRT Wellness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 Throttle Energy Company</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Kuakini Holdings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Kuakini Operations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1 ULC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2 ULC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GP</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KY GP</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 Islands</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LP</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Arizona Manufacturing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Corona Summit II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Corona Summit III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Corona Summit IV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Corona Summit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Kona I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Manufacturing LLC</w:t>
            </w:r>
          </w:p>
        </w:tc>
        <w:tc>
          <w:tcPr>
            <w:tcW w:w="1711" w:type="dxa"/>
            <w:tcBorders/>
            <w:vAlign w:val="center"/>
          </w:tcPr>
          <w:p>
            <w:pPr>
              <w:pStyle w:val="TableContents"/>
              <w:bidi w:val="0"/>
              <w:spacing w:before="0" w:after="0"/>
              <w:ind w:left="72" w:right="0" w:hanging="0"/>
              <w:jc w:val="left"/>
              <w:rPr>
                <w:rFonts w:ascii="Times New Roman;Times;serif" w:hAnsi="Times New Roman;Times;serif"/>
                <w:sz w:val="20"/>
              </w:rPr>
            </w:pPr>
            <w:r>
              <w:rPr>
                <w:rFonts w:ascii="Times New Roman;Times;serif" w:hAnsi="Times New Roman;Times;serif"/>
                <w:sz w:val="20"/>
              </w:rPr>
              <w:t>Delaware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952" w:type="dxa"/>
        <w:jc w:val="left"/>
        <w:tblInd w:w="0" w:type="dxa"/>
        <w:tblLayout w:type="fixed"/>
        <w:tblCellMar>
          <w:top w:w="0" w:type="dxa"/>
          <w:left w:w="0" w:type="dxa"/>
          <w:bottom w:w="0" w:type="dxa"/>
          <w:right w:w="0" w:type="dxa"/>
        </w:tblCellMar>
      </w:tblPr>
      <w:tblGrid>
        <w:gridCol w:w="6106"/>
        <w:gridCol w:w="1846"/>
      </w:tblGrid>
      <w:tr>
        <w:trPr/>
        <w:tc>
          <w:tcPr>
            <w:tcW w:w="6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877310" cy="175260"/>
                      <wp:effectExtent l="0" t="0" r="0" b="0"/>
                      <wp:wrapNone/>
                      <wp:docPr id="523" name="Frame518"/>
                      <a:graphic xmlns:a="http://schemas.openxmlformats.org/drawingml/2006/main">
                        <a:graphicData uri="http://schemas.microsoft.com/office/word/2010/wordprocessingShape">
                          <wps:wsp>
                            <wps:cNvSpPr txBox="1"/>
                            <wps:spPr>
                              <a:xfrm>
                                <a:off x="0" y="0"/>
                                <a:ext cx="3877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172210" cy="175260"/>
                      <wp:effectExtent l="0" t="0" r="0" b="0"/>
                      <wp:wrapNone/>
                      <wp:docPr id="524" name="Frame51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06"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Entity Name</w:t>
            </w:r>
          </w:p>
        </w:tc>
        <w:tc>
          <w:tcPr>
            <w:tcW w:w="1846"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Jurisdiction</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Norwalk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MECEB Productions II,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MECEB Productions,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Monarchy Beverage Company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2535 Anselmo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Company</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Connecticut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Company Peru S.R.L.</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Peru</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Brewing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Brewing Brands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Brewing Company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Argentina S.A.</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Argentina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AU Pty Ltd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Australia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Austria GmbH</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Austria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Bebidas Ecuador Cia. Ltda.</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Ecuador</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Beverage (Shanghai) Co., Ltd.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Beverage Company of South Africa (Proprietary) Limited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Africa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Brasil Comércio de Bebidas Ltda.</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Canada ULC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Colombia SAS</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Colombia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 (Swaziland) (Proprietary) Limited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Eswatini</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 (Taiwan)</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Taiwan</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 -Chile- Limitada</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Chile</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Costa Rica, Limitada</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Costa Rica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Dominican Republic, S.R.L.</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Dominican Republic</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Egypt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Egypt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Europe Limited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France S.A.S.</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France</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Hong Kong Limited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India Private Limited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International Company</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Israel Ltd.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Israel</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Japan Godo Kaisha</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Kazakhstan LLP</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Kazakhstan</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Korea, Ltd.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Limited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Ireland</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México, S. de R.L. de C.V.</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Music Group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Nigeria Limited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Nigeria</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Pakistan (Private) Limited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Pakistan</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PRC Holdings (HK) Limited</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Rus LLC</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Russian Federation</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SER doo Beograd-Vracar</w:t>
            </w:r>
          </w:p>
        </w:tc>
        <w:tc>
          <w:tcPr>
            <w:tcW w:w="1846" w:type="dxa"/>
            <w:tcBorders/>
            <w:vAlign w:val="center"/>
          </w:tcPr>
          <w:p>
            <w:pPr>
              <w:pStyle w:val="TableContents"/>
              <w:bidi w:val="0"/>
              <w:spacing w:before="0" w:after="0"/>
              <w:ind w:left="72" w:right="0" w:hanging="0"/>
              <w:jc w:val="left"/>
              <w:rPr>
                <w:rFonts w:ascii="Times New Roman;Times;serif" w:hAnsi="Times New Roman;Times;serif"/>
                <w:sz w:val="20"/>
              </w:rPr>
            </w:pPr>
            <w:r>
              <w:rPr>
                <w:rFonts w:ascii="Times New Roman;Times;serif" w:hAnsi="Times New Roman;Times;serif"/>
                <w:sz w:val="20"/>
              </w:rPr>
              <w:t>Serbia</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347" w:type="dxa"/>
        <w:jc w:val="left"/>
        <w:tblInd w:w="0" w:type="dxa"/>
        <w:tblLayout w:type="fixed"/>
        <w:tblCellMar>
          <w:top w:w="0" w:type="dxa"/>
          <w:left w:w="0" w:type="dxa"/>
          <w:bottom w:w="0" w:type="dxa"/>
          <w:right w:w="0" w:type="dxa"/>
        </w:tblCellMar>
      </w:tblPr>
      <w:tblGrid>
        <w:gridCol w:w="4456"/>
        <w:gridCol w:w="1891"/>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829560" cy="175260"/>
                      <wp:effectExtent l="0" t="0" r="0" b="0"/>
                      <wp:wrapNone/>
                      <wp:docPr id="525" name="Frame520"/>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200785" cy="175260"/>
                      <wp:effectExtent l="0" t="0" r="0" b="0"/>
                      <wp:wrapNone/>
                      <wp:docPr id="526" name="Frame521"/>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56"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Entity Name</w:t>
            </w:r>
          </w:p>
        </w:tc>
        <w:tc>
          <w:tcPr>
            <w:tcW w:w="1891"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Jurisdiction</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Singapore Pte. Ltd.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Southeast Asia Sdn. Bhd.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Malaysia</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Trading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Arab Emirates</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Trinidad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Trinidad and Tobago</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 Financing Company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 Holding 1 Company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 Holding 2 Company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Ukraine, Limited Liability Company</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Ukraine</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US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Vietnam Company Ltd.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Vietnam</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House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House 2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Icecek Ticaret Limited Sirketi</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Turkey</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Intermediate Brewery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LDA Company</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NOS Energy Company</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Reign Beverage Company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Rialto Renaissance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Beverage Company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Storm Beverage Company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True North Beverage LLC</w:t>
            </w:r>
          </w:p>
        </w:tc>
        <w:tc>
          <w:tcPr>
            <w:tcW w:w="1891" w:type="dxa"/>
            <w:tcBorders/>
            <w:vAlign w:val="center"/>
          </w:tcPr>
          <w:p>
            <w:pPr>
              <w:pStyle w:val="TableContents"/>
              <w:bidi w:val="0"/>
              <w:spacing w:before="0" w:after="0"/>
              <w:ind w:left="72" w:right="0" w:hanging="0"/>
              <w:jc w:val="left"/>
              <w:rPr>
                <w:rFonts w:ascii="Times New Roman;Times;serif" w:hAnsi="Times New Roman;Times;serif"/>
                <w:sz w:val="20"/>
              </w:rPr>
            </w:pPr>
            <w:r>
              <w:rPr>
                <w:rFonts w:ascii="Times New Roman;Times;serif" w:hAnsi="Times New Roman;Times;serif"/>
                <w:sz w:val="20"/>
              </w:rPr>
              <w:t>Delaware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821" w:name="mnst-20251231xex23d1.htm"/>
      <w:bookmarkStart w:id="1822" w:name="ksmnst20251231xex23d1"/>
      <w:bookmarkEnd w:id="1821"/>
      <w:bookmarkEnd w:id="1822"/>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Registration Statement (Form S-8 No. 333-218883) of Monster Beverage Corporation,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Registration Statement (Form S-8 No. 333-215326) of Monster Beverage Corporation,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Registration Statement (Form S-8 No. 333-238943) of Monster Beverage Corporation,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Registration Statement (Form S-8 No. 333-41333) of Monster Beverage Corporation,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Registration Statement (Form S-8 No. 333-89123) of Monster Beverage Corporation,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Registration Statement (Form S-8 No. 333-112482) of Monster Beverage Corporation,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Registration Statement (Form S-8 No. 333-131467) of Monster Beverage Corporation,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Registration Statement (Form S-8 No. 333-170713) of Monster Beverage Corporation,</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Registration Statement (Form S-8 No. 333-174614) of Monster Beverage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Registration Statement (Form S-8 No. 033-92526) of Monster Beverage Corporation;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our reports dated February 26, 2026, with respect to the consolidated financial statements of Monster Beverage Corporation and subsidiaries and the effectiveness of internal control over financial reporting of Monster Beverage Corporation and subsidiaries included in this Annual Report (Form 10-K) of Monster Beverage Corporation and subsidiaries for the year ended December 31, 2025.</w:t>
      </w:r>
    </w:p>
    <w:p>
      <w:pPr>
        <w:pStyle w:val="TextBody"/>
        <w:bidi w:val="0"/>
        <w:spacing w:before="0" w:after="0"/>
        <w:ind w:left="0" w:right="0" w:hanging="0"/>
        <w:jc w:val="both"/>
        <w:rPr/>
      </w:pPr>
      <w:r>
        <w:rPr/>
        <w:t>​</w:t>
      </w:r>
    </w:p>
    <w:tbl>
      <w:tblPr>
        <w:tblW w:w="3602" w:type="dxa"/>
        <w:jc w:val="center"/>
        <w:tblInd w:w="0" w:type="dxa"/>
        <w:tblLayout w:type="fixed"/>
        <w:tblCellMar>
          <w:top w:w="0" w:type="dxa"/>
          <w:left w:w="0" w:type="dxa"/>
          <w:bottom w:w="0" w:type="dxa"/>
          <w:right w:w="0" w:type="dxa"/>
        </w:tblCellMar>
      </w:tblPr>
      <w:tblGrid>
        <w:gridCol w:w="1606"/>
        <w:gridCol w:w="199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019810" cy="175260"/>
                      <wp:effectExtent l="0" t="0" r="0" b="0"/>
                      <wp:wrapNone/>
                      <wp:docPr id="527" name="Frame522"/>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268095" cy="175260"/>
                      <wp:effectExtent l="0" t="0" r="0" b="0"/>
                      <wp:wrapNone/>
                      <wp:docPr id="528" name="Frame523"/>
                      <a:graphic xmlns:a="http://schemas.openxmlformats.org/drawingml/2006/main">
                        <a:graphicData uri="http://schemas.microsoft.com/office/word/2010/wordprocessingShape">
                          <wps:wsp>
                            <wps:cNvSpPr txBox="1"/>
                            <wps:spPr>
                              <a:xfrm>
                                <a:off x="0" y="0"/>
                                <a:ext cx="1268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r>
      <w:tr>
        <w:trPr/>
        <w:tc>
          <w:tcPr>
            <w:tcW w:w="160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Irvine, California</w:t>
            </w:r>
          </w:p>
        </w:tc>
        <w:tc>
          <w:tcPr>
            <w:tcW w:w="1996"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c>
          <w:tcPr>
            <w:tcW w:w="19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823" w:name="mnst-20251231xex31d1.htm"/>
      <w:bookmarkStart w:id="1824" w:name="ksmnst20251231xex31d1"/>
      <w:bookmarkEnd w:id="1823"/>
      <w:bookmarkEnd w:id="1824"/>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Hilton Schlosberg, certify that:</w:t>
      </w:r>
    </w:p>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7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Monster Beverage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pPr>
      <w:r>
        <w:rPr/>
        <w:t>​</w:t>
      </w:r>
    </w:p>
    <w:tbl>
      <w:tblPr>
        <w:tblW w:w="5943" w:type="dxa"/>
        <w:jc w:val="left"/>
        <w:tblInd w:w="0" w:type="dxa"/>
        <w:tblLayout w:type="fixed"/>
        <w:tblCellMar>
          <w:top w:w="0" w:type="dxa"/>
          <w:left w:w="0" w:type="dxa"/>
          <w:bottom w:w="0" w:type="dxa"/>
          <w:right w:w="0" w:type="dxa"/>
        </w:tblCellMar>
      </w:tblPr>
      <w:tblGrid>
        <w:gridCol w:w="556"/>
        <w:gridCol w:w="1591"/>
        <w:gridCol w:w="379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353060" cy="175260"/>
                      <wp:effectExtent l="0" t="0" r="0" b="0"/>
                      <wp:wrapNone/>
                      <wp:docPr id="529" name="Frame52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010285" cy="175260"/>
                      <wp:effectExtent l="0" t="0" r="0" b="0"/>
                      <wp:wrapNone/>
                      <wp:docPr id="530" name="Frame52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410460" cy="175260"/>
                      <wp:effectExtent l="0" t="0" r="0" b="0"/>
                      <wp:wrapNone/>
                      <wp:docPr id="531" name="Frame52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37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Hilton H. Schlosberg </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Vice Chairman of the Board of Directors and </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825" w:name="mnst-20251231xex31d2.htm"/>
      <w:bookmarkStart w:id="1826" w:name="ksmnst20251231xex31d2"/>
      <w:bookmarkEnd w:id="1825"/>
      <w:bookmarkEnd w:id="1826"/>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Thomas Kelly, certify that:</w:t>
      </w:r>
    </w:p>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7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Monster Beverage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pPr>
      <w:r>
        <w:rPr/>
        <w:t>​</w:t>
      </w:r>
    </w:p>
    <w:tbl>
      <w:tblPr>
        <w:tblW w:w="4158" w:type="dxa"/>
        <w:jc w:val="left"/>
        <w:tblInd w:w="0" w:type="dxa"/>
        <w:tblLayout w:type="fixed"/>
        <w:tblCellMar>
          <w:top w:w="0" w:type="dxa"/>
          <w:left w:w="0" w:type="dxa"/>
          <w:bottom w:w="0" w:type="dxa"/>
          <w:right w:w="0" w:type="dxa"/>
        </w:tblCellMar>
      </w:tblPr>
      <w:tblGrid>
        <w:gridCol w:w="556"/>
        <w:gridCol w:w="1591"/>
        <w:gridCol w:w="201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353060" cy="175260"/>
                      <wp:effectExtent l="0" t="0" r="0" b="0"/>
                      <wp:wrapNone/>
                      <wp:docPr id="532" name="Frame52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010285" cy="175260"/>
                      <wp:effectExtent l="0" t="0" r="0" b="0"/>
                      <wp:wrapNone/>
                      <wp:docPr id="533" name="Frame52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276985" cy="175260"/>
                      <wp:effectExtent l="0" t="0" r="0" b="0"/>
                      <wp:wrapNone/>
                      <wp:docPr id="534" name="Frame52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827" w:name="mnst-20251231xex32d1.htm"/>
      <w:bookmarkStart w:id="1828" w:name="ksmnst20251231xex32d1"/>
      <w:bookmarkEnd w:id="1827"/>
      <w:bookmarkEnd w:id="182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Monster Beverage Corporation (the “Company”) on Form 10-K for the year ended December 31, 2025 as filed with the Securities and Exchange Commission (the “Report”), the undersigned, Hilton H. Schlosberg, Vice Chairman of the Board of Directors and Chief Executive Officer of the Company, certifies, pursuant to 18 U.S.C. 1350, as adopted pursuant to Section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center"/>
        <w:rPr/>
      </w:pPr>
      <w:r>
        <w:rPr/>
        <w:t>​</w:t>
      </w:r>
    </w:p>
    <w:tbl>
      <w:tblPr>
        <w:tblW w:w="5943" w:type="dxa"/>
        <w:jc w:val="left"/>
        <w:tblInd w:w="0" w:type="dxa"/>
        <w:tblLayout w:type="fixed"/>
        <w:tblCellMar>
          <w:top w:w="0" w:type="dxa"/>
          <w:left w:w="0" w:type="dxa"/>
          <w:bottom w:w="0" w:type="dxa"/>
          <w:right w:w="0" w:type="dxa"/>
        </w:tblCellMar>
      </w:tblPr>
      <w:tblGrid>
        <w:gridCol w:w="556"/>
        <w:gridCol w:w="1591"/>
        <w:gridCol w:w="379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53060" cy="175260"/>
                      <wp:effectExtent l="0" t="0" r="0" b="0"/>
                      <wp:wrapNone/>
                      <wp:docPr id="535" name="Frame53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010285" cy="175260"/>
                      <wp:effectExtent l="0" t="0" r="0" b="0"/>
                      <wp:wrapNone/>
                      <wp:docPr id="536" name="Frame531"/>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410460" cy="175260"/>
                      <wp:effectExtent l="0" t="0" r="0" b="0"/>
                      <wp:wrapNone/>
                      <wp:docPr id="537" name="Frame532"/>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Vice Chairman of the Board of Directors and </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829" w:name="mnst-20251231xex32d2.htm"/>
      <w:bookmarkStart w:id="1830" w:name="ksmnst20251231xex32d2"/>
      <w:bookmarkEnd w:id="1829"/>
      <w:bookmarkEnd w:id="183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Monster Beverage Corporation (the “Company”) on Form 10-K for the year ended December 31, 2025 as filed with the Securities and Exchange Commission (the “Report”), the undersigned, Thomas J. Kelly, Chief Financial Officer of the Company, certifies, pursuant to 18 U.S.C. 1350, as adopted pursuant to Section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center"/>
        <w:rPr/>
      </w:pPr>
      <w:r>
        <w:rPr/>
        <w:t>​</w:t>
      </w:r>
    </w:p>
    <w:tbl>
      <w:tblPr>
        <w:tblW w:w="4158" w:type="dxa"/>
        <w:jc w:val="left"/>
        <w:tblInd w:w="0" w:type="dxa"/>
        <w:tblLayout w:type="fixed"/>
        <w:tblCellMar>
          <w:top w:w="0" w:type="dxa"/>
          <w:left w:w="0" w:type="dxa"/>
          <w:bottom w:w="0" w:type="dxa"/>
          <w:right w:w="0" w:type="dxa"/>
        </w:tblCellMar>
      </w:tblPr>
      <w:tblGrid>
        <w:gridCol w:w="556"/>
        <w:gridCol w:w="1591"/>
        <w:gridCol w:w="201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53060" cy="175260"/>
                      <wp:effectExtent l="0" t="0" r="0" b="0"/>
                      <wp:wrapNone/>
                      <wp:docPr id="538" name="Frame533"/>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010285" cy="175260"/>
                      <wp:effectExtent l="0" t="0" r="0" b="0"/>
                      <wp:wrapNone/>
                      <wp:docPr id="539" name="Frame53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276985" cy="175260"/>
                      <wp:effectExtent l="0" t="0" r="0" b="0"/>
                      <wp:wrapNone/>
                      <wp:docPr id="540" name="Frame53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ms Rm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hyperlink" Target="https://www.sec.gov/Archives/edgar/data/865752/000110465914061722/a14-19122_2ex2d1.htm" TargetMode="External"/><Relationship Id="rId6" Type="http://schemas.openxmlformats.org/officeDocument/2006/relationships/hyperlink" Target="https://www.sec.gov/Archives/edgar/data/865752/000110465918018960/a18-8560_1ex2d1.htm" TargetMode="External"/><Relationship Id="rId7" Type="http://schemas.openxmlformats.org/officeDocument/2006/relationships/hyperlink" Target="https://www.sec.gov/Archives/edgar/data/865752/000110465914061722/a14-19122_2ex2d2.htm" TargetMode="External"/><Relationship Id="rId8" Type="http://schemas.openxmlformats.org/officeDocument/2006/relationships/hyperlink" Target="https://www.sec.gov/Archives/edgar/data/865752/000110465923074933/tm2319592d1_ex3-1.htm" TargetMode="External"/><Relationship Id="rId9" Type="http://schemas.openxmlformats.org/officeDocument/2006/relationships/hyperlink" Target="https://www.sec.gov/Archives/edgar/data/865752/000110465924115332/tm2427782d1_ex3-2.htm" TargetMode="External"/><Relationship Id="rId10" Type="http://schemas.openxmlformats.org/officeDocument/2006/relationships/hyperlink" Target="https://www.sec.gov/Archives/edgar/data/865752/000110465920027209/ex-4d1.htm" TargetMode="External"/><Relationship Id="rId11" Type="http://schemas.openxmlformats.org/officeDocument/2006/relationships/hyperlink" Target="https://www.sec.gov/Archives/edgar/data/865752/000110465915058216/a15-11963_1ex10d1.htm" TargetMode="External"/><Relationship Id="rId12" Type="http://schemas.openxmlformats.org/officeDocument/2006/relationships/hyperlink" Target="https://www.sec.gov/Archives/edgar/data/865752/000110465915058216/a15-11963_1ex10d2.htm" TargetMode="External"/><Relationship Id="rId13" Type="http://schemas.openxmlformats.org/officeDocument/2006/relationships/hyperlink" Target="https://www.sec.gov/Archives/edgar/data/865752/000110465924064691/tm2415312d1_ex10-1.htm" TargetMode="External"/><Relationship Id="rId14" Type="http://schemas.openxmlformats.org/officeDocument/2006/relationships/hyperlink" Target="https://www.sec.gov/Archives/edgar/data/865752/000110465925107944/mnst-20250930xex10d1.htm" TargetMode="External"/><Relationship Id="rId15" Type="http://schemas.openxmlformats.org/officeDocument/2006/relationships/hyperlink" Target="https://www.sec.gov/Archives/edgar/data/865752/000110465919034816/a19-11405_1ex10d1.htm" TargetMode="External"/><Relationship Id="rId16" Type="http://schemas.openxmlformats.org/officeDocument/2006/relationships/hyperlink" Target="https://www.sec.gov/Archives/edgar/data/865752/000086575214000005/e101.htm" TargetMode="External"/><Relationship Id="rId17" Type="http://schemas.openxmlformats.org/officeDocument/2006/relationships/hyperlink" Target="https://www.sec.gov/Archives/edgar/data/865752/000110465925022230/tm258762d1_ex10-1.htm" TargetMode="External"/><Relationship Id="rId18" Type="http://schemas.openxmlformats.org/officeDocument/2006/relationships/hyperlink" Target="https://www.sec.gov/Archives/edgar/data/865752/000086575214000005/e102.htm" TargetMode="External"/><Relationship Id="rId19" Type="http://schemas.openxmlformats.org/officeDocument/2006/relationships/hyperlink" Target="https://www.sec.gov/Archives/edgar/data/865752/000086575211000006/e101.htm" TargetMode="External"/><Relationship Id="rId20" Type="http://schemas.openxmlformats.org/officeDocument/2006/relationships/hyperlink" Target="https://www.sec.gov/Archives/edgar/data/865752/000110465918014057/a18-1123_1ex10d10.htm" TargetMode="External"/><Relationship Id="rId21" Type="http://schemas.openxmlformats.org/officeDocument/2006/relationships/hyperlink" Target="https://www.sec.gov/Archives/edgar/data/865752/000110465918014057/a18-1123_1ex10d11.htm" TargetMode="External"/><Relationship Id="rId22" Type="http://schemas.openxmlformats.org/officeDocument/2006/relationships/hyperlink" Target="https://www.sec.gov/Archives/edgar/data/865752/000110465911045251/a11-12791_1ex10d1.htm" TargetMode="External"/><Relationship Id="rId23" Type="http://schemas.openxmlformats.org/officeDocument/2006/relationships/hyperlink" Target="https://www.sec.gov/Archives/edgar/data/865752/000110465921029943/mnst-20201231xex10d13.htm" TargetMode="External"/><Relationship Id="rId24" Type="http://schemas.openxmlformats.org/officeDocument/2006/relationships/hyperlink" Target="https://www.sec.gov/Archives/edgar/data/865752/000110465918014057/a18-1123_1ex10d14.htm" TargetMode="External"/><Relationship Id="rId25" Type="http://schemas.openxmlformats.org/officeDocument/2006/relationships/hyperlink" Target="https://www.sec.gov/Archives/edgar/data/865752/000110465917040692/a17-15453_1ex4d2.htm" TargetMode="External"/><Relationship Id="rId26" Type="http://schemas.openxmlformats.org/officeDocument/2006/relationships/hyperlink" Target="https://www.sec.gov/Archives/edgar/data/865752/000110465922057028/mnst-20220331xex10d1.htm" TargetMode="External"/><Relationship Id="rId27" Type="http://schemas.openxmlformats.org/officeDocument/2006/relationships/hyperlink" Target="https://www.sec.gov/Archives/edgar/data/865752/000110465922057028/mnst-20220331xex10d1.htm" TargetMode="External"/><Relationship Id="rId28" Type="http://schemas.openxmlformats.org/officeDocument/2006/relationships/hyperlink" Target="https://www.sec.gov/Archives/edgar/data/865752/000110465922057028/mnst-20220331xex10d1.htm" TargetMode="External"/><Relationship Id="rId29" Type="http://schemas.openxmlformats.org/officeDocument/2006/relationships/hyperlink" Target="https://www.sec.gov/Archives/edgar/data/865752/000110465921029943/mnst-20201231xex10d4.htm" TargetMode="External"/><Relationship Id="rId30" Type="http://schemas.openxmlformats.org/officeDocument/2006/relationships/hyperlink" Target="https://www.sec.gov/Archives/edgar/data/865752/000110465921063189/mnst-20210331xex10d1.htm" TargetMode="External"/><Relationship Id="rId31" Type="http://schemas.openxmlformats.org/officeDocument/2006/relationships/hyperlink" Target="https://www.sec.gov/Archives/edgar/data/865752/000110465921063189/mnst-20210331xex10d2.htm" TargetMode="External"/><Relationship Id="rId32" Type="http://schemas.openxmlformats.org/officeDocument/2006/relationships/hyperlink" Target="https://www.sec.gov/Archives/edgar/data/865752/000110465921063189/mnst-20210331xex10d3.htm" TargetMode="External"/><Relationship Id="rId33" Type="http://schemas.openxmlformats.org/officeDocument/2006/relationships/hyperlink" Target="https://www.sec.gov/Archives/edgar/data/865752/000110465921063189/mnst-20210331xex10d4.htm" TargetMode="External"/><Relationship Id="rId34" Type="http://schemas.openxmlformats.org/officeDocument/2006/relationships/hyperlink" Target="https://www.sec.gov/Archives/edgar/data/865752/000141057825001122/mnst-20250331xex10d2.htm" TargetMode="External"/><Relationship Id="rId35" Type="http://schemas.openxmlformats.org/officeDocument/2006/relationships/hyperlink" Target="https://www.sec.gov/Archives/edgar/data/865752/000141057825001122/mnst-20250331xex10d3.htm" TargetMode="External"/><Relationship Id="rId36" Type="http://schemas.openxmlformats.org/officeDocument/2006/relationships/hyperlink" Target="https://www.sec.gov/Archives/edgar/data/865752/000141057825001122/mnst-20250331xex10d4.htm" TargetMode="External"/><Relationship Id="rId37" Type="http://schemas.openxmlformats.org/officeDocument/2006/relationships/hyperlink" Target="https://www.sec.gov/Archives/edgar/data/865752/000141057825000248/mnst-20241231xex19d1.htm" TargetMode="External"/><Relationship Id="rId38" Type="http://schemas.openxmlformats.org/officeDocument/2006/relationships/hyperlink" Target="https://www.sec.gov/Archives/edgar/data/865752/000110465924029425/mnst-20231231xex97.htm" TargetMode="External"/><Relationship Id="rId39" Type="http://schemas.openxmlformats.org/officeDocument/2006/relationships/image" Target="media/image1.jpeg"/><Relationship Id="rId40" Type="http://schemas.openxmlformats.org/officeDocument/2006/relationships/image" Target="media/image3.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83366</Words>
  <Characters>469531</Characters>
  <CharactersWithSpaces>555876</CharactersWithSpaces>
  <Paragraphs>11493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